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00" w:right="2060" w:hanging="3892"/>
        <w:spacing w:after="0" w:line="279"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540" w:right="1680" w:hanging="3532"/>
        <w:spacing w:after="0" w:line="273" w:lineRule="auto"/>
        <w:tabs>
          <w:tab w:leader="none" w:pos="37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 to _________</w:t>
      </w:r>
    </w:p>
    <w:p>
      <w:pPr>
        <w:spacing w:after="0" w:line="1"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14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1420" w:type="dxa"/>
        <w:tblCellMar>
          <w:top w:w="0" w:type="dxa"/>
          <w:left w:w="0" w:type="dxa"/>
          <w:bottom w:w="0" w:type="dxa"/>
          <w:right w:w="0" w:type="dxa"/>
        </w:tblCellMar>
      </w:tblPr>
      <w:tr>
        <w:trPr>
          <w:trHeight w:val="477"/>
        </w:trPr>
        <w:tc>
          <w:tcPr>
            <w:tcW w:w="6400" w:type="dxa"/>
            <w:vAlign w:val="bottom"/>
            <w:gridSpan w:val="3"/>
          </w:tcPr>
          <w:p>
            <w:pPr>
              <w:ind w:left="2340"/>
              <w:spacing w:after="0"/>
              <w:rPr>
                <w:sz w:val="20"/>
                <w:szCs w:val="20"/>
                <w:color w:val="auto"/>
              </w:rPr>
            </w:pPr>
            <w:r>
              <w:rPr>
                <w:rFonts w:ascii="Times New Roman" w:cs="Times New Roman" w:eastAsia="Times New Roman" w:hAnsi="Times New Roman"/>
                <w:sz w:val="40"/>
                <w:szCs w:val="40"/>
                <w:b w:val="1"/>
                <w:bCs w:val="1"/>
                <w:color w:val="auto"/>
              </w:rPr>
              <w:t>Solid Biosciences Inc.</w:t>
            </w:r>
          </w:p>
        </w:tc>
        <w:tc>
          <w:tcPr>
            <w:tcW w:w="1160" w:type="dxa"/>
            <w:vAlign w:val="bottom"/>
          </w:tcPr>
          <w:p>
            <w:pPr>
              <w:spacing w:after="0"/>
              <w:rPr>
                <w:sz w:val="24"/>
                <w:szCs w:val="24"/>
                <w:color w:val="auto"/>
              </w:rPr>
            </w:pPr>
          </w:p>
        </w:tc>
      </w:tr>
      <w:tr>
        <w:trPr>
          <w:trHeight w:val="238"/>
        </w:trPr>
        <w:tc>
          <w:tcPr>
            <w:tcW w:w="640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60" w:type="dxa"/>
            <w:vAlign w:val="bottom"/>
          </w:tcPr>
          <w:p>
            <w:pPr>
              <w:spacing w:after="0"/>
              <w:rPr>
                <w:sz w:val="20"/>
                <w:szCs w:val="20"/>
                <w:color w:val="auto"/>
              </w:rPr>
            </w:pPr>
          </w:p>
        </w:tc>
      </w:tr>
      <w:tr>
        <w:trPr>
          <w:trHeight w:val="54"/>
        </w:trPr>
        <w:tc>
          <w:tcPr>
            <w:tcW w:w="30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0"/>
        </w:trPr>
        <w:tc>
          <w:tcPr>
            <w:tcW w:w="64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90-0943402</w:t>
            </w:r>
          </w:p>
        </w:tc>
      </w:tr>
      <w:tr>
        <w:trPr>
          <w:trHeight w:val="135"/>
        </w:trPr>
        <w:tc>
          <w:tcPr>
            <w:tcW w:w="6400" w:type="dxa"/>
            <w:vAlign w:val="bottom"/>
            <w:gridSpan w:val="3"/>
          </w:tcPr>
          <w:p>
            <w:pPr>
              <w:jc w:val="center"/>
              <w:ind w:right="36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160" w:type="dxa"/>
            <w:vAlign w:val="bottom"/>
          </w:tcPr>
          <w:p>
            <w:pPr>
              <w:jc w:val="center"/>
              <w:ind w:left="10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6400" w:type="dxa"/>
            <w:vAlign w:val="bottom"/>
            <w:gridSpan w:val="3"/>
          </w:tcPr>
          <w:p>
            <w:pPr>
              <w:jc w:val="center"/>
              <w:ind w:right="3600"/>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60" w:type="dxa"/>
            <w:vAlign w:val="bottom"/>
          </w:tcPr>
          <w:p>
            <w:pPr>
              <w:jc w:val="center"/>
              <w:ind w:left="10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640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500 Rutherford Avenue, Third Floor</w:t>
            </w:r>
          </w:p>
        </w:tc>
        <w:tc>
          <w:tcPr>
            <w:tcW w:w="1160" w:type="dxa"/>
            <w:vAlign w:val="bottom"/>
          </w:tcPr>
          <w:p>
            <w:pPr>
              <w:spacing w:after="0"/>
              <w:rPr>
                <w:sz w:val="18"/>
                <w:szCs w:val="18"/>
                <w:color w:val="auto"/>
              </w:rPr>
            </w:pPr>
          </w:p>
        </w:tc>
      </w:tr>
      <w:tr>
        <w:trPr>
          <w:trHeight w:val="218"/>
        </w:trPr>
        <w:tc>
          <w:tcPr>
            <w:tcW w:w="64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Charlestown, MA</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02129</w:t>
            </w:r>
          </w:p>
        </w:tc>
      </w:tr>
      <w:tr>
        <w:trPr>
          <w:trHeight w:val="166"/>
        </w:trPr>
        <w:tc>
          <w:tcPr>
            <w:tcW w:w="6400" w:type="dxa"/>
            <w:vAlign w:val="bottom"/>
            <w:gridSpan w:val="3"/>
          </w:tcPr>
          <w:p>
            <w:pPr>
              <w:jc w:val="center"/>
              <w:ind w:right="360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60" w:type="dxa"/>
            <w:vAlign w:val="bottom"/>
          </w:tcPr>
          <w:p>
            <w:pPr>
              <w:jc w:val="center"/>
              <w:ind w:left="1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337-4680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p>
      <w:pPr>
        <w:ind w:left="1340"/>
        <w:spacing w:after="0"/>
        <w:tabs>
          <w:tab w:leader="none" w:pos="5100" w:val="left"/>
          <w:tab w:leader="none" w:pos="81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exchange on which registered</w:t>
      </w:r>
    </w:p>
    <w:p>
      <w:pPr>
        <w:spacing w:after="0" w:line="6" w:lineRule="exact"/>
        <w:rPr>
          <w:sz w:val="24"/>
          <w:szCs w:val="24"/>
          <w:color w:val="auto"/>
        </w:rPr>
      </w:pPr>
    </w:p>
    <w:p>
      <w:pPr>
        <w:ind w:left="640"/>
        <w:spacing w:after="0"/>
        <w:tabs>
          <w:tab w:leader="none" w:pos="5420" w:val="left"/>
          <w:tab w:leader="none" w:pos="8360" w:val="left"/>
        </w:tabs>
        <w:rPr>
          <w:sz w:val="20"/>
          <w:szCs w:val="20"/>
          <w:color w:val="auto"/>
        </w:rPr>
      </w:pPr>
      <w:r>
        <w:rPr>
          <w:rFonts w:ascii="Times New Roman" w:cs="Times New Roman" w:eastAsia="Times New Roman" w:hAnsi="Times New Roman"/>
          <w:sz w:val="14"/>
          <w:szCs w:val="14"/>
          <w:color w:val="auto"/>
        </w:rPr>
        <w:t>Common Stock $0.001 par value per share</w:t>
      </w:r>
      <w:r>
        <w:rPr>
          <w:sz w:val="20"/>
          <w:szCs w:val="20"/>
          <w:color w:val="auto"/>
        </w:rPr>
        <w:tab/>
      </w:r>
      <w:r>
        <w:rPr>
          <w:rFonts w:ascii="Times New Roman" w:cs="Times New Roman" w:eastAsia="Times New Roman" w:hAnsi="Times New Roman"/>
          <w:sz w:val="14"/>
          <w:szCs w:val="14"/>
          <w:color w:val="auto"/>
        </w:rPr>
        <w:t>SLDB</w:t>
      </w:r>
      <w:r>
        <w:rPr>
          <w:sz w:val="20"/>
          <w:szCs w:val="20"/>
          <w:color w:val="auto"/>
        </w:rPr>
        <w:tab/>
      </w:r>
      <w:r>
        <w:rPr>
          <w:rFonts w:ascii="Times New Roman" w:cs="Times New Roman" w:eastAsia="Times New Roman" w:hAnsi="Times New Roman"/>
          <w:sz w:val="14"/>
          <w:szCs w:val="14"/>
          <w:color w:val="auto"/>
        </w:rPr>
        <w:t>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184" w:lineRule="exact"/>
        <w:rPr>
          <w:sz w:val="24"/>
          <w:szCs w:val="24"/>
          <w:color w:val="auto"/>
        </w:rPr>
      </w:pPr>
    </w:p>
    <w:p>
      <w:pPr>
        <w:ind w:right="316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20"/>
          </w:cols>
          <w:pgMar w:left="320" w:top="1337" w:right="35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46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46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3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4" w:lineRule="exact"/>
        <w:rPr>
          <w:sz w:val="24"/>
          <w:szCs w:val="24"/>
          <w:color w:val="auto"/>
        </w:rPr>
      </w:pPr>
    </w:p>
    <w:p>
      <w:pPr>
        <w:sectPr>
          <w:pgSz w:w="11900" w:h="16838" w:orient="portrait"/>
          <w:cols w:equalWidth="0" w:num="2">
            <w:col w:w="10840" w:space="260"/>
            <w:col w:w="120"/>
          </w:cols>
          <w:pgMar w:left="320" w:top="1337" w:right="359" w:bottom="1440" w:gutter="0" w:footer="0" w:header="0"/>
          <w:type w:val="continuous"/>
        </w:sectPr>
      </w:pPr>
    </w:p>
    <w:p>
      <w:pPr>
        <w:ind w:right="54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2"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ind w:right="260"/>
        <w:spacing w:after="0" w:line="178"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7" w:right="359" w:bottom="1440" w:gutter="0" w:footer="0" w:header="0"/>
          <w:type w:val="continuous"/>
        </w:sectPr>
      </w:pPr>
    </w:p>
    <w:bookmarkStart w:id="1" w:name="page2"/>
    <w:bookmarkEnd w:id="1"/>
    <w:p>
      <w:pPr>
        <w:spacing w:after="0" w:line="161" w:lineRule="exact"/>
        <w:tabs>
          <w:tab w:leader="none" w:pos="6060" w:val="left"/>
          <w:tab w:leader="none" w:pos="6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registrant’s common stock held by non-affiliates was $317.7 million, based on the last reported sale price of such stock on the Nasdaq Global Select Market as of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16, 2026 was 98,391,314.</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for its 2026 Annual Meeting of Stockholders pursuant to Regulation 14A within 120 days of the end of the fiscal year ended December 31, 2025. Portions of such definitive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580"/>
        </w:trPr>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Business</w:t>
            </w:r>
          </w:p>
        </w:tc>
        <w:tc>
          <w:tcPr>
            <w:tcW w:w="0" w:type="dxa"/>
            <w:vAlign w:val="bottom"/>
          </w:tcPr>
          <w:p>
            <w:pPr>
              <w:spacing w:after="0"/>
              <w:rPr>
                <w:sz w:val="1"/>
                <w:szCs w:val="1"/>
                <w:color w:val="auto"/>
              </w:rPr>
            </w:pPr>
          </w:p>
        </w:tc>
      </w:tr>
      <w:tr>
        <w:trPr>
          <w:trHeight w:val="20"/>
        </w:trPr>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gridSpan w:val="3"/>
            <w:vMerge w:val="continue"/>
          </w:tcPr>
          <w:p>
            <w:pPr>
              <w:spacing w:after="0"/>
              <w:rPr>
                <w:sz w:val="18"/>
                <w:szCs w:val="18"/>
                <w:color w:val="auto"/>
              </w:rPr>
            </w:pPr>
          </w:p>
        </w:tc>
        <w:tc>
          <w:tcPr>
            <w:tcW w:w="8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gridSpan w:val="3"/>
            <w:vMerge w:val="continue"/>
          </w:tcPr>
          <w:p>
            <w:pPr>
              <w:spacing w:after="0"/>
              <w:rPr>
                <w:sz w:val="18"/>
                <w:szCs w:val="18"/>
                <w:color w:val="auto"/>
              </w:rPr>
            </w:pP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0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0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3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7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1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Borders>
              <w:top w:val="single" w:sz="8" w:color="0000EE"/>
            </w:tcBorders>
            <w:gridSpan w:val="2"/>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760" w:type="dxa"/>
            <w:vAlign w:val="bottom"/>
          </w:tcPr>
          <w:p>
            <w:pPr>
              <w:spacing w:after="0"/>
              <w:rPr>
                <w:sz w:val="19"/>
                <w:szCs w:val="19"/>
                <w:color w:val="auto"/>
              </w:rPr>
            </w:pPr>
          </w:p>
        </w:tc>
        <w:tc>
          <w:tcPr>
            <w:tcW w:w="8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10"/>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4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8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47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3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7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3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1"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-1905</wp:posOffset>
            </wp:positionV>
            <wp:extent cx="260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-10795</wp:posOffset>
            </wp:positionV>
            <wp:extent cx="1145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-10795</wp:posOffset>
            </wp:positionV>
            <wp:extent cx="4629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8"/>
          <w:szCs w:val="18"/>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-10795</wp:posOffset>
            </wp:positionV>
            <wp:extent cx="3464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8"/>
          <w:szCs w:val="18"/>
          <w:color w:val="0000F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-10795</wp:posOffset>
            </wp:positionV>
            <wp:extent cx="18148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66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6725" cy="8890"/>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-1905</wp:posOffset>
            </wp:positionV>
            <wp:extent cx="2005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5330" cy="8890"/>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8"/>
          <w:szCs w:val="18"/>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-10795</wp:posOffset>
            </wp:positionV>
            <wp:extent cx="983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42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0000FF"/>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123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1236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95</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95</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95</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95</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96</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97</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97</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98</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2">
            <w:col w:w="9520" w:space="500"/>
            <w:col w:w="300"/>
          </w:cols>
          <w:pgMar w:left="620" w:top="1089" w:right="9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Annual Report on Form 10-K.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Annual Report on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design and results of ongoing and planned preclinical studies and clinical trials for our neuromuscular (e.g., SGT-003, SGT-212), cardiac (e.g., SGT-401, SGT-501, SGT-601) or other future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U.S. and foreign regulatory approval of our neuromuscular (e.g., SGT-003, SGT-212), cardiac (e.g., SGT-401, SGT-501, SGT-601) or other future candidates, and the timing and scope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regulatory interactions;</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populations and potential market opportunity for our neuromuscular (e.g., SGT-003, SGT-212), cardiac (e.g., SGT-401, SGT-501, SGT-601) or other future candidates, if approved for commercial use;</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capacity constraints and the scalability and commercial viability of our manufacturing methods and processes;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neuromuscular (e.g., SGT-003, SGT-212), cardiac (e.g., SGT-401,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neuromuscular (e.g., SGT-003, SGT-212), cardiac (e.g., SGT-401, SGT-501, SGT-601) or other future candidates we may develop, if approved;</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sales, marketing and distribution capabilities and entry into agreements with third parties to market and sell our neuromuscular (e.g., SGT-003, SGT-212), cardiac (e.g., SGT-401,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neuromuscular (e.g., SGT-003, SGT-212), cardiac (e.g., SGT-401,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platform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use of capital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ongoing losses, future revenue, capital requirements, and need for and ability to obtain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and market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and global political and economic developments, including the imposition of tariffs or other trade restrictions, on our business, operations, strategy and goals.</w:t>
      </w: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 w:name="page5"/>
    <w:bookmarkEnd w:id="4"/>
    <w:p>
      <w:pPr>
        <w:ind w:right="100"/>
        <w:spacing w:after="0" w:line="266" w:lineRule="auto"/>
        <w:rPr>
          <w:sz w:val="20"/>
          <w:szCs w:val="20"/>
          <w:color w:val="auto"/>
        </w:rPr>
      </w:pPr>
      <w:r>
        <w:rPr>
          <w:rFonts w:ascii="Times New Roman" w:cs="Times New Roman" w:eastAsia="Times New Roman" w:hAnsi="Times New Roman"/>
          <w:sz w:val="18"/>
          <w:szCs w:val="18"/>
          <w:color w:val="auto"/>
        </w:rPr>
        <w:t>from those made in or suggested by the forward-looking statements contained in this Annual Report on Form 10-K. In addition, even if our results of operations, financial condition, business and prospects are consistent with the forward-looking statements contained in this Annual Report on Form 10-K, those results may not be indicative of results to be expected in subsequent periods.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may be materially different from what we expect. We qualify all of our forward-looking statements by these cautionary statements.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7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used in this Annual Report on Form 10-K, the terms “Solid,” “the Company,” “we,” “us” and “our” refer to Solid Biosciences Inc., and its consolidated subsidiaries, unless the context indicates otherwise. Solid Biosciences Inc. was organized in March 2013 under the name SOLID Ventures Management, LLC and operated as a Delaware limited liability company until immediately prior to the effectiveness of its registration statement on Form S-1 on January 25, 2018, at which time it completed a statutory corporate conversion into a Delaware corporation and changed its name to Solid Biosciences Inc.</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operating results and financial condition and the trading price of our common stock could decline. These risks are discussed more fully below. These risks include the following:</w:t>
      </w:r>
    </w:p>
    <w:p>
      <w:pPr>
        <w:spacing w:after="0" w:line="54" w:lineRule="exact"/>
        <w:rPr>
          <w:sz w:val="20"/>
          <w:szCs w:val="20"/>
          <w:color w:val="auto"/>
        </w:rPr>
      </w:pPr>
    </w:p>
    <w:p>
      <w:pPr>
        <w:ind w:left="900" w:right="2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anticipate that we will continue to incur net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do not expect to do so for the foreseeable future, if ever.</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harm our business, financial condition or results of operations.</w:t>
      </w:r>
    </w:p>
    <w:p>
      <w:pPr>
        <w:spacing w:after="0" w:line="117" w:lineRule="exact"/>
        <w:rPr>
          <w:rFonts w:ascii="Times New Roman" w:cs="Times New Roman" w:eastAsia="Times New Roman" w:hAnsi="Times New Roman"/>
          <w:sz w:val="18"/>
          <w:szCs w:val="18"/>
          <w:color w:val="auto"/>
        </w:rPr>
      </w:pPr>
    </w:p>
    <w:p>
      <w:pPr>
        <w:jc w:val="both"/>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pipeline of gene transfer candidates, which we refer to collectively as our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prior clinical trials had been placed on clinical hold by the Food and Drug Administration (“FDA”) in the past, and we cannot guarantee that similar events will not happen in ongoing, planned and future clinical trials for our Candidates.</w:t>
      </w:r>
    </w:p>
    <w:p>
      <w:pPr>
        <w:spacing w:after="0" w:line="12" w:lineRule="exact"/>
        <w:rPr>
          <w:rFonts w:ascii="Times New Roman" w:cs="Times New Roman" w:eastAsia="Times New Roman" w:hAnsi="Times New Roman"/>
          <w:sz w:val="18"/>
          <w:szCs w:val="18"/>
          <w:color w:val="auto"/>
        </w:rPr>
      </w:pPr>
    </w:p>
    <w:p>
      <w:pPr>
        <w:ind w:left="900" w:right="300" w:hanging="383"/>
        <w:spacing w:after="0" w:line="245" w:lineRule="exact"/>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completed a clinical trial and may be unable to do so for any Candidate, including SGT-003,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SGT-501 and other Candidates.</w:t>
      </w:r>
    </w:p>
    <w:p>
      <w:pPr>
        <w:spacing w:after="0" w:line="90"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Candidates may cause one or more adverse events or other undesirable side effects or have properties that could cause us or regulatory authorities to interrupt, delay or halt clinical trials and could result in a more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 w:name="page6"/>
    <w:bookmarkEnd w:id="5"/>
    <w:p>
      <w:pPr>
        <w:ind w:left="383" w:right="140"/>
        <w:spacing w:after="0" w:line="282" w:lineRule="auto"/>
        <w:rPr>
          <w:sz w:val="20"/>
          <w:szCs w:val="20"/>
          <w:color w:val="auto"/>
        </w:rPr>
      </w:pPr>
      <w:r>
        <w:rPr>
          <w:rFonts w:ascii="Times New Roman" w:cs="Times New Roman" w:eastAsia="Times New Roman" w:hAnsi="Times New Roman"/>
          <w:sz w:val="18"/>
          <w:szCs w:val="18"/>
          <w:color w:val="auto"/>
        </w:rPr>
        <w:t>restrictive label or the delay, denial or withdrawal of regulatory approval by the FDA or other comparable foreign regulatory authorities, limit the Candidates commercial potential or result in significant negative consequences following any potential marketing approval.</w:t>
      </w:r>
    </w:p>
    <w:p>
      <w:pPr>
        <w:spacing w:after="0" w:line="54" w:lineRule="exact"/>
        <w:rPr>
          <w:sz w:val="20"/>
          <w:szCs w:val="20"/>
          <w:color w:val="auto"/>
        </w:rPr>
      </w:pPr>
    </w:p>
    <w:p>
      <w:pPr>
        <w:ind w:left="383" w:hanging="383"/>
        <w:spacing w:after="0"/>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w:t>
      </w:r>
    </w:p>
    <w:p>
      <w:pPr>
        <w:spacing w:after="0" w:line="117" w:lineRule="exact"/>
        <w:rPr>
          <w:rFonts w:ascii="Times New Roman" w:cs="Times New Roman" w:eastAsia="Times New Roman" w:hAnsi="Times New Roman"/>
          <w:sz w:val="18"/>
          <w:szCs w:val="18"/>
          <w:color w:val="auto"/>
        </w:rPr>
      </w:pPr>
    </w:p>
    <w:p>
      <w:pPr>
        <w:ind w:left="383" w:right="6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383" w:right="32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383" w:right="4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participants in our clinical trials, which could delay or prevent us from proceeding with clinical trials of SGT-003, SGT-212, SGT-501 or our other Candidates.</w:t>
      </w:r>
    </w:p>
    <w:p>
      <w:pPr>
        <w:spacing w:after="0" w:line="53" w:lineRule="exact"/>
        <w:rPr>
          <w:rFonts w:ascii="Times New Roman" w:cs="Times New Roman" w:eastAsia="Times New Roman" w:hAnsi="Times New Roman"/>
          <w:sz w:val="18"/>
          <w:szCs w:val="18"/>
          <w:color w:val="auto"/>
        </w:rPr>
      </w:pPr>
    </w:p>
    <w:p>
      <w:pPr>
        <w:ind w:left="383" w:right="52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our Candidates and the approval may be for a narrower indication than we seek.</w:t>
      </w:r>
    </w:p>
    <w:p>
      <w:pPr>
        <w:spacing w:after="0" w:line="53" w:lineRule="exact"/>
        <w:rPr>
          <w:rFonts w:ascii="Times New Roman" w:cs="Times New Roman" w:eastAsia="Times New Roman" w:hAnsi="Times New Roman"/>
          <w:sz w:val="18"/>
          <w:szCs w:val="18"/>
          <w:color w:val="auto"/>
        </w:rPr>
      </w:pPr>
    </w:p>
    <w:p>
      <w:pPr>
        <w:ind w:left="383" w:right="20"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p>
    <w:p>
      <w:pPr>
        <w:spacing w:after="0" w:line="71" w:lineRule="exact"/>
        <w:rPr>
          <w:rFonts w:ascii="Times New Roman" w:cs="Times New Roman" w:eastAsia="Times New Roman" w:hAnsi="Times New Roman"/>
          <w:sz w:val="18"/>
          <w:szCs w:val="18"/>
          <w:color w:val="auto"/>
        </w:rPr>
      </w:pPr>
    </w:p>
    <w:p>
      <w:pPr>
        <w:ind w:left="383" w:right="40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3" w:lineRule="exact"/>
        <w:rPr>
          <w:rFonts w:ascii="Times New Roman" w:cs="Times New Roman" w:eastAsia="Times New Roman" w:hAnsi="Times New Roman"/>
          <w:sz w:val="18"/>
          <w:szCs w:val="18"/>
          <w:color w:val="auto"/>
        </w:rPr>
      </w:pPr>
    </w:p>
    <w:p>
      <w:pPr>
        <w:ind w:left="383" w:right="140"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p>
    <w:p>
      <w:pPr>
        <w:spacing w:after="0" w:line="71" w:lineRule="exact"/>
        <w:rPr>
          <w:rFonts w:ascii="Times New Roman" w:cs="Times New Roman" w:eastAsia="Times New Roman" w:hAnsi="Times New Roman"/>
          <w:sz w:val="18"/>
          <w:szCs w:val="18"/>
          <w:color w:val="auto"/>
        </w:rPr>
      </w:pPr>
    </w:p>
    <w:p>
      <w:pPr>
        <w:ind w:left="383" w:right="36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3" w:lineRule="exact"/>
        <w:rPr>
          <w:rFonts w:ascii="Times New Roman" w:cs="Times New Roman" w:eastAsia="Times New Roman" w:hAnsi="Times New Roman"/>
          <w:sz w:val="18"/>
          <w:szCs w:val="18"/>
          <w:color w:val="auto"/>
        </w:rPr>
      </w:pPr>
    </w:p>
    <w:p>
      <w:pPr>
        <w:ind w:left="383" w:right="2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spacing w:after="0" w:line="67" w:lineRule="exact"/>
        <w:rPr>
          <w:rFonts w:ascii="Times New Roman" w:cs="Times New Roman" w:eastAsia="Times New Roman" w:hAnsi="Times New Roman"/>
          <w:sz w:val="18"/>
          <w:szCs w:val="18"/>
          <w:color w:val="auto"/>
        </w:rPr>
      </w:pPr>
    </w:p>
    <w:p>
      <w:pPr>
        <w:ind w:left="383" w:right="10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67" w:lineRule="exact"/>
        <w:rPr>
          <w:rFonts w:ascii="Times New Roman" w:cs="Times New Roman" w:eastAsia="Times New Roman" w:hAnsi="Times New Roman"/>
          <w:sz w:val="18"/>
          <w:szCs w:val="18"/>
          <w:color w:val="auto"/>
        </w:rPr>
      </w:pPr>
    </w:p>
    <w:p>
      <w:pPr>
        <w:ind w:left="383"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rFonts w:ascii="Times New Roman" w:cs="Times New Roman" w:eastAsia="Times New Roman" w:hAnsi="Times New Roman"/>
          <w:sz w:val="18"/>
          <w:szCs w:val="18"/>
          <w:color w:val="auto"/>
        </w:rPr>
      </w:pPr>
    </w:p>
    <w:p>
      <w:pPr>
        <w:ind w:left="383" w:right="4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3" w:lineRule="exact"/>
        <w:rPr>
          <w:rFonts w:ascii="Times New Roman" w:cs="Times New Roman" w:eastAsia="Times New Roman" w:hAnsi="Times New Roman"/>
          <w:sz w:val="18"/>
          <w:szCs w:val="18"/>
          <w:color w:val="auto"/>
        </w:rPr>
      </w:pPr>
    </w:p>
    <w:p>
      <w:pPr>
        <w:ind w:left="383" w:right="14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in the future is likely to be, volatile and fluctuate substantially, which could result in substantial losses for holders of our common stock.</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(“Duchenne”), SGT-212 for the treatment of Friedreich’s ataxia (“FA”), SGT-501 for the treatment of Catecholaminergic polymorphic ventricular tachycardia (“CPVT”), SGT-601 for the treatment of TNNT2-mediated dilated cardiomyopathy (“TNNT2 DCM”), and additional assets for the treatment of genetic cardiac and neuromuscular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underserved patients with sometimes fatal neuromuscular and cardiac diseases;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innovative libraries of delivery capsids and other enabling technologies with the potential to have broad impact on the gene therapy field at large;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The majority of our current programs are designed to treat these diseases with gene transfer products. Gene transfer, a type of gene therapy, is designed to address diseases caused by mutated genes through the delivery of functional versions of genes, called transgenes. The transgenes are then utilized by the body to produce proteins that act therapeutically to treat the condition.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 its ability to introduce new genetic material directly into patients’ cells. Adeno-associated virus (“AAV”) capsids have been approved for use to deliver transgenes to patients, including via systemic delivery as well as stereotactic neurosurgical administration to the brain. The use of AAV capsids to deliver gene therapies has also been extensively studied by third parties in human clinical trials for multiple disease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pipeline chart summarizes the development stages of our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760720" cy="3488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Neuromuscular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Duchenne Muscular Dystrophy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Duchenne is a genetic muscle-wasting disease predominantly affecting boys, with symptoms that usually manifest between three and five years of age. Duchenne is a progressive, irreversible, and ultimately fatal disease that affects approximately one in every 5,000 live male births and has an estimated prevalence of 10,000 to 15,000 cases in the United States alone, with at least 400 annual Duchenne births. Duchenne is caused by mutations in the dystrophin gene, which result in the absence or near-absence of dystrophin protein. Dystrophin protein works to strengthen muscle fibers and protect them from daily wear and tear. Dystrophin protein also serves as the cornerstone of the dystrophin glycoprotein complex (“DGC”), a group of proteins that links the inner and outer components of muscle cells to ensure proper muscle function. Without functioning dystrophin and DGC, muscles suffer excessive damage from normal daily activities and are unable to regenerate, leading to the build-up of fibrotic, or scar, and fat tissue. More than 1,000 dystrophin gene mutations, which can be inherited or can occur spontaneously, have been identified in people with Duchenne. By their early teens, Duchenne patients typically lose their ability to walk and become dependent on a wheelchair for mobility. By their 20s, patients essentially become paralyzed from the neck down and require a ventilator to breathe. Though disease severity and life expectancy vary, a patient’s quality of life dramatically decreases over time, with death typically occurring by early adulthood from either cardiac or respiratory complications.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cure for Duchenne. Glucocorticoid treatment, the current standard-of-care, has been shown to temporarily improve muscle strength, prolong the period of ambulation and slow the progression of Duchenne. However, glucocorticoid use is associated with well-known adverse side effects, including: severe weight gain, stunted growth, weakening of bone structure and metabolic dysfunctions, among others. The most commonly used glucocorticoids include prednisone and deflazacort (EMFLAZA).</w:t>
      </w:r>
    </w:p>
    <w:p>
      <w:pPr>
        <w:spacing w:after="0" w:line="79"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Despite recent therapeutic advances, including the FDA approval of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gene transfer therapy for patients with Duchenne, we believe Duchenne represents a significant unmet medical need, in addition to a societal and economic burden. The economic burden includes costs associated with hospital admissions, medication, frequent doctor visits and investment in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right="160"/>
        <w:spacing w:after="0" w:line="261" w:lineRule="auto"/>
        <w:rPr>
          <w:sz w:val="20"/>
          <w:szCs w:val="20"/>
          <w:color w:val="auto"/>
        </w:rPr>
      </w:pPr>
      <w:r>
        <w:rPr>
          <w:rFonts w:ascii="Times New Roman" w:cs="Times New Roman" w:eastAsia="Times New Roman" w:hAnsi="Times New Roman"/>
          <w:sz w:val="18"/>
          <w:szCs w:val="18"/>
          <w:color w:val="auto"/>
        </w:rPr>
        <w:t>assistive devices, as well as indirect costs related to productivity losses for the caregivers and costs due to pain, anxiety and social handicap. Only a small proportion of Duchenne patients are employed and many caregivers reduce their hours or stop working altogether to care for their children, who progressively require more help with everyday tasks, such as eating, dressing and using the bathroom. In some cases, patients also experience serious mental health issues that require additional support and treatment.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SGT-003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lead neuromuscular, investigational gene transfer candidate, SGT-003, is designed to address the underlying genetic cause of Duchenne by delivering a synthetic transgene that produces microdystrophin, a dystrophin-like protein that retains critical components of the full-size dystrophin gene, yet is small enough to fit within AAV packaging constraints, and is primarily expressed in muscles of the body, including skeletal, cardiac and respiratory muscles. AAV-SLB101, the capsid used in SGT-003, was generated by modifying a naturally occurring, non-pathogenic virus called AAV, with the goal of enhancing its ability to efficiently enter skeletal, diaphragm and cardiac muscle tissues. In March 2026, we began using the mark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to represent our AAV-SLB101 capsid product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microdystrophin is based on three decades of development and optimization work at the University of Missouri and the University of Washington as well as other academic institutions. In preclinical studies, the laboratories of Jeffrey Chamberlain, Ph.D., from the University of Washington, and Dongsheng Duan, Ph.D., from the University of Missouri, identified a proprietary configuration of genetic components that, when administered systemically, produces functional microdystrophin protein expression that not only stabilizes muscle membranes and protects muscle against injury, but also simultaneously restores the localization of DGC to the muscle membrane, notably increasing neuronal Nitric Oxide Synthase,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nNOS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concentration. In published studies, Dr. Duan and Dr. Chamberlain demonstrated in animal models that, in comparison to earlier configurations, nNOS-restoring microdystrophins were more effective in improving muscle function and resistance to fatigue.</w:t>
      </w:r>
    </w:p>
    <w:p>
      <w:pPr>
        <w:spacing w:after="0" w:line="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believe the unique functionality of our proprietary microdystrophin has the potential to result in functional benefits including diminished muscle fatigue and protection against ischemic muscle damage, which can lead to loss of functional muscle.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expression of our microdystrophin is regulated by a modified, synthetic muscle-specific promoter cassette called CK8, which is derived from the naturally occurring muscle creatine kinase promoter. Regulatory cassettes, such as CK8, are used to drive gene expression specifically in muscle tissues. In comparison to other regulatory cassettes, CK8 is small in size and is able to drive microdystrophin transgene expression in skeletal, diaphragm and cardiac muscle tissues. In our preclinical studies in small and large animal models, CK8 restricted microdystrophin transgene expression to these muscles.</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SGT-003 is a clinical-stage gene therapy designed to preserve muscle function in Duchenne patients after a single administration. SGT-003 utilizes an updated construct, combining our proprietary microdystrophin containing nNOS with POLARIS-101</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a novel, rationally designed capsid derived from AAV9 and designed for enhanced muscle tropism, reduced liver uptake and to more selectively deliver the drug to target tissue. We believe the SGT-003 construct is meaningfully differentiated from other approved and in development gene transfer candidates and may provide differentiated clinical benefit.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Development</w:t>
      </w:r>
    </w:p>
    <w:p>
      <w:pPr>
        <w:spacing w:after="0" w:line="12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Following in vitro studies in mouse and human muscle cells,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was evaluated in a head-to-head study against AAV9 with the CK8-microdystrophin construct in the dystrophin-negative mouse model of Duchenne (mdx mouse). Separate groups of mice were administered a single intravenous dose of either construct, and the biodistribution, microdystrophin protein expression, and biomarker analyses were performed at the conclusion of the study. Overall, the in vivo study mdx mouse data supported the results seen from in vitro assays and further demonstrated the potential benefits of SGT-003. The mdx mice dosed with the novel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capsid showed increased biodistribution (vector genome copies) in representative muscle tissues and increased microdystrophin expression compared to those administered the AAV9 capsid. Additionally, there were lower vector genome copies observed in the liver compared to AAV9-administered mice, with the data supporting a preferential distribution of the novel capsid towards muscle tissue and away from the liver. These data supported the proof of concept for the application of this novel capsid in Duchenne and formed a basis for establishing and advancing the SGT-003 program.</w:t>
      </w:r>
    </w:p>
    <w:p>
      <w:pPr>
        <w:spacing w:after="0" w:line="87"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8"/>
          <w:szCs w:val="18"/>
          <w:color w:val="auto"/>
        </w:rPr>
        <w:t>In April 2022, we released additional preclinical data from reporter transgene studies in non-human primates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NHPs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and both mdx and wild type mice suggesting that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may have meaningful advantages for the delivery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right="360"/>
        <w:spacing w:after="0" w:line="235" w:lineRule="exact"/>
        <w:rPr>
          <w:sz w:val="20"/>
          <w:szCs w:val="20"/>
          <w:color w:val="auto"/>
        </w:rPr>
      </w:pPr>
      <w:r>
        <w:rPr>
          <w:rFonts w:ascii="Times New Roman" w:cs="Times New Roman" w:eastAsia="Times New Roman" w:hAnsi="Times New Roman"/>
          <w:sz w:val="18"/>
          <w:szCs w:val="18"/>
          <w:color w:val="auto"/>
        </w:rPr>
        <w:t>muscle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gene therapies. Data from the NHP study, which used a reporter transgene in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demonstrated increased muscle tropism, decreased liver biodistribution and improved efficiency compared with AAV9. The results from the NHP study are consistent with the data from the reporter transgene studies in both mdx and wild type mouse models, which suggested improved muscle tropism and reduced liver uptake.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and Regulatory Strategy</w:t>
      </w:r>
    </w:p>
    <w:p>
      <w:pPr>
        <w:spacing w:after="0" w:line="118" w:lineRule="exact"/>
        <w:rPr>
          <w:sz w:val="20"/>
          <w:szCs w:val="20"/>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Based on our preclinical data, we submitted an investigational new drug application (“IND</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for SGT-003 to the FDA, which was cleared in November 2023. Participant dosing in the Phase 1/2 INSPIRE DUCHENNE trial of SGT-003 began in the second quarter of 2024. The INSPIRE DUCHENNE trial is a Phase 1/2 first-in-human, open-label, single-dose, multicenter trial designed to evaluate the safety, tolerability and efficacy of SGT-003 in pediatric patients with Duchenne at a dose of 1E14vg/kg. SGT-003 is administered as a one-time intravenous infusion. Since initiation of the INSPIRE DUCHENNE clinical trial, we amended the clinical trial protocol to increase the anticipated participant enrollment size, expand the participant cohort age groups, and extend the time points of certain secondary objective measurements. In connection with the expanded clinical trial, we have initiated work for additional Good Manufacturing Practices (“GMP”) batches of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w:t>
      </w:r>
    </w:p>
    <w:p>
      <w:pPr>
        <w:spacing w:after="0" w:line="6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Enrollment and dosing in the INSPIRE DUCHENNE trial is ongoing and being conducted at 15 clinical sites across the United States, Canada, Italy and the United Kingdom. We believe we have aligned with the FDA on SGT-003's potency assay strategy and will continue commercial-readiness CMC activities, with our process performance qualification manufacturing batches to be completed in 2026.</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2025, we activated the first clinical trial site and began screening participants for IMPACT DUCHENNE, a Phase 3 randomized, double-blind, placebo-controlled trial evaluating SGT-003. In February 2026, we announced positive feedback from a Type C meeting with the FDA where we reached alignment on the IMPACT DUCHENNE trial design, including: the patient population of ambulant participants 7 to &lt;12 years of age, the primary endpoint of change from baseline in Time to Rise velocity from supine position evaluated at 18 months and other key secondary endpoints. The IMPACT DUCHENNE trial is currently planned to be conducted at sites in Australia, Canada, the European Union and the United Kingdom, and due to strong key opinion leader and community demand, we are also evaluating the potential to open clinical trial sites in the United States. Participant screening is underway and we anticipate dosing the first participant in the Phase 3 IMPACT DUCHENNE trial in April 2026.</w:t>
      </w:r>
    </w:p>
    <w:p>
      <w:pPr>
        <w:spacing w:after="0" w:line="8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In the first half of 2026, we plan to have additional meetings with the FDA to receive guidance on a potential accelerated approval pathway for SGT-003 and we expect to provide regulatory and clinical updates in mid-2026.</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FDA has granted Fast Track, Orphan Drug, and Rare Pediatric Disease designations for SGT-003 for the treatment of Duchenne. SGT-003 has been awarded an Innovation Passport by the new UK Innovative Licensing and Access Pathway, which aims to accelerate time to market and facilitate patient access to new medicines in the United Kingdom.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Updated Interim Clinical Data from INSPIRE DUCHENNE Trial of SGT-003</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11, 2026, we announced positive new interim data from the Phase 1/2 INSPIRE DUCHENNE clinical trial, a first-in-human, open-label, single-dose, multicenter trial designed to evaluate the safety, tolerability and efficacy of SGT-003 in pediatric participants with Duchenne at a dose level of 1E14vg/kg. SGT-003 is administered as a one-time intravenous infusion.</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interim clinical data reported is as of a February 23, 2026, data cutoff date. SGT-003 has been generally well tolerated in the 41 participants dosed as of March 18, 2026. The safety and tolerability profile observed in the INSPIRE DUCHENNE trial continued to be promising; SGT-003 is administered using a low-burden, steroid-only prophylactic immunomodulation regimen. As of March 18, 2026, there has been one treatment-related serious adverse event reported in the INSPIRE DUCHENNE trial. This serious adverse event was identified as a Grade 3 immune-mediated myositis which, importantly, was not associated with muscle pain or weakness, and occurred in a participant who had a large deletion in a region coded for by SGT-003’s microdystrophin. The trial participant promptly responded to steroid treatment and the event has resolved. This serious adverse event was reviewed by the data and safety monitoring board (DSMB) with the recommendation to continue dosing without interruption.</w:t>
      </w:r>
    </w:p>
    <w:p>
      <w:pPr>
        <w:spacing w:after="0" w:line="8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Microdystrophin transduction and expression levels, beta-sarcoglycan localization and nNOS activity were evaluated by biopsy in 20 participants (ages 1-10 years) at Day 90 and in 3 participants at Day 360. Results demonstrated robust mean vector copies per nucleus and microdystrophin expression as well as properly localized and restored beta-sarcoglycan-positive fibers and nNOS activity-positive fibers. Beta-sarcoglycan and nNOS are critical components of the dystrophin-associated protein complex (“DAPC”). In Duchenne, the absence of dystrophin destabilizes the DAPC, triggering a cascade of structural, signaling and metabolic defects that impair muscle integrity. Reconstituting critical components of the DAPC,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ind w:right="440"/>
        <w:spacing w:after="0" w:line="282" w:lineRule="auto"/>
        <w:rPr>
          <w:sz w:val="20"/>
          <w:szCs w:val="20"/>
          <w:color w:val="auto"/>
        </w:rPr>
      </w:pPr>
      <w:r>
        <w:rPr>
          <w:rFonts w:ascii="Times New Roman" w:cs="Times New Roman" w:eastAsia="Times New Roman" w:hAnsi="Times New Roman"/>
          <w:sz w:val="18"/>
          <w:szCs w:val="18"/>
          <w:color w:val="auto"/>
        </w:rPr>
        <w:t>including beta-sarcoglycan and nNOS, could suggest biologic correlation of SGT-003’s treatment effect. Our microdystrophin construct is the only microdystrophin gene therapy, approved or investigational, that contains the R16/R17 binding domain, which uniquely localizes nNOS to the muscle.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Microdystrophin Expression and Other Measures at Day 90 (N=20 unless noted) and Day 360 (N=3)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3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Day 90</w:t>
            </w:r>
          </w:p>
        </w:tc>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Day 360</w:t>
            </w:r>
          </w:p>
        </w:tc>
      </w:tr>
      <w:tr>
        <w:trPr>
          <w:trHeight w:val="173"/>
        </w:trPr>
        <w:tc>
          <w:tcPr>
            <w:tcW w:w="6940" w:type="dxa"/>
            <w:vAlign w:val="bottom"/>
          </w:tcPr>
          <w:p>
            <w:pPr>
              <w:spacing w:after="0"/>
              <w:rPr>
                <w:sz w:val="15"/>
                <w:szCs w:val="15"/>
                <w:color w:val="auto"/>
              </w:rPr>
            </w:pPr>
          </w:p>
        </w:tc>
        <w:tc>
          <w:tcPr>
            <w:tcW w:w="2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(n=20 unless noted)</w:t>
            </w: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(n=3)</w:t>
            </w:r>
          </w:p>
        </w:tc>
      </w:tr>
      <w:tr>
        <w:trPr>
          <w:trHeight w:val="19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Mean vector copies per nucleus</w:t>
            </w:r>
          </w:p>
        </w:tc>
        <w:tc>
          <w:tcPr>
            <w:tcW w:w="1820" w:type="dxa"/>
            <w:vAlign w:val="bottom"/>
            <w:tcBorders>
              <w:top w:val="single" w:sz="8" w:color="auto"/>
            </w:tcBorders>
            <w:shd w:val="clear" w:color="auto" w:fill="CFF0FC"/>
          </w:tcPr>
          <w:p>
            <w:pPr>
              <w:ind w:left="1640"/>
              <w:spacing w:after="0"/>
              <w:rPr>
                <w:sz w:val="20"/>
                <w:szCs w:val="20"/>
                <w:color w:val="auto"/>
              </w:rPr>
            </w:pPr>
            <w:r>
              <w:rPr>
                <w:rFonts w:ascii="Times New Roman" w:cs="Times New Roman" w:eastAsia="Times New Roman" w:hAnsi="Times New Roman"/>
                <w:sz w:val="16"/>
                <w:szCs w:val="16"/>
                <w:color w:val="auto"/>
                <w:w w:val="99"/>
              </w:rPr>
              <w:t>11</w:t>
            </w:r>
          </w:p>
        </w:tc>
        <w:tc>
          <w:tcPr>
            <w:tcW w:w="50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ind w:left="1660"/>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Mean microdystrophin expression by western blot (%)</w:t>
            </w:r>
          </w:p>
        </w:tc>
        <w:tc>
          <w:tcPr>
            <w:tcW w:w="2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60% (n=19)</w:t>
            </w:r>
          </w:p>
        </w:tc>
        <w:tc>
          <w:tcPr>
            <w:tcW w:w="1980" w:type="dxa"/>
            <w:vAlign w:val="bottom"/>
            <w:gridSpan w:val="2"/>
          </w:tcPr>
          <w:p>
            <w:pPr>
              <w:ind w:left="1660"/>
              <w:spacing w:after="0"/>
              <w:rPr>
                <w:sz w:val="20"/>
                <w:szCs w:val="20"/>
                <w:color w:val="auto"/>
              </w:rPr>
            </w:pPr>
            <w:r>
              <w:rPr>
                <w:rFonts w:ascii="Times New Roman" w:cs="Times New Roman" w:eastAsia="Times New Roman" w:hAnsi="Times New Roman"/>
                <w:sz w:val="16"/>
                <w:szCs w:val="16"/>
                <w:color w:val="auto"/>
              </w:rPr>
              <w:t>91%</w:t>
            </w: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Mean microdystrophin expression by mass spectroscopy (%)</w:t>
            </w:r>
          </w:p>
        </w:tc>
        <w:tc>
          <w:tcPr>
            <w:tcW w:w="232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52% (n=17)</w:t>
            </w:r>
          </w:p>
        </w:tc>
        <w:tc>
          <w:tcPr>
            <w:tcW w:w="1980" w:type="dxa"/>
            <w:vAlign w:val="bottom"/>
            <w:gridSpan w:val="2"/>
            <w:shd w:val="clear" w:color="auto" w:fill="CFF0FC"/>
          </w:tcPr>
          <w:p>
            <w:pPr>
              <w:ind w:left="1660"/>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Mean microdystrophin-positive fibers by immunofluorescence (%)</w:t>
            </w:r>
          </w:p>
        </w:tc>
        <w:tc>
          <w:tcPr>
            <w:tcW w:w="232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63%</w:t>
            </w:r>
          </w:p>
        </w:tc>
        <w:tc>
          <w:tcPr>
            <w:tcW w:w="1980" w:type="dxa"/>
            <w:vAlign w:val="bottom"/>
            <w:gridSpan w:val="2"/>
          </w:tcPr>
          <w:p>
            <w:pPr>
              <w:ind w:left="1660"/>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Properly localized and restored beta-sarcoglycan-positive fibers (%)</w:t>
            </w:r>
          </w:p>
        </w:tc>
        <w:tc>
          <w:tcPr>
            <w:tcW w:w="2320" w:type="dxa"/>
            <w:vAlign w:val="bottom"/>
            <w:gridSpan w:val="2"/>
            <w:shd w:val="clear" w:color="auto" w:fill="CFF0FC"/>
          </w:tcPr>
          <w:p>
            <w:pPr>
              <w:ind w:left="1640"/>
              <w:spacing w:after="0"/>
              <w:rPr>
                <w:sz w:val="20"/>
                <w:szCs w:val="20"/>
                <w:color w:val="auto"/>
              </w:rPr>
            </w:pPr>
            <w:r>
              <w:rPr>
                <w:rFonts w:ascii="Times New Roman" w:cs="Times New Roman" w:eastAsia="Times New Roman" w:hAnsi="Times New Roman"/>
                <w:sz w:val="16"/>
                <w:szCs w:val="16"/>
                <w:color w:val="auto"/>
              </w:rPr>
              <w:t>60%</w:t>
            </w:r>
          </w:p>
        </w:tc>
        <w:tc>
          <w:tcPr>
            <w:tcW w:w="1980" w:type="dxa"/>
            <w:vAlign w:val="bottom"/>
            <w:gridSpan w:val="2"/>
            <w:shd w:val="clear" w:color="auto" w:fill="CFF0FC"/>
          </w:tcPr>
          <w:p>
            <w:pPr>
              <w:ind w:left="1660"/>
              <w:spacing w:after="0"/>
              <w:rPr>
                <w:sz w:val="20"/>
                <w:szCs w:val="20"/>
                <w:color w:val="auto"/>
              </w:rPr>
            </w:pPr>
            <w:r>
              <w:rPr>
                <w:rFonts w:ascii="Times New Roman" w:cs="Times New Roman" w:eastAsia="Times New Roman" w:hAnsi="Times New Roman"/>
                <w:sz w:val="16"/>
                <w:szCs w:val="16"/>
                <w:color w:val="auto"/>
              </w:rPr>
              <w:t>69%</w:t>
            </w:r>
          </w:p>
        </w:tc>
      </w:tr>
      <w:tr>
        <w:trPr>
          <w:trHeight w:val="207"/>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nNOS activity-positive fibers (%)</w:t>
            </w:r>
          </w:p>
        </w:tc>
        <w:tc>
          <w:tcPr>
            <w:tcW w:w="232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35%</w:t>
            </w:r>
          </w:p>
        </w:tc>
        <w:tc>
          <w:tcPr>
            <w:tcW w:w="1980" w:type="dxa"/>
            <w:vAlign w:val="bottom"/>
            <w:gridSpan w:val="2"/>
          </w:tcPr>
          <w:p>
            <w:pPr>
              <w:ind w:left="1660"/>
              <w:spacing w:after="0"/>
              <w:rPr>
                <w:sz w:val="20"/>
                <w:szCs w:val="20"/>
                <w:color w:val="auto"/>
              </w:rPr>
            </w:pPr>
            <w:r>
              <w:rPr>
                <w:rFonts w:ascii="Times New Roman" w:cs="Times New Roman" w:eastAsia="Times New Roman" w:hAnsi="Times New Roman"/>
                <w:sz w:val="16"/>
                <w:szCs w:val="16"/>
                <w:color w:val="auto"/>
              </w:rPr>
              <w:t>33%</w:t>
            </w:r>
          </w:p>
        </w:tc>
      </w:tr>
    </w:tbl>
    <w:p>
      <w:pPr>
        <w:ind w:right="280"/>
        <w:spacing w:after="0" w:line="269" w:lineRule="auto"/>
        <w:rPr>
          <w:sz w:val="20"/>
          <w:szCs w:val="20"/>
          <w:color w:val="auto"/>
        </w:rPr>
      </w:pPr>
      <w:r>
        <w:rPr>
          <w:rFonts w:ascii="Times New Roman" w:cs="Times New Roman" w:eastAsia="Times New Roman" w:hAnsi="Times New Roman"/>
          <w:sz w:val="16"/>
          <w:szCs w:val="16"/>
          <w:i w:val="1"/>
          <w:iCs w:val="1"/>
          <w:color w:val="auto"/>
        </w:rPr>
        <w:t>Western blot and mass spectrometry baselines were 0% mean normal dystrophin, microdystrophin-positive fibers by immunofluorescence was based on a manual count, as are beta-sarcoglycan and nNOS-positive fibers. These assays are conducted by multiple external vendors; at the time of analysis, one western blot sample and three mass spectrometry samples had not been received.</w:t>
      </w:r>
    </w:p>
    <w:p>
      <w:pPr>
        <w:spacing w:after="0" w:line="7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Additionally, we have identified an extensive biomarker panel to comprehensively evaluate treatment effect on muscle integrity. Collectively, these observed biomarker improvements at Day 90 and Day 360 suggest improved muscle fiber health and stability, reduced ongoing muscle damage, and an interruption of the chronic degeneration/regeneration cycle that is characteristic of Duchenne.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particular, embryonic myosin heavy chain (“eMHC”) is an informative predictor of disease progression. eMHC is typically expressed during fetal development but is also expressed when muscle satellite cells differentiate into muscle fibers, which in Duchenne occurs in response to muscle fiber damage. In the absence of functional dystrophin, newly generated muscle fibers also fail, leading to continued but ultimately futile satellite cell activation. A mean 44% observed reduction in eMHC-positive fibers seen at Day 90 (n=20) suggests that SGT-003 treatment has potentially disrupted this chronic and futile degeneration-regeneration cycle, stabilizing muscle fibers and preserving the reservoir of satellite cells.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Muscle Integrity Biomarker Evaluation at Day 90 (N=24 unless noted) and Day 360 (N=7 unless noted)</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Day 90 Mean Reductions</w:t>
            </w:r>
          </w:p>
        </w:tc>
        <w:tc>
          <w:tcPr>
            <w:tcW w:w="440" w:type="dxa"/>
            <w:vAlign w:val="bottom"/>
          </w:tcPr>
          <w:p>
            <w:pPr>
              <w:spacing w:after="0"/>
              <w:rPr>
                <w:sz w:val="13"/>
                <w:szCs w:val="13"/>
                <w:color w:val="auto"/>
              </w:rPr>
            </w:pPr>
          </w:p>
        </w:tc>
        <w:tc>
          <w:tcPr>
            <w:tcW w:w="192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Day 360 Mean Reductions</w:t>
            </w:r>
          </w:p>
        </w:tc>
      </w:tr>
      <w:tr>
        <w:trPr>
          <w:trHeight w:val="173"/>
        </w:trPr>
        <w:tc>
          <w:tcPr>
            <w:tcW w:w="698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Serum Biomarkers</w:t>
            </w:r>
          </w:p>
        </w:tc>
        <w:tc>
          <w:tcPr>
            <w:tcW w:w="1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(n=24 unless noted)</w:t>
            </w:r>
          </w:p>
        </w:tc>
        <w:tc>
          <w:tcPr>
            <w:tcW w:w="440" w:type="dxa"/>
            <w:vAlign w:val="bottom"/>
          </w:tcPr>
          <w:p>
            <w:pPr>
              <w:spacing w:after="0"/>
              <w:rPr>
                <w:sz w:val="15"/>
                <w:szCs w:val="15"/>
                <w:color w:val="auto"/>
              </w:rPr>
            </w:pPr>
          </w:p>
        </w:tc>
        <w:tc>
          <w:tcPr>
            <w:tcW w:w="1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(n=7 unless noted)</w:t>
            </w: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Serum creatine kinase (CK)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Serum alanine transaminase (ALT)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Serum aspartate aminotransferase (AST)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Serum lactate dehydrogenase (LDH)</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(n=21)</w:t>
            </w:r>
          </w:p>
        </w:tc>
        <w:tc>
          <w:tcPr>
            <w:tcW w:w="4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(n=6)</w:t>
            </w:r>
          </w:p>
        </w:tc>
      </w:tr>
      <w:tr>
        <w:trPr>
          <w:trHeight w:val="20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Serum titin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(n=11)</w:t>
            </w:r>
          </w:p>
        </w:tc>
        <w:tc>
          <w:tcPr>
            <w:tcW w:w="44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 (n=2)</w:t>
            </w: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Certain data from a subset of participants were not available at the time of analysis.</w:t>
            </w: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cardiac assessments were initially included as safety evaluations, stabilization-to-improvement in systolic function continues to be observed as of the data cutoff date, as measured by left ventricular ejection fraction (“LVEF”). Observed improvements were driven largely by participants with low-normal baseline LVEF (defined as ≤ 60%). Cardiomyopathy is a leading cause of death in Duchenne, with 25% of individuals displaying evidence of cardiomyopathy by six years of age, increasing to 59% by 10 years of age.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Friedreich</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s ataxia</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Friedreich’s ataxia (“FA”) is a serious, life threatening, progressive multi system disease that is classically known to affect both cardiac and neurological systems but also involves endocrine, musculoskeletal and other organ systems. FA affects 1 in 40,000 people with an average onset between ages 10 and 15 and average lifespan of less than 40 years. It is estimated that approximately 5,000 to 7,000 patients in the United States and 25,000 patients in the European Union are affected by FA. The disease is due to autosomal recessive variants in the frataxin (“FXN”) gene. Specifically, the majority of disease-causing variants are guanine-adenine-adenine expansion repeats located in intron 1 of the FXN gene on chromosome 9; the expansion range varies greatly from 70 to over 1700 repeats. This expansion causes a severe decrease in the expression of frataxin, a 210 amino-acid protein that is expressed as a precursor protein. Frataxin is imported into the mitochondrial matrix where it undergoes proteolytic cleavage to the 130 amino acid mature form, and is involved in iron-sulfur protein production, storage and transport. Alternatively, approximately 5% of patients will have another non-repeat variant in FXN. Frataxin, although</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ubiquitously expressed, exhibits tissue-specific differences in the levels of expression that partially correlate with sites of disease pathology. Dorsal root ganglia (“DRG”), Purkinje and Granule cells in the cerebellum all exhibit high levels of expression. Frataxin expression is also high in non-neuronal tissues such as the heart and pancreas. FA is strongly associated with a high incidence of left ventricular (“LV”) wall thickening, cardiomyopathy and diabetes. Frataxin is also highly expressed in tissues not affected in FA, such as liver, kidney and brown fat. FA is associated with a wide range of clinical manifestations including neurological and cardiovascular impact.</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Neurological symptoms are key features and are highly penetrant in FA with ataxia and dysarthria being prominent features of the disease. Cerebellar lesions and sensory neuropathy result in ataxia and loss of balance. Visual and hearing impairments also occur. It has been postulated that the onset of sensory neuropathy coincides with the beginning of inflammatory infiltration of the DRG. Modest reductions of frataxin are detrimental to the development of the spinal cord and DRG.</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Cardiovascular complications are the most common cause of death in patients with FA, with comorbid cardiomyopathy found in at least 60% of fatalities. Cardiac involvement in FA manifests as cardiac LV wall thickening and resultant diastolic dysfunction. As the disease progresses, the heart becomes fibrotic and dilated, with damage to both the muscle and conduction system. Ultimately, FA cardiac involvement may result in reduced cardiac function (low ejection fraction), cardiac arrhythmias, heart failure, and death. As myocardial fibrosis is believed to be an irreversible end-stage complication, early intervention is key to preventing this most common cause of FA mortality.</w:t>
      </w:r>
    </w:p>
    <w:p>
      <w:pPr>
        <w:spacing w:after="0" w:line="82" w:lineRule="exact"/>
        <w:rPr>
          <w:sz w:val="20"/>
          <w:szCs w:val="20"/>
          <w:color w:val="auto"/>
        </w:rPr>
      </w:pPr>
    </w:p>
    <w:p>
      <w:pPr>
        <w:jc w:val="both"/>
        <w:ind w:right="120"/>
        <w:spacing w:after="0" w:line="217" w:lineRule="auto"/>
        <w:rPr>
          <w:sz w:val="20"/>
          <w:szCs w:val="20"/>
          <w:color w:val="auto"/>
        </w:rPr>
      </w:pPr>
      <w:r>
        <w:rPr>
          <w:rFonts w:ascii="Times New Roman" w:cs="Times New Roman" w:eastAsia="Times New Roman" w:hAnsi="Times New Roman"/>
          <w:sz w:val="18"/>
          <w:szCs w:val="18"/>
          <w:color w:val="auto"/>
        </w:rPr>
        <w:t>There is no cure for FA. On February 28, 2023, Biogen’s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(omaveloxolone) was the first drug approved in the United States and European Union for people with FA. While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positively effects cellular energy production, there continues to be significant unmet needs for patients with FA and the underlying cause of the disease, FXN deficiency, is not addressed.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SGT-212</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SGT-212 is an investigational gene therapy that utilizes a recombinant, non-replicating capsid, AAVhu68, containing a codon-optimized cDNA that encodes full-length FXN under control of the CB7 promoter and enhancer elements.</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vector capsid exhibits broad tissue tropism for effective transduction of a wide range of host cell types including cardiomyocytes and neurons. The expression of the cDNA is under the control of a ubiquitous CB7 promoter, which should lead to increased expression of FXN in many tissue types. Restoration of FXN levels is expected to address the underlying mitochondrial dysfunction, which is a hallmark of FA.</w:t>
      </w:r>
    </w:p>
    <w:p>
      <w:pPr>
        <w:spacing w:after="0" w:line="27"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SGT-212 was designed to leverage a dual route of administration: intradentate nuclei (“IDN”) infusion using an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neurosurgical device in a stereotactic, precision magnetic resonance imaging (“MRI”) guided technique, followed by an IV infusion to increase therapeutic FXN levels in the cerebellar dentate nuclei (“DN”), cardiomyocytes and other systemic tissues. By using this dual-route of administration approach, SGT-212 seeks to restore functional FXN levels and address the neurologic, cardiac and systemic manifestations of FA. Systemic administration alone in the non-clinical models resulted in poor penetration of the DN; therefore, we believe that a dual route of IDN and systemic IV infusion is needed to appropriately deliver the transgene to the desired tissues.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2025, we announced that the FDA cleared our IND for SGT-212 for the treatment of FA. In October 2025, we activated the first clinical trial site and began screening participants for FALCON, an open-label, multi-center Phase 1b clinical trial of SGT-212, and in January 2026, we dosed the first participant in the trial. As of March 18, 2026, there have been no serious adverse events and no treatment-related adverse events reported in the FALCON trial. Intra-procedural MRI imaging demonstrated promising IDN targeting and coverage. The trial is expected to enroll approximately 10 non-ambulatory and ambulatory adult participants (aged 18-40) living with FA in up to three cohorts and is designed to evaluate the safety and tolerability of contemporaneous IDN and systemic IV infusion of SGT-212 with initial data anticipated in the second half of 2026, subject to participant enrollment. The FDA has granted Fast Track, Orphan Drug and Rare Pediatric Disease designations to SGT-212 for the treatment of FA.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Cardiac Programs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Genetic cardiac disease, or inherited cardiac conditions, is an umbrella term to describe cardiac diseases caused by mutations in one or more genes. Primary inherited arrhythmia syndromes present as abnormal cardiac arrhythmia, including life threatening ventricular arrhythmia, in the setting of structurally normal hearts and are in general genetically determined. Cardiomyopathy is a disease of the heart muscle that impairs the ability of the heart to pump blood to the rest of the body,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140"/>
        <w:spacing w:after="0" w:line="282" w:lineRule="auto"/>
        <w:rPr>
          <w:sz w:val="20"/>
          <w:szCs w:val="20"/>
          <w:color w:val="auto"/>
        </w:rPr>
      </w:pPr>
      <w:r>
        <w:rPr>
          <w:rFonts w:ascii="Times New Roman" w:cs="Times New Roman" w:eastAsia="Times New Roman" w:hAnsi="Times New Roman"/>
          <w:sz w:val="18"/>
          <w:szCs w:val="18"/>
          <w:color w:val="auto"/>
        </w:rPr>
        <w:t>resulting in arrhythmias, backup of blood into the lungs and other parts of the body, and ultimately heart failure. Forms of cardiomyopathy include DCM, hypertrophic and arrhythmogenic cardiomyopathy.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CPVT</w:t>
      </w:r>
    </w:p>
    <w:p>
      <w:pPr>
        <w:spacing w:after="0" w:line="80" w:lineRule="exact"/>
        <w:rPr>
          <w:sz w:val="20"/>
          <w:szCs w:val="20"/>
          <w:color w:val="auto"/>
        </w:rPr>
      </w:pPr>
    </w:p>
    <w:p>
      <w:pPr>
        <w:ind w:right="180"/>
        <w:spacing w:after="0" w:line="231" w:lineRule="exact"/>
        <w:rPr>
          <w:sz w:val="20"/>
          <w:szCs w:val="20"/>
          <w:color w:val="auto"/>
        </w:rPr>
      </w:pPr>
      <w:r>
        <w:rPr>
          <w:rFonts w:ascii="Times New Roman" w:cs="Times New Roman" w:eastAsia="Times New Roman" w:hAnsi="Times New Roman"/>
          <w:sz w:val="18"/>
          <w:szCs w:val="18"/>
          <w:color w:val="auto"/>
        </w:rPr>
        <w:t>Our lead cardiac program is directed to the primary inherited arrhythmia syndrome CPVT. CPVT is a rare, serious and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which primarily manifests in children in the first and second decades of life. CPVT is an inherited cardiac arrhythmia syndrome characterized by adrenergically induced polymorphic ventricular tachycardia in the presence of a normal resting sinus rhythm and a structurally normal heart. It is estimated that approximately 33,000 persons in the United States are affected by CPVT.</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CPVT manifestations typically involve syncope, cardiac arrest and/or sudden cardiac death. The most common symptoms/signs include syncope (52-100%), cardiac arrest (8–48%), seizure-like events (40%), and hypoxic-ischemic encephalopathy (20%). CPVT is a significant cause of sudden death at a young age and historically has a high mortality rate of up to 50% by age 35. Data from the recent Pediatric and Congenital Electrophysiology Society CPVT registry suggest that three of every four children with CPVT present with life-threatening symptoms, which often occur during resting wakeful activities highlighting the unpredictable nature of CPVT.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date, there are no medicines specifically approved for the treatment of CPVT and management is directed toward manifestations of the disease with the goal of reducing arrhythmias and eliminating the incidence of life-threatening arrhythmias. Current treatments for CPVT include lifestyle management changes, such as restriction of rigorous physical exercise and avoidance of emotional distress, which are very challenging in the pediatric population, as well as pharmacotherapies requiring strict compliance (e.g. beta-blockers and/or flecainide alone). Despite available pharmacotherapy options, the occurrence of breakthrough arrhythmia in approximately 30% of patients demonstrates that lifelong compliance is a critical problem. In addition, in some cases implantable cardioverter-defibrillators and/or left cardiac sympathetic denervation are used as treatment for symptomatic CPVT patients, but both are associated with attendant morbidity.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SGT-501</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SGT-501 is a gene therapy candidate for the treatment of CPVT, which is typically caused by a gain of function mutation in the ryanodine receptor 2 (coded for by the RYR2 gene), referred to as RYR2-mediated CPVT. Mutations in RYR2 genes result in abnormal calcium (“Ca++”) flow from the sarcoplasmic reticulum into the cytoplasm through RYY channel in diastole, triggering abnormal heart beats and leading to arrhythmias.</w:t>
      </w:r>
    </w:p>
    <w:p>
      <w:pPr>
        <w:spacing w:after="0" w:line="6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Our approach focuses on AAV-mediated therapeutic overexpression, or augmentation, of CASQ2, a calcium-binding protein which, through its role in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regulation, is integral to excitation-contraction coupling in the heart and in regulating the rate of heart beats. CASQ2 expression via AAV is intended to provide durable and continual protection from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leaks seen in patients with RYR2-mediated CPVT.</w:t>
      </w:r>
    </w:p>
    <w:p>
      <w:pPr>
        <w:spacing w:after="0" w:line="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SGT-501 uses AAV8, a muscle tropic capsid, to deliver a functional CASQ2 transgene. Collectively, overexpression of CASQ2 in CPVT patients converges on a mechanism that drives buffering of free sarcoplasmic reticulum luminal calcium such that diastolic calcium leaks through the RYR2 into the cytosol are less likely. This mechanism of action is intended to support maintenance of normal cardiac rhythm and protect against triggered activity and arrhythmias.</w:t>
      </w:r>
    </w:p>
    <w:p>
      <w:pPr>
        <w:spacing w:after="0" w:line="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Non-clinical mouse studies have demonstrated proof of concept for CASQ2 gene replacement using a recombinant AAV8 serotype capsid encoding CASQ2 to mitigate effects associated with an RYR2 mutation.</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conducted preclinical studies of SGT-501, including three and six-month good laboratory practices (“GLP”) toxicology studies. IND-enabling GLP toxicology studies of SGT-501 in non-human primates, including in-life portion of the six-month toxicology study, were completed in the first quarter of 2025. SGT-501 was well tolerated with no adverse observations in non-human primates within the tested dose range through 6 months.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2025, we announced that the FDA cleared our IND and that Health Canada approved our clinical trial application for SGT-501 for the treatment of CPVT. In January 2026, we announced that clinical trial sites have been activated and participant screening is underway in the ARTEMIS clinical trial, an open-label, multi-center Phase 1b clinical trial evaluating SGT-501 in adult participants with CPVT. The ARTEMIS trial is designed to evaluate the safety and tolerability of a single IV infusion of SGT-501. We anticipate dosing our first participant in the second quarter of 2026 with initial safety data anticipated in the second half of 2026, subject to participant enrollment.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Orphan Drug and Rare Pediatric Disease designations to SGT-501 for the treatment of CPVT.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Other Cardiac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SGT-601</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are currently developing a preclinical stage product candidate, SGT-601, for the treatment of TNNT2 DCM. TNNT2 DCM is a rare cardiac disease characterized by mutations in the gene that codes for cardiac troponin T protein, which helps coordinate contraction of the heart muscle. TNNT2 gene mutations lead to reduced cardiac troponin T protein levels and DCM, which ultimately lead to heart failure. There are no approved therapies addressing the underlying cause of TNNT2 DCM. It is estimated that between 14,000 to 41,000 people in the United States are affected by TNNT2 DCM. </w:t>
      </w:r>
      <w:r>
        <w:rPr>
          <w:rFonts w:ascii="Times New Roman" w:cs="Times New Roman" w:eastAsia="Times New Roman" w:hAnsi="Times New Roman"/>
          <w:sz w:val="18"/>
          <w:szCs w:val="18"/>
          <w:color w:val="2B333D"/>
        </w:rPr>
        <w:t>TNNT2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 xml:space="preserve">DCM is </w:t>
      </w:r>
      <w:r>
        <w:rPr>
          <w:rFonts w:ascii="Times New Roman" w:cs="Times New Roman" w:eastAsia="Times New Roman" w:hAnsi="Times New Roman"/>
          <w:sz w:val="18"/>
          <w:szCs w:val="18"/>
          <w:color w:val="000000"/>
        </w:rPr>
        <w:t>typically diagnosed between ages 20 and 50, with approximately 50% of onset seen by age 30, and has a mortality rate of 50%.</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approach utilizes an AAV-delivered human TNNT2 transgene with a cardiac-selective promoter designed to restore functional levels of the troponin T protein. Preclinical studies in mice demonstrated SGT-601’s ability to elicit robust, dose-dependent, cardiac-selective expression of human TNNT2 that was properly localized to the heart cell sarcomere. Efficacy studies in mice suggest that SGT-601 treatment resulted in a restoration of ejection fraction function and a stabilization in cardiac function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two cardiac pipeline gene transfer programs, SGT-401 for BAG3-mediated DCM, which is in early preclinical development, and SGT-701 for RBM20 DCM, which is in the discovery stage.</w:t>
      </w:r>
    </w:p>
    <w:p>
      <w:pPr>
        <w:spacing w:after="0" w:line="13" w:lineRule="exact"/>
        <w:rPr>
          <w:sz w:val="20"/>
          <w:szCs w:val="20"/>
          <w:color w:val="auto"/>
        </w:rPr>
      </w:pPr>
    </w:p>
    <w:p>
      <w:pPr>
        <w:ind w:right="60"/>
        <w:spacing w:after="0" w:line="231" w:lineRule="exact"/>
        <w:rPr>
          <w:sz w:val="20"/>
          <w:szCs w:val="20"/>
          <w:color w:val="auto"/>
        </w:rPr>
      </w:pPr>
      <w:r>
        <w:rPr>
          <w:rFonts w:ascii="Times New Roman" w:cs="Times New Roman" w:eastAsia="Times New Roman" w:hAnsi="Times New Roman"/>
          <w:sz w:val="18"/>
          <w:szCs w:val="18"/>
          <w:color w:val="auto"/>
        </w:rPr>
        <w:t>BAG3-mediated DCM is a rare cardiac disease characterized by mutations in the BAG3 gene, which codes for the BCL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athanogene 3 (“BAG3”) protein. Sufficient levels of functional BAG3 are required for healthy cardiac function. BAG3 gene mutations lead to reduced BAG3 protein levels and ultimately DCM. Deletions and truncations in the BAG3 protein that result in haplo-insufficiency have been associated with the development of DCM resulting from myofilament damage, poor contraction, left ventricular dysfunction, dilatation and heart failure.</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RBM20 DCM is a rare inherited cardiac disease characterized by mutations in the RBM20 gene, a cardiac splicing factor that regulates alternative splicing and codes for RNA binding motif protein 20. RBM20 mutations can cause a clinically aggressive form of DCM that is correlated with high rates of heart failure, arrhythmias, and sudden cardiac death.</w:t>
      </w:r>
    </w:p>
    <w:p>
      <w:pPr>
        <w:spacing w:after="0" w:line="68"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Additionally, in December 2024, we entered into a collaboration, patent and know-how license agreement with the Mayo Foundation for Medical Education and Research (“Mayo”) to accelerate gene therapy innovation and advance development of cardiac gene therapies. As part of the collaboration, we will be providing manufactured viral materials and chemistry, manufacturing and controls know-how to Mayo while Mayo will be responsible for supporting all preclinical research through 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studies for six undisclosed programs. We will then be responsible for the clinical development of programs chosen by us to develop.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Technologies</w:t>
      </w:r>
    </w:p>
    <w:p>
      <w:pPr>
        <w:spacing w:after="0" w:line="121" w:lineRule="exact"/>
        <w:rPr>
          <w:sz w:val="20"/>
          <w:szCs w:val="20"/>
          <w:color w:val="auto"/>
        </w:rPr>
      </w:pPr>
    </w:p>
    <w:p>
      <w:pPr>
        <w:ind w:right="260"/>
        <w:spacing w:after="0" w:line="226" w:lineRule="exact"/>
        <w:rPr>
          <w:sz w:val="20"/>
          <w:szCs w:val="20"/>
          <w:color w:val="auto"/>
        </w:rPr>
      </w:pPr>
      <w:r>
        <w:rPr>
          <w:rFonts w:ascii="Times New Roman" w:cs="Times New Roman" w:eastAsia="Times New Roman" w:hAnsi="Times New Roman"/>
          <w:sz w:val="18"/>
          <w:szCs w:val="18"/>
          <w:color w:val="auto"/>
        </w:rPr>
        <w:t>In addition to our gene transfer candidates, we have development programs focusing on platform technologies, including novel capsid libraries, genetic regulators including promoters, untranslated regions, and introns, immunomodulation technologies, manufacturing purity, and dual gene expression, a technology that allows us to package multiple transgenes into one capsid. These programs are part of our ongoing research efforts to develop innovative technologies that we believe may hold potential to translate into meaningful treatments, and drive future pipeline expansion, which we may seek to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to or develop through partnerships and collaborations with other biotechnology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Capsid Programs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novel capsid programs are directed toward developing capsid libraries designed to enhance skeletal muscle and/or cardiac muscle tropism. POLARIS-101™ is our rationally designed, proprietary capsid used in SGT-003 for Duchenne, which has been generally well tolerated as of March 18, 2026 (N=41) in the INSPIRE DUCHENNE clinical trial, and was also well tolerated in nonclinical NHP and mouse models. We aim to license POLARIS-101™ broadly to corporations, institutions and academic labs pursuing neuromuscular and cardiac rare disease research, with more than 50 agreements including licenses executed.</w:t>
      </w:r>
    </w:p>
    <w:p>
      <w:pPr>
        <w:spacing w:after="0" w:line="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developed a scalable, high-throughput platform for next-generation capsid design that aims for rapid translation from discovery to application. By leveraging a deep understanding of capsid structure, we aim to systematically combine enhancements without compromising capsid stability or manufacturability. This approach has uncovered multiple modifications that improve tissue targeting and expression. Additional performance gains are achieved through peptide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 w:name="page15"/>
    <w:bookmarkEnd w:id="14"/>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insertions and purpose-built libraries. Identification of key human receptors further accelerates optimization using generative AI and affinity maturation. Together, these integrated capabilities drive step-change improvements in biodistribution and expression, enabling the identification of potential first-in-class and best-in-class capsids with clear differentiation potential.</w:t>
      </w:r>
    </w:p>
    <w:p>
      <w:pPr>
        <w:spacing w:after="0" w:line="68" w:lineRule="exact"/>
        <w:rPr>
          <w:sz w:val="20"/>
          <w:szCs w:val="20"/>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To investigate translational reliability, we assess capsid performance across multiple relevant species cell lines—providing a predictable path from discovery to development. Importantly, candidates are validated in human-relevant systems, such as iPSC-derived cardiomyocytes and engineered cell lines expressing human receptors, to assess clinical relevance. Collectively, these studies demonstrate improvements in biodistribution and expression relative to POLARIS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establishing a strong foundation for next-generation, differentiated gene therapy programs</w:t>
      </w:r>
    </w:p>
    <w:p>
      <w:pPr>
        <w:spacing w:after="0" w:line="6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building cardiac and neuromuscular next-generation capsid and promoter libraries with capsid selection from the first library anticipated in the second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Currently, we are working to develop and optimize a transient transfection manufacturing process for producing drug product for our current and future Candidates. This process will build on industry-wide accepted practices and is expected to increase the yield, robustness and scalability of our current methods.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SGT-003, SGT-212 and SGT-501 are manufactured using transient transfection which requires processing steps that are more complex than those required for most chemical pharmaceuticals. We also intend to use transient transfection manufacturing for our other Candidates. We selected a manufacturing process that we believe will be scalable to support clinical and commercial production needs for SGT-003, SGT-212 and SGT-501. The transient transfection process was selected to efficiently advance SGT-003, SGT-212 and SGT-501 along their respective development timelines.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currently rely on third-party manufacturers for supply of SGT-003, SGT-212 and SGT-501 and plan to rely on third-party manufacturers for our other Candidates. In October 2021, we announced a partnership with a cell and gene therapy-focused contract development and manufacturing organization for the development and clinical stage manufacture of SGT-003. As part of our recently completed asset purchase from FA212 LLC (“FA212”), we also acquired sufficient GMP clinical materials from FA212 to supply the ongoing Phase 1b clinical trial for SGT-212.</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supplying, and expect to continue to supply, our ongoing and future preclinical and clinical development programs with drug produced at a current Good Manufacturing Practice (“cGMP”) compliant facility located at one of our contract manufacturing organizations. We ultimately intend to establish the capability and capacity to supply Candidates at commercial scale in alignment with program timeframes.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pipeline programs, our platform technologies and other know-how, to operate without infringing, misappropriating or otherwise violating the intellectual property rights of others, and to prevent others from infringing, misappropriating or otherwise violating our intellectual property rights. We also rely on patents, trade secrets, know-how, confidentiality procedures and agreements, and continuing technological innovation to develop and maintain our proprietary and intellectual property position.</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and in-license various patents, patent applications, know-how and trade secrets relating to the development and commercialization of our gene therapy candidates and platform technologies. As of February 6, 2026, our patent portfolio includes both owned and in-licensed patent families relating to our gene therapy programs and platform technologies.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Substantive prosecution of some of our patent applications has not yet commenced at the U.S. Patent and Trademark Office (“USPTO”) or in the patent offices of ex-U.S. jurisdictions. We cannot predict whether such pending patent applications will result in the issuance of patents that effectively protect our candidates and our platform technologies, or if such issued patents or any of our licensor’s issued patents will effectively prevent others from commercializing competitive products. In any event, patent prosecution is a lengthy process, during which the scope of the claims initially submitted for examination by the patent offices in various jurisdictions are often significantly narrowed by the time they issue, if they issue at all.</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or patent application. The term of a patent that covers a drug or biological product may also be eligible for patent term extension when FDA approval is granted, subject to certain limitations and provided statutory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40"/>
        <w:spacing w:after="0" w:line="258" w:lineRule="auto"/>
        <w:rPr>
          <w:sz w:val="20"/>
          <w:szCs w:val="20"/>
          <w:color w:val="auto"/>
        </w:rPr>
      </w:pPr>
      <w:r>
        <w:rPr>
          <w:rFonts w:ascii="Times New Roman" w:cs="Times New Roman" w:eastAsia="Times New Roman" w:hAnsi="Times New Roman"/>
          <w:sz w:val="18"/>
          <w:szCs w:val="18"/>
          <w:color w:val="auto"/>
        </w:rPr>
        <w:t>and regulatory requirements are met (for more information, please see “Business— Government Regulation and Product Licensure —U.S. Patent Term Restoration”). In the future, if and when our candidates receive approval from the FDA or foreign regulatory authorities, we expect to apply for patent term extensions on issued patents we may obtain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Further, third parties may have patents or be granted patents that may block our ability to develop or commercialize our gene therapy candidates and platform technologies. In addition, because of the extensive time required for clinical development and regulatory review of a candidate we may develop, it is possible that, before any of our candidates can be commercialized, any related patent may expire or remain in force for only a short period following commercialization, thereby limiting protection such patent would afford the respective product or products and any competitive advantage such patent may provide.</w:t>
      </w:r>
    </w:p>
    <w:p>
      <w:pPr>
        <w:spacing w:after="0" w:line="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8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also seek trademark protection in the United States and internationally where available and when appropriate. We currently own U.S. federal registrations for the marks SOLID, SOLID BIOSCIENCES and SOLID BIOSCIENCES logo, as well as registrations in the European Union, United Kingdom, Japan, and Hong Kong for the mark SOLID BIOSCIENCES, registrations in the European Union and United Kingdom for the marks SOLID BIOSCIENCES logo and SOLID GT.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Duchenne</w:t>
      </w:r>
    </w:p>
    <w:p>
      <w:pPr>
        <w:spacing w:after="0" w:line="121" w:lineRule="exact"/>
        <w:rPr>
          <w:sz w:val="20"/>
          <w:szCs w:val="20"/>
          <w:color w:val="auto"/>
        </w:rPr>
      </w:pPr>
    </w:p>
    <w:p>
      <w:pPr>
        <w:ind w:right="40"/>
        <w:spacing w:after="0" w:line="219" w:lineRule="exact"/>
        <w:rPr>
          <w:sz w:val="20"/>
          <w:szCs w:val="20"/>
          <w:color w:val="auto"/>
        </w:rPr>
      </w:pPr>
      <w:r>
        <w:rPr>
          <w:rFonts w:ascii="Times New Roman" w:cs="Times New Roman" w:eastAsia="Times New Roman" w:hAnsi="Times New Roman"/>
          <w:sz w:val="18"/>
          <w:szCs w:val="18"/>
          <w:color w:val="auto"/>
        </w:rPr>
        <w:t>Exclusive of our platform technologies, our Duchenne program includes three patent families with respect to microdystrophin and promoter sequences. We have filed one pending international patent application, one pending U.S. non-provisional patent application, and eleven pending patent applications in foreign jurisdictions, and have also exclusively licensed four issued U.S. patents, one pending U.S. non-provisional patent application, and 21 granted patents and seven pending patent applications in foreign jurisdictions. The issued U.S. patents are projected to expire between 2028 and 2036, excluding any patent term adjustments and any patent term extensions, and any U.S. patents that may issue from the pending U.S.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provisional patent applications would be projected to expire between 2036 and 2042, excluding any patent term adjustments and any patent term extensions.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w:t>
      </w:r>
    </w:p>
    <w:p>
      <w:pPr>
        <w:spacing w:after="0" w:line="80" w:lineRule="exact"/>
        <w:rPr>
          <w:sz w:val="20"/>
          <w:szCs w:val="20"/>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Exclusive of our platform technologies, our FA program includes eight patent families. We have filed one pending U.S.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provisional patent application, and have also exclusively licensed three U.S. patents, six pending U.S. non-provisional patent applications, 15 granted patents and 43 pending patent applications in foreign jurisdictions. We have also licensed one pending international patent application. The issued U.S. patents are projected to expire between 2036 and 2038, excluding any patent term adjustments and any patent term extensions, and any U.S. patents that may issue from the pending U.S. non-provisional patent applications would be projected to expire between 2036 and 2044, excluding any patent term adjustments and any patent term extensions.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CPVT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Exclusive of our platform technologies, our CPVT program includes two patent families. We have one pending international patent application and have exclusively licensed one pending U.S. non-provisional patent application and 3 granted patents and five pending patent applications in foreign jurisdictions. Any U.S. patents that may issue from the pending U.S.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340"/>
        <w:spacing w:after="0" w:line="245"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provisional patent applications currently pending would be projected to expire in 2039, excluding any patent term adjustments and any patent term extensions.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own or license patents, patent applications and know-how related to various platform technologies. Certain of these technologies may be applicable to one or more of our current or future gene therapy candidates.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capsid program includes three patent families related to modified AAV capsids. We have filed or licensed two pending U.S. patent applications, 15 pending patent applications and one granted patent in foreign jurisdictions, and one pending international patent application. Any U.S. patents that may issue from the pending U.S. non-provisional patent application would be projected to expire in 2040, excluding any patent term adjustments and any patent term extensions.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Collaborations/Licenses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FA212 LLC Asset Purchase Agreement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2024, we entered into a purchase agreement with FA212 for the purchase of certain intellectual property, including patents and assigned licenses, related to a preclinical drug candidate, which we now refer to as SGT-212, assigned manufacturing contracts as well as research and development materials such as manufactured materials and samples. The assets include an exclusive license for the gene therapy underlying SGT-212 from the University of Pennsylvania.</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SGT-212 is designed as a dual-route administration AAV gene therapy aimed at treating the major manifestations of FA. SGT-212 is designed to be delivered via both IV and IDN infusion administration, which offers a novel approach to address FA’s complex pathology.</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made an upfront payment of $1.0 million to FA212. Additionally, FA212 is eligible to receive development milestone payments of up to $34.0 million and cumulative sales milestone payments of up to $21.0 million, upon achievement of specified milestone events, and tiered royalties on net sales in the low-single-digits. Certain development milestone payments are payable in either cash, equity, or a combination of both at our discretion. We also assumed from FA212 contingent development milestone payments of up to $4.2 million, regulatory milestone payments of up to $13.0 million, cumulative sales milestone payments of up to $27.5 million, and tiered royalties on worldwide net sales in the mid-single digits, each of which are payable to the University of Pennsylvania.</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February 2025, we made the first milestone payment of 975,496 shares of our common stock to FA212 following the FDA’s clearance of our IND for SGT-212 for the treatment of FA. In January 2026, we made the second milestone payment of 1,316,899 shares of our common stock to FA212 following the dosing of the first participant in the Phase 1b FALCON clinical trial of SGT-212.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asset purchase, we also acquired sufficient GMP clinical materials from FA212 to supply the ongoing Phase 1b clinical trial of SGT-212.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Maugeri License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2023 we entered into a license agreement (the “Maugeri License Agreement”) with ICS Maugeri S.p.A. SB (“Maugeri”) to focus on our development and commercialization of cardiac-related products based on Maugeri’s inventions. Pursuant to the Maugeri License Agreement, Maugeri granted us an exclusive worldwide sublicensable license in certain Maugeri patent rights, including existing patent rights, and those in any improvements or know-how made in performance of the Maugeri License Agreement, and a non-exclusive worldwide sublicensable license in certain Maugeri know-how, including existing know-how, and on any improvement thereto, in each case, subject to certain conditions, that is necessary or reasonably useful to develop licensed products under the terms of the Maugeri License Agreement. We will conduct certain activities agreed to by the parties with respect to the research and development of licensed products. A condition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right="320"/>
        <w:spacing w:after="0" w:line="280" w:lineRule="auto"/>
        <w:rPr>
          <w:sz w:val="20"/>
          <w:szCs w:val="20"/>
          <w:color w:val="auto"/>
        </w:rPr>
      </w:pPr>
      <w:r>
        <w:rPr>
          <w:rFonts w:ascii="Times New Roman" w:cs="Times New Roman" w:eastAsia="Times New Roman" w:hAnsi="Times New Roman"/>
          <w:sz w:val="18"/>
          <w:szCs w:val="18"/>
          <w:color w:val="auto"/>
        </w:rPr>
        <w:t>precedent to the effectiveness of the Maugeri License Agreement was regulatory review in Italy, which was completed in the third quarter of 2023 and, upon the completion of the condition precedent, the Maugeri License Agreement became effective</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paid Maugeri an upfront license fee of €1.5 million, which was recorded as research and development expense during the second quarter of 2023. Additionally, we agreed to cumulative developmental, regulatory, and commercial milestone payments of up to €15.0 million, cumulative sales milestone payments of up to €15.0 million, upon achievement of specified milestone events, and tiered royalties on worldwide net sales in the low-to-mid-single-digits. Under the Maugeri License Agreement, we paid a €1.0 million milestone payment to Maugeri in August 2025. There were no milestones achieved during the year ended </w:t>
      </w:r>
      <w:r>
        <w:rPr>
          <w:rFonts w:ascii="Times New Roman" w:cs="Times New Roman" w:eastAsia="Times New Roman" w:hAnsi="Times New Roman"/>
          <w:sz w:val="18"/>
          <w:szCs w:val="18"/>
          <w:color w:val="212529"/>
        </w:rPr>
        <w:t>December 31, 2024.</w:t>
      </w:r>
    </w:p>
    <w:p>
      <w:pPr>
        <w:spacing w:after="0" w:line="6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Maugeri License Agreement continues until the latest expiry of (i) the last valid claim (as defined in the Maugeri License Agreement), (ii) regulatory exclusivity, and (iii) all payment obligations. Either party may terminate the Maugeri License Agreement for the other party’s uncured material breach. We may also terminate the Maugeri License Agreement in our sole discretion upon 60 days’ prior written notice to Maugeri and payment of a fee.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 License Agreement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2015, we entered into a license agreement with the University of Washington, acting through UW CoMotion, under which we obtained an exclusive, royalty-bearing, sublicensable, worldwide license under certain patent applications owned by the University of Washington relating to novel micro-dystrophins to develop, manufacture, and commercialize products for use in the treatment of Duchenne and related disease indications caused by a lack of functional dystrophin. We have the right to grant sublicenses to third parties contingent upon written approval by the University of Washington prior to executing such sublicense, which approval may not be unreasonably withheld.</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consideration for the rights granted by the agreement, we paid a one-time, non-refundable license fee, which was recorded as a research and development expense in 2015. We are required to reimburse the University of Washington for costs incurred in applying for, prosecuting and maintaining patents and pay up to an aggregate of approximately $1 million upon the achievement of certain milestones. There were no milestones achieved during the years ended December 31, 2025 and 2023. In October 2017, the first milestone was achieved under this agreement. The milestone payment was recorded as a research and development expense in the fourth quarter of 2017. In October 2020, the license agreement was amended such that we were required to pay the University of Washington $375 thousand in connection with the execution of the collaboration and license agreement (“the Collaboration Agreement”) with Ultragenyx Pharmaceutical Inc. (“Ultragenyx”) in October 2020. This payment was recorded as a research and development expense in the fourth quarter of 2020. The license agreement was also amended such that we are required to pay an aggregate of approximately $3.4 million upon the achievement of certain milestones. We must also pay royalties of a low single digit percentage of future sales by us and our sublicensees of products developed under the licensed patent rights. In addition, we must pay an annual maintenance fee until certain milestones are achieved, at which time a minimum annual royalty requirement will replace such maintenance fee and will apply to us and our sublicensees.</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obligated to use our commercially reasonable efforts, consistent with sound and reasonable business practices and judgment, to commercialize the inventions covered by the licensed patent rights and to make and sell products based on that patent as soon as practicable and maximize sales thereof.</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University of Washington controls the prosecution and maintenance of the licensed patents in consultation with us and at our expense. In countries in which we have not requested prosecution or maintenance of licensed patents, the University of Washington may prosecute and maintain such licensed patents at its own cost. We have the first right to enforce such licensed patents at our expense. However, we may not enter into any settlement in any manner relating to the licensed patents without the University of Washington’s prior written consent.</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licensed under the agreement. We may terminate the agreement at any time upon providing sixty days’ written notice to the University of Washington. The University of Washington may terminate the agreement upon our uncured, material breach of the agreement or if we enter into an insolvency-related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Missouri License Agreement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2015, we entered into a license agreement with the Curators of the University of Missouri (the “University of Missouri”), a public corporation of Missouri, under which we obtained an exclusive, royalty-bearing, sublicensable, worldwide license under certain patents and patent applications owned by the University of Missouri relating to a novel synthetic</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right="340"/>
        <w:spacing w:after="0" w:line="282" w:lineRule="auto"/>
        <w:rPr>
          <w:sz w:val="20"/>
          <w:szCs w:val="20"/>
          <w:color w:val="auto"/>
        </w:rPr>
      </w:pPr>
      <w:r>
        <w:rPr>
          <w:rFonts w:ascii="Times New Roman" w:cs="Times New Roman" w:eastAsia="Times New Roman" w:hAnsi="Times New Roman"/>
          <w:sz w:val="18"/>
          <w:szCs w:val="18"/>
          <w:color w:val="auto"/>
        </w:rPr>
        <w:t>microdystrophin gene to make, sell and distribute products for use in the treatment of Duchenne and related disease indications resulting from a lack of functional dystrophin.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by the agreement, we paid a one-time, non-refundable license fee, which was recorded as a research and development expense in 2015. We were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w:t>
      </w:r>
    </w:p>
    <w:p>
      <w:pPr>
        <w:spacing w:after="0" w:line="7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Under the agreement, in the event we grant a sublicense to another party, we are required to pay the University of Missouri a percentage of the consideration received. The license agreement was amended such that we were required to pay, and did pay, the University of Missouri $0.8 million in February 2021 and $1.3 million in February 2022 as a result of the execution of the Collaboration Agreement with Ultragenyx in October 2020. These amounts were recorded as a research and development expense in the fourth quarter of 2020. The license agreement was also amended such that we are required to make aggregate milestone payments of approximately $1.9 million upon the achievement of certain milestones.</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material milestones achieved during the years ended December 31, 2025 and 2024. We must pay a royalty of a low single digit percentage of future sales or by its sublicensees of products developed using the licensed patents. In addition, we must pay an annual maintenance fee until certain milestones are achieved, after which time a minimum annual royalty will replace such maintenance fee.</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Under the agreement, we granted the University of Missouri a non-exclusive, royalty-free, irrevocable, paid-up license, with the right to grant sublicenses to non-profit, academic, educational or governmental institutions, to practice and use improvements made by us using the licensed patent rights, solely for non-commercial research purposes.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obligated to use our reasonable best efforts to introduce products based on the licensed patent rights into the commercial market as soon as possible, consistent with sound and reasonable business practices and judgment, and thereafter to keep such products reasonably available to the public.</w:t>
      </w:r>
    </w:p>
    <w:p>
      <w:pPr>
        <w:spacing w:after="0" w:line="5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University of Missouri controls the prosecution and maintenance of the licensed patents in consultation with us and at our expense. In countries in which we have not requested prosecution or maintenance of licensed patents, the University of Missouri may prosecute and maintain such licensed patents at its own cost. We have the first right to enforce such licensed patents at our expense. However, any settlement, consent judgment or other voluntary disposition of litigation that materially limits the scope, validity or enforceability of the licensed patent or admits fault or wrongdoing on the part of the University of Missouri must be pre-approved in writing by the University of Missouri. 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we and our sublicensees fail to achieve certain milestones. We may terminate the license agreement at any time upon providing six months’ written notice to the University of Missouri and paying a termination fee. Each of the University of Missouri and we may also terminate the agreement for an uncured default or breach of the agreement by the other party. Our ability to cure such breach only applies to the first two notices of such breach provided by the University of Missouri, and thereafter, the University of Missouri may terminate the agreement for our default or breach of the agreement upon thirty days’ written notice without an opportunity to cure such default or breach.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Florida License Agreements</w:t>
      </w:r>
    </w:p>
    <w:p>
      <w:pPr>
        <w:spacing w:after="0" w:line="121"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We, and our subsidiary AavantiBio Inc. (“AavantiBio”), have entered into several license agreements with the University of Florida Research Foundation, Inc. (“UFRF”). Broadly, the agreements relate to FA and certain early-stage cardiac candidates, including SGT-401, SGT-601 and SGT-701. Under each agreement we obtained an exclusive, royalty-bearing, sublicensable, world-wide license to certain patents and patent applications and a royalty-bearing non-exclusive license under the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to make, have made, use, see, have sold, import and export licensed products. UFRF retains the right to practice the patent rights and know-how for internal non-commercial research, including research sponsored by commercial entities, and educational purposes.</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consideration for the rights granted under each agreement, AavantiBio paid a one-time non-refundable license fee. In connection with each agreement, we are required to pay an annual license maintenance fee until the first commercial sale of a licensed product after which time a minimum annual royalty will replace such maintenance fees. Under each agreement, we are required to reimburse UFRF for costs incurred in applying for, prosecuting and maintaining patents, pay up to an aggregate of approximately $2.9 million upon the achievement of certain intellectual property, clinical and regulatory milestones for each licensed product under the agreement and pay a low, single digit royalty on annual net sales by us and our sublicensees of licensed products on a licensed-product-by-licensed product basis. For any licensed product covered by both of these agreements, we are only obligated to make one payment for each milestone achieved and royalty payment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due. Under each agreement, in the event we grant a sublicense to another party, we are required to pay UFRF a percentage of the consideration received.</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each agreement, we have the right to grant sublicenses to third parties through multiple tiers, to the extent we are in compliance with our diligence obligations under the agreement and that sublicensee is subject to the terms of such agreement.</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each agreement, we are obligated to use commercially reasonable efforts to develop and commercialize products covered by the licensed patent rights or know-how and to achieve certain regulatory and commercialization milestones within estimated time periods. Under the agreements entered in 2023 and 2024, we agreed to pay to UFRF cumulative sales milestones of up to $8.5 million and $27.0 million, respectively upon achievement of specified milestone events and tiered royalties on worldwide net sales in the low-to-mid-single digits.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each agreement, UFRF controls the prosecution and maintenance of the licensed patents in consultation with us and at our expense. In countries in which we have not requested prosecution or maintenance of licensed patents in a particular country or jurisdiction, the license granted to such patent rights will terminate in such country or jurisdiction. We have the first right to enforce such licensed patents at our expense.</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of the agreements terminates on a licensed product-by-licensed product basis on the later of: (i) expiration of the patent rights covering such licensed product or (ii) ten (10) years from the first commercial sale of such licensed product. After five years, we may terminate an agreement for any reason giving advance written notice and reason for termination. UFRF may terminate an agreement for our uncured default or breach of the agreement. UFRF may immediately terminate an agreement if we bring or assist others in bringing a patent challenge against the licensed patent rights. If UFRF sends us a written demand to terminate a sublicense agreement due to such sublicensee bringing or assisting a patent challenge, UFRF may terminate such agreement if we do not terminate the license with such sublicensee.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Mayo Clinic Collaboration and License Agreement</w:t>
      </w:r>
    </w:p>
    <w:p>
      <w:pPr>
        <w:spacing w:after="0" w:line="121"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In December 2024, we entered into a collaboration, patent and know-how license agreement with Mayo to further advance our research and development efforts in the field of genetic therapies, particularly for rare and debilitating cardiac diseases. This partnership focuses on leveraging Mayo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expertise in clinical research and our cutting-edge gene therapy platforms to explore innovative treatment options.</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the collaboration, we will be providing manufactured viral materials and chemistry, manufacturing and controls know-how to Mayo while Mayo will be responsible for supporting all preclinical research through IND-enabling studies for six programs. We will then be responsible for the clinical development of programs chosen by us to develop. Under the terms of the collaboration, we and Mayo agreed to share intellectual property rights arising from the collaboration, while we retain exclusive rights to commercialize any resulting approved therapies.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agreement, we made a one-time upfront payment of $0.6 million in cash to Mayo and issued 364,990 shares of our common stock to Mayo in December 2024. Additionally, Mayo is eligible to receive cumulative developmental and regulatory milestones of $7.0 million, cumulative sales milestone payments of up to $18.0 million, upon achievement of specified milestone events, and tiered royalties on worldwide net sales in the low-to-high-single-digits for each licensed product developed by us under the agreement. We have also agreed to pay an annual $0.6 million know-how access fee to Mayo.</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agreement also includes provisions for the potential sublicensing of certain intellectual property rights. We will also be responsible for reimbursing Mayo for costs incurred in the prosecution and maintenance of any patents resulting from the collaboration.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collaboration remains in effect for the duration of the intellectual property rights associated with any therapies developed under the agreement. Either party may terminate the agreement with proper notice should specific terms be breached or should an insolvency-related event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Outlicensing Agreements</w:t>
      </w:r>
    </w:p>
    <w:p>
      <w:pPr>
        <w:spacing w:after="0" w:line="12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From time to time, we enter into non-exclusive license and collaboration agreements for the out-licensing of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 our proprietary, rationally designed capsid technology used in SGT-003, to both companies and academic institutions pursuing treatments for rare diseases. These arrangements may entitle us receive non-refundable upfront payments, contingent obligations for potential development, regulatory and commercial performance milestone payments, cost reimbursement arrangements, product supply and royalty payments as a percentage of worldwide license product sales. At December 31, 2025, potential future milestone payments we may be entitled to under these agreements totaled an aggregate of $97.1 million.</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changing technologies, significant competition and a strong emphasis on intellectual property. This is also true in treatments of neuromuscular diseases, such as Duchenne and FA, cardiac diseases, such as CPVT, as well as in gene therapy.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enrolling patients in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7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(“Sarepta”) received accelerated approval for its gene therapy candidate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ambulatory pediatric patients aged 4 through 5 years with Duchenne. In June 2024, Sarepta announced an expanded US approval of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patients who are at least 4 years of age including full approval for ambulatory Duchenne patients and accelerated approval for non-ambulatory Duchenne patients. Following two reported cases of acute liver failure resulting in death, Sarepta agreed with FDA to a boxed warning for acute liver injury and acute liver failure and the removal of the non-ambulatory population from the Indication and Usage section of the Prescribing Information for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of product candidates focused on systemic gene transfers for Duchenne, including Genethon with a product candidate currently being evaluated in a Phase 1/2/3 clinical trial, REGENXBIO Inc. with a product candidate in Phase 1/2/3 clinical development and Insmed Incorporated, with product candidate INS1201 currently being evaluated in a Phase 1 clinical trial.</w:t>
      </w:r>
    </w:p>
    <w:p>
      <w:pPr>
        <w:spacing w:after="0" w:line="7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There are other approaches to treat Duchenne that are either currently marketed or in development including antisense oligonucleotides, histone deacetylase (“HDAC”) inhibitors, myosin inhibitors, cell therapies and gene editing. Notably, Sarepta has received accelerated approval for three therapies including Exondys 51, Vyondys 53 and Amondys 45 targeting exons 51, 53 and 45, respectively; Nippon Shinyaku received accelerated approval for Viltepso to treat exon 53 amenable patients; Avidity Biosciences is developing Del-zota to treat exon 44; Wave Life Sciences is developing WVE-N531 to treat exon 53 amenable patients; Dyne Therapeutics is developing DYNE-251 to treat exon 51 amenable patients; BioMarin Pharmaceutical is developing BMN 351 to treat exon 51 amenable patients; and Entrada Therapeutics is developing ENTR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44, ENTR-601-45, ENTR-601-50, and ENTR-601-51 for exon 44, 45, 50 and 51 amenable patients, respectively.</w:t>
      </w:r>
    </w:p>
    <w:p>
      <w:pPr>
        <w:spacing w:after="0" w:line="20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Italfarmaco received FDA approval for its HDAC inhibitor, Givinostat, in Duchenne patients who are at least 6 years of age. Edgewise Therapeutics is developing Sevasemten, a fast skeletal myosin inhibitor, for Duchenne and Becker muscular dystrophies. Capricor Therapeutics is developing Deramiocel, an allogeneic cardiosphere-derived cell therapy product candidate. Satellos Bioscience is developing SAT-3247, an oral small molecule product candidate. Precision BioSciences is in preclinical development for gene editing product candidate, PBGENE-DMD.</w:t>
      </w:r>
    </w:p>
    <w:p>
      <w:pPr>
        <w:spacing w:after="0" w:line="18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We are also aware of a number of companies and research institutions developing gene transfer programs in FA. For example, Lexeo Therapeutics is developing an IV gene therapy to treat the cardiac manifestations of FA. Other competitors currently developing gene therapies to treat FA are in preclinical development, including Neurocrine Biosciences in collaboration with Voyager Therapeutics and Capsida Biotherapeutics. We are also aware of other companies developing non-gene therapies for FA, such as Design Therapeutics, Larimar Therapeutics, PTC Therapeutics and Papillon Therapeutics. Biogen’s SKYCLARYS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(omaveloxolone) was approved for the treatment of FA in adults and adolescents aged 16 and older by the FDA and the European Commission in February 2023 and February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-582295</wp:posOffset>
            </wp:positionV>
            <wp:extent cx="28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-582295</wp:posOffset>
            </wp:positionV>
            <wp:extent cx="28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in small molecule product candidates focused on CPVT, including Cardurion Pharmaceuticals, Inc. with an orally administered CAMKII-delta inhibitor candidate in a Phase 2 clinical trial.</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Licensure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and Product Licensure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United States, biologic products including gene therapy products, such as our lead candidates, are licensed for marketing by the FDA under the Public Health Service Act (“PHS Act”), and regulated by the FDA under the Federal Food, Drug, and Cosmetic Act (“FD&amp;C Act”), as well as by other federal, state and local statutes and regulations. Both the FD&amp;C Act and the PHS Act and their corresponding rules and regulations govern, among other things, the testing, manufacturing, safety, efficacy, labeling, packaging, storage, recordkeeping, distribution, marketing, pricing, post-approval monitoring, reporting, advertising and other promotional practices involving biologic products. FDA approval must be obtained before conducting human clinical testing of biologic products. FDA must license a biologic product before it may be marketed within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 Products Development Process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company, institution, or organization which takes responsibility for the initiation and management of a clinical development program for such products is referred to as a sponsor. A sponsor seeking approval to market and distribute a new biological product in the United States must typically secure the following:</w:t>
      </w:r>
    </w:p>
    <w:p>
      <w:pPr>
        <w:spacing w:after="0" w:line="68" w:lineRule="exact"/>
        <w:rPr>
          <w:sz w:val="20"/>
          <w:szCs w:val="20"/>
          <w:color w:val="auto"/>
        </w:rPr>
      </w:pPr>
    </w:p>
    <w:p>
      <w:pPr>
        <w:ind w:left="900" w:right="3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in vivo studies according to the FDA’s GLP requirements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application for an IND, which allows human clinical trials to begin unless the FDA objects within 30 days;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biosafety committee (“IBC”), assessing the safety of the clinical research and identifying any potential risk to public health or the environment;</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 controlled human clinical trials according to the FDA’s regulations commonly referred to as good clinical practices (“GCPs”), and any additional requirements for the protection of human research subjects and their health information, to establish the safety, potency and purity of the proposed biologic product for each of its intended uses;</w:t>
      </w:r>
    </w:p>
    <w:p>
      <w:pPr>
        <w:spacing w:after="0" w:line="6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substantive evidence of safety, purity and potency from results of preclinical testing and clinical trials, and detailed information about the chemistry, manufacturing and controls (“CMC”) for the product, reports of the outcomes and full data sets of the clinical trials and proposed labeling and packaging for the product;</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if applicable;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and purity;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application and program fees;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licensure of the BLA for particular indications in the United States; and</w:t>
      </w:r>
    </w:p>
    <w:p>
      <w:pPr>
        <w:spacing w:after="0" w:line="11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approval or post-approval requirements, including the potential requirement to implement a Risk Evaluation and Mitigation Strategy (“REMS”) and the potential requirement to conduct post-approval studies.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Investigational New Drug Application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in vivo studies to assess the potential safety and activity of the product candidate and to establish a rationale for therapeutic use. These studies are generally referred to as IND-enabling studies. The conduct of certain non-clinical studies must comply with federal regulations and requirements, including GLPs and the U.S. Department of Agriculture’s Animal Welfare Act, if applicable.</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clinical trial sponsor must submit the results of the preclinical tests, together with manufacturing information, analytical data, any available clinical data or literature and a proposed clinical protocol, to the FDA as part of the IND. Some long-term preclinical testing, such as animal tests of reproductive adverse events and carcinogenicity, and long-term toxicity studies, may continue after the IND is submitted. With passage of the FDA’s Modernization Act 2.0 in December 2022, Congress eliminated provisions in both the FD&amp;C Act and PHSA that required animal testing in support of a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 such as organ-on-a-chip systems, computational modeling, and advanced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FD&amp;C Act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BLA. In addition to reviewing an IND to assure the safety and rights of patients, the FDA also focuses on any CMC issues and the quality of the investigation. Some preclinical tests may continue even after the IND is submitted.</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 becomes effective 30 days after receipt by the FDA, unless the FDA notifies the sponsor of deficiencies that require correction before human studies can begin. The sponsor cannot initiate studies until the FDA notifies the sponsor that the submitted corrections are satisfactory. The FDA may also place the clinical trial on a full clinical hold or partial clinical hold. In such a case, the IND sponsor and the FDA must resolve any outstanding concerns before the clinical trial can begin.</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following the clearance of an IND, the FDA may impose a full or partial clinical hold at any time during clinical trials. A partial clinical hold is a delay or suspension of only part of the clinical work requested under the IND (e.g., a specific protocol or part of a protocol is not allowed to proceed; however, other protocols or parts of the protocol are allowed to proceed under the IND). If the FDA requires that progress to the next study is contingent on (i) FDA review of additional data and (ii) subsequent specific permission for the study to proceed, this represents a partial clinical hold.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Under an IND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biologic product candidate to healthy volunteers or subjects under the supervision of qualified investigators, generally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committee (“DMC”). This group provides authorization as to whether or not a trial may move forward at designated check points based on access that only the group maintains to available data from the study. Clinical trials involving recombinant DNA also must be reviewed by an IBC a local institutional committee that reviews and oversees basic and clinical research and utilizes recombinant DNA at that institution. The IBC assesses the safety of the research and identifies any potential risk to public health or the environment.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900" w:right="100" w:hanging="383"/>
        <w:spacing w:after="0" w:line="258"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investigational biologic product is initially introduced into a small group of healthy human subjects and tested for safety, dosage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1 clinical trials of gene therapies are typically conducted in patients rather than healthy volunteers.</w:t>
      </w:r>
    </w:p>
    <w:p>
      <w:pPr>
        <w:spacing w:after="0" w:line="75" w:lineRule="exact"/>
        <w:rPr>
          <w:rFonts w:ascii="Times New Roman" w:cs="Times New Roman" w:eastAsia="Times New Roman" w:hAnsi="Times New Roman"/>
          <w:sz w:val="18"/>
          <w:szCs w:val="18"/>
          <w:color w:val="auto"/>
        </w:rPr>
      </w:pPr>
    </w:p>
    <w:p>
      <w:pPr>
        <w:ind w:left="900" w:right="180" w:hanging="383"/>
        <w:spacing w:after="0" w:line="26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biologic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5" w:lineRule="exact"/>
        <w:rPr>
          <w:rFonts w:ascii="Times New Roman" w:cs="Times New Roman" w:eastAsia="Times New Roman" w:hAnsi="Times New Roman"/>
          <w:sz w:val="18"/>
          <w:szCs w:val="18"/>
          <w:color w:val="auto"/>
        </w:rPr>
      </w:pPr>
    </w:p>
    <w:p>
      <w:pPr>
        <w:ind w:left="900" w:right="100" w:hanging="383"/>
        <w:spacing w:after="0" w:line="25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Phase 3 clinical trials are commonly referred to as “pivotal” studies, which typically denotes a study that presents the data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 or other relevant regulatory agency will use to determine whether or not to approve a biologic product. In Phase 3 clinical trials, the investigational biologic product is administered to an expanded patient population, generally at multiple geographically dispersed clinical trial sites in adequate and well 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also referred to as post-marketing clinical trials, may be conducted after initial approval. These clinical trials are used to gain additional experience from the treatment of patients in the intended therapeutic indication, particularly for long-term safety follow-up.</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(“FDORA”), Congress required sponsors to develop and submit a diversity action plan for each Phase 3 clinical trial or any other “pivotal study” of a new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January 2024, the FDA issued draft guidance setting out its policies for the collection of race and ethnicity data in clinical trials. Unlike most guidance documents issued by the FDA, the diversity action plan guidance, when finalized, will have the force of the law because FDORA specifically dictates that the form and manner for submission of diversity action plans are specified in FDA guidance. In January 2025, in response to an executive order issued by President Trump on Diversity, Equity and Inclusion programs, the FDA removed this draft guidance from its website. That action, along with similar actions by the Trump administration to remove many other healthcare webpages, is currently the subject of ongoing litigation. In July 2025, the U.S. District Court for the District of Columbia ruled that the Trump administration’s actions to remove these webpages, including the draft diversity action plan guidance, are unlawful under the Administrative Procedure Act. The court ordered the restoration of many of these webpages. In late July 2025, the FDA restored the draft diversity action plan guidance to its website with a statement that information on the webpage may be modified and/or removed in the future subject to the terms of the court’s order and implemented in accordance with applicable law. Accordingly, there is considerable uncertainty surrounding the draft guidance and how the FDA will consider diversity action plans in connection with its review of BLAs.</w:t>
      </w:r>
    </w:p>
    <w:p>
      <w:pPr>
        <w:spacing w:after="0" w:line="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Harmonisation’s updated E6(R3) draft guideline that was developed to enable the incorporation of rapidly developing technological and methodological innovations into the clinical trial enterprise.</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FDA or the sponsor or its DSMB/DMC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product candidate has been associated with unexpected serious harm to patients.</w:t>
      </w:r>
    </w:p>
    <w:p>
      <w:pPr>
        <w:spacing w:after="0" w:line="7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Finally, sponsors of certain clinical trials are required to register and disclose certain clinical trial information on a public registry (clinicaltrials.gov) maintained by the NIH. In particular, information related to the product, patient population, phase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of investigation, study sites and investigators and other aspects of the clinical trial is made public as part of the registration of the clinical trial. The PHSA grants the Secretary of Health and Human Services (the “HHS”), authority to issue a notice of noncompliance to a responsible party to failure to submit clinical trial information as required. The responsible party, however, is allowed 30 days to correct the noncompliance and submit the required information. Although sponsors are also obligated to disclose the results of their clinical trials after completion, disclosure of the results can be delayed in some cases for up to two years after the date of completion of the trial. As of December 30, 2025, the FDA has issued eight notices of non-compliance, signaling the government’s willingness to enforce these requirements against non-compliant clinical trial sponsors. While these notices of non-compliance did not result in civil monetary penalties, the failure to submit clinical trial information to clinicaltrials.gov, as required, is a prohibited act under the FD&amp;C Act with violations subject to potential civil monetary penalties of up to $10,000 for each day the violation continues. Violations may also result in injunctions and/or criminal prosecution or disqualification from federal grants.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the FDA During the Clinical Development Program</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Written IND safety reports must be promptly submitted to the FDA, the IRB and the investigators for serious and unexpected adverse events, any findings from other trials, in vivo laboratory tests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Annual progress reports detailing the results of the clinical trials must be submitted to the FDA.</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or pre-IND application meeting, at the end of a Phase 2 clinical trial, or EOP2 meeting, and before a BLA is submitted, or pre-BLA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application and pre-BLA meetings, as well as Type B EOP2 meetings. A Type C meeting is any meeting other than a Type A or Type B meeting regarding the development and review of a product. A Type D meeting is focused on a narrow set of issues (and should be limited to no more than two focused topics)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meetings provide an opportunity for the sponsor to share information about the data gathered to date with the FDA and for the FDA to provide advice on the next phase of development. At the conclusion of these meetings, the FDA will typically provide its responses to questions posed by the sponsor regarding the clinical development program. The FDA will not indicate whether an NDA or BLA will be approved, but it will provide guidance to the sponsor on various questions, including whether an application should be submitted in the first place on the basis of the studies and data proposed by the sponsor. The agency may also generally express support for the sponsor’s approach in the clinical development program but indicate that questions concerning whether the data support approval will be subject to review by the agency following its acceptance for filing of the NDA or BLA.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may conduct trials at sites outside the United States. When a foreign clinical trial is conducted under an IND, all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Specifically, the studies must be conducted in accordance with GCP requirements, including undergoing review and receiving approval by an independent ethics committee and seeking and receiving informed consent from subjects.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studies.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right="20"/>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trials that could support marketing approval of the product or otherwise compromise the potential development of the product.</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no obligation for a sponsor to make its investigational products available for expanded access; however, as required by the 21st Century Cures Act (“the Cures Act”), passed in 2016, if a sponsor has a policy regarding how it responds to expanded access requests, it must make that policy publicly available. Sponsors are required to make such policies publicly available upon the earlier of initiation of a Phase 2 or Phase 3 trial; or 15 days after the drug or biologic receives designation as a breakthrough therapy, fast track product, or regenerative medicine advanced therapy. In October 2025, the FDA issued final guidance further clarifying the statutory and regulatory requirements governing expanded access.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Regulations and Guidance governing Gene Therapy Products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in vivo or transferred to cells ex vivo prior to administration to the recipient.</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Within the FDA, the Center for Biologics Evaluation and Research (“CBER”) regulates gene therapy products. CBER’s Office of Therapeutic Products is responsible for the review of gene therapy and related products, and the FDA has established the Cellular, Tissue and Gene Therapies Advisory Committee to advise CBER on its reviews. The NIH also advises the FDA on gene therapy issues and other issues related to emerging technologies. The FDA and the NIH have published guidance documents with respect to the development and submission of gene therapy protocols.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NIH funding for recombinant DNA research, prior to the submission of an IND to the FDA, a protocol and related documents must be submitted to, and the study registered with, the NIH Office of Biotechnology Activities, pursuant to the NIH Guidelines for Research Involving Recombinant DNA Molecules (“NIH Guidelines”). Compliance with the NIH Guidelines is mandatory for investigators at institutions receiving NIH funds for research involving recombinant DNA. However, many companies and other institutions, not otherwise subject to the NIH Guidelines, voluntarily follow them.</w:t>
      </w:r>
    </w:p>
    <w:p>
      <w:pPr>
        <w:spacing w:after="0" w:line="75" w:lineRule="exact"/>
        <w:rPr>
          <w:sz w:val="20"/>
          <w:szCs w:val="20"/>
          <w:color w:val="auto"/>
        </w:rPr>
      </w:pPr>
    </w:p>
    <w:p>
      <w:pPr>
        <w:ind w:right="100"/>
        <w:spacing w:after="0" w:line="218" w:lineRule="exact"/>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adverse events for up to a 5-year period. Other types of gene therapy or gene editing products may require longer follow up, potentially up to a maximum 15-year period.</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Finally, for a gene therapy product and where applicable, the FDA also will not approve the product if the manufacturer is not in compliance with good tissue practices (“GTP”). These standards are found in FDA regulations and guidance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T-cell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FDA must meet with sponsors by no later than the end-of-phase 1 meeting for serious or life-threatening diseases and by no later than 90 days after the FDA’s receipt of the study plan.</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Additional requirements and procedures relating to deferral requests and requests for extension of deferrals are contained in the Food and Drug Administration Safety and Innovation Act (“FDASIA”). The FDA also maintains a list of diseases that are exempt from the requirements PREA, due to low prevalence of disease in the pediatric population. In May 2023, the FDA issued new draft guidance that further describes the pediatric study requirements under the PREA.</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cGMP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PREVENT Pandemics Act, which was enacted in December 2022, clarifies that foreign drug manufacturing establishments are subject to registration and listing requirements even if a biologic undergoes further manufacture, preparation, propagation, compounding, or processing at a separate establishment outside the United States prior to being imported or offered for import into the United States.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preclinical studies and must also develop additional information about the physical characteristics of the biologic product candidate as well as finalize a process for manufacturing the product candidate in commercial quantities in accordance with cGMP requirements. To help reduce the risk of the introduction of adventitious agents or of causing other adverse events with the use of biologic products, the PHS Act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and Filing of a BLA</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 product, FDA licensure of a BLA must be obtained before commercial marketing of the biologic product. The BLA must include results of product development, laboratory and animal studies, human studies, information on the manufacture and composition of the product, proposed labeling and other relevant information. In addition, under the PREA, a BLA or supplement to a BLA must contain data to assess the safety and effectiveness of the biologic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Under federal law, the submission of most BLAs is subject to an application user fee, which for federal fiscal year 2026 is approximately $4.7 million for an application requiring clinical data. The sponsor of an approved BLA is also subject to an annual program fee, which for federal fiscal year 2025 is currently $442,213 per eligible prescription product.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reviews a BLA within 60 days of submission to determine if it is substantially complete before the agency accepts it for filing, and it must so notify the sponsor of that determination within the 60 days. The FDA may refuse to file any BLA that it deems incomplete or not properly reviewable at the time of submission and may request additional information. In the event that FDA determines that an application does not satisfy this standard, it will issue a Refuse to File (“RTF”) determination to the sponsor. The BLA may be resubmitted with the additional information. The resubmitted application also is subject to review before the FDA accepts it for filing. In October 2025, the FDA issued internal guidance clarifying that “materially incomplete or inadequately organized” applications that would not permit timely, efficient and complete review will be the subject of a RTF determination. The internal guidance also provides that the agency will issue a RTF determination for an application that relies on a single adequate and well-controlled investigation to support approval if prior communications with the FDA determined the need for more than one clinical study and any justification for a single investigation is inadequate. Once the submission is accepted for filing, the FDA begins an in-depth substantive review of the BLA.</w:t>
      </w:r>
    </w:p>
    <w:p>
      <w:pPr>
        <w:spacing w:after="0" w:line="8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With filing of the application,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ind w:right="120"/>
        <w:spacing w:after="0" w:line="282" w:lineRule="auto"/>
        <w:rPr>
          <w:sz w:val="20"/>
          <w:szCs w:val="20"/>
          <w:color w:val="auto"/>
        </w:rPr>
      </w:pPr>
      <w:r>
        <w:rPr>
          <w:rFonts w:ascii="Times New Roman" w:cs="Times New Roman" w:eastAsia="Times New Roman" w:hAnsi="Times New Roman"/>
          <w:sz w:val="18"/>
          <w:szCs w:val="18"/>
          <w:color w:val="auto"/>
        </w:rPr>
        <w:t>and a recommendation as to whether the application should be approved and under what conditions. The FDA is not bound by the recommendations of an advisory committee, but it considers such recommendations carefully when making decisions.</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BLA.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biologic product approval process, the FDA also will determine whether a REMS, is necessary to assure the safe use of the biologic product.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connection with its review of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to ensure the integrity of the clinical data. cGMP, GLP and GCP compliance requires significant expenditure of time, money and effort in the areas of training, recordkeeping, production and quality control.</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Decisions on a BLA</w:t>
      </w:r>
    </w:p>
    <w:p>
      <w:pPr>
        <w:spacing w:after="0" w:line="12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(“CRL”) or an approval letter. To reach this determination, the FDA must determine that the expected benefits of the proposed product outweigh its potential risks to patients. This “benefit-risk” assessment is informed by the extensive body of evidence about the product in the BLA.</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A CRL generally outlines the deficiencies in the submission and may require substantial additional testing or information in order for the FDA to reconsider the application. The deficiencies identified may be minor, for example, requiring labeling changes; or major, for example, requiring additional clinical trials. Additionally, the CRL may include recommended actions that the sponsor might take to place the application in a condition for approval. If a CRL is issued, the sponsor may either resubmit the BLA, addressing all of the deficiencies identified in the letter, or withdraw the application. For those seeking to challenge FDA’s CRL decision, the agency has indicated that sponsors may request a formal hearing on the CRL or they may file a request for reconsideration or a request for a formal dispute resolution. While CRLs were previously treated by the FDA as confidential and were only disclosed in action packages for approved products, the FDA announced in September 2025 that it will now release CRLs promptly after they are issued to sponsors. Since that announcement, the FDA has posted a number of CRLs on its website.</w:t>
      </w:r>
    </w:p>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FDA will issue an approval letter.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designed to further assess a biologic product’s safety, purity and potency, and testing and surveillance programs to monitor the safety of approved products that have been commercialized.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100"/>
        <w:spacing w:after="0" w:line="258" w:lineRule="auto"/>
        <w:rPr>
          <w:sz w:val="20"/>
          <w:szCs w:val="20"/>
          <w:color w:val="auto"/>
        </w:rPr>
      </w:pPr>
      <w:r>
        <w:rPr>
          <w:rFonts w:ascii="Times New Roman" w:cs="Times New Roman" w:eastAsia="Times New Roman" w:hAnsi="Times New Roman"/>
          <w:sz w:val="18"/>
          <w:szCs w:val="18"/>
          <w:color w:val="auto"/>
        </w:rPr>
        <w:t>The FDA has agreed to specified performance goals in the review of BLAs under the PDUFA. One such goal is to review standard BLAs in ten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and the companion Health Care and Education Reconciliation Act (“Health Care Reform Law”), which was signed into law on March 23, 2010, included a subtitle called the Biologics Price Competition and Innovation Act of 2009 (“BPCIA”). That Act established a regulatory scheme authorizing the FDA to approve biosimilars and interchangeable biosimilars. To date, the FDA has approved a number of biosimilars and it has also issued numerous guidance documents outlining its approach to reviewing and licensing biosimilars and interchangeable biosimilars under the PHS Act.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FDA may approve multiple first interchangeable biosimilar biological products so long as the products are all approved on the first day on which such a product is approved as interchangeable with the reference product.</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first licensure of the reference product. The FDA may not approve a biosimilar product until 12 years from the date on which the reference product was first licensed. Even if a product is considered to be a reference product eligible for regulatory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There have been recent government proposals to reduce the 12-year reference product regulatory exclusivity period, but none has been enacted to date. Since passage of the BPCIA, many states have passed laws or amendments to laws, which address pharmacy practices involving biosimilar products.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27, 2020 (enacted as part of the Consolidated Appropriations Act, 2021), the “patent dance”lists became public information as listed in the Purple Book (FDA’s “Database of Licensed Biological Products”). In particular, reference product BLA holders must submit to the FDA within 30 days of exchanging a patent list (patents with expiry dates) with a biosimilar applicant, as well as any supplemental lists. This information was previously maintained as confidential as between the BLA holder and biosimilar applicant. Despite publication of these lists, a BLA holder may assert other patents against future filers, and does not exclude enforcement of newly granted patents.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under the Act, the FDA must now publish in the Purple Book the following information about patented biological products:</w:t>
      </w:r>
    </w:p>
    <w:p>
      <w:pPr>
        <w:spacing w:after="0" w:line="117"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each biological product, by nonproprietary name, for which a biologics license is in effect;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licensure and the application number;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licensure status and, as available, the marketing status;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must publish in the Purple Book all of the above information in the first instance within 180 days of enactment and update every 30 days.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Pediatric exclusivity is another type of non-patent exclusivity in the United States and, if granted, provides for the attachment of an additional six months of regulatory exclusivity to the term of any existing regulatory exclusivity, including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product and orphan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regulatory exclusivity period during which the FDA will not approve a biosimilar application.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if the party holding the exclusivity fails to assure the availability of sufficient quantities of the drug to meet the needs of patients with the disease or condition for which the drug was designated. In addition, the FDA may not approve other applications to market the same drug or biologic product for the same indication for seven years unless the sponsor of the other product demonstrates that its product is clinically superior to the product with orphan drug exclusivity. Under Omnibus legislation enacted in December 2020, this clinical superiority requirement applies to drugs and biologics that received orphan drug designation before enactment of the FDA Reauthorization Act in 2017, but have not yet been approved or licensed by FDA.</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Orphan exclusivity does not block the approval of a different product for the same rare disease or condition, nor does it block the approval of the same product for different indications. In particular, the concept of what constitutes the “same drug” for purposes of orphan drug exclusivity remains in flux in the context of gene therapies, and the FDA issued final guidance in September 2021 suggesting that it would not consider two gene therapy products to be different drugs solely based on minor differences in the transgenes or capsids. If a product designated as an orphan drug ultimately receives marketing approval for an indication broader than what was designated in its orphan drug application, it may not be entitled to exclusivity. Orphan medicinal product status in the European Union has similar, but not identical, benefits.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In February 2025, in a case challenging the scope of orphan drug exclusivity, a federal district court in Washington, D.C. fully embraced the reasoning of a prior decision from the Court of Appeals for the 11th Circuit holding that the term “same disease or condition” in the statute means the designated “rare disease or condition” and could not be interpreted by the FDA to mean the “indication or use.” In April 2025, the FDA appealed this decision to the U.S. Court of Appeals for the D.C. Circuit. The implications of this decision, and its impact on the FDA’s implementation of the Orphan Drug Act, are unclear at this point.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BLAs in several ways. 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w:t>
      </w:r>
    </w:p>
    <w:p>
      <w:pPr>
        <w:spacing w:after="0" w:line="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52" w:lineRule="exact"/>
        <w:rPr>
          <w:sz w:val="20"/>
          <w:szCs w:val="20"/>
          <w:color w:val="auto"/>
        </w:rPr>
      </w:pPr>
    </w:p>
    <w:p>
      <w:pPr>
        <w:jc w:val="both"/>
        <w:ind w:left="900" w:right="60" w:hanging="383"/>
        <w:spacing w:after="0" w:line="26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life-threatening disease or condition and preliminary clinical evidence must indicate that such product candidates may demonstrate substantial improvement on one or more clinically significant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ind w:left="900" w:right="360"/>
        <w:spacing w:after="0" w:line="266" w:lineRule="auto"/>
        <w:rPr>
          <w:sz w:val="20"/>
          <w:szCs w:val="20"/>
          <w:color w:val="auto"/>
        </w:rPr>
      </w:pPr>
      <w:r>
        <w:rPr>
          <w:rFonts w:ascii="Times New Roman" w:cs="Times New Roman" w:eastAsia="Times New Roman" w:hAnsi="Times New Roman"/>
          <w:sz w:val="18"/>
          <w:szCs w:val="18"/>
          <w:color w:val="auto"/>
        </w:rPr>
        <w:t>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66" w:lineRule="exact"/>
        <w:rPr>
          <w:sz w:val="20"/>
          <w:szCs w:val="20"/>
          <w:color w:val="auto"/>
        </w:rPr>
      </w:pPr>
    </w:p>
    <w:p>
      <w:pPr>
        <w:ind w:left="900" w:right="20" w:hanging="383"/>
        <w:spacing w:after="0" w:line="25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FDA aims to complete its review of priority review applications within six months as opposed to 10 months for standard review.</w:t>
      </w:r>
    </w:p>
    <w:p>
      <w:pPr>
        <w:spacing w:after="0" w:line="74" w:lineRule="exact"/>
        <w:rPr>
          <w:rFonts w:ascii="Times New Roman" w:cs="Times New Roman" w:eastAsia="Times New Roman" w:hAnsi="Times New Roman"/>
          <w:sz w:val="18"/>
          <w:szCs w:val="18"/>
          <w:color w:val="auto"/>
        </w:rPr>
      </w:pPr>
    </w:p>
    <w:p>
      <w:pPr>
        <w:ind w:left="900" w:right="100" w:hanging="383"/>
        <w:spacing w:after="0" w:line="25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 products studied for their safety and effectiveness in treating serious or life-threatening illnesses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78" w:lineRule="exact"/>
        <w:rPr>
          <w:rFonts w:ascii="Times New Roman" w:cs="Times New Roman" w:eastAsia="Times New Roman" w:hAnsi="Times New Roman"/>
          <w:sz w:val="18"/>
          <w:szCs w:val="18"/>
          <w:color w:val="auto"/>
        </w:rPr>
      </w:pPr>
    </w:p>
    <w:p>
      <w:pPr>
        <w:ind w:left="9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passage of FDORA,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if certain conditions are not met, including where the confirmatory trial fails to verify the product’s clinical benefit or where evidence demonstrates the product is not shown to be safe or effective under the conditions of use. The FDA may also use such procedures to withdraw an accelerated approval if a sponsor fails to conduct any required post-approval trial of the product with due diligence, including with respect to “conditions specified by the Secretary.” The new procedures include the provision of due notice and an explanation for a proposed withdrawal, and opportunities for a meeting with the FDA Commissioner or the Commissioner’s designee and a written appeal, among other things. In March 2023, the FDA issued draft guidance that outlines its current thinking and approach to accelerated approval. Subsequently, in December 2024 and January 2025, the FDA issued additional draft guidance relating to accelerated approval. This guidance describes the FDA’s views on what it means to conduct a confirmatory trial with due diligence and how the agency plans to interpret whether such a study needs to be underway at the time of approval. While this guidance is currently only in draft form and will ultimately not be legally binding even when finalized, sponsors typically observe the FDA’s guidance closely to ensure that their investigational products qualify for accelerated approval.</w:t>
      </w:r>
    </w:p>
    <w:p>
      <w:pPr>
        <w:spacing w:after="0" w:line="87" w:lineRule="exact"/>
        <w:rPr>
          <w:rFonts w:ascii="Times New Roman" w:cs="Times New Roman" w:eastAsia="Times New Roman" w:hAnsi="Times New Roman"/>
          <w:sz w:val="18"/>
          <w:szCs w:val="18"/>
          <w:color w:val="auto"/>
        </w:rPr>
      </w:pPr>
    </w:p>
    <w:p>
      <w:pPr>
        <w:ind w:left="900" w:right="180" w:hanging="383"/>
        <w:spacing w:after="0" w:line="25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Regenerative advanced therapy. </w:t>
      </w:r>
      <w:r>
        <w:rPr>
          <w:rFonts w:ascii="Times New Roman" w:cs="Times New Roman" w:eastAsia="Times New Roman" w:hAnsi="Times New Roman"/>
          <w:sz w:val="18"/>
          <w:szCs w:val="18"/>
          <w:color w:val="auto"/>
        </w:rPr>
        <w:t>With passage of the Cures Act in December 2016, Congress authorized the FDA to accelerate review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 Even if a product candidate qualifies for one or more of these designations or programs, there is no guarantee it would result in approval of our marketing applications or that such approval, if granted, would be on an expedited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 2012, Congress enacted the FDASIA, requiring the FDA to award priority review vouchers (“PRVs”) to sponsors of certain rare pediatric disease product applications. This program is designed to encourage development of new drug and biological products for prevention and treatment of “rare pediatric diseases” by, upon initial approval of an application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240"/>
        <w:spacing w:after="0" w:line="258" w:lineRule="auto"/>
        <w:rPr>
          <w:sz w:val="20"/>
          <w:szCs w:val="20"/>
          <w:color w:val="auto"/>
        </w:rPr>
      </w:pPr>
      <w:r>
        <w:rPr>
          <w:rFonts w:ascii="Times New Roman" w:cs="Times New Roman" w:eastAsia="Times New Roman" w:hAnsi="Times New Roman"/>
          <w:sz w:val="18"/>
          <w:szCs w:val="18"/>
          <w:color w:val="auto"/>
        </w:rPr>
        <w:t>meeting certain specified criteria, providing companies with a voucher that can be redeemed to receive a priority review of a subsequent marketing application for a different product. The sponsor of a rare pediatric disease product receiving a PRV may sell or otherwise transfer the voucher to another company. The voucher may be further transferred any number of times before the voucher is used, as long as the sponsor making the transfer has not yet submitted an application relying on the priority review voucher. The FDA may also revoke any PRV if the rare pediatric disease product for which the voucher was awarded is not marketed in the United States within one year following the date of approval.</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receive a PRV upon BLA approval, the product must receive designation from the FDA as a product for a rare pediatric disease prior to submission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PRV,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Rare Pediatric Disease PRV program was scheduled to expire after September 30, 2020. After that, only drugs designated as rare pediatric treatments and approved by the FDA by October 1, 2022, could receive a voucher. In December 2020, however, Congress renewed the program as part of the 2021 Coronavirus Response and Relief Supplemental Consolidated Appropriations Act through the federal fiscal year 2024. Thus, under the current statutory sunset provisions, FDA may only award PRVs for approved rare pediatric disease product applications if sponsors have rare pediatric disease designation for the drug granted by September 30, 2024. The FDA may not award any rare pediatric disease PRVs after September 30,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Commissioner’s National Priority Voucher</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June 2025, the FDA created a new voucher program called the Commissioner’s National Priority Voucher (“CNPV”), to expedite the development and approval of new drug products. Vouchers may reportedly be redeemed by sponsors to shorten the review time of a BLA from approximately 10-12 months to 1-2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1-day meeting.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After regulatory approval of a product is obtained, there may be a number of post-approval requirements. For example, as a condition of approval of a BLA, the FDA may require post-marketing testing and surveillance 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Changes to the manufacturing process are strictly regulated, and, depending on the significance of the change, may require prior regulatory approval before being implemented. Regulations also require investigation and correction of any deviations from cGMP and impose reporting and documentation requirements upon us and any third-party manufacturers that we may decide to use. The FDA periodically inspects manufacturing facilities to assess compliance with cGMP requirements, which impose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although physicians may prescribe legally available products for unapproved uses or patient populations, which are commonly referred to as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FDA will consider in determining the intended use of a biologic. If a company is found to have promoted off-label uses, it may become subject to administrative and judicial enforcement by the FDA, the Department of Justice (“DOJ”),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0"/>
        <w:spacing w:after="0" w:line="221" w:lineRule="exact"/>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misleading communication regarding off-label information, such as distributing scientific or medical journal information.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and its implementing regulations, as well as the Drug Supply Chain Security Act (“DSCSA”), which regulate the distribution and tracing of prescription drug samples at the federal level, and set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 Manufacturers were required by November 2023 to have such systems and processes in place to comply with the DSCSA, but, so as not to disrupt supply chains, the FDA has granted certain exemptions from enhanced drug distribution security requirements for eligible trading partners for particular periods of time. For wholesale drug distributors, the final DSCSA deadline was August 27, 2025, marking the date for mandatory transition to a fully electronic, interoperable system for tracking prescription drugs at the package level throughout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terms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the application for the extension must be submitted prior to the expiration of the patent, and only those claims covering the approved drug, a method for using it or a method for manufacturing it may be extended. Moreover, a given patent may only be extended once based on a single product. The USPTO in consultation with the FDA, reviews and approves the application for any patent term extension or restoration.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Laws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Health Insurance Portability and Accountability Act (“HIPAA”), the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will be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to enforce state privacy and security laws. New laws and regulations governing privacy and security may be adopted in the future as well.</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potential enforcement by HHS, we are also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 Finally, both the FTC and HHS’s enforcement priorities (as well as those of other federal regulators) may be impacted by the change in administration and new leadership. These shifts in enforcement priorities may also impact our business.</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DOJ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(the “CCPA”), which took effect on January 1, 2020, and imposed many requirements on businesses that process the personal information of California residents. Many of the CCPA’s requirements are similar to those found in the General Data Protection Regulation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agency—the California Privacy Protection Agency—whose sole responsibility is to enforce the CPRA, which will further increase compliance risk. The provisions in the CPRA may apply to some of our business activities.</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California, a number of states have passed comprehensive privacy laws similar to the CCPA and CPRA. These laws are either in effect or will go into effect sometime over the next several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that will go into effect over the next several years.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Some states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a manufacturer is subject to a variety of regulations in foreign jurisdictions to the extent it chooses to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Because biologically sourced materials are subject to unique contamination risks, their use may also be restricted in some countries.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7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With the exception of the European Union and European Economic Area (“EEA”), applying the harmonized regulatory rules for medicinal products,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 in the European Union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(“CTR”)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Beyond streamlining the process,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80"/>
        <w:spacing w:after="0" w:line="282" w:lineRule="auto"/>
        <w:rPr>
          <w:sz w:val="20"/>
          <w:szCs w:val="20"/>
          <w:color w:val="auto"/>
        </w:rPr>
      </w:pPr>
      <w:r>
        <w:rPr>
          <w:rFonts w:ascii="Times New Roman" w:cs="Times New Roman" w:eastAsia="Times New Roman" w:hAnsi="Times New Roman"/>
          <w:sz w:val="18"/>
          <w:szCs w:val="18"/>
          <w:color w:val="auto"/>
        </w:rPr>
        <w:t>trial applications. The role of the relevant ethics committees in the assessment procedure will continue to be governed by the national law of the concerned EU Member State. However, overall related timelines will be defined by the CTR.</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7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were governed by said directive until January 31, 2025. Beginning January 31, 2025, all clinical trials (including those which are ongoing) are subject to the provisions of the CTR. The failure to transition ongoing clinical trials to the Clinical Trials Regulation can result in corrective measures under Article 77 of the Clinical Trials Regulation, including revocation of the authorization of the clinical trial or suspension of the clinical trial as well as criminal sanctions and fines under national law of EU Member States.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conducting certain clinical trials must post clinical trial information in the European Union at EudraCT website: </w:t>
      </w:r>
      <w:r>
        <w:rPr>
          <w:rFonts w:ascii="Times New Roman" w:cs="Times New Roman" w:eastAsia="Times New Roman" w:hAnsi="Times New Roman"/>
          <w:sz w:val="18"/>
          <w:szCs w:val="18"/>
          <w:u w:val="single" w:color="auto"/>
          <w:color w:val="auto"/>
        </w:rPr>
        <w:t>https://eudract.ema.europa.eu</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Designation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March 2016, the EMA, launched the PRIority MEdicines (“PRIME”) initiative to foster research and development of medicines that may offer a major therapeutic advantage over existing treatments, or benefit patients without treatment options. PRIME aims to strengthen clinical trial designs to facilitate the generation of high-quality data for the evaluation of an application for marketing authorization. To be accepted for PRIME, a medicine has to show its potential to benefit patients with unmet medical needs based on preclinical and/or early clinical data. These medicines are considered priority medicines within the European Union.</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After an investigational candidate has been selected for PRIME, developers are assigned a rapporteur from the Committee for Human Medicinal Products (“CHMP”), to provide continuous support and help to build knowledge ahead of a marketing authorization application (“MAA”). A multidisciplinary group of experts will provide broader guidance on the overall development plan and regulatory strategy of the product. Companies are also eligible for accelerated assessment at the time of their regulatory application.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Sponsors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European Union, marketing authorizations for medicinal products may be obtained through several different procedures founded on the same basic regulatory process.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sponsor in response to questions asked by the CHMP. Accelerated evaluation may be granted by the CHMP in exceptional cases. These are defined as circumstances in which a medicinal product is expected to be of a “major public health interest.” Three cumulative criteria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must be fulfilled in such circumstances: the seriousness of the disease, such as severely disabling or life-threatening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EMA’s Committee for Advanced Therapies (“CAT”) is responsible for assessing the quality, safety and efficacy of advanced-therapy medicinal products. Advanced-therapy medical products include gene therapy medicine, somatic 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 guidelines. The EMA may issue new guidelines concerning the development and marketing authorization for somatic cell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candidates, but that remains uncertain at this point.</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MAA. The European Commission grants or refuses marketing authorization in light of the opinion delivered by EMA.</w:t>
      </w:r>
    </w:p>
    <w:p>
      <w:pPr>
        <w:spacing w:after="0" w:line="8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 sponsor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marketing authorization may be granted only to a sponsor established in the European Union. Regulation No. 1901/2006 provides that, prior to obtaining a marketing authorization in the European Union, a sponsor must demonstrate compliance with all measures included in a PIP approved by the PDCO, covering all subsets of the pediatric population, unless the EMA has granted a product-specific waiver, class waiver, or a deferral for one or more of the measures included in the PIP.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Marketing Authorization</w:t>
      </w:r>
    </w:p>
    <w:p>
      <w:pPr>
        <w:spacing w:after="0" w:line="12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specific circumstances, European Union legislation on Conditional Marketing Authorizations for Medicinal Products for Human Use, or conditional marketing authorization,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balance of the product candidate is positive, it is likely that the sponsor will be in a position to provide the required comprehensive clinical trial data, the product fulfills unmet medical needs and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180"/>
        <w:spacing w:after="0" w:line="266" w:lineRule="auto"/>
        <w:rPr>
          <w:sz w:val="20"/>
          <w:szCs w:val="20"/>
          <w:color w:val="auto"/>
        </w:rPr>
      </w:pPr>
      <w:r>
        <w:rPr>
          <w:rFonts w:ascii="Times New Roman" w:cs="Times New Roman" w:eastAsia="Times New Roman" w:hAnsi="Times New Roman"/>
          <w:sz w:val="18"/>
          <w:szCs w:val="18"/>
          <w:color w:val="auto"/>
        </w:rPr>
        <w:t>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Exceptional Circumstances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similar to the conditional marketing authorization as it is reserved to medicinal products to be approved for severe diseases or unmet medical needs and the applicant does not hold the complete data set legally required for the grant of a marketing authorization. However, unlike the conditional marketing authorization, the applicant does not have to provide the missing data and will never have to. Although the marketing authorization “under exceptional circumstances” is granted definitively, the risk-benefit balance of the medicinal product is reviewed annually and the MA is withdrawn in case the risk-benefit ratio is no longer favorable. Under these procedures, before granting the marketing authorization, the EMA or the competent authorities of the EU Member States make an assessment of the risk-benefit balance of the product on the basis of scientific criteria concerning its quality, safety, and efficacy.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8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Orphan medicinal products are eligible for financial incentives such as reduction of fees or fee waivers and are, upon grant of a marketing authorization, entitled to ten years of market exclusivity for the approved therapeutic indication. During this ten year market exclusivity period, the EMA or the competent authorities of the Member States of the European Economic Area,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Products that are granted a marketing authorization with the results of the pediatric clinical trials conducted in accordance with the PIP are eligible for a six 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United Kingdom’s withdrawal from the European Union took place on January 31, 2020. As of January 1, 2021, the Medicines and Healthcare products Regulatory Agency (the “MHRA”) became responsible for supervising medicines and medical devices in Great Britain, comprising England, Scotland and Wales under domestic law whereas Northern Ireland continues to be subject to EU rules under the Northern Ireland Protocol as amended by the “Windsor Framework”. As of January 1, 2025, the MHRA is responsible for approving all medicinal products destined for the UK market (i.e., Great Britain and Northern Ireland), and the EMA will no longer have any role in approving medicinal products destined for Northern Ireland. The MHRA relies on the Human Medicines Regulations 2012 (SI 2012/1916) (as amended) (the “HMR”) as the basis for regulating medicines. The HMR has incorporated into the domestic law the body of EU law instruments governing medicinal products that pre-existed prior to the UK’s withdrawal from the European Union.</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January 1, 2024, a new international recognition procedure (“IRP”) applies which intends to facilitate approval of pharmaceutical products in the UK. The IRP is open to applicants that have already received an authorization for the same product from one of the MHRA’s specified Reference Regulators (“RRs”). The RR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 positive end of procedure outcome is an RR authorization for the purposes of IRP.</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with other issues related to withdrawal of the UK from the European Union, there are open questions about how personal data will be protected in the UK and whether personal information can transfer from the European Union to the UK. Following the withdrawal of the UK from the European Union, the UK Data Protection Act of 2018 applies to the processing of personal data that takes place in the UK and includes parallel obligations to those set forth by the GDPR. While the Data Protection Act of 2018 in the UK that “implements” and complements the GDPR has achieved Royal Assent on May 23, 2018 and is now effective in the UK, it is still unclear whether transfer of data from the EEA to the UK will remain lawful under the GDPR. The UK government has already determined that it considers all EU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European Union to the UK, although this decision may be re-evaluated in the future</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Data Protection Regulation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Compliance with the GDPR will be a rigorous and time-intensive process that may increase the cost of doing business or require companies to change their business practices to ensure full compliance. In July 2020, the Court of Justice of the European Union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spacing w:after="0" w:line="72" w:lineRule="exact"/>
        <w:rPr>
          <w:sz w:val="20"/>
          <w:szCs w:val="20"/>
          <w:color w:val="auto"/>
        </w:rPr>
      </w:pPr>
    </w:p>
    <w:p>
      <w:pPr>
        <w:ind w:right="220"/>
        <w:spacing w:after="0" w:line="219" w:lineRule="exact"/>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certify to the EU-U.S. Data Privacy Framework to rely on it as a valid data transfer mechanism for data transfers from the European Union to the United States. However, some privacy advocacy groups have already suggested that they will be challenging the EU-U.S. Data Privacy Framework. There is currently one pending litigation against the EU-U.S. Data Privacy Framework before the CJEU. If these challenges are successful, they may not only impact the EU-U.S. Data Privacy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right="300"/>
        <w:spacing w:after="0" w:line="288" w:lineRule="auto"/>
        <w:rPr>
          <w:sz w:val="20"/>
          <w:szCs w:val="20"/>
          <w:color w:val="auto"/>
        </w:rPr>
      </w:pPr>
      <w:r>
        <w:rPr>
          <w:rFonts w:ascii="Times New Roman" w:cs="Times New Roman" w:eastAsia="Times New Roman" w:hAnsi="Times New Roman"/>
          <w:sz w:val="18"/>
          <w:szCs w:val="18"/>
          <w:color w:val="auto"/>
        </w:rPr>
        <w:t>Framework, but also further limit the viability of the standard contractual clauses and other data transfer mechanisms. The uncertainty around this issue may further impact our business operations in the EU</w:t>
      </w:r>
      <w:r>
        <w:rPr>
          <w:rFonts w:ascii="Times New Roman" w:cs="Times New Roman" w:eastAsia="Times New Roman" w:hAnsi="Times New Roman"/>
          <w:sz w:val="19"/>
          <w:szCs w:val="19"/>
          <w:color w:val="auto"/>
        </w:rPr>
        <w:t>.</w:t>
      </w:r>
    </w:p>
    <w:p>
      <w:pPr>
        <w:spacing w:after="0" w:line="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Following the withdrawal of the United Kingdom from the European Union, the U.K. Data Protection Act 2018 applies to the processing of personal data that takes place in the United Kingdom and includes parallel obligations to those set forth by GDPR, including in relation to data transfers.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75" w:lineRule="exact"/>
        <w:rPr>
          <w:sz w:val="20"/>
          <w:szCs w:val="20"/>
          <w:color w:val="auto"/>
        </w:rPr>
      </w:pPr>
    </w:p>
    <w:p>
      <w:pPr>
        <w:ind w:left="900" w:right="8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900" w:right="36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Health Care Reform Law,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other healthcare professionals and teaching hospitals, as well as ownership and investment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challenging the prices charged, examining the medical necessity and reviewing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United States Congress enacted the Health Care Reform Law, which, among other things, includes changes to the coverage and payment for products under government health care programs. In addition, other legislative changes have been proposed and adopted since the Health Care Reform Law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Under current legislation, the actual reductions in Medicare payments may vary up to 4%.</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candidates for which we may obtain regulatory approval or the frequency with which any such candidate is prescribed or used. Indeed, under current legislation, the actual reductions in Medicare payments may vary up to 4%.</w:t>
      </w:r>
    </w:p>
    <w:p>
      <w:pPr>
        <w:spacing w:after="0" w:line="75"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 of 2017 (“TCJA”), Congress repealed the “individual mandate.” The repeal of this provision, which requires most Americans to carry a minimal level of health insurance, became effective in 2019. On June 17, 2021, the U.S. Supreme Court dismissed the most recent judicial challenge to the Patient Protection and Affordable Care Act (“PPACA”) brought by several states without specifically ruling on the constitutionality of the PPACA. Litigation and legislation over the Health Care Reform Law are likely to continue, with unpredictable and uncertain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HHS. Several states have passed laws allowing for the importation of drugs from Canada. Several states have submitted Section 804 Importation Program proposals and are awaiting FDA approval. In January 2024, the FDA approved Florida’s plan for Canadian drug importation. 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w:t>
      </w:r>
    </w:p>
    <w:p>
      <w:pPr>
        <w:spacing w:after="0" w:line="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2" w:name="page43"/>
    <w:bookmarkEnd w:id="42"/>
    <w:p>
      <w:pPr>
        <w:ind w:right="20"/>
        <w:spacing w:after="0" w:line="266" w:lineRule="auto"/>
        <w:rPr>
          <w:sz w:val="20"/>
          <w:szCs w:val="20"/>
          <w:color w:val="auto"/>
        </w:rPr>
      </w:pPr>
      <w:r>
        <w:rPr>
          <w:rFonts w:ascii="Times New Roman" w:cs="Times New Roman" w:eastAsia="Times New Roman" w:hAnsi="Times New Roman"/>
          <w:sz w:val="18"/>
          <w:szCs w:val="18"/>
          <w:color w:val="auto"/>
        </w:rPr>
        <w:t>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(the “IRA”), has been delayed by Congress to January 1, 2032.</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the Department of HHS to implement many of these provisions through guidance, as opposed to regulation, for the initial years.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Medicare Part D drugs in 2027, 15 Medicare Part B or Part D drugs in 2028, and 20 Medicare Part B or Part D drugs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With passage of the One Big Beautiful Bill Act, or OBBBA, in July 2025, Congress extended this exemption to drugs and biologics with multiple orphan drug designations. In August 2024, HHS published the results of the first Medicare drug price negotiations for ten selected drugs that treat a range of conditions and the prices will become effective January 1, 2026. In January 2025, CMS announced the next 15 drug and biologic prices that will be subject to the IRA’s price negotiation provisions. CMS issued a public statement on January 2025, declaring that lowering the cost of prescription drugs is a top priority of the new administration and CMS is committed to considering opportunities to bring greater transparency in the negotiation program.</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$2,000 a year beginning in 2025.</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pharmaceutical companies, also filed lawsuits in various courts with similar constitutional claims against HHS and CMS. HHS has generally won the substantive disputes in these cases, and various federal district court judges have expressed skepticism regarding the merits of the legal arguments being pursued by the pharmaceutical industry. Most of these cases are now on appeal. In October 2024, the Court of Appeals for the Third Circuit heard oral argument in three of these cases, and in April 2025, the U.S. Court of Appeals for the Second Circuit and the U.S. Court of Appeals for the Third Circuit heard arguments in an additional three cases. In May 2025, the U.S. Court of Appeals for the Third Circuit rejected a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Litigation involving these and other provisions of the IRA will continue with unpredictable and uncertain results.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In April 2025, President Trump issued an executive order which directs HHS to take steps to reduce the prices of pharmaceutical products. The executive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drug discount program. Specifically, one provision calls on the Secretary of HHS to determine the hospital acquisition cost for covered outpatient drugs at hospital outpatient departments and to consider and propose any appropriate adjustments for Medicare payment.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8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Further, in May 2025, the President issued an additional executive order calling on pharmaceutical manufacturers to voluntarily reduce the prices of medicines in the United States. The executive order directs the Secretary of HHS to communicate most-favored-nation, or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HHS indicated that the proposed MFN pricing will apply only to brand products without generic or biosimilar competition and the referenced foreign countries will include only those in which the branded product similarly does not have generic or biosimilar competition. HHS also indicated that the MFN target price will be the lowest price in a country that is a member of the Organization for Economic Co-operation and Development, or OECD, with a gross domestic product per capita of at least 60% of the U.S. gross domestic product per capita. Based on previous estimates, there are likely at least 22 OECD countries that would satisfy this criterion. The implications of these actions remain unclear and could result in litigation.</w:t>
      </w:r>
    </w:p>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More recently, in July 2025, the President issued letters to 17 pharmaceutical companies reiterating the requirements of the May 2025 executive order and demanding that such companies extend MFN pricing to Medicaid patients, guarantee MFN pricing for newly-launched drug products, repatriate increased revenues earned abroad to lower prices for American patients and provide for direct purchasing at MFN pricing. The letters also urged these companies to stipulate that they will not offer other developed nations lower prices for new drugs than the prices offered for such products in the United States.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Separately, 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GDP that is at least 60% of the US per capita GDP (an initial list of 19 reference countries is included in the proposed rule). These pilot programs are proposed to go into effect beginning October 1, 2026.</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payors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EU Member States to restrict the range of products for which their national health insurance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60"/>
        <w:spacing w:after="0" w:line="253" w:lineRule="auto"/>
        <w:rPr>
          <w:sz w:val="20"/>
          <w:szCs w:val="20"/>
          <w:color w:val="auto"/>
        </w:rPr>
      </w:pPr>
      <w:r>
        <w:rPr>
          <w:rFonts w:ascii="Times New Roman" w:cs="Times New Roman" w:eastAsia="Times New Roman" w:hAnsi="Times New Roman"/>
          <w:sz w:val="18"/>
          <w:szCs w:val="18"/>
          <w:color w:val="auto"/>
        </w:rPr>
        <w:t>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 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involves the controlled use of hazardous materials, chemicals and viruses.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that attracting, motivating and retaining talented employees is vital to our success. We value the health and wellness of our employees and their families. It is our goal to deliver innovative programs that provide choice, quality and value. We aim to create an equitable, inclusive and empowering environment in which our employees can grow and advance their careers, with the overall goal of developing, expanding and retaining our workforce to support our current pipeline and future business goals. Our success also depends on our ability to attract, engage and retain a talented group of employees. Our efforts to recruit and retain a talented and passionate workforce with different experiences, perspectives and backgrounds include providing competitive compensation and benefits packages.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offer a comprehensive benefits program that provides resources to help employees manage their health, finances, and life outside of work.</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121 full-time employees, including 89 in research and development and 32 in general and administrative positions, and of which 26 of our employees hold Ph.D. or M.D. degrees.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500 Rutherford Avenue, Third Floor, Charlestown, Massachusetts 02129 and our telephone number is (617) 337-4680. Our website address is www.solidbio.com. The information contained in, or accessible through, our website does not constitute a part of this Annual Report on Form 10-K.</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Securities Exchange Act of 1934, as amended (“Exchange Act”) as soon as reasonably practicable after we electronically file such material with, or furnish it to,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common stock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 Requirements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51"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$174.3 million and $124.7 million for the years ended December 31, 2025 and 2024, respectively. As of December 31, 2025, we had an accumulated deficit of $957.8 million. Prior to our acquisition of AavantiBio, Inc. in December 2022 (the “Acquisition”) we devoted substantially all of our efforts to research and development, including clinical development of SGT-001, which we are no longer developing, and preclinical development of SGT-003, as well as to building out our management team and infrastructure. Following the Acquisition, we have devoted our efforts to the research and development of our other Candidates, including clinical development of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SGT-501, as well as building out our management team. We expect that it could be several years before we have a commercialized product, and we may never have a commercialized product. We expect to incur significant expenses and operating losses for the foreseeable future. We anticipate that our expenses will increase substantially if, and as, we:</w:t>
      </w:r>
    </w:p>
    <w:p>
      <w:pPr>
        <w:spacing w:after="0" w:line="90" w:lineRule="exact"/>
        <w:rPr>
          <w:sz w:val="20"/>
          <w:szCs w:val="20"/>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participants in our INSPIRE DUCHENNE, IMPACT DUCHENNE, FALCON and ARTEMIS trials and advance clinical development of SGT-003, SGT-212 and SGT-501;</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arrange manufacturing for larger quantities of our Candidates for preclinical and clinical development and potential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never achieve or maintain profitability. To become and remain profitable, we must develop and eventually commercialize one or more Candidates with significant market potential. This will require us to be successful in a range of challenging activities, and our expenses will increase substantially as we enroll participants in and conduct the INSPIRE DUCHENNE, IMPACT DUCHENNE, FALCON and ARTEMIS trials and continue to develop our pipeline and complete ongoing and planned preclinical studies and clinical trials of our Candidates, obtain marketing approval for our Candidates, develop adjacent technologies such as assays, develop and validate commercial-scale manufacturing processes, manufacture,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ind w:right="80"/>
        <w:spacing w:after="0" w:line="255" w:lineRule="auto"/>
        <w:rPr>
          <w:sz w:val="20"/>
          <w:szCs w:val="20"/>
          <w:color w:val="auto"/>
        </w:rPr>
      </w:pPr>
      <w:r>
        <w:rPr>
          <w:rFonts w:ascii="Times New Roman" w:cs="Times New Roman" w:eastAsia="Times New Roman" w:hAnsi="Times New Roman"/>
          <w:sz w:val="18"/>
          <w:szCs w:val="18"/>
          <w:color w:val="auto"/>
        </w:rPr>
        <w:t>market and sell any future Candidates for which we may obtain marketing approval and satisfy any post-marketing requirements. Moreover, the manufacturing process requires materials which may fluctuate in cost or be limited or unavailable to us, as well as relationships with contract development and manufacturing organizations (“CDMOs”) to facilitate the manufacturing process. We may never succeed in any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conduct clinical trials of, and seek marketing approval for our Candidates. In addition, if we obtain marketing approval for our Candidates, we expect to incur significant expenses related to product sales, marketing, manufacturing and distribution. We also expect to continue to incur additional costs associated with operating as a public company. While we believe that our cash, cash equivalents and available-for-sale securities as of December 31, 2025, together with the net proceeds from our private placement that closed in March 2026, will be sufficient to fund our operating expenses and capital requirements into the first half of 2028, we have based this estimate on assumptions that may prove to be wrong, and we could use our available capital resources sooner than we currently anticipate. In order to continue to operate our business beyond that time, we will need to raise additional funds. However, there can be no assurance that we will be able to generate funds on terms acceptable to us, on a timely basis, or at all. In addition, we anticipate that we will need additional funding to complete the development of our Candidates.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IMPACT DUCHENNE, FALCON and ARTEMIS trials and any future clinical trials of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future Candidates receive marketing approval;</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and collateral consequences related thereto.</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Identifying potential candidates and conducting preclinical testing and clinical trials is a time-consuming, expensive and uncertain process that takes years to complete, and we may never generate the necessary data or results required to submit a Biologics License Application (“BLA”) or obtain marketing approval and achieve product sales. In addition, our Candidates, if approved, may not achieve commercial success. Our product revenue, if any, will be derived from or based on sales of our Candidates that may not be commercially available for many years, if at all. Accordingly, we will need to continue to rely on additional financing to achieve our business objectives. Adequate additional financing may not be available to us on acceptable terms, or at all, and may be impacted by the economic climate and market conditions. Our ability to raise additional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80"/>
        <w:spacing w:after="0" w:line="256" w:lineRule="auto"/>
        <w:rPr>
          <w:sz w:val="20"/>
          <w:szCs w:val="20"/>
          <w:color w:val="auto"/>
        </w:rPr>
      </w:pPr>
      <w:r>
        <w:rPr>
          <w:rFonts w:ascii="Times New Roman" w:cs="Times New Roman" w:eastAsia="Times New Roman" w:hAnsi="Times New Roman"/>
          <w:sz w:val="18"/>
          <w:szCs w:val="18"/>
          <w:color w:val="auto"/>
        </w:rPr>
        <w:t>funds may be adversely impacted by general economic conditions, both inside and outside the U.S., including disruptions to, and instability and volatility in, the credit and financial markets in the U.S. and worldwide, heightened inflation, interest rate and currency rate fluctuations, global trade programs, tariffs and economic slowdown or recession as well as concerns related to public health emergencies or pandemics and geopolitical events, including civil or political unrest. In addition, market instability and volatility, high levels of inflation and interest rate fluctuations may increase our cost of financing or restrict our access to potential sources of future liquidity. Alternatively, we may seek additional capital due to favorable market conditions or strategic considerations, even if we believe we have sufficient funds for our current or future operating plans.</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Candidates.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Candidates, or grant licenses on terms unfavorable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do not expect to do so for the foreseeable future, if ever.</w:t>
      </w:r>
    </w:p>
    <w:p>
      <w:pPr>
        <w:spacing w:after="0" w:line="121"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Our ability to generate revenue from product sales and achieve profitability depends on our ability, alone or with collaborative partners, to successfully complete the development of, and obtain the regulatory approvals necessary to commercialize our Candidates. We do not anticipate generating revenue from product sales for the foreseeable future, if ever. Our ability to generate future revenue from product sales depends heavily on our success in:</w:t>
      </w:r>
    </w:p>
    <w:p>
      <w:pPr>
        <w:spacing w:after="0" w:line="50"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development of our Candidates in a timely and successful manner;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any of our Candidates for which we complete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Candidates for which we obtain regulatory and marketing approval by establishing a sales force and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a commercially viable, sustainable, scalable, reproducible and transferable manufacturing process for our Candidates that is compliant with cGMPs;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terms of cost, amount and quality, products and services to support clinical development and the commercial demand for our Candidates, if approved;</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if and when approved, of our Candidates as a viable treatment option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900" w:right="8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coverage and adequate reimbursement by government and third-party payors for our Candidates both in the U.S. and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trademarks, trade secrets and know-how;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intellectual property infringement, misappropriation and other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for our stockholders to evaluate the success of our business to date and to assess our future viability.</w:t>
      </w:r>
    </w:p>
    <w:p>
      <w:pPr>
        <w:spacing w:after="0" w:line="13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business planning, raising capital, acquiring rights to our technology, conducting research and development activities, establishing research and development collaborations, identifying and acquiring Candidates, establishing manufacturing arrangements, undertaking preclinical studies and clinical trials, and licensing of our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capsid. As a company, we have limited experience in clinical development. We have not yet demonstrated the ability to complete clinical trials of any Candidate, obtain marketing approvals, manufacture at commercial-scale or conduct sales and marketing activities necessary for successful commercialization. Consequently, any predictions our stockholders make about our prospects may not be as accurate as they could be if we had a longer operating history or prior experience integrating acquired businesses into our existing business.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harm our business, financial condition or results of operations.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harmed by general conditions in the global economy and in the global financial markets. A severe or prolonged economic downturn, including the impact of increased interest rates and inflation, and global trade programs and tariffs, could result in a variety of risks to our business, including weakened demand for our Candidates and our ability to raise additional capital when needed on acceptable terms, if at all. A weak or declining economy could strain our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a portion of our cash and cash equivalents that we use to meet our working capital and operating expense needs in deposit accounts that could be adversely affected if the financial institutions holding such funds fail.</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hold a portion of our cash and cash equivalents that we use to meet our working capital and operating expense needs in deposit accounts at multiple financial institutions. The balance held in these accounts may exceed the Federal Deposit Insurance Corporation (“FDIC”) standard deposit insurance limit of $250,000.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including payroll obligations.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example, on March 10, 2023, Silicon Valley Bank (“SVB”) and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and operating expenses were to fail, we cannot provide any assurances that such governmental agencies would take action to protect our uninsured deposits or investments in a similar manner.</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also maintain investment accounts with other financial institutions in which we hold our investments and marketable securities and, if access to the funds we use for working capital and operating expenses is impaired, we may not be able to sell investments or transfer funds from our investment accounts to other operating accounts on a timely basis sufficient to meet our operating expense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Candidates</w:t>
      </w:r>
    </w:p>
    <w:p>
      <w:pPr>
        <w:spacing w:after="0" w:line="117" w:lineRule="exact"/>
        <w:rPr>
          <w:sz w:val="20"/>
          <w:szCs w:val="20"/>
          <w:color w:val="auto"/>
        </w:rPr>
      </w:pPr>
    </w:p>
    <w:p>
      <w:pPr>
        <w:ind w:right="8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pipeline of gene transfer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future success depends on our successful development of our Candidates. Our risk of failure is high. We had experienced problems and delays in developing SGT-001, which we are no longer developing, and may in the future experience problems or delays in developing our Candidates. Any such problems or delays would cause unanticipated costs, and any development problems may not be solved. For example, we or another party may uncover a previously unknown risk associated with our Candidates, the AAV capsid, construct or other issues resulting in toxicity or lack of efficacy that may be more problematic than we currently believe and this may prolong the period of observation required for obtaining, or result in the failure to obtain, regulatory approval or may necessitate additional clinical testing.</w:t>
      </w:r>
    </w:p>
    <w:p>
      <w:pPr>
        <w:spacing w:after="0" w:line="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our ability to conduct and complete our preclinical development testing and studies is contingent on our ability to source animals and other supplies required for the conduct of such testing and studies and the performance of animal models.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9" w:name="page50"/>
    <w:bookmarkEnd w:id="49"/>
    <w:p>
      <w:pPr>
        <w:ind w:right="40"/>
        <w:spacing w:after="0" w:line="253" w:lineRule="auto"/>
        <w:rPr>
          <w:sz w:val="20"/>
          <w:szCs w:val="20"/>
          <w:color w:val="auto"/>
        </w:rPr>
      </w:pPr>
      <w:r>
        <w:rPr>
          <w:rFonts w:ascii="Times New Roman" w:cs="Times New Roman" w:eastAsia="Times New Roman" w:hAnsi="Times New Roman"/>
          <w:sz w:val="18"/>
          <w:szCs w:val="18"/>
          <w:color w:val="auto"/>
        </w:rPr>
        <w:t>If we are unable to obtain all necessary animals and other supplies required for the conduct of our preclinical testing and studies, or the animal models do not perform as expected, we may be unable to complete such preclinical development testing and studies in a timely manner or at all. For example, some of our IND-enabling toxicology and other studies require certain NHPs that may be imported from countries in which trade relation with the U.S. are or may become challenging or through vendors who may not be able to timely source certain NHPs or at all, which may impair our ability to complete preclinical development testing and studies to support IND or similar applications or delay submission of such applications. Additionally, we may fail to demonstrate adequate Candidate efficacy and/or safety as required by regulatory authorities. We may fail to access relevant, adequate, or necessary animal models, including genetic models of disease and non-human primates in particular, for use in such studies as requested by regulatory authorities. We may also experience substantial delays as a result of our reliance on contract research organizations (“CROs”) to conduct all animal model experimentation necessary to assess the efficacy and safety of our Candidates. Any of these factors may result in delays to Candidate progression, inability to obtain regulatory approval, and/or substantial increases in Candidate development costs.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product specifications and the clinical trial requirements of the FDA, the European Commission, the European Medicines Agency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a limited number of gene transfer products have been approved for commercialization in the United States and the European Union. As a result, it is difficult to determine how long it will take or how much it will cost to obtain regulatory approvals for our gene transfer Candidates in either the United States or the European Union, if at all. Approvals by the European Commission may not be indicative of what the FDA may require for approval and vice versa.</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Candidates may cause undesirable side effects or have other properties that could delay or prevent their clinical development, regulatory approval, limit their commercial potential or result in significant negative consequences following any potential marketing approval.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conduct of clinical trials, participants may experience changes in their health, including illnesses, injuries, discomforts or a fatal outcome. Often, it is not possible to determine whether the Candidate being studied caused these conditions. For instance, we reported a serious adverse event in IGNITE DMD, which resulted in a clinical hold in November 2019, which has since been resolved. In April 2021, a participant treated with SGT-001 in IGNITE DMD experienced a systemic inflammatory response classified as a serious adverse event and considered by the investigator to be drug related. In addition, there has been one treatment-related serious adverse event reported in the INSPIRE DUCHENNE trial, identified as a Grade 3 immune-mediated myositis</w:t>
      </w:r>
      <w:r>
        <w:rPr>
          <w:rFonts w:ascii="Times New Roman" w:cs="Times New Roman" w:eastAsia="Times New Roman" w:hAnsi="Times New Roman"/>
          <w:sz w:val="18"/>
          <w:szCs w:val="18"/>
          <w:u w:val="single" w:color="auto"/>
          <w:color w:val="auto"/>
        </w:rPr>
        <w: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it is possible that as we test Candidates in larger, longer and more extensive clinical programs, or as use of these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trials or, in some cases, after they are made available to patients on a commercial scale after approval. If additional clinical experience indicates that a Candidate has side effects or causes serious or life-threatening side effects, the development of the Candidate may fail or be delayed, or, if the Candidate has received regulatory approval, such approval may be withdrawn.</w:t>
      </w:r>
    </w:p>
    <w:p>
      <w:pPr>
        <w:spacing w:after="0" w:line="7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reported cases of leukemia and death seen in other clinical trials. The FDA convened the Cellular, Tissue, and Gene Therapies Advisory Committee in September 2021 to discuss toxicity risks of AAV based gene therapy products and discussed risks including oncogenicity risks due to capsid genome integration, hepatotoxicity, thrombotic microangiopathy, and neurotoxicity (especially related to dorsal root ganglion toxicity). While new recombinant capsids have been developed with the intent to reduce these side effects, gene therapy is still a relatively new approach to disease treatment and additional adverse side effects could develop. There have been reports of significant adverse side effects, including muscle weakness, myocarditis, and acute liver injury, in clinical trials of other gene therapy treatments for Duchenne that may be related to the type and location of the specific gene mutation causing the disease. In another gene therapy treatment, there have been reports of AAV mediated acute liver failure leading to death in non-ambulatory boys with Duchenne in the setting of commercially available product.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capsids for gene therapy, some subjects experienced the development of a positive ELISPOT test associated with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responses, which is of unclear clinical translatability. If T-cells are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100"/>
        <w:spacing w:after="0" w:line="266" w:lineRule="auto"/>
        <w:rPr>
          <w:sz w:val="20"/>
          <w:szCs w:val="20"/>
          <w:color w:val="auto"/>
        </w:rPr>
      </w:pPr>
      <w:r>
        <w:rPr>
          <w:rFonts w:ascii="Times New Roman" w:cs="Times New Roman" w:eastAsia="Times New Roman" w:hAnsi="Times New Roman"/>
          <w:sz w:val="18"/>
          <w:szCs w:val="18"/>
          <w:color w:val="auto"/>
        </w:rPr>
        <w:t>activated, the cellular immune response system may trigger the removal of transduced cells. If our gene transfer Candidates demonstrate a similar effect or other undesirable side effects, we may decide or be required to halt or delay further clinical development of our Candidates involving AAV capsids for gene therapy.</w:t>
      </w:r>
    </w:p>
    <w:p>
      <w:pPr>
        <w:spacing w:after="0" w:line="6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Adverse side effects may be observed following administration of any AAV gene therapy, including SGT-003 or other Candidates. Not all contemplated AAV delivery systems have been validated in human clinical trials previously, such as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a novel capsid. If a delivery system does not meet the safety criteria or cannot provide the desired efficacy results, then we may be forced to suspend or terminate our development of SGT-003 or other Candidates. If certain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SGT-003 or other Candidates for any or all targeted indications. Even if we are able to demonstrate that any serious adverse events are not product-related, such occurrences could affect participant recruitment or the ability of enrolled participants to complete the clinical trial. Participants will also create antibodies to the AAV capsid and a second administration of gene transfer might not be safe or successful.</w:t>
      </w:r>
    </w:p>
    <w:p>
      <w:pPr>
        <w:spacing w:after="0" w:line="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if one or more of our Candidates receive marketing approval, the FDA could require us to adopt a Risk Evaluation and Mitigation Strategy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our Candidates, several potentially significant negative consequences could result, including:</w:t>
      </w:r>
    </w:p>
    <w:p>
      <w:pPr>
        <w:spacing w:after="0" w:line="72"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Candidate;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prior clinical trials had been placed on clinical hold by the FDA in the past, and we cannot guarantee that similar events will not happen in ongoing, planned and future clinical trials for our Candidates.</w:t>
      </w:r>
    </w:p>
    <w:p>
      <w:pPr>
        <w:spacing w:after="0" w:line="5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November 2019, the FDA placed a clinical hold on our clinical trial of SGT-001 following a serious adverse event in IGNITE DMD. The third participant in the 2E14 vg/kg cohort of IGNITE DMD, dosed in late October 2019, experienced a serious adverse event deemed related to the study drug that was characterized by complement activation, thrombocytopenia, decrease in red blood cell count, acute kidney injury, and cardio-pulmonary insufficiency. In April 2021, an eighth participant was treated with SGT-001. The participant experienced a systemic inflammatory response which has since fully resolved. The event was classified as a serious adverse event and considered by the investigator to be drug related. While SGT-003 utilizes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 a different capsid than was utilized in SGT-001, and includes other changes to the construct and manufacturing process to help avoid or mitigate any such events, we cannot guarantee that similar serious adverse events or clinical holds will not happen in ongoing and future clinical trials of SGT-003. We also cannot guarantee that similar serious adverse events or clinical holds will not happen in planned and future clinical trials of any of our other Candidates.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Delays in the completion of, or our inability to conduct, any clinical trial of SGT-003 or any other Candidate, as a result of similar serious adverse events or clinical holds or otherwise, will increase our costs, slow down or cease our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SGT-003 or other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completed a clinical trial and may be unable to do so for any Candidate, including SGT-003, SGT-212, SGT-501 and other Candidates.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never completed a clinical trial. We are conducting our INSPIRE DUCHENNE trial of SGT-003, our IMPACT DUCHENNE trial of SGT-003, our FALCON trial of SGT-212 and our ARTEMIS trial of SGT-501. Our other current Candidates are still in the preclinical and discovery stages of development. Preclinical studies involve a lengthy and expensive process with an uncertain outcome. There are many potential preclinical models to test for different disease states, and we could fail to choose the best or a predictive preclinical model to determine proof of concept and potential safety and efficacy of our Candidates. We may decide to suspend further testing on our Candidates or technologies if, in the judgment of our management and advisors, the preclinical test results do not support further development.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We will need to successfully initiate our planned clinical trials and complete our ongoing clinical trials in order to obtain FDA approval to market SGT-003, SGT-212, SGT-501 and other Candidates. We have limited experience in preparing, submitting and prosecuting regulatory submissions, and have not previously submitted a BLA for any Candidate. We cannot be sure that submission of an IND will result in the FDA allowing clinical trials to begin or to begin as proposed, or that, once begun, issues will not arise that suspend or terminate such clinical trials. Carrying out later-stage clinical trials and the submission of a successful BLA is a complicated process. This may be particularly true for design of a pivotal trial for the treatment of Duchenne as the FDA has not given clear guidance as to the necessary endpoints for approval of a treatment for Duchenne. In addition, we cannot be certain how many clinical trials of SGT-003, SGT-212, SGT-501 or other Candidates will be required or how such trials should be designed. Consequently, we may be unable to successfully and efficiently execute and complete necessary clinical trials in a way that leads to BLA submission and approval of SGT-003, SGT-212, SGT-501 or other Candidates. We may require more time and incur greater costs than our competitors and may not succeed in obtaining regulatory approvals of Candidates that we develop. Failure to commence or complete, or delays in, clinical trials could prevent us from or delay us in commercializing SGT-003, SGT-212, SGT-501 and other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results from future clinical trials and are not necessarily indicative of final results. Our preclinical studies for certain Candidates in animals have been limited.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studies and clinical trials are subject to varying interpretations, which may delay, limit or prevent regulatory approval. We also may experience regulatory delays or rejections as a result of many factors, including due to changes in regulatory policy during the period of our Candidate development. Our Candidates may fail to show the desired safety and efficacy in clinical development despite positive results in preclinical studies. This failure could cause us to abandon any of our Candidates.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may announce or publish preliminary or interim data from clinical trials. Positive preliminary or interim data may not be predictive of such trial’s subsequent or overall results. Preliminary or interim data are subject to the risk that one or more of the outcomes may materially change as more data becomes available. Additionally, preliminary or interim data are subject to the risk that one or more of the biologic or clinical outcomes may materially change as participant enrollment continues and more participant data becomes available. Therefore, positive preliminary or interim data in any ongoing clinical trial, including the INSPIRE DUCHENNE trial, may not be predictive of such results in the completed trial. We also make assumptions, estimations, calculations and conclusions as part of our analyses of data, and we may not have received or had the opportunity to fully evaluate all data. As a result, preliminary or interim data that we report may differ from future results from the clinical trials,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or interim data we previously published. As a result, preliminary or interim data should be viewed with caution until the final data are available. Material adverse changes in the final data compared to preliminary or interim data could significantly harm our business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Candidates, we must conduct extensive clinical trials to demonstrate the safety and efficacy of the Candidate for its intended indications. Clinical testing is expensive, time 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72"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animals in sufficient quantities to run our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appropriate external parties on dose escalation;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participants in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or independent ethics committee approval at each clinical trial site;</w:t>
      </w:r>
    </w:p>
    <w:p>
      <w:pPr>
        <w:spacing w:after="0" w:line="53" w:lineRule="exact"/>
        <w:rPr>
          <w:rFonts w:ascii="Times New Roman" w:cs="Times New Roman" w:eastAsia="Times New Roman" w:hAnsi="Times New Roman"/>
          <w:sz w:val="18"/>
          <w:szCs w:val="18"/>
          <w:color w:val="auto"/>
        </w:rPr>
      </w:pPr>
    </w:p>
    <w:p>
      <w:pPr>
        <w:jc w:val="both"/>
        <w:ind w:left="900" w:right="1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subjects to participate in our clinical trials, including because such trials have restrictive eligibility criteria or may be placebo-controlled trials and participants are not guaranteed to receive treatment with our Candidates, or as a result of alternative therapies or competing trials;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finding suitable animal models to demonstrate a disease specific phenotype;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FDA good clinical practices (“GCPs”) or applicable regulatory guidelines in the European Union and other countries;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Candidates to the clinical sites, including delays by third parties with whom we have contracted to perform certain of those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subjects completing participation in a trial or returning for post-treatment follow-up;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subjects dropping out of a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trial sites or manufacturing facilities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public health emergencies or pandemics or other global instability;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if the results of any clinical trials are inconclusive or if there are safety concerns or serious adverse events associated with our Candidates, we may:</w:t>
      </w:r>
    </w:p>
    <w:p>
      <w:pPr>
        <w:spacing w:after="0" w:line="54"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 or halt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fail in obtaining marketing approval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our products, if approved, are administered;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and held liable for harm caused to participants;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ind w:right="12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testing or marketing approvals. In addition, if we make manufacturing or other changes to our Candidates, we may need to conduct additional studies to bridge our modified Candidates to earlier versions. We do not know whether any of our preclinical studies or clinical trials will begin as planned, will need to be restructured or will be completed on schedule, or at all. We may also determine to change the design or protocol of one or more of our clinical trials, which we have done in the past and which could result in delays. Significant preclinical study or clinical trial delays also could shorten any periods during which we may have the exclusive right to commercialize our Candidates or allow our competitors to bring products to market before we do and impair our ability to successfully commercialize our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third-party clinical trial vendors fail to comply with strict regulations, any clinical trials for our Candidates may be delayed or unsuccessful.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have the personnel capacity to conduct or manage the clinical trials that will be necessary for the development of our Candidates. We are relying on third parties to manage, monitor and conduct our INSPIRE DUCHENNE, IMPACT DUCHENNE, FALCON and ARTEMIS trials and we expect we will rely, on third parties to assist us in managing, monitoring and conducting any planned or future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clinical trials for SGT-003, SGT-212, SGT-501 or other Candidates may be delayed or unsuccessful.</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participants in our clinical trials, which could delay or prevent us from proceeding with clinical trials of SGT-003, SGT-212, SGT-501 or our other Candidates.</w:t>
      </w:r>
    </w:p>
    <w:p>
      <w:pPr>
        <w:spacing w:after="0" w:line="5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Identifying and qualifying participants to participate in any clinical trials of SGT-003, SGT-212, SGT-501 and our other Candidates are critical to our success. Because of our primary focus on rare diseases, we may have difficulty enrolling a sufficient number of eligible participants. The timing of any clinical trials depends on our ability to recruit participants to participate as well as complete required follow-up periods. If participants are unwilling or unable to participate in our gene therapy clinical trials, including because of negative publicity from adverse events related to our Candidates, other approved therapies, or due to competitive clinical trials or approvals for similar participant populations, clinical trials in products employing our capsid or our platform or for other reasons, the timeline for recruiting participants, conducting clinical trials and obtaining regulatory approval of SGT-003, SGT-212, SGT-501 or other Candidates may be delayed. We may also experience delays if participants withdraw from the clinical trial or do not complete the required monitoring period. Furthermore, we may face difficulties in recruiting participants to enroll in, or once enrolled, retaining participants in future clinical trials if they or their caretakers are affected by public health emergencies or pandemics or are fearful of traveling to, or are unable to travel to, our clinical trial sites because of public health emergencies or pandemics or other unforeseen events. These delays could result in increased costs, delays in advancing SGT-003, SGT-212, SGT-501 or other Candidates, delays in testing the effectiveness of our Candidates or termination of clinical trials altogether.</w:t>
      </w:r>
    </w:p>
    <w:p>
      <w:pPr>
        <w:spacing w:after="0" w:line="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participants, or those with required or desired characteristics, to complete any clinical trials in a timely manner. Participant enrollment and trial completion is affected by many factors, including:</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participant population and the process for identifying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including age, size and functional ability and pre-existing antibodies to AAV capsids that preclude subjects from being able to receive AAV-mediated gene transfer;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and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Candidate under study;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therapy-based approaches to the treatment of diseases;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disclosure of data from our completed or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pivotal trials, the risk that participants may opt not to enroll because they are not assured treatment with our Candidate.</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participant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the President earlier in January 2025 on Diversity, Equity and Inclusion programs, the FDA removed the draft DAP guidance from its website. That action, along with similar actions by the current U.S. presidential administration to remove many other healthcare webpages, is currently the subject of ongoing litigation.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plan to conduct clinical trials, including the INSPIRE DUCHENNE, IMPACT DUCHENNE and ARTEMIS trials, with one or more trial sites that are located outside the United States. Although the FDA may accept data from clinical trials conducted at sites outside the United States, acceptance of these data is subject to conditions imposed by the FDA. For example, where data from foreign clinical trial sites are not intended to serve as the sole basis for approval in the United States, the FDA will not accept the data as support for a marketing application unless the clinical trial was well designed and conducted in accordance with GCP requirements. The FDA must also be able to validate the data from the trial through an onsite inspection, if necessary. Where data from foreign clinical trial sites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these clinical trials are subject to the applicable local laws of the jurisdictions where the trials are conducted.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conducting clinical trials outside the United States could have a significant adverse impact on us. Risks inherent in conducting international clinical trials include:</w:t>
      </w:r>
    </w:p>
    <w:p>
      <w:pPr>
        <w:spacing w:after="0" w:line="54" w:lineRule="exact"/>
        <w:rPr>
          <w:sz w:val="20"/>
          <w:szCs w:val="20"/>
          <w:color w:val="auto"/>
        </w:rPr>
      </w:pPr>
    </w:p>
    <w:p>
      <w:pPr>
        <w:ind w:left="900" w:hanging="368"/>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resulting from geopolitical events, such as wars.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EU Clinical Trials Regulation (“CTR”) which was adopted in April 2014 and repeals the EU Clinical Trials Directive, became applicable on January 31, 2022. The CTR aims to simplify and streamline the authorization, conduct and transparency of clinical trials in the European Union. We have only recently secured authorization to conduct clinical trials in the European Union pursuant to the CTR and, accordingly, there is a risk that we may be delayed in commencing any such studies. If we are slow or unable to adapt to changes in existing requirements or the adoption of new requirements or policies governing clinical trials, our development plans may be impacted.</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our Candidates and the approval may be for a narrower indication than we seek.</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cannot commercialize our Candidates until the appropriate regulatory authorities have reviewed and approved the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Further, under the Pediatric Research Equity Act of 2003,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 invalidation of the marketing application, and/or financial penalties. Our collaborators are also subject to similar requirements outside of the United States and the European Union and thus the attendant risks and uncertainties.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we receive regulatory approval, regulatory authorities may approve a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Candidates. Any of the foregoing scenarios could materially harm the commercial prospects for our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Candidate, our Candidates will remain subject to regulatory oversight.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Even if we obtain any regulatory approval for any of our Candidates, we will be subject to ongoing regulatory requirements for manufacturing, labeling, packaging, storage, advertising, promotion, sampling, record-keeping and submission of safety and other post-market information. Any regulatory approvals that we receive for our Candidates may also be subject to a REMS, limitations on the approved indicated uses for which the product may be marketed or conditions of approval, or requirements for potentially costly post-marketing testing and surveillance to monitor the safety, purity, and potency of the biologic product.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filed an amended complaint in the U.S. District Court for the Northern District of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federal District Court in the Eastern District of Missouri. Depending on the outcome of this litigation our ability to develop new drug Candidates and to maintain approval of existing drug products could be delayed, undermined or subject to protracted litigation.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Further, similar restrictions apply to approved products in the European Union.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 Member State laws.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assuming we, or our collaborators, receive marketing approval for one or more of our Candidates, we, and our collaborators, and our and their contract manufacturers will continue to expend time, money and effort in all areas of regulatory compliance, including manufacturing, production, product surveillance and quality control. If we, and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8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Medicines and Healthcare products Regulatory Agency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v. Raimondo</w:t>
      </w:r>
      <w:r>
        <w:rPr>
          <w:rFonts w:ascii="Times New Roman" w:cs="Times New Roman" w:eastAsia="Times New Roman" w:hAnsi="Times New Roman"/>
          <w:sz w:val="18"/>
          <w:szCs w:val="18"/>
          <w:color w:val="auto"/>
        </w:rPr>
        <w:t>, for example, the court overruled</w:t>
      </w:r>
      <w:r>
        <w:rPr>
          <w:rFonts w:ascii="Times New Roman" w:cs="Times New Roman" w:eastAsia="Times New Roman" w:hAnsi="Times New Roman"/>
          <w:sz w:val="18"/>
          <w:szCs w:val="18"/>
          <w:i w:val="1"/>
          <w:iCs w:val="1"/>
          <w:color w:val="auto"/>
        </w:rPr>
        <w:t xml:space="preserve"> Chevron U.S.A., Inc. v. Natural Resources Defense Council, Inc</w:t>
      </w:r>
      <w:r>
        <w:rPr>
          <w:rFonts w:ascii="Times New Roman" w:cs="Times New Roman" w:eastAsia="Times New Roman" w:hAnsi="Times New Roman"/>
          <w:sz w:val="18"/>
          <w:szCs w:val="18"/>
          <w:color w:val="auto"/>
        </w:rPr>
        <w:t>., which for 40 years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the FDA, acted within its statutory authority under the Administrative Procedure Act (the “APA”). Additionally, in </w:t>
      </w:r>
      <w:r>
        <w:rPr>
          <w:rFonts w:ascii="Times New Roman" w:cs="Times New Roman" w:eastAsia="Times New Roman" w:hAnsi="Times New Roman"/>
          <w:sz w:val="18"/>
          <w:szCs w:val="18"/>
          <w:i w:val="1"/>
          <w:iCs w:val="1"/>
          <w:color w:val="auto"/>
        </w:rPr>
        <w:t>Corner Post, Inc. v. Board of Governors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Federal Reserve System</w:t>
      </w:r>
      <w:r>
        <w:rPr>
          <w:rFonts w:ascii="Times New Roman" w:cs="Times New Roman" w:eastAsia="Times New Roman" w:hAnsi="Times New Roman"/>
          <w:sz w:val="18"/>
          <w:szCs w:val="18"/>
          <w:color w:val="auto"/>
        </w:rPr>
        <w:t>, the court held that actions to challenge a federal regulation under the APA can be initiated within six years of the date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Centers for Medicare &amp; Medicaid Services (the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(“HHS”), the FDA, the Federal Trade Commission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of one or more of our Candidates from the FDA, we may never obtain approval for our Candidates outside of the United States, which would limit our market opportunities and adversely affect our business.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Even if we receive FDA approval of one or more of our Candidates in the United States, approval of a Candidate in the United States by the FDA does not ensure approval of such Candidate by regulatory authorities in other countries or jurisdictions, and approval by one foreign regulatory authority does not ensure approval by regulatory authorities in other foreign countries or by the FDA. Future sales of our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If we submit a marketing authorization application (“MAA”) to the EMA for approval of SGT-003, SGT-212, SGT-501 or other Candidates in the European Union,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Candidates in certain countries.</w:t>
      </w:r>
    </w:p>
    <w:p>
      <w:pPr>
        <w:spacing w:after="0" w:line="8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our Candidates may be withdrawn. If we fail to comply with the regulatory requirements, our target market will be reduced, and our ability to realize the full market potential of our Candidates will be harmed.</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MHRA is responsible for approving all medicinal products destined for the UK market (i.e., Great Britain and Northern Ireland), and the EMA will no longer have any role in approving medicinal products destined for Northern Ireland. On April 28, 2025, the United Kingdom Parliament adopted amendments to improve and strengthen the United Kingdom’s clinical trials regulatory regime, which are scheduled to take effect on April 28, 2026. Any delay in obtaining, or an inability to obtain, any marketing authorizations, as a result of Brexit or otherwise, may force us to restrict or delay efforts to seek regulatory approval in the United Kingdom for our Candidates, which could significantly and materially harm our business.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(including potentially reducing the duration of regulatory data protection, revising the eligibility for expedited pathways, etc.) was published on April 26, 2023, with several amendments requested in April 2024. In December 2025, the European Parliament and European Council reached a provisional political agreement on the revision of EU pharmaceutical legislation, which is expected to be adopted by mid-2026. Key changes include updating regulatory data exclusivity to a new system with a regulatory data protection period of eight years and a reduced market exclusivity period of one year (which can be extended if specific conditions are fulfilled), adding launch/supply obligations, incentivizing antibiotic innovation with transferable vouchers, and streamlining approval procedures in the EU. If the legislation is finalized in line with the provisional political agreement, it will have a significant impact on the pharmaceutical industry.</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59" w:name="page60"/>
    <w:bookmarkEnd w:id="5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and international trade policies, particularly with respect to China, may adversely impact our business and operating results.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2025, the Trump Administration imposed a series of tariffs against U.S. trading partners pursuant to the International Emergency Economic Powers Act. On February 20, 2026, the U.S. Supreme Court ruled these tariffs unlawful. The Trump Administration immediately imposed new global tariffs pursuant to Section 122 of the Trade Act of 1974, which allows for tariffs of up to 15% for a period of up to 150 days.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Separately, in April 2025, the Department of Commerce announced an investigation under Section 232 of the Trade Expansion Act of 1962 into imports of pharmaceuticals and pharmaceutical ingredients, including finished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Thereafter, President Trump delayed the October 1, 2025 effective date of the tariffs on branded or patented pharmaceutical products announcing that the Trump Administration had now “begun preparing” tariffs on manufacturers that do not build in the United States or enter into a most-favored-nation drug pricing agreement with the Trump Administration. A host of other U.S. tariff actions remain possible, including additional 25% tariffs on products from countries that do certain business with Iran or Cuba.</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export controls, capital controls or tariffs, may increase the cost of manufacturing our product candidates and platform materials, affect the demand for our product candidates (if and once approved), the competitive position of our product candidates, and import or export of raw materials and finished product candidates used in our preclinical studies and clinical trials. We cannot yet predict the effect of the recently imposed U.S. tariffs on imports, or the extent to which other countries, in particular, China, will impose and maintain quotas, duties, tariffs, taxes or other similar restrictions upon imports or exports in the future, nor can we predict future trade policy or the terms of any renegotiated trade agreements and their impact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 therapy products are periodically updated and may continue to change in the future.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Regulatory requirements governing gene therapy products have changed frequently and will likely continue to change in the future. Moreover, there is substantial, and sometimes uncoordinated, overlap in those responsible for regulation of gene therapy products. For example, in the United States, the FDA has established the Office of Therapeutic Products within the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0" w:name="page61"/>
    <w:bookmarkEnd w:id="60"/>
    <w:p>
      <w:pPr>
        <w:ind w:right="160"/>
        <w:spacing w:after="0" w:line="245" w:lineRule="exact"/>
        <w:rPr>
          <w:sz w:val="20"/>
          <w:szCs w:val="20"/>
          <w:color w:val="auto"/>
        </w:rPr>
      </w:pPr>
      <w:r>
        <w:rPr>
          <w:rFonts w:ascii="Times New Roman" w:cs="Times New Roman" w:eastAsia="Times New Roman" w:hAnsi="Times New Roman"/>
          <w:sz w:val="18"/>
          <w:szCs w:val="18"/>
          <w:color w:val="auto"/>
        </w:rPr>
        <w:t>specifically, the FDA typically recommends that sponsors continue to monitor participants for potential gene therapy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adverse events for up to a 5-year period. Other types of gene therapy or gene editing products may require longer follow up, potentially up to a maximum 15-year period.</w:t>
      </w:r>
    </w:p>
    <w:p>
      <w:pPr>
        <w:spacing w:after="0" w:line="9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Similarly, the EMA may issue new guidelines concerning the development and marketing authorization for gene therapy products and require that we comply with these new guidelines. The grant of marketing authorization in the European Union for gene therapy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Finally,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Candidates are unsafe or pose a hazard could prevent us from commercializing any products. New government requirements may be established that could delay or prevent regulatory approval of our Candidates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we advance our Candidates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Candidates, and even if we do, that exclusivity may not prevent the FDA or the EMA from approving other competing products.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 similar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FDA has granted orphan drug designation to SGT-003 for the treatment of Duchenne, SGT-212 for the treatment of FA and to SGT-501 for the treatment of CPVT.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orphan drug exclusivity is sought does not meet this standard. Even if we obtain orphan drug exclusivity for a product, that exclusivity may not effectively protect the product from competition because different products can be approved for the same condition.</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FDA September 2021 guidance for interpreting sameness of gene therapy products under the orphan drug regulations, even after an orphan drug is approved, the FDA can subsequently approve a similar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FDA Reauthorization Act of 2017 (“FDARA”) requires that a drug sponsor demonstrate the clinical superiority of an orphan drug that is otherwise the same as a previously approved drug for the same rare disease in order to receive orphan drug exclusivity. FDARA reverses prior precedent holding that the Orphan Drug Act unambiguously requires that the FDA recognize the orphan exclusivity period regardless of a showing of clinical superiority.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1" w:name="page62"/>
    <w:bookmarkEnd w:id="61"/>
    <w:p>
      <w:pPr>
        <w:ind w:right="120"/>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that orphan drug exclusivity applies to the entire designated disease or condition rather than the “indication or use.” Although there have been legislative proposals to overrule this decision, they have not been enacted into law. In January 2023, the FDA announced that, in matters beyond the scope of that court order,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or Congress may make to its orphan drug regulations and policies, our business could be adversely impacted.</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breakthrough therapy designation for one or more of our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Candidates; however, we cannot assure our stockholders that one or more of our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participants placed in ineffective control regimens. Therapies designated as breakthrough therapies by the FDA may also be eligible for priority review if supported by clinical data at the time the BLA is submitted to the FDA.</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Candidates meets the criteria for designation as a breakthrough therapy, the FDA may disagree and instead determine not to make such designation. Even if we receive breakthrough therapy designation, the receipt of such designation for a Candidate may not result in a faster development or regulatory review or approval process compared to drugs considered for approval under conventional FDA procedures and does not assure ultimate approval by the FDA. In addition, even if one or more of our Candidates qualifies as a breakthrough therapy, the FDA may later decide that the Candidate no longer meets the conditions for qualification or decide that the time period for FDA review or approval will not be shortened.</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one or more of our Candidates, may not lead to a faster development or regulatory review or approval process and it does not increase the likelihood that our Candidates will receive marketing approval.</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may seek approval of one or more of our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or intermediate endpoint that is reasonably likely to predict clinical benefit or on a clinical endpoint that can be measured earlier than irreversible morbidity or mortality (“IMM”) that is reasonably likely to predict an effect on IMM or other clinical benefit. The FDA or other applicable regulatory agency makes the determination regarding whether a surrogate or intermediate endpoint is reasonably likely to predict long-term clinical benefit. Given that expression of microdystrophin has not yet been established to predict long-term clinical benefit, it is not currently accepted, and it is possible the FDA and/or other applicable regulatory agencies could decide never to accept it, as a surrogate endpoint for the accelerated approval pathway for the treatment of Duchenne.</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condition of approval, the FDA may require that a sponsor of a drug or biologic product candidate receiving accelerated approval perform adequate and well-controlled post-marketing clinical trials. These confirmatory trials must be completed with due diligence and may be required to be initiated prior to submission of the BLA. In addition, the FDA currently requires as a condition for accelerated approval pre-approval of promotional materials, which could adversely impact the timing of the commercial launch of the product. Further,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after the confirmatory trial fails to verify the product’s clinical benefit.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60"/>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FDA or comparable foreign regulatory agencies will agree with our surrogate endpoints or intermediate clinical endpoints in any of our clinical trials, or that we will decide to pursue or submit any additional application for accelerated approval or any other form of expedited development, review or approval. Similarly, there can be no assurance that, after feedback from the FDA or comparable foreign regulatory agencies, we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Candidates, or withdrawal of a Candidate, would result in a longer time period until commercialization of such Candidate, could increase the cost of development of such Candidate and could harm our competitive position in the marketplace.</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potential regenerative medicine advanced therapy designation by the FDA for our Candidates may not lead to a faster development or regulatory review or approval process, and it does not increase the likelihood that our Candidates will receive marketing approval.</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may seek a regenerative medicine advanced therapy designation for some of our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participants treated with such therapy prior to its approval.</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Designation as a regenerative medicine advanced therapy is within the discretion of the FDA. Accordingly, even if we believe one of our Candidates meets the criteria for designation as a regenerative medicine advanced therapy, the FDA may disagree and instead determine not to make such designation. In any event, the receipt of a regenerative medicine advanced therapy designation for a Candidate may not result in a faster development process, review or approval compared to drugs considered for approval under conventional FDA procedures and does not assure ultimate approval by the FDA. In addition, even if one or more of our Candidates qualify as regenerative medicine advanced therapies, the FDA may later decide that the biological products no longer meet the conditions for qualification.</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one or more of our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our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Committee for Medicinal Products for Human Use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Candidates, the designation may not result in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320"/>
        <w:spacing w:after="0" w:line="282" w:lineRule="auto"/>
        <w:rPr>
          <w:sz w:val="20"/>
          <w:szCs w:val="20"/>
          <w:color w:val="auto"/>
        </w:rPr>
      </w:pPr>
      <w:r>
        <w:rPr>
          <w:rFonts w:ascii="Times New Roman" w:cs="Times New Roman" w:eastAsia="Times New Roman" w:hAnsi="Times New Roman"/>
          <w:sz w:val="18"/>
          <w:szCs w:val="18"/>
          <w:color w:val="auto"/>
        </w:rPr>
        <w:t>materially faster development process, review or approval compared to conventional EMA procedures. Further, obtaining PRIME designation does not assure or increase the likelihood of EMA’s grant of a marketing authorization.</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our Candidates. However, a BLA for such Candidates may not meet the eligibility criteria for a priority review voucher upon approval.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receive a priority review voucher upon BLA approval, the product must receive designation from the FDA as a product for a rare pediatric disease prior to approval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priority review voucher,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current statutory sunset provisions for the Rare Pediatric Disease Priority Review Voucher Program, after September 30, 2024, the FDA may only award a voucher for an approved rare pediatric disease product application if the sponsor has rare pediatric disease designation for the drug, and that designation was granted by September 30, 2024.</w:t>
      </w:r>
    </w:p>
    <w:p>
      <w:pPr>
        <w:spacing w:after="0" w:line="6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After September 30, 2026, the FDA may not award any rare pediatric disease priority review vouchers. If we do not obtain approval of a BLA by these dates, and if the Rare Pediatric Disease Priority Review Voucher Program is not further extended by congressional action, we may not receive a Priority Review Voucher.</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FDA has granted rare pediatric disease designation to SGT-003 for the treatment of Duchenne, SGT-212 for the treatment of FA and SGT-501 for the treatment of CPVT.</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fast track designation for one or more of our Candidates. However, such designation may not actually lead to a faster development or regulatory review or approval process. We might not receive such designation for one or more of our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therapy is intended for the treatment of a serious condition and non-clinical or clinical data demonstrates the potential to address unmet medical need for this condition, a drug sponsor may apply for FDA fast track designation. However, fast track designation does not ensure that we will receive marketing approval or that approval will be granted within any particular timeframe. The FDA has broad discretion with respect to whether or not to grant fast track designation to a product candidate, so even if we believe a particular Candidate is eligible for such designation, the FDA may decide not to grant it. Moreover,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or if the unmet need has been fulfilled with the approval of another product. Fast track designation alone does not guarantee qualification for the FDA’s priority review procedures.</w:t>
      </w:r>
    </w:p>
    <w:p>
      <w:pPr>
        <w:spacing w:after="0" w:line="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FDA has granted fast track designation to SGT-003 for the treatment of Duchenne, SGT-212 for the treatment of FA and SGT-501 for the treatment of CPVT.</w:t>
      </w:r>
    </w:p>
    <w:p>
      <w:pPr>
        <w:spacing w:after="0" w:line="26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60"/>
        <w:spacing w:after="0" w:line="256" w:lineRule="auto"/>
        <w:rPr>
          <w:sz w:val="20"/>
          <w:szCs w:val="20"/>
          <w:color w:val="auto"/>
        </w:rPr>
      </w:pPr>
      <w:r>
        <w:rPr>
          <w:rFonts w:ascii="Times New Roman" w:cs="Times New Roman" w:eastAsia="Times New Roman" w:hAnsi="Times New Roman"/>
          <w:sz w:val="18"/>
          <w:szCs w:val="18"/>
          <w:color w:val="auto"/>
        </w:rPr>
        <w:t>review period of ten months. We may request priority review for our Candidates, however, we cannot assume that one or more of our Candidates will meet the criteria for that designation. The FDA has broad discretion with respect to whether or not to grant priority review status to a product candidate, so even if we believe a particular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and delays at the FDA and other government agencies from funding cuts, personnel losses, regulatory reform, government shutdowns and other developments could hinder our ability to obtain guidance from the FDA regarding our clinical development program and develop and secure approval of our Candidates in a timely manner, which would negatively impact our business.</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foreign jurisdictions play an important role in the development of our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Candidates could be impacted in a negative manner.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there is substantial uncertainty as to how measures being implemented by the US government administration will impact the FDA, CMS and other federal agencies with jurisdiction over our activities. If oversight and review activities by the FDA and comparable foreign regulatory authorities are disrupted due to funding cuts, personnel losses, reductions in force, regulatory reform or government shutdown, then our ability to develop and/or secure timely approval of our product candidates could be impacted in a negative manner. For example, the recent loss of FDA leadership and personnel, including due to a significant reduction in force, could lead to disruptions and delays in FDA guidance, review and approval of our product candidates. There are also ongoing deliberations within the administration and Congress over potentially substantial proposed cuts to the overall budget for HHS and funding of the FDA for the 2026 federal fiscal year. Similarly, efforts by the new administration to substantially reduce or delay research funding by the National Institutes of Health of medical research could have substantial direct or indirect impacts on our research activities.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regarding our clinical development programs or delay the agency’s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28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p>
    <w:p>
      <w:pPr>
        <w:spacing w:after="0" w:line="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Candidates, if successfully developed and approved, will compete with established therapies as well as with new treatments that may be introduced by our competitors. There are a variety of product candidates, including gene therapies, in development for Duchenne, CPVT,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60"/>
        <w:spacing w:after="0" w:line="255" w:lineRule="auto"/>
        <w:rPr>
          <w:sz w:val="20"/>
          <w:szCs w:val="20"/>
          <w:color w:val="auto"/>
        </w:rPr>
      </w:pPr>
      <w:r>
        <w:rPr>
          <w:rFonts w:ascii="Times New Roman" w:cs="Times New Roman" w:eastAsia="Times New Roman" w:hAnsi="Times New Roman"/>
          <w:sz w:val="18"/>
          <w:szCs w:val="18"/>
          <w:color w:val="auto"/>
        </w:rPr>
        <w:t>other cardiomyopathies or FA.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enrolling participants in clinical trials, as well as in acquiring technologies complementary to, or necessary for, our programs.</w:t>
      </w:r>
    </w:p>
    <w:p>
      <w:pPr>
        <w:spacing w:after="0" w:line="8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(“Sarepta”) announced that it had received accelerated approval for its gene therapy candidate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ambulatory pediatric patients aged 4 through 5 years with Duchenne. In June 2024, Sarepta announced an expanded US approval of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patients who are at least 4 years of age including full approval for ambulatory Duchenne patients and accelerated approval for non-ambulatory Duchenne patients. We are also aware of several companies and research institutions conducting clinical trials of product candidates focused on systemic gene transfers for Duchenne, including Genethon, with product candidate GNT0004 currently being evaluated in a Phase 1/2/3 clinical trial, REGENXBIO Inc., with product candidate RGX-202 currently being evaluated in a Phase 1/2/3 clinical trial and Insmed Incorporated, with product candidate INS1201 currently being evaluated in a Phase 1 clinical trial.</w:t>
      </w:r>
    </w:p>
    <w:p>
      <w:pPr>
        <w:spacing w:after="0" w:line="92"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There are other approaches to treat Duchenne that are either currently marketed or in development including antisense oligonucleotides, histone deacetylase (“HDAC”) inhibitors, myosin inhibitors, cell therapies and gene editing. Notably, Sarepta has received accelerated approval for three therapies including Exondys 51, Vyondys 53 and Amondys 45 targeting exons 51, 53 and 45, respectively; Nippon Shinyaku received accelerated approval for Viltepso to treat exon 53 amenable patients; Avidity Biosciences is developing Del-zota to treat exon 44; Wave Life Sciences is developing WVE-N531 to treat exon 53 amenable patients; Dyne Therapeutics is developing DYNE-251 to treat exon 51 amenable patients; BioMarin Pharmaceutical is developing BMN 351 to treat exon 51 amenable patients; and Entrada Therapeutics is developing ENTR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601-44, ENTR-601-45, ENTR-601-50, and ENTR-601-51 for exon 44, 45, 50 and 51 amenable patients, respectively. Italfarmaco received FDA approval for its HDAC inhibitor, Givinostat, in Duchenne patients who are at least 6 years of age. Edgewise Therapeutics is developing Sevasemten, a fast skeletal myosin inhibitor, for Duchenne and Becker muscular dystrophies. Capricor Therapeutics is developing Deramiocel, an allogeneic cardiosphere-derived cell therapy product candidate. Satellos Biosciences is developing SAT-3247, an oral small molecule product candidate. Precision BioSciences is in preclinical development for gene editing product candidate, PBGENE-DMD.</w:t>
      </w:r>
    </w:p>
    <w:p>
      <w:pPr>
        <w:spacing w:after="0" w:line="9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We are also aware of a number of companies and research institutions developing gene transfer programs in FA. For example, Lexeo Therapeutics is developing an IV gene therapy to treat the cardiac manifestations of FA. Other competitors currently developing gene therapies to treat FA are in preclinical development, including Neurocrine Biosciences in collaboration with Voyager Therapeutics and Capsida Biotherapeutics. We are also aware of other companies developing non-gene therapies for FA, such as Design Therapeutics, Larimar Therapeutics, PTC Therapeutics and Papillon Therapeutics. Biogen’s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(omaveloxolone) was approved for the treatment of FA in adults and adolescents aged 16 and older by the FDA and the European Commission in February 2023 and February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-581660</wp:posOffset>
            </wp:positionV>
            <wp:extent cx="28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-581660</wp:posOffset>
            </wp:positionV>
            <wp:extent cx="28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in small molecule product candidates focused on CPVT, including Cardurion Pharmaceuticals Inc., with an orally administered CAMKII-delta inhibitor candidate in a Phase 2 clinical trial.</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competitors develop and commercialize products that are first to market or are safer, more effective, have fewer or less severe side effects, have broader market acceptance, are more convenient or are less expensive than any Candidate that we may develop. Changes within the competitive landscape could lead us to alter regulatory and/or clinical trial strategy, baseline eligibility criteria or make other modifications to clinical trial designs.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Candidates we develop.</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capitalize on other potential Candidates that may represent a greater commercial opportunity or for which there is a greater likelihood of success.</w:t>
      </w:r>
    </w:p>
    <w:p>
      <w:pPr>
        <w:spacing w:after="0" w:line="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upon our ability to develop and commercialize our Candidates. Because we have limited resources, we may forego or delay pursuit of opportunities with certain programs or Candidates or for indications that later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60"/>
        <w:spacing w:after="0" w:line="282" w:lineRule="auto"/>
        <w:rPr>
          <w:sz w:val="20"/>
          <w:szCs w:val="20"/>
          <w:color w:val="auto"/>
        </w:rPr>
      </w:pPr>
      <w:r>
        <w:rPr>
          <w:rFonts w:ascii="Times New Roman" w:cs="Times New Roman" w:eastAsia="Times New Roman" w:hAnsi="Times New Roman"/>
          <w:sz w:val="18"/>
          <w:szCs w:val="18"/>
          <w:color w:val="auto"/>
        </w:rPr>
        <w:t>prove to have greater commercial potential than our Candidates. For example, in September 2022, we announced that we would be pausing activities for SGT-001, which we are no longer developing.</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may not yield any commercially viable Candidates. If we do not accurately evaluate the commercial potential for a particular Candidate, we may relinquish valuable rights to that Candidate through strategic collaborations, licensing or other arrangements in cases in which it would have been more advantageous for us to retain sole development and commercialization rights to such Candidate. Alternatively, we may allocate internal resources to a Candidate in a therapeutic area in which it would have been more advantageous to enter into a partnering arrangement. If any of these events occur, we may be forced to abandon our development efforts with respect to a particular Candidate or fail to develop a potentially successful Candidate.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Candidates</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development or commercialization of our Candidates. If our collaborations are not successful, we may not be able to capitalize on the market potential of these Candidates and our business could be adversely affected.</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have retained all necessary rights to and are developing on our own SGT-003, SGT-212, SGT-501 and other Candidates, we may in the future enter into development, distribution or marketing arrangements with third parties with respect to SGT-003, SGT-212, SGT-501 or other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Candidates. Our ability to generate revenues from these arrangements will depend on our collaborators’ abilities and efforts to successfully perform the functions assigned to them in these arrangements.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900" w:right="80" w:hanging="368"/>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400" w:hanging="368"/>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360" w:hanging="36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Candidate, repeat or conduct new clinical trials or require a new formulation of a Candidate for clinical testing;</w:t>
      </w:r>
    </w:p>
    <w:p>
      <w:pPr>
        <w:spacing w:after="0" w:line="53" w:lineRule="exact"/>
        <w:rPr>
          <w:rFonts w:ascii="Times New Roman" w:cs="Times New Roman" w:eastAsia="Times New Roman" w:hAnsi="Times New Roman"/>
          <w:sz w:val="18"/>
          <w:szCs w:val="18"/>
          <w:color w:val="auto"/>
        </w:rPr>
      </w:pPr>
    </w:p>
    <w:p>
      <w:pPr>
        <w:ind w:left="900" w:right="60" w:hanging="368"/>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Candidates being developed or commercialized under a collaboration and, consequently, may have limited ability to inform our stockholders about the status of such Candidates on a discretionary basis;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products that compete directly or indirectly with our Candidates and products pursuant to the collaboration;</w:t>
      </w:r>
    </w:p>
    <w:p>
      <w:pPr>
        <w:spacing w:after="0" w:line="117" w:lineRule="exact"/>
        <w:rPr>
          <w:rFonts w:ascii="Times New Roman" w:cs="Times New Roman" w:eastAsia="Times New Roman" w:hAnsi="Times New Roman"/>
          <w:sz w:val="18"/>
          <w:szCs w:val="18"/>
          <w:color w:val="auto"/>
        </w:rPr>
      </w:pPr>
    </w:p>
    <w:p>
      <w:pPr>
        <w:ind w:left="900" w:right="20" w:hanging="368"/>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right="560" w:hanging="36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 discovered in collaboration with us may be viewed by our collaborators as competitive with their own product candidates or products, which may cause collaborators to cease to devote resources to the commercialization of our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left="900" w:right="16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Candidate or product;</w:t>
      </w:r>
    </w:p>
    <w:p>
      <w:pPr>
        <w:spacing w:after="0" w:line="53"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140" w:hanging="368"/>
        <w:spacing w:after="0" w:line="26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Candidates, might lead to additional responsibilities for us with respect to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Candidates.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Candidates could be delayed and we may need additional resources to develop our Candidates. All of the risks relating to product development, regulatory approval and commercialization described herein also apply to the activities of our collaborators.</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seek to establish strategic partnerships for developing Candidates or platform technologies due to capital costs required to develop, manufacture and commercialize our Candidates or platform technologies. We may not be successful in our efforts to establish strategic partnerships or other alternative arrangements because, among other things, our research and development pipeline may be insufficient, Candidates or platform technologies may be deemed to be at too early of a stage of development for collaborative effort or third parties may not view our Candidates or platform technologies as having the requisite potential to demonstrate safety and efficacy. We cannot be certain that, following a strategic transaction, we will achieve an economic or business benefit that justifies such transaction. If we seek to but are unable to reach agreements with suitable collaborators on a timely basis, on acceptable terms or at all, we may have to curtail, reduce or delay the development of a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our Candidates or platform technologies.</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limited experience manufacturing SGT-003, SGT-212, SGT-501 and our other Candidates. The manufacturing process we have used historically and the manufacturing process we plan to use in the future to produce product for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20"/>
        <w:spacing w:after="0" w:line="253" w:lineRule="auto"/>
        <w:rPr>
          <w:sz w:val="20"/>
          <w:szCs w:val="20"/>
          <w:color w:val="auto"/>
        </w:rPr>
      </w:pPr>
      <w:r>
        <w:rPr>
          <w:rFonts w:ascii="Times New Roman" w:cs="Times New Roman" w:eastAsia="Times New Roman" w:hAnsi="Times New Roman"/>
          <w:sz w:val="18"/>
          <w:szCs w:val="18"/>
          <w:color w:val="auto"/>
        </w:rPr>
        <w:t>Candidates are complex and our processes have not been validated for commercial use. As Candidates progress through preclinical studies and clinical trials to marketing approval and commercialization, it is common that various aspects of the development program, such as manufacturing methods and formulation, are altered along the way in an effort to enhance safety, quality, efficacy, yield, manufacturing batch size, minimize costs and achieve consistent results. For example, we have moved to a transient transfection-based manufacturing process for SGT-003 and while we have observed early positive results in preclinical studies and in our ongoing INSPIRE DUCHENNE trial using this new manufacturing process, any further changes in manufacturing or formulation may result in effects and results that are different from those observed in our completed studies to date. Similarly, in the future we may further alter our existing process or introduce an alternative process or formulation of one or more of our Candidates during the course of our planned preclinical studies or clinical trials. Such changes carry the risk that they will not achieve these intended objectives. Any of these changes could cause our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Candidates and jeopardize our ability to commercialize our Candidates, if approved, and generate revenue.</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production of SGT-003, SGT-212 and SGT-501 uses a transient transfection-based process which requires processing steps that are more complex than those required for most chemical pharmaceuticals. We also intend to use transient transfection manufacturing for our other Candidates. Moreover, unlike chemical pharmaceuticals, the physical and chemical properties of a gene therapy candidate such as ours generally cannot be fully characterized. As a result, assays of the finished product may not be sufficient to ensure that the product will perform in the intended manner. Accordingly, we have and will continue to employ multiple steps to control our manufacturing processes to assure that the process works and that SGT-003, SGT-212, SGT-501 and our other Candidates are made strictly and consistently in compliance with such processes. We must supply all necessary documentation in support of an IND, BLA or MAA on a timely basis and must adhere to the FDA’s and the European Union’s cGMP requirements before we can obtain marketing approval for SGT-003, SGT-212, SGT-501, and other Candidates. In order to obtain approval, we will need to ensure that all of our processes, methods and equipment are compliant with cGMP requirements, by performing extensive audits of contract laboratories, manufacturers and suppliers.</w:t>
      </w:r>
    </w:p>
    <w:p>
      <w:pPr>
        <w:spacing w:after="0" w:line="80"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We currently rely on multiple third-party manufacturers for supply of SGT-003, SGT-212 and SGT-501 and plan to rely on third-party manufacturers for our other Candidates. In order to produce sufficient quantities of Candidates for clinical trials and initial U.S. commercial demand, we have and will continue to further optimize and increase the capacity of our manufacturing process at our third-party manufacturers. We may need to make changes to our manufacturing processes, beyond implementation of a transient transfection-based manufacturing process. We may not be able to produce sufficient quantities of drug product due to several factors, including capacity constraints, equipment malfunctions, facility contamination, material shortages or contamination, natural disasters, a public health issue (for example, an outbreak of a contagious disease such as the COVID-19 pandemic), disruption in utility services, human error or disruptions in the operations of our suppliers. We may experience variability with respect to the success and yield between lots that will require continued engagement in process development activities to improve the reproducibility, reliability, quality and consistency of yields of the manufacturing process. Additional manufacturing runs will be required to produce necessary or adequate supply for our future clinical trials and there is no guarantee that all of those runs will be within specifications or produce adequate supply. If we are not able to produce sufficient supply on the timeline expected, our overall development schedule for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 SGT-212, SGT-501 and other Candidates could be delayed, and we could incur additional expense. Any such failure could delay or prevent development and commercialization of SGT-003, SGT-212, SGT-501 or other Candidates.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supply from a manufacturing facility is interrupted, including as a result of capacity constraints, equipment malfunctions, facility contamination, material shortages or contamination, natural disasters, public health emergencies or pandemics, such as the recent COVID-19 pandemic, disruption in utility services or human error, there could be a significant disruption in supply of SGT-003 or other Candidates. In such instance, we may need to locate appropriate replacement third-party manufacturers, and we may not be able to enter into arrangements with such additional third-party manufacturers on favorable terms or at all. Use of new third-party manufacturers could increase the risk of delays in production or insufficient supplies of our Candidates as we transfer our manufacturing technology to these manufacturers and as they gain experience manufacturing our Candidates.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360"/>
        <w:spacing w:after="0" w:line="282" w:lineRule="auto"/>
        <w:rPr>
          <w:sz w:val="20"/>
          <w:szCs w:val="20"/>
          <w:color w:val="auto"/>
        </w:rPr>
      </w:pPr>
      <w:r>
        <w:rPr>
          <w:rFonts w:ascii="Times New Roman" w:cs="Times New Roman" w:eastAsia="Times New Roman" w:hAnsi="Times New Roman"/>
          <w:sz w:val="18"/>
          <w:szCs w:val="18"/>
          <w:color w:val="auto"/>
        </w:rPr>
        <w:t>the FDA, the EMA or other foreign regulatory authorities may require that we not distribute a lot until the agency authorizes its release. Lot failures or product recalls could cause us to delay or abandon clinical trials or product launches.</w:t>
      </w:r>
    </w:p>
    <w:p>
      <w:pPr>
        <w:spacing w:after="0" w:line="5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oversee our manufacturing and quality control process, which could result in delays in our production or difficulties in maintaining compliance with applicable regulatory requirements.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biotechnology and pharmaceutical companies and academic research institutions, which could limit our access to additional attractive development programs. Problems in our manufacturing process or facilities also could restrict our ability to meet market demand for our Candidates.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do not independently manufacture material for our ongoing or planned clinical trials and we are utilizing and expect to utilize materials manufactured by cGMP-compliant third-party suppliers. If these third-party manufacturers do not successfully carry out their contractual duties, meet expected deadlines or manufacture our Candidates in accordance with quality and regulatory requirements or if there are disagreements between us and these third-party manufacturers, we may not be able to complete, or may be delayed in completing, the clinical trials required for approval of our Candidates. In such instances, we may need to locate an appropriate replacement third-party relationship, which may not be readily available or on acceptable terms, which would cause additional delay or increased expense prior to the approval of our Candidates.</w:t>
      </w:r>
    </w:p>
    <w:p>
      <w:pPr>
        <w:spacing w:after="0" w:line="7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initiated or judicial action, including fines, injunctions, civil penalties, license revocations, seizure, total or partial suspension of production or criminal penalties, any of which could significantly and adversely affect supplies of our Candidates.</w:t>
      </w:r>
    </w:p>
    <w:p>
      <w:pPr>
        <w:spacing w:after="0" w:line="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we do not currently have long-term supply or manufacturing arrangements in place for the production of our Candidates at commercial scale. Although we intend to establish additional sources for long-term supply, from one or more third-party manufacturers, if the gene therapy industry were to grow, we may encounter increasing competition for the materials necessary for the production of Candidates.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our Candidates for future clinical trials or to meet initial commercial demand in the United States. We currently rely, and expect to continue to rely, on additional third parties to manufacture materials for our Candidates and to perform quality testing. We intend to maintain third-party manufacturers for these materials, as well as to serve as additional sources of our Candidates, which will expose us to risks including reduced control of manufacturing activities;</w:t>
      </w:r>
    </w:p>
    <w:p>
      <w:pPr>
        <w:spacing w:after="0" w:line="80" w:lineRule="exact"/>
        <w:rPr>
          <w:sz w:val="20"/>
          <w:szCs w:val="20"/>
          <w:color w:val="auto"/>
        </w:rPr>
      </w:pPr>
    </w:p>
    <w:p>
      <w:pPr>
        <w:ind w:left="900" w:right="1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certain CDMOs to produce our Candidates in the necessary quantities, or in compliance with current cGMP or in compliance with pertinent regulatory requirements and within our planned time frame and cost parameters;</w:t>
      </w:r>
    </w:p>
    <w:p>
      <w:pPr>
        <w:spacing w:after="0" w:line="53"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CDMOs to pass regulatory inspections and supply commercial material, which could impact our commercialization timelines;</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and service agreements with third parties in a manner or at a time that is costly or damaging to us; and</w:t>
      </w:r>
    </w:p>
    <w:p>
      <w:pPr>
        <w:spacing w:after="0" w:line="53"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 and our and their suppliers caused by conditions unrelated to our business or operations, including the bankruptcy of the manufacturer or supplier, natural disasters or public health issues.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0" w:name="page71"/>
    <w:bookmarkEnd w:id="70"/>
    <w:p>
      <w:pPr>
        <w:ind w:right="56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Candidates. Some of these events could be the basis for FDA action, including injunction, recall, seizure or total or partial suspension of product manufacture.</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distribution and marketing capabilities or enter into agreements with third parties to market and sell our Candidates, we will be unable to generate any product revenue.</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Candidate that may result from our development programs, we will need to develop these capabilities, either on our own or with others. The establishment and development of our own commercial team or the establishment of a contract sales force to market any Candidate we may develop will be expensive and time-consuming and could delay any product launch. Moreover, we cannot be certain that we will be able to successfully develop this capability. We may enter into collaborations regarding our Candidates with other entities to utilize their established marketing and distribution capabilities, but we may be unable to enter into such agreements on favorable terms, if at all. If any future collaborators do not commit sufficient resources to commercialize our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will also face competition in our search for third parties to assist us with the sales and marketing efforts of any future products. Without an internal team or the support of a third party to perform marketing and sales functions, we will be unable to compete successfully against these more established companies.</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medical affairs capabilities, we will be unable to establish an educated market of physicians to administer any future products.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currently have no medical affairs team. If we are unable to successfully build a medical affairs team to address scientific and medical questions and provide expert guidance and education in the application, administration and utilization of any future products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of our future products are smaller than we believe they are, our revenue prospects may be adversely affected and our business may suffer.</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rare genetic neuromuscular and cardiac indications. Our understanding of the patient population with these diseases is based on estimates in published literature and by disease-focused foundations. These estimates may prove to be incorrect and new studies may reduce the estimated incidence or prevalence of these diseases. The number of patients in the United States, the European Union and elsewhere may turn out to be lower than expected, patients may not be otherwise amenable to treatment with our Candidates or patients may become increasingly difficult to identify and access.</w:t>
      </w:r>
    </w:p>
    <w:p>
      <w:pPr>
        <w:spacing w:after="0" w:line="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reducing the actual number of patients who could receive our Candidates less than the potentially addressable market. These include the lack of widespread availability of, and limited reimbursement for, new therapies in many underdeveloped markets. Further, the severity of the progression of a degenerative disease such as Duchenne and FA up to the time of treatment will likely diminish the therapeutic benefit conferred by a gene therapy due to irreversible cell damage.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patients’ immune systems might prohibit the successful delivery of certain gene therapy products, thereby potentially limiting the population of patients amenable to gene transfer.</w:t>
      </w:r>
    </w:p>
    <w:p>
      <w:pPr>
        <w:spacing w:after="0" w:line="5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As with many AAV-mediated gene therapy approaches, certain patients’ immune systems might prohibit the successful delivery of certain gene therapy products, thereby potentially limiting the population of patients amenable to gene transfer. While we are working to better understand the prevalence of antibodies to AAV, or seroprevalence, as it relates to gene therapy, the exact seroprevalence is currently unknown and varies by AAV serotype and age. We may not be able to address these potentially limiting factors for gene therapy as a treatment for certain patients.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Candidates, if approved, will depend upon market acceptance by physicians, patients, third-party payors and others in the medical community.</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Even with the requisite approvals from the FDA in the United States, the European Commission in the European Union and other regulatory authorities internationally, the commercial success of our Candidates will depend, in part, on the acceptance of physicians, patients and health care payors of gene therapy products in general, and, in particular for each of our current and future Candidates, as medically necessary, cost-effective and safe. Any product that we commercialize may not gain acceptance by physicians, patients, health care payors and others in the medical community due to ethical, social, medical and legal concerns. If our products do not achieve an adequate level of acceptance, we may not generate significant product revenue and may not become profitable. The degree of market acceptance of gene therapy products and, in particular, our current and future Candidates, if approved for commercial sale, will depend on multiple factors, including:</w:t>
      </w:r>
    </w:p>
    <w:p>
      <w:pPr>
        <w:spacing w:after="0" w:line="81"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current and future Candidates as demonstrated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and perceived advantages of our Candidates over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1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Candidates are approved by the FDA, the European Commission or other regulatory authorities, as applicable;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products to meet market demand;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Candidates or competing products and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payor coverage and adequate reimbursement.</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Even if a potential Candidate displays a favorable efficacy and safety profile in preclinical studies and clinical trials, market acceptance of the product will not be fully known until after it is launched.</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Candidates may require significant resources and may never be successful. Such efforts may require more resources than are typically required due to the complexity and uniqueness of our potential Candidates. If our Candidates are approved but fail to achieve market acceptance among physicians, patients or third-party payors, we will not be able to generate significant revenue from any such product.</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 transfer remains a novel technology that faces many challenges imposed by the humoral immune response. The immunogenicity of AAV gene transfers is a very complex process that we and others continue to work understand through the extensive clinical experience that now exists over a broad spectrum of therapeutic areas and indications. Marked inflammatory toxicities have been observed, including complement activation, cytopenias, severe hepatotoxicity as well as transgene related toxicities representing part of the continuum of diverse aspects of clinical immune responses that can be observed post gene transfer.</w:t>
      </w:r>
    </w:p>
    <w:p>
      <w:pPr>
        <w:spacing w:after="0" w:line="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particular, our success will depend upon physicians who specialize in the treatment of our pipeline indications, prescribing treatments that involve the use of viral capsids in lieu of, or in addition to, other treatments with which they are more familiar and for which greater clinical data may be available. More restrictive government regulations or negative public opinion may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t>delay or impair the development and commercialization or demand for any Candidate we may develop. A public backlash developed against gene therapy following the death of a participant in 1999 during a gene therapy clinical trial of research subjects with ornithine transcarbamylase (“OTC”) deficiency, a rare disorder in which the liver lacks a functional copy of the OTC gene. The death of the clinical trial subject was due to complications of adenovirus capsid administration. Dr. James M. Wilson, former chair of our Scientific Advisory Board, was a co-investigator of the 1999 trial while he was Director of the Institute for Human Gene Therapy of the University of Pennsylvania. Serious adverse events in our clinical trials, including the events that led to the previously-lifted clinical holds on IGNITE DMD or other clinical trials involving gene transfer products or our competitors’ products, even if not ultimately attributable to the relevant Candidates, and the resulting publicity, could result in increased government regulation, unfavorable public perception, potential regulatory delays in the testing or approval of our Candidates, stricter labeling requirements for our Candidates, if approved, and a decrease in demand for our Candidates.</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Candidates and delays in our clinical development or commercialization schedules.</w:t>
      </w:r>
    </w:p>
    <w:p>
      <w:pPr>
        <w:spacing w:after="0" w:line="5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our manufacturing processes. Any contamination could materially adversely affect our ability to produce our Candidates on schedule and could cause reputational damage.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Candidates could adversely impact or disrupt the manufacturing or the production of clinical material, which could materially and adversely affect our development timelines.</w:t>
      </w:r>
    </w:p>
    <w:p>
      <w:pPr>
        <w:spacing w:after="0" w:line="284"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insurance coverage and reimbursement status of newly approved products is uncertain. Failure to obtain or maintain adequate coverage and reimbursement for our Candidates, if approved, could limit our ability to market those products and decrease our ability to generate product revenue.</w:t>
      </w:r>
    </w:p>
    <w:p>
      <w:pPr>
        <w:spacing w:after="0" w:line="28"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our future products, if approved, will depend substantially, both domestically and abroad, on the extent to which the costs of such Candidates will be paid by health maintenance, managed care, pharmacy benefit and similar health care management organizations, or will be reimbursed by government authorities, private health coverage insurers and other third-party payors. Coverage and reimbursement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may depend upon several factors, including the third-party payor’s determination that use of a product is:</w:t>
      </w:r>
    </w:p>
    <w:p>
      <w:pPr>
        <w:spacing w:after="0" w:line="93" w:lineRule="exact"/>
        <w:rPr>
          <w:sz w:val="20"/>
          <w:szCs w:val="20"/>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and a one-time treatment, as applicable;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our future products, if approved. Even if coverage is provided, the approved reimbursement amount may not be adequate to realize a sufficient return on our investment.</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our knowledge, only a limited number of gene transfer products have been approved for coverage and reimbursement by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right="700"/>
        <w:spacing w:after="0" w:line="282" w:lineRule="auto"/>
        <w:rPr>
          <w:sz w:val="20"/>
          <w:szCs w:val="20"/>
          <w:color w:val="auto"/>
        </w:rPr>
      </w:pPr>
      <w:r>
        <w:rPr>
          <w:rFonts w:ascii="Times New Roman" w:cs="Times New Roman" w:eastAsia="Times New Roman" w:hAnsi="Times New Roman"/>
          <w:sz w:val="18"/>
          <w:szCs w:val="18"/>
          <w:color w:val="auto"/>
        </w:rPr>
        <w:t>certain European Union member states and vice versa. It is difficult to predict what third-party payors will decide with respect to the coverage and reimbursement for our future products, if approved.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Candidates. Accordingly, in markets outside the United States, the reimbursement for our Candidates may be reduced compared with the United States and may be insufficient to generate commercially reasonable product revenue.</w:t>
      </w:r>
    </w:p>
    <w:p>
      <w:pPr>
        <w:spacing w:after="0" w:line="7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Candidate to other available therapies. Reimbursement of our products may be unavailable or limited in scope or amount, which would adversely affect our revenue, if any.</w:t>
      </w:r>
    </w:p>
    <w:p>
      <w:pPr>
        <w:spacing w:after="0" w:line="30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future products outside of the United States, in particular in the European Union, a variety of risks associated with international operations could materially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our future products, if approved, outside the United States, including:</w:t>
      </w:r>
    </w:p>
    <w:p>
      <w:pPr>
        <w:spacing w:after="0" w:line="117"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therapeutics in foreign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54"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900" w:right="104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Candidates and initiatives in pursuing such acquisition or strategic collaboration;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900" w:right="18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collaboration or even to offset transaction costs.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 employment at any time. We currently do not have “key person” insurance on any of our employees. The loss of the services of one or more of our current key employees might impede the achievement of our research, development and commercialization objectives.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capsid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in the scale and complexity of our operations, our performance may suffer.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our current and future Candidates and products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20"/>
        <w:spacing w:after="0" w:line="254" w:lineRule="auto"/>
        <w:rPr>
          <w:sz w:val="20"/>
          <w:szCs w:val="20"/>
          <w:color w:val="auto"/>
        </w:rPr>
      </w:pPr>
      <w:r>
        <w:rPr>
          <w:rFonts w:ascii="Times New Roman" w:cs="Times New Roman" w:eastAsia="Times New Roman" w:hAnsi="Times New Roman"/>
          <w:sz w:val="18"/>
          <w:szCs w:val="18"/>
          <w:color w:val="auto"/>
        </w:rPr>
        <w:t>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the federal Health Insurance Portability and Accountability Act of 1996 (“HIPAA”), other U.S. federal and state law, and requirements of non-U.S. 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Candidates and may affect the prices we may set.</w:t>
      </w:r>
    </w:p>
    <w:p>
      <w:pPr>
        <w:spacing w:after="0" w:line="5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there is significant interest in promoting health care reform, as evidenced by the enactment of the Patient Protection and Affordable Care Act and the companion Health Care and Education Reconciliation Act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legislative changes resulting from the passage of the Health Care Reform Law, other legislative changes have been proposed and adopted since the Health Care Reform Law was enacted. In August 2011, the Budget Control Act of 2011, among other things, led to aggregate reductions to Medicare payments to providers of up to 2% per fiscal year, which will remain in effect through the first half of 2032.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(the “CARES Act”) suspended the 2% Medicare sequester from May 1, 2020 through December 31, 2020, and extended the sequester through 2031. These Medicare sequester reductions were suspended through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Candidates for which we may obtain regulatory approval or the frequency with which any such Candidate is prescribed or used.</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 of 2017 (“TCJA”), Congress repealed the “individual mandate.” The repeal of this provision of the Health Care Reform Law, which requires most Americans to carry a minimal level of health insurance, became effective in 2019. Further, on December 14, 2018, a U.S. District Court judge in the Northern District of Texas ruled that the individual mandate portion of the Health Care Reform Law is an essential and inseverable feature of the Health Care Reform Law, and therefore because the mandate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6" w:name="page77"/>
    <w:bookmarkEnd w:id="76"/>
    <w:p>
      <w:pPr>
        <w:ind w:right="20"/>
        <w:spacing w:after="0" w:line="261" w:lineRule="auto"/>
        <w:rPr>
          <w:sz w:val="20"/>
          <w:szCs w:val="20"/>
          <w:color w:val="auto"/>
        </w:rPr>
      </w:pPr>
      <w:r>
        <w:rPr>
          <w:rFonts w:ascii="Times New Roman" w:cs="Times New Roman" w:eastAsia="Times New Roman" w:hAnsi="Times New Roman"/>
          <w:sz w:val="18"/>
          <w:szCs w:val="18"/>
          <w:color w:val="auto"/>
        </w:rPr>
        <w:t>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statute. It is unclear how such litigation and other efforts to repeal and replace the Health Care Reform Law will impact the Health Care Reform Law and our business. Litigation and legislation over the Health Care Reform Law are likely to continue, with unpredictable and uncertain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could adversely affect our business and financial condition.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(the “IRA”), was signed into law in August 2022, and the One Big Beautiful Bill Act (“OBBBA”), was signed into law in July 2025. The IRA introduced new tax provisions, including a 1% excise tax imposed on certain stock repurchases by publicly traded companies. The 1% excise tax generally applies to any acquisition of stock by the publicly traded company (or certain of its affiliates) from a stockholder of the company in exchange for money or other property (other than stock of the company itself), subject to exceptions.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costs and prices of prescription pharmaceuticals have been the subject of considerable discussion in the United States. To date, there have been several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in October 2020, the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HHS. Several states have passed laws allowing for the importation of drugs from Canada. Certain of these states have submitted Section 804 Importation Program proposals and are awaiting FDA approval. 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 On May 21, 2025, the FDA announced that it would offer individual states the opportunity to submit a draft proposal for pre-review and meet with the agency to obtain initial feedback from the FDA prior to formally submitting their section 804 importation program proposal. The intent of these meetings is to assist states in developing their proposals by further clarifying requirements, enhancing the quality of proposals submitted to the FDA and ultimately shortening the review timeline. Further, the HHS finalized a regulation removing safe harbor protection for price reductions from pharmaceutical manufacturers to plan sponsors under Part D, either directly or through pharmacy benefit managers, unless the price reduction is required by law.</w:t>
      </w:r>
    </w:p>
    <w:p>
      <w:pPr>
        <w:spacing w:after="0" w:line="82"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as well as a new safe harbor for certain fixed fee arrangements between pharmacy benefit managers and manufacturers, the implementation of which has been delayed until January 1, 2032, by the IRA.</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280"/>
        <w:spacing w:after="0" w:line="25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3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With passage of the OBBBA in July 2025, Congress extended this exemption to drugs and biologics with multiple orphan drug designations. The first cycle of negotiations for the Medicare Drug Price Negotiation Program commenced in the summer of 2023. On August 15, 2024, HHS published the results of the first Medicare drug price negotiations for ten selected drugs that treat a range of conditions, including diabetes, chronic kidney disease, and rheumatoid arthritis. The prices of these ten drugs will become effective January 1, 2026. In August 2024, HHS published the results of the first Medicare drug price negotiations for ten selected drugs that treat a range of conditions and the prices will become effective January 1, 2026. In January 2025, CMS announced the next 15 drug and biologic prices that will be subject to the IRA’s price negotiation provisions. This second cycle of negotiations with participating drug companies will occur during 2025, and any negotiated prices for this second set of drugs will be effective starting January 1, 2027. CMS issued a public statement on January 2025, declaring that lowering the cost of prescription drugs is a top priority of the new administration and CMS is committed to considering opportunities to bring greater transparency in the negotiation program.</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$2,000 a year beginning in 2025.</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June 2023, Merck filed a lawsuit against HHS and CMS asserting that, among other things, the IRA’s Drug Price Negotiation Program for Medicare constitutes an uncompensated taking in violation of the Fifth Amendment of the Constitution. Subsequently, a number of other parties, including pharmaceutical companies, also filed lawsuits in various courts with similar constitutional claims against HHS and CMS. There have been various decisions by the courts considering these cases since they were filed. The HHS has generally won the substantive disputes in these cases or succeeded in getting claims dismissed for lack of standing. Most of these cases are now on appeal. In October 2024, the U.S. Court of Appeals for the Third Circuit heard oral argument in three of these cases. In May 2025, the Third Circuit rejected a pharmaceutical company’s challenge to the Medicare price negotiation program, finding that the program did not violate the company’s due process rights under the U.S. Constitution since there is no protected property interest in selling goods to Medicare beneficiaries at a price higher than what the government is willing to pay in reimbursement. 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8" w:name="page79"/>
    <w:bookmarkEnd w:id="78"/>
    <w:p>
      <w:pPr>
        <w:ind w:right="20"/>
        <w:spacing w:after="0" w:line="254" w:lineRule="auto"/>
        <w:rPr>
          <w:sz w:val="20"/>
          <w:szCs w:val="20"/>
          <w:color w:val="auto"/>
        </w:rPr>
      </w:pPr>
      <w:r>
        <w:rPr>
          <w:rFonts w:ascii="Times New Roman" w:cs="Times New Roman" w:eastAsia="Times New Roman" w:hAnsi="Times New Roman"/>
          <w:sz w:val="18"/>
          <w:szCs w:val="18"/>
          <w:color w:val="auto"/>
        </w:rPr>
        <w:t>In April 2025, the President issued an executive order directing the HHS to take steps to reduce the prices of pharmaceutical products, repeating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80"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On May 12, 2025, the President issued an additional executive order calling on pharmaceutical manufacturers to voluntarily reduce the prices of medicines in the United States. The executive order directs the Secretary of HHS to communicate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nation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on May 20, 2025, HHS indicated that the proposed MFN pricing will apply only to brand products without generic or biosimilar competition and the referenced foreign countries will include only those in which the branded product similarly does not have generic or biosimilar competition. Second, HHS indicated that the MFN target price will be the lowest price in a country that is a member of the Organization for Economic Co-operation and Development (“OECD”) with a gross domestic product (“GDP”) per capita of at least 60% of the U.S. GDP per capita. Based on previous estimates, there are likely at least 22 OECD countries that would satisfy this criterion. The implications of these actions remain unclear and are likely to result in litigation if the administration pursues an MFN regulatory pricing requirement.</w:t>
      </w:r>
    </w:p>
    <w:p>
      <w:pPr>
        <w:spacing w:after="0" w:line="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 recently,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lower prices for new drugs than the prices offered for such products in the U.S.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December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Comments are due on the proposed pilot program rules on or before February 23, 2026, and the pilot programs are proposed to go into effect beginning October 1, 2026.</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600"/>
        <w:spacing w:after="0" w:line="282" w:lineRule="auto"/>
        <w:rPr>
          <w:sz w:val="20"/>
          <w:szCs w:val="20"/>
          <w:color w:val="auto"/>
        </w:rPr>
      </w:pPr>
      <w:r>
        <w:rPr>
          <w:rFonts w:ascii="Times New Roman" w:cs="Times New Roman" w:eastAsia="Times New Roman" w:hAnsi="Times New Roman"/>
          <w:sz w:val="18"/>
          <w:szCs w:val="18"/>
          <w:color w:val="auto"/>
        </w:rPr>
        <w:t>and state governments will pay for healthcare products and services, which could result in reduced demand for our Candidates or additional pricing pressures.</w:t>
      </w:r>
    </w:p>
    <w:p>
      <w:pPr>
        <w:spacing w:after="0" w:line="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to contain or reduce costs of health care may adversely affect:</w:t>
      </w:r>
    </w:p>
    <w:p>
      <w:pPr>
        <w:spacing w:after="0" w:line="72" w:lineRule="exact"/>
        <w:rPr>
          <w:sz w:val="20"/>
          <w:szCs w:val="20"/>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Candidates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Finally, in the European Union, similar political, economic and regulatory developments may affect our ability to profitably commercialize our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Candidates, restrict or regulate post-approval activities and affect our ability to commercialize our Candidates, if approved.</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markets outside of the United States and the European Union,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Candidates may lose any regulatory approval that may have been obtained and we may not achieve or sustain profitability.</w:t>
      </w:r>
    </w:p>
    <w:p>
      <w:pPr>
        <w:spacing w:after="0" w:line="2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obtain FDA approval for our current or future Candidates and begin commercializing one or more of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the Physician Payment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9" w:lineRule="exact"/>
        <w:rPr>
          <w:sz w:val="20"/>
          <w:szCs w:val="20"/>
          <w:color w:val="auto"/>
        </w:rPr>
      </w:pPr>
    </w:p>
    <w:p>
      <w:pPr>
        <w:ind w:left="900" w:right="40" w:hanging="368"/>
        <w:spacing w:after="0" w:line="25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ind w:left="900" w:right="200" w:hanging="383"/>
        <w:spacing w:after="0" w:line="258"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5" w:lineRule="exact"/>
        <w:rPr>
          <w:rFonts w:ascii="Times New Roman" w:cs="Times New Roman" w:eastAsia="Times New Roman" w:hAnsi="Times New Roman"/>
          <w:sz w:val="18"/>
          <w:szCs w:val="18"/>
          <w:color w:val="auto"/>
        </w:rPr>
      </w:pPr>
    </w:p>
    <w:p>
      <w:pPr>
        <w:ind w:left="900" w:right="180" w:hanging="368"/>
        <w:spacing w:after="0" w:line="282"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53" w:lineRule="exact"/>
        <w:rPr>
          <w:rFonts w:ascii="Times New Roman" w:cs="Times New Roman" w:eastAsia="Times New Roman" w:hAnsi="Times New Roman"/>
          <w:sz w:val="18"/>
          <w:szCs w:val="18"/>
          <w:color w:val="auto"/>
        </w:rPr>
      </w:pPr>
    </w:p>
    <w:p>
      <w:pPr>
        <w:ind w:left="900" w:right="60" w:hanging="368"/>
        <w:spacing w:after="0" w:line="258"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5" w:lineRule="exact"/>
        <w:rPr>
          <w:rFonts w:ascii="Times New Roman" w:cs="Times New Roman" w:eastAsia="Times New Roman" w:hAnsi="Times New Roman"/>
          <w:sz w:val="18"/>
          <w:szCs w:val="18"/>
          <w:color w:val="auto"/>
        </w:rPr>
      </w:pPr>
    </w:p>
    <w:p>
      <w:pPr>
        <w:ind w:left="900" w:right="160" w:hanging="368"/>
        <w:spacing w:after="0" w:line="258"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other healthcare professionals and teaching hospitals and (ii)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900" w:right="160" w:hanging="368"/>
        <w:spacing w:after="0" w:line="261"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1"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goodwill, any of which could have a material adverse effect on our business, financial condition, results of operations or prospects.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General Data Protection Regulation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California, several other states have passed comprehensive privacy laws similar to the CCPA and CPRA. These laws are either in effect or will go into effect sometime over the next several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privacy laws that will go into effect over the next several years. Other states will be considering these laws in the future, and Congress has also been debating passing a federal privacy law. There are also states that are specifically regulating health information that may affect our business. These laws may impact our business activities, including our identification of research subjects, relationships with business partners and ultimately the marketing and distribution of our products.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could create potential risk for our business.</w:t>
      </w:r>
    </w:p>
    <w:p>
      <w:pPr>
        <w:spacing w:after="0" w:line="7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ind w:right="20"/>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European Commission to offer adequate data protection legislation, such as the United States. There are ongoing concerns about the ability of companies to transfer personal data from the EU to other countries. In July 2020, the Court of Justice of the European Union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84" w:lineRule="exact"/>
        <w:rPr>
          <w:sz w:val="20"/>
          <w:szCs w:val="20"/>
          <w:color w:val="auto"/>
        </w:rPr>
      </w:pPr>
    </w:p>
    <w:p>
      <w:pPr>
        <w:ind w:right="240"/>
        <w:spacing w:after="0" w:line="219" w:lineRule="exact"/>
        <w:rPr>
          <w:sz w:val="20"/>
          <w:szCs w:val="20"/>
          <w:color w:val="auto"/>
        </w:rPr>
      </w:pPr>
      <w:r>
        <w:rPr>
          <w:rFonts w:ascii="Times New Roman" w:cs="Times New Roman" w:eastAsia="Times New Roman" w:hAnsi="Times New Roman"/>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spacing w:after="0" w:line="9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serves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There is currently one pending litigation against the EU-U.S. Data Privacy Framework before the CJEU.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Brexit, the UK Data Protection Act 2018 applies to the processing of personal data that takes place in the United Kingdom and includes parallel obligations to those set forth by GDPR. In relation to data transfers, both the United Kingdom and the EU have determined, through separate “adequacy” decisions, that data transfers between the two jurisdictions are in compliance with the UK Data Protection Act and the GDPR, respectively. Any changes or updates to these adequacy decisions have the potential to impact our business.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(“Bribery Act”), the U.S. Foreign Corrupt Practices Act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Candidates outside of the United States, which could limit our growth potential and increase our development costs.</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Candidate that we may develop.</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SGT-003, SGT-212, SGT-501 and any of our current and future Candidates in preclinical studies and clinical trials and may face an even greater risk if we commercialize any Candidate that we may develop. If we cannot successfully defend ourselves against claims that our Candidates caused injuries, we could incur substantial liabilities. Regardless of merit or eventual outcome, liability claims may result in:</w:t>
      </w:r>
    </w:p>
    <w:p>
      <w:pPr>
        <w:spacing w:after="0" w:line="72" w:lineRule="exact"/>
        <w:rPr>
          <w:sz w:val="20"/>
          <w:szCs w:val="20"/>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Candidate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Candidates;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commence additional clinical trials and if we successfully commercialize any Candidate.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spacing w:after="0" w:line="8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51"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fraud to cause payments or information to be transmitted to an unintended recipient.</w:t>
      </w:r>
    </w:p>
    <w:p>
      <w:pPr>
        <w:spacing w:after="0" w:line="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While we are not aware of any such material system failure, accident, cyber-attack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current and other future Candidates could be delayed.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develop and commercialize our Candidates is heavily dependent on licenses to patent rights and other intellectual property granted to us by third parties. In particular, we have licensed certain patents and patent applications from the University of Missouri, the University of Washington and others that are important or necessary to the development of SGT-003, our other Candidates and other elements of our gene transfer program. We have further licensed certain intellectual property from the University of Pennsylvania and others that are important or necessary to the development of SGT-212 and from ICS Maugeri that are important or necessary to the development of SGT-501. Our existing license agreements impose, and we expect that future license agreements will impose, various diligence, development and commercialization obligations, milestone payments, royalties and other obligations on us. If we fail to comply with our obligations under our agreements, we may be subject to damages, which may be significant, and the licensor may have the right to terminate the license, in which event we may not be able to develop or market Candidates or technologies covered by the license. In addition, certain of these license agreements are not assignable by us without the consent of the respective licensor, which may have an adverse effect on our ability to engage in certain transactions.</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certain of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Missouri and the University of Washington, each of the applicable licensors controls the prosecution of patent applications and the maintenance of patents and patent applications. Therefore, we cannot be certain that the licensed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Candidates that are the subject of such licensed rights could be adversely affected. For more information, see Part I, Item 1, “Business—Strategic Partnerships and Collaborations/Licenses”.</w:t>
      </w:r>
    </w:p>
    <w:p>
      <w:pPr>
        <w:spacing w:after="0" w:line="84"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Moreover, licenses to additional third-party intellectual property, technology and materials may be required for our development programs but may not be available in the future or may not be available on commercially reasonable terms. For example, third parties may claim that the constructs containing the gene or protein of interest and the AAV capsids we are developing for use in product candidates are covered by patents held by them. We believe that we would have valid defenses to any such claims; however, if any such claims were ultimately successful, we might require a license to continue to use and sell Candidates and such AAV capsids. Such licenses may not be available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 Moreover, even if we are able to obtain such licenses, they may only be non-exclusive, which could permit competitors and other third parties to use the same intellectual property in competition with us.</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licensable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or successfully challenge such rights, to any third-party intellectual property rights that are required for the development and commercialization of our Candidates, and such third-party intellectual property rights are successfully asserted against us, we may be liable for damages, which may be significant, and we may be required to cease the development and commercialization of our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seek, obtain, maintain, enforce and defend patent rights in the United States and other countries with respect to our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our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although we have pending patent applications in the United States and abroad, we cannot predict whether or in which jurisdictions the pending applications will result in issuance of patents that effectively protect any of our Candidates or will effectively prevent others from commercializing competitive products. Further, each of the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Candidates or will effectively prevent others from commercializing competitive products.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regarding non-patent exclusivity. For example,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file, prosecute, maintain, enforce, defend or license all patents that are necessary to our business.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Candidates in certain jurisdictions. We or our licensors may not be able to obtain or maintain patent protection with respect to our Candidates.</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ind w:right="60"/>
        <w:spacing w:after="0" w:line="282" w:lineRule="auto"/>
        <w:rPr>
          <w:sz w:val="20"/>
          <w:szCs w:val="20"/>
          <w:color w:val="auto"/>
        </w:rPr>
      </w:pPr>
      <w:r>
        <w:rPr>
          <w:rFonts w:ascii="Times New Roman" w:cs="Times New Roman" w:eastAsia="Times New Roman" w:hAnsi="Times New Roman"/>
          <w:sz w:val="18"/>
          <w:szCs w:val="18"/>
          <w:color w:val="auto"/>
        </w:rPr>
        <w:t>patent laws or interpretation of the patent laws in the United States and other jurisdictions may diminish the value of our patents or narrow the scope of our patent protection.</w:t>
      </w:r>
    </w:p>
    <w:p>
      <w:pPr>
        <w:spacing w:after="0" w:line="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our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Candidates or otherwise materially harm our business. As a result, the issuance, scope, validity, enforceability and commercial value of our patent rights cannot be predicted with any certainty.</w:t>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 Any patents that we license or may own in the future may be challenged, narrowed, circumvented, or invalidated by third parties. Consequently, we do not know whether any of our Candidates will be protectable or remain protected by valid and enforceable patents. Our competitors or other third parties may be able to circumvent our patents by developing similar or alternative products in a non-infringing manner.</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our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Candidates, including biosimilar versions of such products.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licensed patents, and any patents we may own in the future, may be challenged, narrowed, invalidated or held unenforceable.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 Third parties also may raise similar claims before administrative bodies in the United States or abroad, even outside the context of litigation. Such proceedings could result in the revocation or cancellation of or amendment to our licensed patents and any patents we may own in the future in such a way that they no longer cover our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line="220" w:lineRule="exact"/>
        <w:rPr>
          <w:sz w:val="20"/>
          <w:szCs w:val="20"/>
          <w:color w:val="auto"/>
        </w:rPr>
      </w:pPr>
      <w:r>
        <w:rPr>
          <w:rFonts w:ascii="Times New Roman" w:cs="Times New Roman" w:eastAsia="Times New Roman" w:hAnsi="Times New Roman"/>
          <w:sz w:val="18"/>
          <w:szCs w:val="18"/>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 Patent and Trademark Office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SGT-003,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inventor, as a result of the work they performed.</w:t>
      </w:r>
    </w:p>
    <w:p>
      <w:pPr>
        <w:spacing w:after="0" w:line="65"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Candidates. Such challenges may also result in our inability to manufacture or commercialize our Candidates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and we may be required to obtain a license from third parties, which may not be available on commercially reasonable terms or at all, or we may need to cease the development, manufacture and commercialization of one or more of our Candidates. In addition, if the breadth or strength of protection provided by the patents and patent applications included in our patent rights is threatened, it could dissuade companies from collaborating with us to license, develop or commercialize current or future Candidates. Such proceedings also may result in substantial cost and require significant time from our scientists and management, even if the eventual outcome is favorable to us.</w:t>
      </w:r>
    </w:p>
    <w:p>
      <w:pPr>
        <w:spacing w:after="0" w:line="9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 competitive therapeutic that provides benefits similar to one or more of our Candidates but that uses a capsid or an expression construct that falls outside the scope of our patent protection. If the patent protection provided by the patents and patent applications we license or pursue with respect to our Candidates is not sufficiently broad to impede such competition, our ability to successfully commercialize our Candidates could be negatively affected.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depend, and will continue to depend, on our license, collaboration and other similar agreements. Further development and commercialization of our Candidates and platform technologies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impact our ability to sublicense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licenses or material relationships are terminated or breached, we may:</w:t>
      </w:r>
    </w:p>
    <w:p>
      <w:pPr>
        <w:spacing w:after="0" w:line="117"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protection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Candidates.</w:t>
      </w:r>
    </w:p>
    <w:p>
      <w:pPr>
        <w:spacing w:after="0" w:line="329"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or plan to enter into, license agreements with third parties and may need to obtain additional licenses from one or more of these same third parties or from others to advance our research or allow our commercialization of our Candidates. It is possible that we may be unable to obtain such licenses at a reasonable cost or on reasonable terms, if at all. In that event, we may be required to expend significant time and resources to redesign Candidates or the methods for manufacturing them or to develop or license replacement products, all of which may not be feasible on a technical or commercial basis. If we are unable to do so, we may be unable to develop or commercialize our Candidates. We cannot provide any assurances that third-party patents or other intellectual property rights do not exist that might be enforced against our manufacturing methods, Candidates or any technologies we may develop, resulting in either an injunction prohibiting our manufacture or sales, or, with respect to our sales, an obligation on our part to pay royalties and/or other forms of compensation to third parties.</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majority of our existing license agreements provide the licensor sole control of patent prosecution of the licensed technology, and we may be required to reimburse the licensor for their costs of patent prosecution. Future license agreements may require the same.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certain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Candidates. Disputes may arise regarding intellectual property subject to our licensing agreements, including:</w:t>
      </w:r>
    </w:p>
    <w:p>
      <w:pPr>
        <w:spacing w:after="0" w:line="81"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or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licensed patented inventions.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future collaborators to develop, manufacture, market and sell our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our Candidates,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the vast number of patents in our field of technology, we cannot be certain or guarantee that a court would hold that any of our Candidates do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Candidates and we may or may not be aware of such patents. If a patent holder believes the manufacture, use, sale or importation of one of our Candidates infringes its patent, the patent holder may sue us even if we have licensed other patent protection for our Candidates.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which we may need a license to develop and commercialize our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Candidates. In addition, we may be unaware of one or more issued patents that would be infringed by the manufacture, sale or use of a current or future Candidate, or we may incorrectly conclude that a third-party patent is invalid, unenforceable or not infringed by our activities. Additionally, pending patent applications that have been published can, subject to certain limitations, be later amended in a manner that could cover our Candidates.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third parties may claim that gene or protein of interest, such as microdystrophin, or the AAV capsids we are developing for use in our Candidates are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our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Similarly, there is no assurance that a court of competent jurisdiction would find that our Candidates did not infringe a third-party patent.</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ind w:right="40"/>
        <w:spacing w:after="0" w:line="261" w:lineRule="auto"/>
        <w:rPr>
          <w:sz w:val="20"/>
          <w:szCs w:val="20"/>
          <w:color w:val="auto"/>
        </w:rPr>
      </w:pPr>
      <w:r>
        <w:rPr>
          <w:rFonts w:ascii="Times New Roman" w:cs="Times New Roman" w:eastAsia="Times New Roman" w:hAnsi="Times New Roman"/>
          <w:sz w:val="18"/>
          <w:szCs w:val="18"/>
          <w:color w:val="auto"/>
        </w:rPr>
        <w:t>infringing Candidate.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Candidates or force us to cease some or all of our business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67"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Some of the intellectual property rights we have licensed, including such rights licensed from the University of Missouri, the University of Washington and the University of Florida, are stated to have been generated through the use of U.S. government funding and may therefore be subject to certain federal regulations. As a result, the U.S. government may have certain rights to intellectual property embodied in our current or future Candidates pursuant to the Bayh-Dole Act of 1980 (“Bayh-Dole Act”). These U.S. government rights in certain inventions developed under a government-funded program include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spacing w:after="0" w:line="254" w:lineRule="auto"/>
        <w:rPr>
          <w:sz w:val="20"/>
          <w:szCs w:val="20"/>
          <w:color w:val="auto"/>
        </w:rPr>
      </w:pPr>
      <w:r>
        <w:rPr>
          <w:rFonts w:ascii="Times New Roman" w:cs="Times New Roman" w:eastAsia="Times New Roman" w:hAnsi="Times New Roman"/>
          <w:sz w:val="18"/>
          <w:szCs w:val="18"/>
          <w:color w:val="auto"/>
        </w:rPr>
        <w:t>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Filing, prosecuting, maintaining, enforcing and defending patents on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U.S. patents lack corresponding foreign patents or patent applications. For example,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Candidates and our patents or other intellectual property rights may not be effective or sufficient to prevent them from competing.</w:t>
      </w:r>
    </w:p>
    <w:p>
      <w:pPr>
        <w:spacing w:after="0" w:line="9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our Candidates or technology platforms that involve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information or technology that is not covered by patents. Aspects of our manufacturing process are protected by trade secrets. However, trade secrets can be difficult to protect and some courts inside and outside the United States are less willing or unwilling to protect trade secrets.</w:t>
      </w:r>
    </w:p>
    <w:p>
      <w:pPr>
        <w:spacing w:after="0" w:line="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ind w:right="60"/>
        <w:spacing w:after="0" w:line="261" w:lineRule="auto"/>
        <w:rPr>
          <w:sz w:val="20"/>
          <w:szCs w:val="20"/>
          <w:color w:val="auto"/>
        </w:rPr>
      </w:pPr>
      <w:r>
        <w:rPr>
          <w:rFonts w:ascii="Times New Roman" w:cs="Times New Roman" w:eastAsia="Times New Roman" w:hAnsi="Times New Roman"/>
          <w:sz w:val="18"/>
          <w:szCs w:val="18"/>
          <w:color w:val="auto"/>
        </w:rPr>
        <w:t>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could purchase our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Candidates. Moreover, any such litigation or the threat of such litigation may adversely affect our ability to hire employees or contract with independent contractors. A loss of key personnel or their work product could hamper or prevent our ability to commercialize our Candidates. Even if we are successful in defending against such claims, litigation could result in substantial costs and be a distraction to management.</w:t>
      </w:r>
    </w:p>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Candidates.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right="780"/>
        <w:spacing w:after="0" w:line="282" w:lineRule="auto"/>
        <w:rPr>
          <w:sz w:val="20"/>
          <w:szCs w:val="20"/>
          <w:color w:val="auto"/>
        </w:rPr>
      </w:pPr>
      <w:r>
        <w:rPr>
          <w:rFonts w:ascii="Times New Roman" w:cs="Times New Roman" w:eastAsia="Times New Roman" w:hAnsi="Times New Roman"/>
          <w:sz w:val="18"/>
          <w:szCs w:val="18"/>
          <w:color w:val="auto"/>
        </w:rPr>
        <w:t>implement various regulations. However, the Leahy-Smith Act and its implementation could increase the uncertainties and costs surrounding the prosecution of our patent applications and the enforcement or defense of our issued patents.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companies engaged in the development and commercialization of biologics and pharmaceuticals are particularly uncertain. Two cases involving diagnostic method claims and “gene patents” have been decided by the U.S. Supreme Court. On March 20, 2012, the U.S. Supreme Court issued a decision in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xml:space="preserve"> (“Prometheus”), a case involving patent claims directed to a process of measuring a metabolic product in a patient to optimize a drug dosage for the patient. According to the U.S.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U.S. Supreme Court issued its decision in Association for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xml:space="preserve">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2014, the USPTO issued a guidance to its patent examiners for evaluating claims for patent subject matter eligibility under the relevant statute (35 U.S.C. § 101). This guidance was in response to a series of decisions from the U.S. Supreme Court on patent claims reciting judicial exceptions, including Abstract Ideas, Laws of Nature/Natural Principles, Natural Phenomena and/or Natural Products. Based on judicial decisions and public feedback, several supplements to this guidance and additional memoranda and materials have since been issued and are continually being issued, while the current eligibility guidance has been incorporated into the latest (10th) edition of the MPEP (Manual for Patent Examination Procedure), last revised in June 2020. The current subject matter eligibility guideline instructs USPTO examiners to follow a two-part test, set forth in the U.S. Supreme Court decisions Alice/Mayo, as the only test that should be used to evaluate the eligibility of claims under examination, including claims directed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current USPTO subject matter eligibility guidance and the constantly evolving case law, together with contemplated congressional action, could all impact our ability to pursue similar patent claims in patent applications we may prosecute in the future.</w:t>
      </w:r>
    </w:p>
    <w:p>
      <w:pPr>
        <w:spacing w:after="0" w:line="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cannot assure our stockholders that our efforts to seek patent protection for our Candidates will not be negatively impacted by the decisions described above, rulings in other cases or changes in guidance or procedures issued by the USPTO. We cannot fully predict what impact the U.S. Supreme Court’s decisions in Prometheus and Myriad may have on the ability of life science companies to obtain or enforce patents relating to their products in the future.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73"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Moreover, although the U.S. Supreme Court has held in Myriad that isolated segments of naturally occurring DNA are not patent-eligible subject matter, certain third parties could allege that activities that we may undertake infringe other gene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patents relating to our Candidates, our business may be materially harmed.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Candidates, one or more U.S. patents that we license or may own in the future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5" w:name="page96"/>
    <w:bookmarkEnd w:id="95"/>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284"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registered trademarks with the USPTO for the marks “SOLID BIOSCIENCES”, and “SOLID BIOSCIENCES” logo and registered marks in foreign jurisdictions for “SOLID BIOSCIENCES”, “SOLID GT” and “SOLID BIOSCIENCES” logo.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2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Candidates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and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products or duplicate any of our processes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6" w:name="page97"/>
    <w:bookmarkEnd w:id="96"/>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 how, and a third party may subsequently file a patent covering such intellectual property.</w:t>
      </w:r>
    </w:p>
    <w:p>
      <w:pPr>
        <w:spacing w:after="0" w:line="26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Candidates that are licensed and regulated as biologics may face competition from biosimilars approved through an abbreviated regulatory pathway.</w:t>
      </w:r>
    </w:p>
    <w:p>
      <w:pPr>
        <w:spacing w:after="0" w:line="5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(“BPCIA”) was enacted as part of the Health Care Reform Law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the BPCIA, a reference biological product is granted 12 years of regulatory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2022, Congress clarified through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w:t>
      </w:r>
    </w:p>
    <w:p>
      <w:pPr>
        <w:spacing w:after="0" w:line="72"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We believe that any of the Candidates we develop as a biological product under a BLA should qualify for the 12-year period of exclusivity. However, there is a risk that this exclusivity could be shortened due to congressional action or otherwise, or that the FDA will not consider the subject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biological products will depend on a number of marketplace and regulatory factors that are still developing. Nonetheless, the approval of a biosimilar to our Candidates would have a material adverse impact on our business due to increased competition and pricing pressure.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maintain the ability to control or significantly influence all matters submitted to our stockholders for approval.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and principal stockholders, in the aggregate, beneficially own shares representing a significant percentage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concentration of voting power may:</w:t>
      </w:r>
    </w:p>
    <w:p>
      <w:pPr>
        <w:spacing w:after="0" w:line="117" w:lineRule="exact"/>
        <w:rPr>
          <w:sz w:val="20"/>
          <w:szCs w:val="20"/>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our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on terms that other stockholders may desire.</w:t>
      </w:r>
    </w:p>
    <w:p>
      <w:pPr>
        <w:spacing w:after="0" w:line="32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number of our total outstanding shares may be sold into the market in the near future, which could cause the market price of our common stock to drop significantly, even if our business is performing well.</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(the “Securities Act”), or to the extent such shares have already been registered under the Securities Act and are held by non-affiliates of ours. Moreover, holders of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7" w:name="page98"/>
    <w:bookmarkEnd w:id="97"/>
    <w:p>
      <w:pPr>
        <w:ind w:right="440"/>
        <w:spacing w:after="0" w:line="282" w:lineRule="auto"/>
        <w:rPr>
          <w:sz w:val="20"/>
          <w:szCs w:val="20"/>
          <w:color w:val="auto"/>
        </w:rPr>
      </w:pPr>
      <w:r>
        <w:rPr>
          <w:rFonts w:ascii="Times New Roman" w:cs="Times New Roman" w:eastAsia="Times New Roman" w:hAnsi="Times New Roman"/>
          <w:sz w:val="18"/>
          <w:szCs w:val="18"/>
          <w:color w:val="auto"/>
        </w:rPr>
        <w:t>substantial number of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2020, in connection with the execution of our collaboration and license agreement with Ultragenyx, we issued and sold 521,719 shares of our common stock to Ultragenyx. For the ten-year period after date of such sale, subject to specified conditions, we have agreed to file a registration statement in order to register all or a portion of the shares sold to Ultragenyx.</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December 2024, in connection with the execution of our collaboration, patent and know-how license agreement with Mayo Foundation for Medical Education and Research (“Mayo”), we issued 364,990 shares of our common stock to Mayo in a private placement. In February 2025, we made the first milestone payment of 975,496 shares of our common stock to FA212 following the FDA’s clearance of our IND for SGT-212 for the treatment of FA. In January 2026, we made the second milestone payment of 1,316,899 shares of our common stock to FA212 following the dosing of the first participant in the Phase 1b FALCON clinical trial of SGT-212. We have filed resale registration statements to register all of the shares issued to Mayo and FA212.</w:t>
      </w:r>
    </w:p>
    <w:p>
      <w:pPr>
        <w:spacing w:after="0" w:line="75"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In July 2019, December 2020, January 2024 and March 2026 we completed private placements, and in February 2025 we completed a public offering, of shares of our common stock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shares of our common stock to several accredited investors. In December 2022, we also issued shares of our common stock in the Acquisition and in a related private placement to several accredited investors. We have filed registration statements covering the resale of these shares by the purchasers in these private placements, and the stock consideration issued in the Acquisition, and have agreed to keep such registration statements effective until the date the shares covered by the respective registration statement have been sold or can be resold without restriction under Rule 144 of the Securities Act.</w:t>
      </w:r>
    </w:p>
    <w:p>
      <w:pPr>
        <w:spacing w:after="0" w:line="9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have on file with the SEC universal shelf registration statements which allow us to offer and sell registered common stock, preferred stock, debt securities, depositary shares, warrants and/or units from time to time pursuant to one or more offerings at prices and terms to be determined at the time of sale.</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in the future is likely to be, volatile and fluctuate substantially, which could result in substantial losses for holders of our common stock.</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spacing w:after="0" w:line="72"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proposed business strategy;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Candidates or those of our competitors;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the European Union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Candidates, or our clinical development programs and our commercialization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development timelines;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8" w:name="page99"/>
    <w:bookmarkEnd w:id="98"/>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emergencies or pandemics on both the healthcare system and the patient population;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for our stock and daily share volumes transacted;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Select Market;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quarterly fluctuations in our operating results may, in turn, cause the price of our stock to fluctuate substantially.</w:t>
      </w:r>
    </w:p>
    <w:p>
      <w:pPr>
        <w:spacing w:after="0" w:line="9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often has been instituted against that company. We and certain of our executive officers and board members have previously been named as defendants in purported class action lawsuits. Any such litigation instituted against us could cause us to incur substantial costs to defend such claims and divert management’s attention and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if at all.</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so long as the market value of our common stock held by non-affiliates is less than $250 million measured on the last business day of our second fiscal quarter, or our annual revenues are less than $100 million during the most recently completed fiscal year and the market value of our common stock held by non-affiliates is less than $700 million measured on the last business day of our second fiscal quarter. Smaller reporting companies are able to provide simplified executive compensation disclosure and have certain other reduced disclosure obligations, including, among other things, being permitted to provide only two years of audited financial statements, with correspondingly reduced “Management’s Discussion and Analysis of Financial Condition and Results of Operations”.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our filings with the SEC.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Those expenses will increase if we do not remain a smaller reporting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9" w:name="page100"/>
    <w:bookmarkEnd w:id="99"/>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are required to furnish a report by our management on our internal control over financial reporting. However, while we remain a smaller reporting company with less than $100 million in annual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is the only sole source of gain for an investment in our common stock.</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We do not intend to have this choice of forum provision apply to, and this choice of forum provision will not apply to, actions arising under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as well as secure our networks, systems and data. Such processes include physical, procedural, and technical safeguards, employee training and incident simulations. We have the capacity to engage certain external parties, such as consultants, independent privacy assessors, computer security firms and risk management, peer companies, industry groups and governance experts, to enhance our cybersecurity oversight. We also consider the internal risk oversight programs of third-party service providers before engaging them to help protect us from any related vulnerabilities.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help manage our material risks from cybersecurity threats and to help protect against, detect, and prepare to respond to cybersecurity incidents, we conduct periodic training for employees involved in our systems and processes that handle sensitive data. We also conduct onboarding cybersecurity awareness assessments, cybersecurity training for all employees, and regular phishing email simulations for all employees. In addition, we use technology-based tools to help mitigate cybersecurity risks and to bolster our employee-based cybersecurity programs.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oversight of our cybersecurity risk and provides regular updates to the Board of Directors regarding such oversight. The Audit Committee receives periodic updates from management regarding cybersecurity matters, and is notified between such updates regarding significant new cybersecurity threats or incidents.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Senior Director of Information Technology leads the operational oversight of company-wide cybersecurity strategy, policy, standards and processes and works across relevant departments to assess and help us prepare our employees to address cybersecurity risks. Our Senior Director of Information Technology has over eighteen years of experience in information technology, eleven years of experience in information technology for life sciences companies, and a relevant bachelor’s degree in information technology. We do not believe that there are currently any known risks from cybersecurity threats that are reasonably likely to materially affect us or our business strategy, results of operations or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which consists of approximately 49,869 square feet of office, laboratory, research and development and manufacturing space in Charlestown, Massachusetts. The lease for our corporate headquarters has an initial term of approximately ten years that expires in 2032 with an option to extend the lease for an additional five years. In addition, we lease smaller laboratory and office space in North Carolina.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8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“SLDB” since January 26, 2018 in connection with our initial public offering. Prior to that date, there was no established public trading market for our common stock.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to The Nasdaq Composite Index and to The Nasdaq Biotechnology Index from December 31, 2020 through December 31, 2025. The comparison assumes $100 was invested after the market closed on December 31, 2020 in our common stock and in each of the foregoing indices, and it assumes reinvestment of dividends, if any. The stock price performance included in this graph is not necessarily indicative of future stock price performance.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Among The Nasdaq Composite Index, The Nasdaq Biotechnology Index and 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142875</wp:posOffset>
            </wp:positionV>
            <wp:extent cx="4783455" cy="2400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834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performance graph in this Item 5 is not deemed to be “soliciting material” or to be “filed” with the SEC for purposes of Section 18 of the Exchange Act, or otherwise subject to the liabilities under that Section, and shall not be deemed incorporated by reference into any of our filings under the Securities Act or the Exchange Act, except to the extent we specifically incorporate it by reference into such a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16, 2026, we had approximately 44 holders of record of our common stock. This number does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sell any securities, during the year ended December 31, 2025 that were not registered under the Securities Act, and that have not otherwise been described in a Quarterly Report on Form 10-Q or in a Current Report on Form 8-K.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(“Duchenne”), SGT-212 for the treatment of Friedreich’s ataxia (“FA”), SGT-501 for the treatment of catecholaminergic polymorphic ventricular tachycardia (“CPVT”), SGT-601 for the treatment of TNNT2-mediated dilated cardiomyopathy (“TNNT2 DCM”), and additional assets for the treatment of genetic cardiac and neuromuscular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underserved patients with sometimes fatal neuromuscular and cardiac diseases;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innovative libraries of delivery capsids and other enabling technologies with the potential to have broad impact on the gene therapy field at large;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continuing to advance our pipeline of Candidates. The U.S. Food and Drug Administration (the “FDA”) has granted Fast Track, Orphan Drug, and Rare Pediatric Disease designations for SGT-003 for Duchenne and SGT-003 has also been awarded an Innovation Passport by the new UK Innovative Licensing and Access Pathway. The FDA has granted Fast Track, Orphan Drug and Rare Pediatric Disease designations to SGT-212 for the treatment of FA and SGT-501 for the treatment of CPVT.</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we continue to pursue opportunities in both the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and components used in our manufacturing processes. We continue to monitor these developments closely.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SGT-003</w:t>
      </w:r>
    </w:p>
    <w:p>
      <w:pPr>
        <w:spacing w:after="0" w:line="119"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Participant dosing in the Phase 1/2 INSPIRE DUCHENNE trial of SGT-003 began in the second quarter of 2024. The INSPIRE DUCHENNE trial is a Phase 1/2 first-in-human, open-label, single-dose, multicenter trial designed to evaluate the safety, tolerability and efficacy of SGT-003 in pediatric patients with Duchenne at a dose of 1E14vg/kg. SGT-003 is administered as a one-time intravenous infusion. Since initiation of the INSPIRE DUCHENNE clinical trial, we amended the clinical trial protocol to increase the anticipated participant enrollment size, expand the participant cohort age groups, and extend the time points of certain secondary objective measurements. In connection with the expanded clinical trial, we have initiated work for additional Good Manufacturing Practices (“GMP”) batches of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On March 11, 2026, we announced positive new interim data from the Phase 1/2 INSPIRE DUCHENNE clinical trial.</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interim clinical data reported is as of a February 23, 2026, data cutoff date. SGT-003 has been generally well tolerated in the 41 participants dosed as of March 18, 2026. The safety and tolerability profile observed in the INSPIRE DUCHENNE trial continued to be promising; SGT-003 is administered using a low-burden, steroid-only prophylactic immunomodulation regimen. As of March 18, 2026, there has been one treatment-related serious adverse event reported in the INSPIRE DUCHENNE trial. This serious adverse event was identified as a Grade 3 immune-mediated myositis which, importantly, was not associated with muscle pain or weakness, and occurred in a participant who had a large deletion in a region coded for by SGT-003’s microdystrophin. The trial participant promptly responded to steroid treatment and the event has resolved. This serious adverse event was reviewed by the data and safety monitoring board (DSMB) with the recommendation to continue dosing without interruption.</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 full description of the initial results from the INSPIRE DUCHENNE trial, see Part I, Item I, “Business” appearing in this Annual Report on Form 10-K.</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Enrollment and dosing in the INSPIRE DUCHENNE trial is ongoing and being conducted at 15 clinical sites across the United States, Canada, Italy and the United Kingdom. We believe we have aligned with the FDA on SGT-003's potency assay strategy and will continue commercial-readiness CMC activities, with our process performance qualification manufacturing batches to be completed in 2026.</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2025, we activated the first clinical trial site and began screening participants for IMPACT DUCHENNE, a Phase 3 randomized, double-blind, placebo-controlled trial evaluating SGT-003. In February 2026, we announced positive feedback from a Type C meeting with the FDA where we reached alignment on the IMPACT DUCHENNE trial design, including: the patient population of ambulant participants 7 to &lt;12 years of age, the primary endpoint of change from baseline in Time to Rise (TTR) velocity from supine position evaluated at 18 months and other key secondary endpoints. The IMPACT DUCHENNE trial is currently planned to be conducted at sites in Australia, Canada, the European Union and the United Kingdom, and due to strong key opinion leader and community demand, we are also evaluating the potential to open clinical trial sites in the United States. Participant screening is underway and we anticipate dosing the first participant in the Phase 3 IMPACT DUCHENNE trial in April 2026.</w:t>
      </w:r>
    </w:p>
    <w:p>
      <w:pPr>
        <w:spacing w:after="0" w:line="8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In the first half of 2026, we plan to have additional meetings with the FDA to receive guidance on a potential accelerated approval pathway for SGT-003 and we expect to provide regulatory and clinical updates in mid-2026.</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FDA has granted Fast Track, Orphan Drug, and Rare Pediatric Disease designations for SGT-003 for the treatment of Duchenne. SGT-003 has been awarded an Innovation Passport by the new UK Innovative Licensing and Access Pathway, which aims to accelerate time to market and facilitate patient access to new medicines in the United Kingdom.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SGT-212</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2025, we announced that the FDA cleared our IND for SGT-212 for the treatment of FA. In October 2025, we activated the first clinical trial site and began screening participants for FALCON, an open-label, multi-center Phase 1b clinical trial of SGT-212, and in January 2026, we dosed the first participant in the trial. As of March 18, 2026, there have been no serious adverse events and no treatment-related adverse events reported in the FALCON trial. Intra-procedural MRI imaging demonstrated promising IDN targeting and coverage. The trial is expected to enroll approximately 10 non-ambulatory and ambulatory adult participants (aged 18-40) living with FA in up to three cohorts and is designed to evaluate the safety and tolerability of contemporaneous IDN and systemic IV infusion of SGT-212 with initial data anticipated in the second half of 2026, subject to participant enrollment. The FDA has granted Fast Track, Orphan Drug and Rare Pediatric Disease designations to SGT-212 for the treatment of FA.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SGT-501</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July 2025, we announced that the FDA cleared our IND and that Health Canada approved our clinical trial application for SGT-501 for the treatment of CPVT. In January 2026, we announced that clinical trial sites have been activated and participant screening is underway in the ARTEMIS clinical trial, an open-label, multi-center Phase 1b clinical trial evaluating SGT-501 in adult participants with CPVT. The ARTEMIS trial is designed to evaluate the safety and tolerability of a single IV infusion of SGT-501. We anticipate dosing our first participant in the second quarter of 2026 with initial safety data anticipated in the second half of 2026, subject to participant enrollment.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Orphan Drug and Rare Pediatric Disease designations to SGT-501 for the treatment of CPVT.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Cardiac Programs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currently developing a preclinical product candidate, SGT-601, for the treatment of TNNT2 DCM. Efficacy studies in mice suggest that SGT-601 treatment resulted in a restoration of ejection fraction function and a stabilization in cardiac function over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Capsids</w:t>
      </w:r>
    </w:p>
    <w:p>
      <w:pPr>
        <w:spacing w:after="0" w:line="126"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18"/>
          <w:szCs w:val="18"/>
          <w:color w:val="auto"/>
        </w:rPr>
        <w:t>In March of 2026, we began using the mark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to represent our AAV-SLB101 capsid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is our rationally designed, proprietary capsid used in SGT-003 for Duchenne, which has been generally well tolerated as of March 18, 2026 (N=41) in the INSPIRE DUCHENNE clinical trial, and was also well tolerated in nonclinical NHP and mouse models. We aim to license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broadly to corporations, institutions and academic labs pursuing neuromuscular and cardiac rare disease research, with more than 50 agreements including licenses executed.</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The majority of our current programs are designed to treat these diseases with gene transfer products. Gene transfer, a type of gene therapy, is designed to address diseases caused by mutated genes through the delivery of functional versions of genes, called transgenes. The transgenes are then utilized by the body to produce desired proteins that act therapeutically to treat the condition.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retains its ability to introduce new genetic material directly into patients’ cells. Adeno-associated virus (“AAV”) capsids have been approved for use to deliver transgenes to patients, including via systemic delivery as well as stereotactic neurosurgical administration to the brain. The use of AAV capsids to deliver gene therapies has also been extensively studied by third parties in human clinical trials for multiple disease indications, and in certain of these trials AAV was delivered systemically to the participant.</w:t>
      </w:r>
    </w:p>
    <w:p>
      <w:pPr>
        <w:spacing w:after="0" w:line="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building cardiac and neuromuscular next-generation capsid and promoter libraries with capsid selection from the first library anticipated in the second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 licensing and patent investment, and general and administrative costs associated with our operations, we have generated substantial operating losses in each period since our inception. Our net losses were $174.3 million and $124.7 million for the years ended December 31, 2025 and 2024, respectively. As of December 31, 2025, we had an accumulated deficit of $957.8 million. We expect to incur significant expenses and operating losses for the foreseeable future.</w:t>
      </w:r>
    </w:p>
    <w:p>
      <w:pPr>
        <w:spacing w:after="0" w:line="7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we seek to develop and commercialize our Candidates, we anticipate that our expenses will increase significantly and that we will need substantial additional funding to support our continuing operations. Until we can generate significant revenue from product sales, if ever, we expect to finance our operations through a combination of public or private equity financing, debt financings or other sources, which may include licensing agreements or strategic collaborations. We may be unable to raise additional funds or enter into such agreements or arrangements when needed on favorable terms, if at all. If we fail to raise capital or enter into such agreements as and when needed, we may have to significantly delay, scale back or discontinue the development or commercialization of our Candidates.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cash equivalents, and available-for-sale securities of $187.9 million, excluding restricted cash of $2.0 million. In March 2026, we issued and sold in a private placement (the “March 2026 Private Placement”), 14,973,257 shares of our common stock at a price per share of $5.61, and, to certain investors in lieu of shares of common stock, pre-funded warrants to purchase 27,807,482 shares of our common stock at a price per warrant of $5.609. We received net proceeds of approximately $226.4 million, after deducting estimated offering costs. We believe that our cash, cash equivalents, and available-for-sale securities as of December 31, 2025, together with the net proceeds from the March 2026 Private Placement, will enable us to fund our operating expenses and capital expenditure requirements into the first half of 2028. We have based this estimate on assumptions that may prove to be wrong, and we could use our available capital resources sooner than we currently anticipate.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not generated any commercial product revenue to date and do not expect to do so for the foreseeable future, if ever. If our development efforts for our Candidates are successful and result in marketing approval, we may generate commercial product revenue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and general and administrative expenses. Personnel costs, including salaries, benefits, bonuses, and equity-based compensation expense comprise a significant component of both expense categories. We allocate expenses associated with personnel costs based on the nature of work associated with these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clinical and preclinical development activities for our Candidates and include:</w:t>
      </w:r>
    </w:p>
    <w:p>
      <w:pPr>
        <w:spacing w:after="0" w:line="54" w:lineRule="exact"/>
        <w:rPr>
          <w:sz w:val="20"/>
          <w:szCs w:val="20"/>
          <w:color w:val="auto"/>
        </w:rPr>
      </w:pPr>
    </w:p>
    <w:p>
      <w:pPr>
        <w:ind w:left="900" w:right="20" w:hanging="383"/>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that conduct research, preclinical and clinical activities on our behalf, as well as contract development and manufacturing organizations (“CDMOs”) that manufacture SGT-003, SGT-212, SGT-501, and other Candidates for use in our preclinical studies and clinical trials;</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equity-based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engaged to assist in our research and development activities, including their fees, equity-based compensation and related travel expenses;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seeking regulatory approval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our intellectual property licenses;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research and development expenses, which include direct depreciation costs and allocated expenses for rent and maintenance of facilities and other operating costs.</w:t>
      </w:r>
    </w:p>
    <w:p>
      <w:pPr>
        <w:spacing w:after="0" w:line="54"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are still in the early stages of development for most of our Candidates. Candidates in later stages of clinical development generally have higher development costs than those in preclinical development or in earlier stages of clinical development, primarily due to the increased size and duration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We expect that our research and development expenses will continue to increase for the foreseeable future if and as we continue to conduct our INSPIRE DUCHENNE, IMPACT DUCHENNE, FALCON and ARTEMIS trials and continue to develop our pipeline and complete ongoing and planned preclinical studies and clinical trials of our Candidates.</w:t>
      </w:r>
    </w:p>
    <w:p>
      <w:pPr>
        <w:spacing w:after="0" w:line="30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our Candidates. We track outsourced development costs and milestone payments made under our licensing arrangements by Candidate, but we do not allocate personnel costs, license payments made under our licensing arrangements or other internal costs to Candidates on a program-specific basis. These costs are included in unallocated research and development expenses in the table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Candidate for the respective periods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Allocated research and development expenses: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SGT-003</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58,959</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SGT-501</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SGT-212</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SGT-601</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allocated research and development expenses</w:t>
            </w: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86,914</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35,356</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25,100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External expenses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18,055</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19,209</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unallocated research and development expenses</w:t>
            </w: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53,411</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140,325</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-693420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cannot determine with certainty the duration, costs, and timing of ongoing and planned clinical trials of SGT-003, SGT-212, SGT-501 or our other Candidates, or if, when, or to what extent we will generate revenue from the commercialization and sale of any of our Candidates for which we obtain marketing approval or our other research and development expenses. We may never succeed in obtaining marketing approval for any of our Candidates. The duration, costs, and timing of clinical trials and development of our Candidates will depend on a variety of factors, including:</w:t>
      </w:r>
    </w:p>
    <w:p>
      <w:pPr>
        <w:spacing w:after="0" w:line="72" w:lineRule="exact"/>
        <w:rPr>
          <w:sz w:val="20"/>
          <w:szCs w:val="20"/>
          <w:color w:val="auto"/>
        </w:rPr>
      </w:pPr>
    </w:p>
    <w:p>
      <w:pPr>
        <w:ind w:left="900" w:right="2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any clinical trials of our Candidates and other research and development activities that we may conduct;</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restrictions on clinical trials, including full and partial clinical holds and the time and activities required to lift any such holds;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participant enrollment or drop out or discontinuation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studies or clinical trials requested by regulatory agencies;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w:t>
      </w:r>
    </w:p>
    <w:p>
      <w:pPr>
        <w:spacing w:after="0" w:line="5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support our research and development activities and activities related to our INSPIRE DUCHENNE trial, our IMPACT DUCHENNE trial, our FALCON trial, our ARTEMIS trial and any other planned or future clinical trials for and potential commercialization of our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Interest income consists of income earned on our cash and cash equivalents, available-for-sale securities, and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which requires recognition of deferred tax assets and liabilities for the expected future tax consequences of events that have been recognized in the consolidated financial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9" w:name="page110"/>
    <w:bookmarkEnd w:id="109"/>
    <w:p>
      <w:pPr>
        <w:ind w:right="300"/>
        <w:spacing w:after="0" w:line="282" w:lineRule="auto"/>
        <w:rPr>
          <w:sz w:val="20"/>
          <w:szCs w:val="20"/>
          <w:color w:val="auto"/>
        </w:rPr>
      </w:pPr>
      <w:r>
        <w:rPr>
          <w:rFonts w:ascii="Times New Roman" w:cs="Times New Roman" w:eastAsia="Times New Roman" w:hAnsi="Times New Roman"/>
          <w:sz w:val="18"/>
          <w:szCs w:val="18"/>
          <w:color w:val="auto"/>
        </w:rPr>
        <w:t>statements but have not been reflected in taxable income. A valuation allowance is established to reduce deferred tax assets to their estimated realizable value.</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w:t>
      </w:r>
    </w:p>
    <w:p>
      <w:pPr>
        <w:spacing w:after="0" w:line="8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at the end of this Annual Report on Form 10-K, we believe that the following accounting policies are those most critical to the judgments and estimates used in the preparation of our consolidated financial statements and that involve a significant level of estimation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activities, clinical trials and preclinical studies on our behalf;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and clinical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and development and distribution of clinical and preclinical supplies;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under our intellectual property licenses.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rendered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equity plans under which we grant equity awards to employees, directors and non-employees. We measure all stock options and other stock-based awards granted to employees, directors and non-employees based on the fair value on the date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0" w:name="page111"/>
    <w:bookmarkEnd w:id="110"/>
    <w:p>
      <w:pPr>
        <w:ind w:right="20"/>
        <w:spacing w:after="0" w:line="223" w:lineRule="exact"/>
        <w:rPr>
          <w:sz w:val="20"/>
          <w:szCs w:val="20"/>
          <w:color w:val="auto"/>
        </w:rPr>
      </w:pPr>
      <w:r>
        <w:rPr>
          <w:rFonts w:ascii="Times New Roman" w:cs="Times New Roman" w:eastAsia="Times New Roman" w:hAnsi="Times New Roman"/>
          <w:sz w:val="18"/>
          <w:szCs w:val="18"/>
          <w:color w:val="auto"/>
        </w:rPr>
        <w:t>of the grant and recognize compensation expense of those awards, over the requisite service period, which is generally the vesting period of the respective award. Forfeitures are accounted for as a reduction of equity based compensation as they occur. We apply the straight-line method of expense recognition to all awards with only service-based vesting conditions. For performance-based restricted stock unit awards, which are subject to the achievement of performance milestones, the fair value is recognized as expense over the requisite service periods when the achievement of such performance milestones is determined to be probable. If a performance milestone is not determined to be probable or is not met, no equity-based compensation expense is recognized, and any previously recognized expense is reversed. For stock-based awards granted to non-employees, compensation expense is recognized over the period during which services are rendered by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until completed.</w:t>
      </w:r>
    </w:p>
    <w:p>
      <w:pPr>
        <w:spacing w:after="0" w:line="170"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We use the volatility of our own historical stock price. The expected term of stock options with service-based vesting conditions and options granted to non-employees has been determined utilizing the “simplified” method for awards that qualify as “plain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vanilla” options. The risk-free interest rate is determined by reference to the U.S. Treasury yield curve in effect at the time of grant of the award for time periods approximately equal to the expected term of the award. We use a 0% expected dividend yield in our determination of fair value based on the fact that we have never paid cash dividends and do not expect to pay any cash dividends in the foreseeable future, if ever.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asset purchase agreement with FA212 LLC (“FA212”), certain development milestone payments to FA212 are payable in either cash, equity, or a combination of both, at our discretion. Such contingent payments were determined to be derivative liabilities.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Derivative liabilities are recorded at fair value based on the probability weighted present value of the estimated cash flows pursuant to the contractual terms of each agreement. The derivative liabilities are remeasured quarterly with changes in fair value recorded in change in fair value of derivative liabilities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 except percentages):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140,325</w:t>
            </w:r>
          </w:p>
        </w:tc>
        <w:tc>
          <w:tcPr>
            <w:tcW w:w="20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43,894</w:t>
            </w:r>
          </w:p>
        </w:tc>
        <w:tc>
          <w:tcPr>
            <w:tcW w:w="2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33,297</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179,206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49,478</w:t>
            </w:r>
          </w:p>
        </w:tc>
        <w:tc>
          <w:tcPr>
            <w:tcW w:w="2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(179,206)</w:t>
            </w:r>
          </w:p>
        </w:tc>
        <w:tc>
          <w:tcPr>
            <w:tcW w:w="38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(129,728)</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(49,478)</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(6,050)</w:t>
            </w:r>
          </w:p>
        </w:tc>
        <w:tc>
          <w:tcPr>
            <w:tcW w:w="38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(4,750)</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(1,300)</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(174,325)</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(124,697)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(49,628)</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-1224915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-1224915</wp:posOffset>
            </wp:positionV>
            <wp:extent cx="59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-1224915</wp:posOffset>
            </wp:positionV>
            <wp:extent cx="1289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-950595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-950595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-950595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-950595</wp:posOffset>
            </wp:positionV>
            <wp:extent cx="128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-162560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-162560</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-162560</wp:posOffset>
            </wp:positionV>
            <wp:extent cx="1289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Candidate for the respective periods (in thousands, except percentages):</w:t>
      </w:r>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Allocated research and development expenses:</w:t>
            </w: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SGT-003</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43,762</w:t>
            </w: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SGT-501</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(7,582)</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SGT-212</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SGT-601</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(6,028)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allocated research and development expenses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86,914</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34,792</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35,356</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External expenses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unallocated research and development expenses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53,411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140,325</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43,894</w:t>
            </w: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-693420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-693420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-693420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-693420</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-161925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-161925</wp:posOffset>
            </wp:positionV>
            <wp:extent cx="1289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2025 were $140.3 million, compared to $96.4 million for the year ended December 31, 2024. The increase of $43.9 million in research and development expenses was primarily due to a $43.8 million increase in costs for SGT-003 primarily related to manufacturing and clinical costs, a $10.3 million increase in personnel related expenses, a $5.0 million increase in costs for SGT-601 primarily related to manufacturing and research costs, partially offset by a net decrease of $7.6 million in costs for SGT-501 related to lower manufacturing and study costs partially offset by an increase in clinical, regulatory and licensing fees, and a $6.0 million decrease in costs for other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$38.9 million for the year ended December 31, 2025, compared to $33.3 million for the year ended December 31, 2024. The increase of $5.6 million was primarily related to a $6.1 million increase in personnel related costs and a $0.6 million increase in information technology support and services, partially offset by a $1.1 million decrease in general legal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 income, net was $4.9 million and $5.0 million for the years ended December 31, 2025 and 2024, respectively. The decrease of $0.2 million was primarily related to the change in fair value of derivative liabilities offset by interest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securities in private placements and follow-on offerings, the sale of common stock in our initial public offering, and sales of common stock under our “at-the-market offering” sales agreement with Jefferies LLC (“Jefferies”) (the “ATM Sales Agreement”). Through December 31, 2025, we raised an aggregate of $144.6 million of gross proceeds from our sales of preferred units prior to the completion of our initial public offering, and an aggregate of $863.7 million of net proceeds from the sale of our common stock through public offerings, including our IPO and follow-on public offerings, private placements, the ATM Sales Agreement, and pursuant to the stock purchase agreements.</w:t>
      </w:r>
    </w:p>
    <w:p>
      <w:pPr>
        <w:spacing w:after="0" w:line="7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On March 13, 2019, we entered into the ATM Sales Agreement, which was amended and restated in March 2024, under which we may offer and sell, from time to time, shares of our common stock through Jefferies as sales agent. Any such sales being made by any method that is deemed an “at-the-market offering” as defined in Rule 415 promulgated under the Securities Act. We will pay Jefferies a commission of up to 3% of the gross proceeds of any sales of common stock pursuant to the ATM Sales Agreement. During the years ended December 31, 2025 and 2024, we sold 1,189,572 and 2,212,937 shares of common stock, respectively, pursuant to the ATM Sales Agreement resulting in net proceeds of $6.8 million and $18.4 million, respectively. During the three months ended December 31, 2025, we sold 891,414 shares pursuant to the ATM Sales Agreement resulting in net proceeds of $5.1 million.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2" w:name="page113"/>
    <w:bookmarkEnd w:id="112"/>
    <w:p>
      <w:pPr>
        <w:ind w:right="60"/>
        <w:spacing w:after="0" w:line="266" w:lineRule="auto"/>
        <w:rPr>
          <w:sz w:val="20"/>
          <w:szCs w:val="20"/>
          <w:color w:val="auto"/>
        </w:rPr>
      </w:pPr>
      <w:r>
        <w:rPr>
          <w:rFonts w:ascii="Times New Roman" w:cs="Times New Roman" w:eastAsia="Times New Roman" w:hAnsi="Times New Roman"/>
          <w:sz w:val="18"/>
          <w:szCs w:val="18"/>
          <w:color w:val="auto"/>
        </w:rPr>
        <w:t>On January 11, 2024, we issued and sold 16,973,103 shares of our common stock at a price per share of $5.53 and, to one investor in lieu of shares of common stock, pre-funded warrants to purchase 2,712,478 shares of common stock at a price of $5.529 per pre-funded warrant, in a private placement (the “January 2024 Private Placement”). We received $103.7 million of net proceeds from the January 2024 Private Placement after deducting offering costs.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19, 2025, we issued and sold in an underwritten offering (the “February 2025 Offering”), 35,739,810 shares of our common stock at a price of $4.03 per share and, to certain investors in lieu of shares of common stock, pre-funded warrants to purchase 13,888,340 shares of common stock at a price of $4.029 per pre-funded warrant. We received approximately $188.0 million of net proceeds from the February 2025 Offering, after deducting underwriting discounts and commissions and offering costs.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9, 2026, we issued and sold 14,973,257 shares of our common stock at a price of $5.61 per share, and, to certain investors in lieu of shares of common stock, pre-funded warrants to purchase 27,807,482 shares of its common stock at a price of $5.609 per pre-funded warrant, in the March 2026 Private Placement. We received approximately $226.4 million of aggregate net proceeds from the March 2026 Private Placement, after deducting estimated offering costs.</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cash equivalents and available-for-sale securities of $187.9 million, excluding restricted cash of $2.0 million, and had no debt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(156,289)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(100,012)</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(58,454)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(16,086)</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(20,297)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$156.3 million of cash, primarily resulting from our net loss of $174.3 million offset by non-cash charges of $24.9 million due primarily to equity-based compensation of $16.9 million, an increase in the fair value of the derivative liabilities of $6.1 million, non-cash lease expense of $2.4 million, and depreciation expense of $1.6 million, partially offset by amortization of discount on available-for sale-securities of $1.9 million. Net cash used by changes in our operating assets and liabilities was $6.8 million which included an increase in prepaid expenses of $8.0 million, a decrease in operating lease liability of $1.8 million, and a decrease in accounts payable of $1.1 million, partially offset by an increase of $4.1 million in accrued expenses and other current and non-current liabilities.</w:t>
      </w:r>
    </w:p>
    <w:p>
      <w:pPr>
        <w:spacing w:after="0" w:line="106" w:lineRule="exact"/>
        <w:rPr>
          <w:sz w:val="20"/>
          <w:szCs w:val="20"/>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During the year ended December 31, 2024, operating activities used $100.0 million of cash, primarily resulting from our net loss of $124.7 million offset by non-cash charges of $21.8 million due primarily to equity-based compensation of $10.5 million, an increase in the fair value of the derivative liabilities of $4.8 million, non-cash acquired in-process research and development of $3.4 million, depreciation expense of $2.5 million, non-cash lease expense of $2.4 million, and a non-cash upfront equity payment for a collaboration and license agreement of $2.0 million, partially offset by amortization of discount on available-for sale-securities of $3.6 million. Net cash provided by changes in our operating assets and liabilities was $2.9 million which included an increase of $4.8 million in accrued expenses and other current and non-current liabilities, and an increase in accounts payable of $2.2 million, partially offset by an increase in prepaid expenses and other current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 of $2.4 million and a decrease in operating lease liability of $1.7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investing activities used $58.5 million of cash, resulting from the purchases of available-for sale securities of $235.9 million and the purchases of property and equipment of $1.2 million, partially offset by the sales and maturities of available-for sale securities of $178.5 million.</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investing activities used $16.1 million of cash, resulting from the purchases of available-for sale securities of $204.3 million and the purchases of property and equipment of $0.7 million, partially offset by the maturities of available-for sale securities of $188.9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financing activities provided $194.4 million of cash, primarily resulting from the net proceeds from the issuance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sale of common stock and pre-funded warrants to purchase shares of common stock of $194.7 million, and proceeds from the issuance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under our Amended and Restated 2021 Employee Stock Purchase Plan (“ESPP”), offset by payments of the principal portion of finance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$0.7 million.</w:t>
      </w:r>
    </w:p>
    <w:p>
      <w:pPr>
        <w:spacing w:after="0" w:line="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$122.4 million of cash, primarily resulting from the net proceeds from the sale of common stock and pre-funded warrants to purchase shares of common stock in the January 2024 Private Placement of $103.7 million and net proceeds from the sale of common stock under the ATM Sales Agreement of $18.4 million, proceeds from the exercise of common stock options of $0.5 million, and proceeds from the issuance of shares under the ESPP of $0.3 million, partially offset by payments of the principal portion of finance lease obligations of $0.5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development activities related to our Candidates. In addition, we have incurred and expect to continue to incur costs associated with operating as a public company. We expect that our expenses will increase substantially if and as we:</w:t>
      </w:r>
    </w:p>
    <w:p>
      <w:pPr>
        <w:spacing w:after="0" w:line="68" w:lineRule="exact"/>
        <w:rPr>
          <w:sz w:val="20"/>
          <w:szCs w:val="20"/>
          <w:color w:val="auto"/>
        </w:rPr>
      </w:pPr>
    </w:p>
    <w:p>
      <w:pPr>
        <w:ind w:left="1020" w:right="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participants in our INSPIRE DUCHENNE, IMPACT DUCHENNE, FALCON and ARTEMIS trials and advance clinical development of SGT-003, SGT-212 and SGT-501;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arrange manufacturing for larger quantities of our Candidates for preclinical and clinical development and potential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and available-for-sale securities of $187.9 million, excluding restricted cash of $2.0 million. Based on our current operating plan, we believe that our cash, cash equivalents and available-for-sale securities as of December 31, 2025, together with the net proceeds from the March 2026 Private Placement, will be sufficient to fund our operating expenses and capital requirements into the first half of 2028.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use our available capital resources sooner than we currently anticipate.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Candidates and because the extent to which we may enter collaborations with third parties for development of our Candidates is unknown, we are unable to estimate the timing and amounts of increased capital outlays and operating expenses associated with completing the research and development of our Candidates. Our future capital requirements will depend on many factors, including:</w:t>
      </w:r>
    </w:p>
    <w:p>
      <w:pPr>
        <w:spacing w:after="0" w:line="72" w:lineRule="exact"/>
        <w:rPr>
          <w:sz w:val="20"/>
          <w:szCs w:val="20"/>
          <w:color w:val="auto"/>
        </w:rPr>
      </w:pPr>
    </w:p>
    <w:p>
      <w:pPr>
        <w:ind w:left="900" w:right="16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IMPACT DUCHENNE, FALCON and ARTEMIS trials and any future clinical trials of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4" w:name="page115"/>
    <w:bookmarkEnd w:id="114"/>
    <w:p>
      <w:pPr>
        <w:ind w:left="900" w:right="60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Candidates receive marketing approval;</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and collateral consequences related thereto.</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supplying, and expect to continue to supply, our ongoing and future preclinical and clinical development programs with drug product produced at a current Good Manufacturing Practice compliant facility located at one of our CDMOs. We intend to establish the capability and capacity to supply Candidates at commercial scale from multiple sources.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Candidates or generate revenue from the sale of any products for which we may obtain marketing approval. In addition, our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licensing agreements and strategic collaborations with third parties, we may have to relinquish valuable rights to our technology, future revenue streams, research programs, or Candidates or grant licenses on terms that may not be favorable to us. If we are unable to raise additional funds, we may be required to delay, limit, reduce and/or terminate development of our Candidates or any future commercialization efforts or grant rights to develop and market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lease certain office space, lab space and lab equipment in Massachusetts and North Carolina. These leases are used for our continuing operations. For a description of our lease obligations, refer to Note 10 to our consolidated financial statements appearing in this Annual Report on Form 10-K.</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various agreements with third-party licensors, we have agreed to pay annual maintenance fees and certain sublicensing fees and make milestone payments and pay royalties to third parties upon achievement of certain specified milestones. For a description of our license agreements, see Part I, Item 1, “Business—Strategic Partnerships and Collaborations/Licenses” and see Note 12 of our consolidated financial statements appearing in this Annual Report on Form 10-K.</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CDMOs for clinical trials, preclinical research studies and testing, manufacturing and other services and products for operating purposes. These contracts are generally cancelable by us upon prior notice of 30 days.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to our consolidated financial statements appearing at the end of this Annual Report on Form 10-K, such standards will not have a material impact on our consolidated financial statements or do not otherwise apply to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2025, our cash equivalents consisted of money market accounts and treasury bills that have contractual maturities of less than 90 days from the date of acquisition. As of December 31, 2025, our investments consisted of treasury bills and government bonds that have contractual maturities of less than one year.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do not believe that inflation had a material effect on our business, financial condition or results of operations in the last two years. However, our operations may be adversely affected by the inflation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35"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and accounting officer, respectively), evaluated the effectiveness of our disclosure controls and procedures as of December 31, 2025. The term “disclosure controls and procedures,” as defined in Rules 13a-15(e)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refers to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required to be disclosed by a company in the reports that it files or submits under the Exchange Act is accumulated and communicated to a company’s management, including its principal executive and principal financial and accounting officers, or persons performing similar functions, as appropriate to allow timely decisions regarding required disclosure.</w:t>
      </w:r>
    </w:p>
    <w:p>
      <w:pPr>
        <w:spacing w:after="0" w:line="9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designed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as of December 31, 2025, our disclosure controls and procedures were designed and operating effectively.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35"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our internal control over financial reporting as of December 31, 2025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that evaluation, management has concluded that the Company’s internal control over financial reporting was effective as of December 31, 2025.</w:t>
      </w:r>
    </w:p>
    <w:p>
      <w:pPr>
        <w:spacing w:after="0" w:line="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a non-accelerated filer and a “smaller reporting company”, as defined in Rule 12b-2 under the Exchange Act, our independent registered public accounting firm is not required to issue an attestation report on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 months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Director and Officer Trading Arrangements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fourth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120" w:firstLine="576"/>
        <w:spacing w:after="0" w:line="266"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under this Item 10 is incorporated by reference to our definitive proxy statement for our 2026 Annual Meeting of Stockholders, which we intend to file with the Securities and Exchange Commission not later than 120 days after the end of the fiscal year ended December 31, 2025</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or the Code of Conduct, that applies to our directors, executive officers and employees, including our principal executive officer, principal financial officer, principal accounting officer or controller, or persons performing similar functions. The Code of Conduct is available on the Investor Relations portion of our website, www.solidbio.com. The nominating and corporate governance committee of our Board of Directors is responsible for overseeing the Code of Conduct and must approve any waivers of the Code of Conduct for employees, executive officers and directors. In addition, we intend to post on our website all disclosures that are required by law or the listing standards of Nasdaq concerning any amendments to, or waivers of, any provision of the Code of Conduct.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11 is incorporated by reference to our definitive proxy statement for our 2026 Annual Meeting of Stockholders, which we intend to file with the Securities and Exchange Commission not later than 120 days after the end of the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12 is incorporated by reference to our definitive proxy statement for our 2026 Annual Meeting of Stockholders, which we intend to file with the Securities and Exchange Commission not later than 120 days after the end of the fiscal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13 is incorporated by reference to our definitive proxy statement for our 2026 Annual Meeting of Stockholders, which we intend to file with the Securities and Exchange Commission not later than 120 days after the end of the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14 is incorporated by reference to our definitive proxy statement for our 2026 Annual Meeting of Stockholders, which we intend to file with the Securities and Exchange Commission not later than 120 days after the end of the fiscal year ended December 31,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8" w:name="page119"/>
    <w:bookmarkEnd w:id="11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9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81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2960" w:type="dxa"/>
            <w:vAlign w:val="bottom"/>
          </w:tcPr>
          <w:p>
            <w:pPr>
              <w:ind w:left="2680"/>
              <w:spacing w:after="0" w:line="194"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9"/>
        </w:trPr>
        <w:tc>
          <w:tcPr>
            <w:tcW w:w="8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at December 31, 2025 and 2024</w:t>
            </w:r>
          </w:p>
        </w:tc>
        <w:tc>
          <w:tcPr>
            <w:tcW w:w="2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3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0"/>
        </w:trPr>
        <w:tc>
          <w:tcPr>
            <w:tcW w:w="6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and 2024</w:t>
            </w:r>
          </w:p>
        </w:tc>
        <w:tc>
          <w:tcPr>
            <w:tcW w:w="1580" w:type="dxa"/>
            <w:vAlign w:val="bottom"/>
            <w:gridSpan w:val="3"/>
          </w:tcPr>
          <w:p>
            <w:pPr>
              <w:spacing w:after="0"/>
              <w:rPr>
                <w:sz w:val="18"/>
                <w:szCs w:val="18"/>
                <w:color w:val="auto"/>
              </w:rPr>
            </w:pPr>
          </w:p>
        </w:tc>
        <w:tc>
          <w:tcPr>
            <w:tcW w:w="2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F-4</w:t>
            </w:r>
          </w:p>
        </w:tc>
      </w:tr>
      <w:tr>
        <w:trPr>
          <w:trHeight w:val="209"/>
        </w:trPr>
        <w:tc>
          <w:tcPr>
            <w:tcW w:w="7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2025 and 2024</w:t>
            </w:r>
          </w:p>
        </w:tc>
        <w:tc>
          <w:tcPr>
            <w:tcW w:w="860" w:type="dxa"/>
            <w:vAlign w:val="bottom"/>
          </w:tcPr>
          <w:p>
            <w:pPr>
              <w:spacing w:after="0"/>
              <w:rPr>
                <w:sz w:val="18"/>
                <w:szCs w:val="18"/>
                <w:color w:val="auto"/>
              </w:rPr>
            </w:pPr>
          </w:p>
        </w:tc>
        <w:tc>
          <w:tcPr>
            <w:tcW w:w="2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F-5</w:t>
            </w:r>
          </w:p>
        </w:tc>
      </w:tr>
      <w:tr>
        <w:trPr>
          <w:trHeight w:val="209"/>
        </w:trPr>
        <w:tc>
          <w:tcPr>
            <w:tcW w:w="8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2025 and 2024</w:t>
            </w:r>
          </w:p>
        </w:tc>
        <w:tc>
          <w:tcPr>
            <w:tcW w:w="2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F-6</w:t>
            </w:r>
          </w:p>
        </w:tc>
      </w:tr>
      <w:tr>
        <w:trPr>
          <w:trHeight w:val="210"/>
        </w:trPr>
        <w:tc>
          <w:tcPr>
            <w:tcW w:w="6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1520" w:type="dxa"/>
            <w:vAlign w:val="bottom"/>
            <w:gridSpan w:val="2"/>
          </w:tcPr>
          <w:p>
            <w:pPr>
              <w:spacing w:after="0"/>
              <w:rPr>
                <w:sz w:val="18"/>
                <w:szCs w:val="18"/>
                <w:color w:val="auto"/>
              </w:rPr>
            </w:pPr>
          </w:p>
        </w:tc>
        <w:tc>
          <w:tcPr>
            <w:tcW w:w="2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F-7</w:t>
            </w:r>
          </w:p>
        </w:tc>
      </w:tr>
      <w:tr>
        <w:trPr>
          <w:trHeight w:val="209"/>
        </w:trPr>
        <w:tc>
          <w:tcPr>
            <w:tcW w:w="3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940" w:type="dxa"/>
            <w:vAlign w:val="bottom"/>
            <w:gridSpan w:val="6"/>
          </w:tcPr>
          <w:p>
            <w:pPr>
              <w:spacing w:after="0"/>
              <w:rPr>
                <w:sz w:val="18"/>
                <w:szCs w:val="18"/>
                <w:color w:val="auto"/>
              </w:rPr>
            </w:pPr>
          </w:p>
        </w:tc>
        <w:tc>
          <w:tcPr>
            <w:tcW w:w="2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F-9</w:t>
            </w: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5480" w:right="3580" w:hanging="4963"/>
        <w:spacing w:after="0" w:line="532" w:lineRule="auto"/>
        <w:tabs>
          <w:tab w:leader="none" w:pos="7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is a list of exhibits filed as part of this Annual Report on Form 10-K.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00" w:type="dxa"/>
            <w:vAlign w:val="bottom"/>
            <w:gridSpan w:val="2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Agreement and Plan of Merger, dated as of September 29, 2022, by and among Solid Biosciences Inc., Greenland Merger Sub LLC,</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AavantiBio, Inc. and, solely in his capacity as the Equityholder Representative, Doug Swirsky (incorporated by reference to Exhibit</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Current Report on Form 8-K filed on September 30, 2022).</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Certificate of Incorporation of Solid Biosciences Inc., as amended (incorporated herein by reference to Exhibit 4.1 to the Registrant’s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Registration Statement on Form S-8 (File No. 333-288022) filed on June 13, 2025).</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Bylaws of Solid Biosciences Inc. (incorporated by reference to Exhibit 4.2 to the Registration Statement on Form S-8 filed on January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29, 2018).</w:t>
              </w:r>
            </w:hyperlink>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Specimen Common Stock Certificate (incorporated by reference to Exhibit 4.1 to the Registration Statement on Form S-1 filed on</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December 29, 2017).</w:t>
              </w:r>
            </w:hyperlink>
          </w:p>
        </w:tc>
        <w:tc>
          <w:tcPr>
            <w:tcW w:w="81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Description of the Company’s Securities Registered under Section 12 of the Exchange Act</w:t>
            </w:r>
          </w:p>
        </w:tc>
        <w:tc>
          <w:tcPr>
            <w:tcW w:w="20" w:type="dxa"/>
            <w:vAlign w:val="bottom"/>
            <w:tcBorders>
              <w:bottom w:val="single" w:sz="8" w:color="0000EE"/>
            </w:tcBorders>
          </w:tcPr>
          <w:p>
            <w:pPr>
              <w:spacing w:after="0"/>
              <w:rPr>
                <w:sz w:val="24"/>
                <w:szCs w:val="24"/>
                <w:color w:val="auto"/>
              </w:rPr>
            </w:pPr>
          </w:p>
        </w:tc>
        <w:tc>
          <w:tcPr>
            <w:tcW w:w="32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Registration Rights Agreement dated March 29, 2017 by and among Solid Biosciences, LLC and certain</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investors (incorporated by reference to Exhibit 10.17 to the Registration Statement on Form S-1 filed on December 29, 2017).</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Solid Biosciences, LLC Amended and Restated Equity Incentive Plan and form of unit restriction agreement (incorporated by</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reference to Exhibit 10.7 to the Annual Report on Form 10-K filed on March 29, 2018).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Solid Biosciences Inc. 2018 Omnibus Incentive Plan (incorporated by reference to Exhibit 99.1 to the Registration Statement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S-8 filed on January 29, 2018).</w:t>
              </w:r>
            </w:hyperlink>
          </w:p>
        </w:tc>
        <w:tc>
          <w:tcPr>
            <w:tcW w:w="74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Incentive Stock Option Agreement under 2018 Omnibus Incentive Plan (incorporated by reference to Exhibit 10.7 to the</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Annual Report on Form 10-K filed on March 13,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Nonqualified Stock Option Agreement under 2018 Omnibus Incentive Plan (incorporated by reference to Exhibit 10.8 to the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Annual Report on Form 10-K filed on March 13,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Form of Restricted Stock Agreement under 2018 Omnibus Incentive Plan (incorporated by reference to Exhibit 10.9 to the Registration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Statement on Form S-1 filed on December 29, 2017).</w:t>
              </w:r>
            </w:hyperlink>
          </w:p>
        </w:tc>
        <w:tc>
          <w:tcPr>
            <w:tcW w:w="58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Exclusive Patent License Agreement, dated as of October 16, 2015, by and between Solid GT, LLC and the University of Washington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(incorporated by reference to Exhibit 10.7 to the Annual Report on Form 10-K filed on March 13,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License Agreement, dated as of October 15, 2015, by and between Solid GT, LLC and The Curators of the University of Missouri</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10.8 to the Annual Report on Form 10-K filed on March 13,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Indemnification Agreement for Directors and Officers (incorporated by reference to Exhibit 10.16 to the Registration</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Statement on Form S-1 filed on December 29, 2017).</w:t>
              </w:r>
            </w:hyperlink>
          </w:p>
        </w:tc>
        <w:tc>
          <w:tcPr>
            <w:tcW w:w="58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Summary of Non-Employee Director Compensation Program (incorporated by reference to Exhibit 10.10 to the Annual Report on</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Form 10-K filed on March 6, 2025).</w:t>
              </w:r>
            </w:hyperlink>
          </w:p>
        </w:tc>
        <w:tc>
          <w:tcPr>
            <w:tcW w:w="20" w:type="dxa"/>
            <w:vAlign w:val="bottom"/>
            <w:tcBorders>
              <w:bottom w:val="single" w:sz="8" w:color="0000EE"/>
            </w:tcBorders>
          </w:tcPr>
          <w:p>
            <w:pPr>
              <w:spacing w:after="0"/>
              <w:rPr>
                <w:sz w:val="17"/>
                <w:szCs w:val="17"/>
                <w:color w:val="auto"/>
              </w:rPr>
            </w:pPr>
          </w:p>
        </w:tc>
        <w:tc>
          <w:tcPr>
            <w:tcW w:w="71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Pre-Funded Warrant to Purchase Common Stock (incorporated by reference to Exhibit 10.2 to the Current Report on Form 8-</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top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K filed on July 26, 2019).</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EE"/>
            </w:tcBorders>
            <w:gridSpan w:val="3"/>
            <w:shd w:val="clear" w:color="auto" w:fill="0000FF"/>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Registration Rights Agreement, dated July 25, 2019, by and among the Company and the other parties thereto (incorporated by</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reference to Exhibit 10.3 to the Current Report on Form 8-K filed on July 26,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gridSpan w:val="10"/>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Consulting Agreement, dated as of November 19, 2020, by and between Solid Biosciences Inc. and Danforth Advisors, LLC</w:t>
              </w:r>
            </w:hyperlink>
          </w:p>
        </w:tc>
        <w:tc>
          <w:tcPr>
            <w:tcW w:w="7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(incorporated by reference to Exhibit 10.24 to the Annual Report on Form 10-K filed on March 15, 2021).</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Executive Chair Agreement, effective January 1, 2022, by and between Solid Biosciences Inc. and Ian F. Smith, as amended by the</w:t>
            </w:r>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Executive Chair Agreement, effective September 30, 2022, Second Amendment to the Executive Chair</w:t>
            </w:r>
          </w:p>
        </w:tc>
        <w:tc>
          <w:tcPr>
            <w:tcW w:w="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Agreement, effective January 1, 2024, Third Amendment to the Executive Chair Agreement, effective January 6, 2025 and Fourth</w:t>
            </w: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Amendment to Executive Chair Agreement, effective January 1, 2026.</w:t>
            </w:r>
          </w:p>
        </w:tc>
        <w:tc>
          <w:tcPr>
            <w:tcW w:w="0" w:type="dxa"/>
            <w:vAlign w:val="bottom"/>
          </w:tcPr>
          <w:p>
            <w:pPr>
              <w:spacing w:after="0"/>
              <w:rPr>
                <w:sz w:val="1"/>
                <w:szCs w:val="1"/>
                <w:color w:val="auto"/>
              </w:rPr>
            </w:pPr>
          </w:p>
        </w:tc>
      </w:tr>
      <w:tr>
        <w:trPr>
          <w:trHeight w:val="533"/>
        </w:trPr>
        <w:tc>
          <w:tcPr>
            <w:tcW w:w="12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5000" w:type="dxa"/>
            <w:vAlign w:val="bottom"/>
            <w:tcBorders>
              <w:top w:val="single" w:sz="8" w:color="0000FF"/>
            </w:tcBorders>
            <w:gridSpan w:val="9"/>
          </w:tcPr>
          <w:p>
            <w:pPr>
              <w:ind w:left="400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6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2020 Equity Incentive Plan, as amended (incorporated herein by reference to Exhibit 99.1 to the Registrant’s</w:t>
              </w:r>
            </w:hyperlink>
          </w:p>
        </w:tc>
        <w:tc>
          <w:tcPr>
            <w:tcW w:w="16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Registration Statement on Form S-8 (File No. 333-288022) filed on June 13, 2025).</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4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Form of Stock Option Agreement under the 2020 Equity Incentive Plan (incorporated by reference to Exhibit 10.4 to the Quarterly</w:t>
              </w:r>
            </w:hyperlink>
          </w:p>
        </w:tc>
        <w:tc>
          <w:tcPr>
            <w:tcW w:w="30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Report on Form 10-Q filed on August 6,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4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Restricted Stock Unit Agreement under the 2020 Equity Incentive Plan (incorporated by reference to Exhibit 10.28 to the</w:t>
              </w:r>
            </w:hyperlink>
          </w:p>
        </w:tc>
        <w:tc>
          <w:tcPr>
            <w:tcW w:w="34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Annual Report on Form 10-K filed on March 14, 2022).</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0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Stock Purchase Agreement, dated as of October 22, 2020, by and between the Company and Ultragenyx Pharmaceutical Inc.</w:t>
              </w:r>
            </w:hyperlink>
          </w:p>
        </w:tc>
        <w:tc>
          <w:tcPr>
            <w:tcW w:w="720" w:type="dxa"/>
            <w:vAlign w:val="bottom"/>
            <w:gridSpan w:val="1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(incorporated by reference to Exhibit 10.2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76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Investor Agreement, dated as of October 22, 2020, by and between the Company and Ultragenyx Pharmaceutical Inc. (incorporated by</w:t>
              </w:r>
            </w:hyperlink>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reference to Exhibit 10.3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5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First Amendment, dated as of October 9, 2020, to the Exclusive Patent License by and between the Company and the University of</w:t>
              </w:r>
            </w:hyperlink>
          </w:p>
        </w:tc>
        <w:tc>
          <w:tcPr>
            <w:tcW w:w="26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88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Washington (incorporated by reference to Exhibit 10.4 to the Quarterly Report on Form 10-Q filed on November 5, 2020).</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1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6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Registration Rights Agreement, dated December 10, 2020, by and among the Company and the other parties thereto (incorporated by</w:t>
              </w:r>
            </w:hyperlink>
          </w:p>
        </w:tc>
        <w:tc>
          <w:tcPr>
            <w:tcW w:w="12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reference to Exhibit 10.2 to the Current Report on Form 8-K filed on December 11,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70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First Amendment, dated as of January 27, 2021, to the Exclusive Patent License by and between the Company and the Curators of the</w:t>
              </w:r>
            </w:hyperlink>
          </w:p>
        </w:tc>
        <w:tc>
          <w:tcPr>
            <w:tcW w:w="6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3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University of Missouri (incorporated by reference to Exhibit 10.36 to the Annual Report on Form 10-K filed on March 14, 2021).</w:t>
              </w:r>
            </w:hyperlink>
          </w:p>
        </w:tc>
        <w:tc>
          <w:tcPr>
            <w:tcW w:w="420" w:type="dxa"/>
            <w:vAlign w:val="bottom"/>
            <w:gridSpan w:val="11"/>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93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Lease, dated June 15, 2021, between Solid Biosciences Inc. and Hood Park LLC (incorporated by reference to Exhibit 10.1 to the</w:t>
              </w:r>
            </w:hyperlink>
          </w:p>
        </w:tc>
        <w:tc>
          <w:tcPr>
            <w:tcW w:w="3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42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Quarterly Report on Form 10-Q filed on August 16, 2021).</w:t>
              </w:r>
            </w:hyperlink>
          </w:p>
        </w:tc>
        <w:tc>
          <w:tcPr>
            <w:tcW w:w="20" w:type="dxa"/>
            <w:vAlign w:val="bottom"/>
            <w:tcBorders>
              <w:bottom w:val="single" w:sz="8" w:color="0000EE"/>
            </w:tcBorders>
          </w:tcPr>
          <w:p>
            <w:pPr>
              <w:spacing w:after="0"/>
              <w:rPr>
                <w:sz w:val="17"/>
                <w:szCs w:val="17"/>
                <w:color w:val="auto"/>
              </w:rPr>
            </w:pPr>
          </w:p>
        </w:tc>
        <w:tc>
          <w:tcPr>
            <w:tcW w:w="5480" w:type="dxa"/>
            <w:vAlign w:val="bottom"/>
            <w:gridSpan w:val="31"/>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976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Amended and Restated 2021 Employee Stock Purchase Plan.(incorporated by reference to Exhibit 10.27 to the Annual Report on Form</w:t>
              </w:r>
            </w:hyperlink>
          </w:p>
        </w:tc>
      </w:tr>
      <w:tr>
        <w:trPr>
          <w:trHeight w:val="196"/>
        </w:trPr>
        <w:tc>
          <w:tcPr>
            <w:tcW w:w="1480" w:type="dxa"/>
            <w:vAlign w:val="bottom"/>
          </w:tcPr>
          <w:p>
            <w:pPr>
              <w:spacing w:after="0"/>
              <w:rPr>
                <w:sz w:val="17"/>
                <w:szCs w:val="17"/>
                <w:color w:val="auto"/>
              </w:rPr>
            </w:pPr>
          </w:p>
        </w:tc>
        <w:tc>
          <w:tcPr>
            <w:tcW w:w="22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10-K filed on March 13, 2024).</w:t>
              </w:r>
            </w:hyperlink>
          </w:p>
        </w:tc>
        <w:tc>
          <w:tcPr>
            <w:tcW w:w="20" w:type="dxa"/>
            <w:vAlign w:val="bottom"/>
            <w:tcBorders>
              <w:bottom w:val="single" w:sz="8" w:color="0000EE"/>
            </w:tcBorders>
          </w:tcPr>
          <w:p>
            <w:pPr>
              <w:spacing w:after="0"/>
              <w:rPr>
                <w:sz w:val="17"/>
                <w:szCs w:val="17"/>
                <w:color w:val="auto"/>
              </w:rPr>
            </w:pPr>
          </w:p>
        </w:tc>
        <w:tc>
          <w:tcPr>
            <w:tcW w:w="7460" w:type="dxa"/>
            <w:vAlign w:val="bottom"/>
            <w:gridSpan w:val="3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93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Nonstatutory Inducement Stock Option Agreement (incorporated by reference to Exhibit 10.4 to the Quarterly Report on</w:t>
              </w:r>
            </w:hyperlink>
          </w:p>
        </w:tc>
        <w:tc>
          <w:tcPr>
            <w:tcW w:w="3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27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Form 10-Q filed on August 16, 2021).</w:t>
              </w:r>
            </w:hyperlink>
          </w:p>
        </w:tc>
        <w:tc>
          <w:tcPr>
            <w:tcW w:w="7000" w:type="dxa"/>
            <w:vAlign w:val="bottom"/>
            <w:gridSpan w:val="36"/>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972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Inducement Restricted Stock Unit Award Agreement (incorporated by reference to Exhibit 99.5 to the Registration Statement</w:t>
              </w:r>
            </w:hyperlink>
          </w:p>
        </w:tc>
        <w:tc>
          <w:tcPr>
            <w:tcW w:w="4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3"/>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on Form S-8 filed on August 16, 2021).</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94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Sales Agreement, dated March 13, 2024, by and between the Company and Jefferies LLC (incorporated by</w:t>
              </w:r>
            </w:hyperlink>
          </w:p>
        </w:tc>
        <w:tc>
          <w:tcPr>
            <w:tcW w:w="28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4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reference to Exhibit 10.30 to the Annual Report on Form 10-K filed on March 13, 2024).</w:t>
              </w:r>
            </w:hyperlink>
          </w:p>
        </w:tc>
        <w:tc>
          <w:tcPr>
            <w:tcW w:w="20" w:type="dxa"/>
            <w:vAlign w:val="bottom"/>
            <w:tcBorders>
              <w:bottom w:val="single" w:sz="8" w:color="0000EE"/>
            </w:tcBorders>
          </w:tcPr>
          <w:p>
            <w:pPr>
              <w:spacing w:after="0"/>
              <w:rPr>
                <w:sz w:val="17"/>
                <w:szCs w:val="17"/>
                <w:color w:val="auto"/>
              </w:rPr>
            </w:pPr>
          </w:p>
        </w:tc>
        <w:tc>
          <w:tcPr>
            <w:tcW w:w="3320" w:type="dxa"/>
            <w:vAlign w:val="bottom"/>
            <w:gridSpan w:val="28"/>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9760" w:type="dxa"/>
            <w:vAlign w:val="bottom"/>
            <w:gridSpan w:val="43"/>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Parent Support Agreement (incorporated by reference to Exhibit 10.1 to the Current Report on Form 8-K filed on September</w:t>
              </w:r>
            </w:hyperlink>
          </w:p>
        </w:tc>
      </w:tr>
      <w:tr>
        <w:trPr>
          <w:trHeight w:val="196"/>
        </w:trPr>
        <w:tc>
          <w:tcPr>
            <w:tcW w:w="148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30,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92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Support and Joinder Agreement (incorporated by reference to Exhibit 10.2 to the Current Report on Form 8-K filed on</w:t>
              </w:r>
            </w:hyperlink>
          </w:p>
        </w:tc>
        <w:tc>
          <w:tcPr>
            <w:tcW w:w="54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September 30, 2022).</w:t>
              </w:r>
            </w:hyperlink>
          </w:p>
        </w:tc>
        <w:tc>
          <w:tcPr>
            <w:tcW w:w="20" w:type="dxa"/>
            <w:vAlign w:val="bottom"/>
            <w:tcBorders>
              <w:bottom w:val="single" w:sz="8" w:color="0000EE"/>
            </w:tcBorders>
          </w:tcPr>
          <w:p>
            <w:pPr>
              <w:spacing w:after="0"/>
              <w:rPr>
                <w:sz w:val="17"/>
                <w:szCs w:val="17"/>
                <w:color w:val="auto"/>
              </w:rPr>
            </w:pPr>
          </w:p>
        </w:tc>
        <w:tc>
          <w:tcPr>
            <w:tcW w:w="8180" w:type="dxa"/>
            <w:vAlign w:val="bottom"/>
            <w:gridSpan w:val="39"/>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91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Registration Rights Agreement, dated September 29, 2022, by and among Solid Biosciences Inc. and the persons party thereto</w:t>
              </w:r>
            </w:hyperlink>
          </w:p>
        </w:tc>
        <w:tc>
          <w:tcPr>
            <w:tcW w:w="62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8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(incorporated by reference to Exhibit 10.4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24"/>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92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Employment Agreement, dated September 29, 2022, by and between Solid Biosciences Inc. and Alexander Cumbo, as amended.</w:t>
            </w:r>
          </w:p>
        </w:tc>
        <w:tc>
          <w:tcPr>
            <w:tcW w:w="20" w:type="dxa"/>
            <w:vAlign w:val="bottom"/>
            <w:tcBorders>
              <w:bottom w:val="single" w:sz="8" w:color="0000EE"/>
            </w:tcBorders>
          </w:tcPr>
          <w:p>
            <w:pPr>
              <w:spacing w:after="0"/>
              <w:rPr>
                <w:sz w:val="24"/>
                <w:szCs w:val="24"/>
                <w:color w:val="auto"/>
              </w:rPr>
            </w:pPr>
          </w:p>
        </w:tc>
        <w:tc>
          <w:tcPr>
            <w:tcW w:w="460" w:type="dxa"/>
            <w:vAlign w:val="bottom"/>
            <w:gridSpan w:val="12"/>
          </w:tcPr>
          <w:p>
            <w:pPr>
              <w:spacing w:after="0"/>
              <w:rPr>
                <w:sz w:val="24"/>
                <w:szCs w:val="24"/>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9760" w:type="dxa"/>
            <w:vAlign w:val="bottom"/>
            <w:gridSpan w:val="43"/>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Executive Transition and Separation Agreement, dated September 29, 2022, by and between Solid Biosciences Inc. and Ilan Ganot</w:t>
              </w:r>
            </w:hyperlink>
          </w:p>
        </w:tc>
      </w:tr>
      <w:tr>
        <w:trPr>
          <w:trHeight w:val="196"/>
        </w:trPr>
        <w:tc>
          <w:tcPr>
            <w:tcW w:w="148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to Exhibit 10.6 to the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30,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1640" w:type="dxa"/>
            <w:vAlign w:val="bottom"/>
            <w:tcBorders>
              <w:top w:val="single" w:sz="8" w:color="0000FF"/>
            </w:tcBorders>
            <w:gridSpan w:val="16"/>
          </w:tcPr>
          <w:p>
            <w:pPr>
              <w:spacing w:after="0"/>
              <w:rPr>
                <w:sz w:val="17"/>
                <w:szCs w:val="17"/>
                <w:color w:val="auto"/>
              </w:rPr>
            </w:pPr>
          </w:p>
        </w:tc>
        <w:tc>
          <w:tcPr>
            <w:tcW w:w="180" w:type="dxa"/>
            <w:vAlign w:val="bottom"/>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10.33*†</w:t>
            </w:r>
          </w:p>
        </w:tc>
        <w:tc>
          <w:tcPr>
            <w:tcW w:w="97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Employment Agreement, dated September 29, 2022, by and between Solid Biosciences Inc. and David Tyronne Howton, as amended.</w:t>
            </w:r>
          </w:p>
        </w:tc>
      </w:tr>
      <w:tr>
        <w:trPr>
          <w:trHeight w:val="49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10.34*†</w:t>
            </w:r>
          </w:p>
        </w:tc>
        <w:tc>
          <w:tcPr>
            <w:tcW w:w="842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Employment Agreement, dated January 9, 2023, by and between Solid Biosciences Inc. and Kevin Tan, as amended.</w:t>
            </w:r>
          </w:p>
        </w:tc>
        <w:tc>
          <w:tcPr>
            <w:tcW w:w="20" w:type="dxa"/>
            <w:vAlign w:val="bottom"/>
            <w:tcBorders>
              <w:top w:val="single" w:sz="8" w:color="0000FF"/>
              <w:bottom w:val="single" w:sz="8" w:color="0000EE"/>
            </w:tcBorders>
          </w:tcPr>
          <w:p>
            <w:pPr>
              <w:spacing w:after="0"/>
              <w:rPr>
                <w:sz w:val="24"/>
                <w:szCs w:val="24"/>
                <w:color w:val="auto"/>
              </w:rPr>
            </w:pPr>
          </w:p>
        </w:tc>
        <w:tc>
          <w:tcPr>
            <w:tcW w:w="1220" w:type="dxa"/>
            <w:vAlign w:val="bottom"/>
            <w:tcBorders>
              <w:top w:val="single" w:sz="8" w:color="0000FF"/>
            </w:tcBorders>
            <w:gridSpan w:val="17"/>
          </w:tcPr>
          <w:p>
            <w:pPr>
              <w:spacing w:after="0"/>
              <w:rPr>
                <w:sz w:val="24"/>
                <w:szCs w:val="24"/>
                <w:color w:val="auto"/>
              </w:rPr>
            </w:pPr>
          </w:p>
        </w:tc>
        <w:tc>
          <w:tcPr>
            <w:tcW w:w="100" w:type="dxa"/>
            <w:vAlign w:val="bottom"/>
            <w:gridSpan w:val="3"/>
          </w:tcPr>
          <w:p>
            <w:pPr>
              <w:spacing w:after="0"/>
              <w:rPr>
                <w:sz w:val="24"/>
                <w:szCs w:val="24"/>
                <w:color w:val="auto"/>
              </w:rPr>
            </w:pPr>
          </w:p>
        </w:tc>
      </w:tr>
      <w:tr>
        <w:trPr>
          <w:trHeight w:val="49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10.35*†</w:t>
            </w:r>
          </w:p>
        </w:tc>
        <w:tc>
          <w:tcPr>
            <w:tcW w:w="97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Employment Agreement, dated October 2, 2023, by and between Solid Biosciences Inc. and Gabriel Brooks, as amended.</w:t>
            </w:r>
          </w:p>
        </w:tc>
      </w:tr>
      <w:tr>
        <w:trPr>
          <w:trHeight w:val="750"/>
        </w:trPr>
        <w:tc>
          <w:tcPr>
            <w:tcW w:w="1480" w:type="dxa"/>
            <w:vAlign w:val="bottom"/>
          </w:tcPr>
          <w:p>
            <w:pPr>
              <w:spacing w:after="0"/>
              <w:rPr>
                <w:sz w:val="24"/>
                <w:szCs w:val="24"/>
                <w:color w:val="auto"/>
              </w:rPr>
            </w:pPr>
          </w:p>
        </w:tc>
        <w:tc>
          <w:tcPr>
            <w:tcW w:w="6040" w:type="dxa"/>
            <w:vAlign w:val="bottom"/>
            <w:tcBorders>
              <w:top w:val="single" w:sz="8" w:color="0000FF"/>
            </w:tcBorders>
            <w:gridSpan w:val="13"/>
          </w:tcPr>
          <w:p>
            <w:pPr>
              <w:ind w:left="400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10.36#</w:t>
            </w:r>
          </w:p>
        </w:tc>
        <w:tc>
          <w:tcPr>
            <w:tcW w:w="94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Standard Exclusive License Agreement With Know-How (Agreement No. A19110), dated as of March 17, 2020, by and between</w:t>
              </w:r>
            </w:hyperlink>
          </w:p>
        </w:tc>
        <w:tc>
          <w:tcPr>
            <w:tcW w:w="36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AavantiBio, Inc. and University of Florida Research Foundation, Incorporated, as amended on August 23, 2022 (incorporated by</w:t>
              </w:r>
            </w:hyperlink>
          </w:p>
        </w:tc>
        <w:tc>
          <w:tcPr>
            <w:tcW w:w="420" w:type="dxa"/>
            <w:vAlign w:val="bottom"/>
            <w:gridSpan w:val="9"/>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3"/>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reference to Exhibit 10.42 to the Annual Report on Form 10-K filed as on March 23, 2023).</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10.37#</w:t>
            </w:r>
          </w:p>
        </w:tc>
        <w:tc>
          <w:tcPr>
            <w:tcW w:w="94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Standard Exclusive License Agreement With Know-How (Agreement No. A19111), dated as of March 17, 2020, by and between</w:t>
              </w:r>
            </w:hyperlink>
          </w:p>
        </w:tc>
        <w:tc>
          <w:tcPr>
            <w:tcW w:w="36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AavantiBio, Inc. and University of Florida Research Foundation, Incorporated, as amended on May 25, 2021 and August 23, 2022</w:t>
              </w:r>
            </w:hyperlink>
          </w:p>
        </w:tc>
        <w:tc>
          <w:tcPr>
            <w:tcW w:w="32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(incorporated by reference to Exhibit 10.43 to the Annual Report on Form 10-K filed on March 23,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10.38</w:t>
            </w:r>
          </w:p>
        </w:tc>
        <w:tc>
          <w:tcPr>
            <w:tcW w:w="96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on Pre-Funded Warrant (incorporated by reference to Exhibit 4.1 to the Current Report on Form 8-K filed on January 8, 2024).</w:t>
              </w:r>
            </w:hyperlink>
          </w:p>
        </w:tc>
        <w:tc>
          <w:tcPr>
            <w:tcW w:w="160" w:type="dxa"/>
            <w:vAlign w:val="bottom"/>
            <w:gridSpan w:val="3"/>
          </w:tcPr>
          <w:p>
            <w:pPr>
              <w:spacing w:after="0"/>
              <w:rPr>
                <w:sz w:val="24"/>
                <w:szCs w:val="24"/>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10.39</w:t>
            </w:r>
          </w:p>
        </w:tc>
        <w:tc>
          <w:tcPr>
            <w:tcW w:w="94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Registration Rights Agreement, dated January 8, 2024, by and among Solid Biosciences Inc. and the other parties thereto</w:t>
              </w:r>
            </w:hyperlink>
          </w:p>
        </w:tc>
        <w:tc>
          <w:tcPr>
            <w:tcW w:w="34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5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(incorporated by reference to Exhibit 10.2 to the Current Report on Form 8-K filed on January 8, 2024).</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19"/>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10.40†</w:t>
            </w:r>
          </w:p>
        </w:tc>
        <w:tc>
          <w:tcPr>
            <w:tcW w:w="97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2024 Inducement Stock Incentive Plan (incorporated by reference to Exhibit 10.49 to the Annual Report on Form 10-K filed on March</w:t>
              </w:r>
            </w:hyperlink>
          </w:p>
        </w:tc>
      </w:tr>
      <w:tr>
        <w:trPr>
          <w:trHeight w:val="196"/>
        </w:trPr>
        <w:tc>
          <w:tcPr>
            <w:tcW w:w="148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20">
              <w:r>
                <w:rPr>
                  <w:rFonts w:ascii="Times New Roman" w:cs="Times New Roman" w:eastAsia="Times New Roman" w:hAnsi="Times New Roman"/>
                  <w:sz w:val="18"/>
                  <w:szCs w:val="18"/>
                  <w:color w:val="0000FF"/>
                  <w:w w:val="97"/>
                </w:rPr>
                <w:t>13, 2024).</w:t>
              </w:r>
            </w:hyperlink>
          </w:p>
        </w:tc>
        <w:tc>
          <w:tcPr>
            <w:tcW w:w="20" w:type="dxa"/>
            <w:vAlign w:val="bottom"/>
            <w:tcBorders>
              <w:bottom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9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Non-Statutory Stock Option Agreement under the 2024 Inducement Stock Incentive Plan (incorporated by reference to</w:t>
              </w:r>
            </w:hyperlink>
          </w:p>
        </w:tc>
        <w:tc>
          <w:tcPr>
            <w:tcW w:w="52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3"/>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Exhibit 10.50 to the Annual Report on Form 10-K filed on March 13, 2024).</w:t>
              </w:r>
            </w:hyperlink>
          </w:p>
        </w:tc>
      </w:tr>
      <w:tr>
        <w:trPr>
          <w:trHeight w:val="20"/>
        </w:trPr>
        <w:tc>
          <w:tcPr>
            <w:tcW w:w="1480" w:type="dxa"/>
            <w:vAlign w:val="bottom"/>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10.42†</w:t>
            </w:r>
          </w:p>
        </w:tc>
        <w:tc>
          <w:tcPr>
            <w:tcW w:w="97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Restricted Stock Unit Agreement under the 2024 Inducement Stock Incentive Plan. Form of Restricted Stock Unit Agreement</w:t>
              </w:r>
            </w:hyperlink>
          </w:p>
        </w:tc>
      </w:tr>
      <w:tr>
        <w:trPr>
          <w:trHeight w:val="196"/>
        </w:trPr>
        <w:tc>
          <w:tcPr>
            <w:tcW w:w="1480" w:type="dxa"/>
            <w:vAlign w:val="bottom"/>
          </w:tcPr>
          <w:p>
            <w:pPr>
              <w:spacing w:after="0"/>
              <w:rPr>
                <w:sz w:val="17"/>
                <w:szCs w:val="17"/>
                <w:color w:val="auto"/>
              </w:rPr>
            </w:pPr>
          </w:p>
        </w:tc>
        <w:tc>
          <w:tcPr>
            <w:tcW w:w="97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under the 2024 Inducement Stock Incentive Plan (incorporated by reference to Exhibit 10.51 to the Annual Report on Form 10-K filed</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3"/>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on March 13, 2024).</w:t>
              </w:r>
            </w:hyperlink>
          </w:p>
        </w:tc>
      </w:tr>
      <w:tr>
        <w:trPr>
          <w:trHeight w:val="20"/>
        </w:trPr>
        <w:tc>
          <w:tcPr>
            <w:tcW w:w="1480" w:type="dxa"/>
            <w:vAlign w:val="bottom"/>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10.43†</w:t>
            </w:r>
          </w:p>
        </w:tc>
        <w:tc>
          <w:tcPr>
            <w:tcW w:w="94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Restricted Stock Unit Agreement under the 2020 Equity Incentive Plan (incorporated by reference to Exhibit 10.52 to the</w:t>
              </w:r>
            </w:hyperlink>
          </w:p>
        </w:tc>
        <w:tc>
          <w:tcPr>
            <w:tcW w:w="34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3"/>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Annual Report on Form 10-K filed on March 13, 2024).</w:t>
              </w:r>
            </w:hyperlink>
          </w:p>
        </w:tc>
      </w:tr>
      <w:tr>
        <w:trPr>
          <w:trHeight w:val="20"/>
        </w:trPr>
        <w:tc>
          <w:tcPr>
            <w:tcW w:w="1480" w:type="dxa"/>
            <w:vAlign w:val="bottom"/>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10.44##</w:t>
            </w:r>
          </w:p>
        </w:tc>
        <w:tc>
          <w:tcPr>
            <w:tcW w:w="97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Patent License Agreement, dated as of March 10, 2016, by and between Solid GT, LLC and the Regents of the University of Michigan.</w:t>
              </w:r>
            </w:hyperlink>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(incorporated by reference to Exhibit 10.53 to the Annual Report on Form 10-K filed on March 13, 2024).</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10.45##</w:t>
            </w:r>
          </w:p>
        </w:tc>
        <w:tc>
          <w:tcPr>
            <w:tcW w:w="95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Life Technologies Cell Line License Agreement, dated as of November 20, 2016, by and between Solid Biosciences, LLC and Life</w:t>
              </w:r>
            </w:hyperlink>
          </w:p>
        </w:tc>
        <w:tc>
          <w:tcPr>
            <w:tcW w:w="2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Technologies Corporation (incorporated by reference to Exhibit 10.54 to the Annual Report on Form 10-K filed on March 13, 2024).</w:t>
              </w:r>
            </w:hyperlink>
          </w:p>
        </w:tc>
        <w:tc>
          <w:tcPr>
            <w:tcW w:w="160" w:type="dxa"/>
            <w:vAlign w:val="bottom"/>
            <w:gridSpan w:val="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10.46##</w:t>
            </w:r>
          </w:p>
        </w:tc>
        <w:tc>
          <w:tcPr>
            <w:tcW w:w="9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License Agreement, dated as of June 23, 2016, by and between Solid GT, LLC and President and Fellows of Harvard College</w:t>
              </w:r>
            </w:hyperlink>
          </w:p>
        </w:tc>
        <w:tc>
          <w:tcPr>
            <w:tcW w:w="66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(incorporated by reference to Exhibit 10.55 to the Annual Report on Form 10-K filed on March 13, 2024).</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10.47##</w:t>
            </w:r>
          </w:p>
        </w:tc>
        <w:tc>
          <w:tcPr>
            <w:tcW w:w="9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License Agreement, dated as of August 3, 2017, by and between Solid Biosciences, LLC and President and Fellows of Harvard</w:t>
              </w:r>
            </w:hyperlink>
          </w:p>
        </w:tc>
        <w:tc>
          <w:tcPr>
            <w:tcW w:w="54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3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College (incorporated by reference to Exhibit 10.56 to the Annual Report 10-K filed March 13, 2024).</w:t>
              </w:r>
            </w:hyperlink>
          </w:p>
        </w:tc>
        <w:tc>
          <w:tcPr>
            <w:tcW w:w="20" w:type="dxa"/>
            <w:vAlign w:val="bottom"/>
            <w:tcBorders>
              <w:bottom w:val="single" w:sz="8" w:color="0000EE"/>
            </w:tcBorders>
          </w:tcPr>
          <w:p>
            <w:pPr>
              <w:spacing w:after="0"/>
              <w:rPr>
                <w:sz w:val="17"/>
                <w:szCs w:val="17"/>
                <w:color w:val="auto"/>
              </w:rPr>
            </w:pPr>
          </w:p>
        </w:tc>
        <w:tc>
          <w:tcPr>
            <w:tcW w:w="2360" w:type="dxa"/>
            <w:vAlign w:val="bottom"/>
            <w:gridSpan w:val="21"/>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10.48#</w:t>
            </w:r>
          </w:p>
        </w:tc>
        <w:tc>
          <w:tcPr>
            <w:tcW w:w="92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Research, Collaboration &amp; License Agreement, dated as of November 4, 2020, by and between the Trustees of the University of</w:t>
              </w:r>
            </w:hyperlink>
          </w:p>
        </w:tc>
        <w:tc>
          <w:tcPr>
            <w:tcW w:w="4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Pennsylvania and FA212 LLC, as amended (incorporated by reference to Exhibit 10.50 to the Annual Report on Form 10-K filed on</w:t>
              </w:r>
            </w:hyperlink>
          </w:p>
        </w:tc>
        <w:tc>
          <w:tcPr>
            <w:tcW w:w="18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3"/>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March 6, 2025).</w:t>
              </w:r>
            </w:hyperlink>
          </w:p>
        </w:tc>
      </w:tr>
      <w:tr>
        <w:trPr>
          <w:trHeight w:val="20"/>
        </w:trPr>
        <w:tc>
          <w:tcPr>
            <w:tcW w:w="1480" w:type="dxa"/>
            <w:vAlign w:val="bottom"/>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10.49*#</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Asset Purchase Agreement, dated as of September 19, 2024, by and between Solid Biosciences Inc. and FA212 LLC, as amended.</w:t>
            </w:r>
          </w:p>
        </w:tc>
      </w:tr>
      <w:tr>
        <w:trPr>
          <w:trHeight w:val="20"/>
        </w:trPr>
        <w:tc>
          <w:tcPr>
            <w:tcW w:w="1480" w:type="dxa"/>
            <w:vAlign w:val="bottom"/>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10.50</w:t>
            </w:r>
          </w:p>
        </w:tc>
        <w:tc>
          <w:tcPr>
            <w:tcW w:w="9760" w:type="dxa"/>
            <w:vAlign w:val="bottom"/>
            <w:gridSpan w:val="3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Pre-Funded Warrant (incorporated by reference to Exhibit 4.1 to the Current Report on Form 8-K filed on February 18, 2025)</w:t>
              </w:r>
            </w:hyperlink>
            <w:r>
              <w:rPr>
                <w:rFonts w:ascii="Times New Roman" w:cs="Times New Roman" w:eastAsia="Times New Roman" w:hAnsi="Times New Roman"/>
                <w:sz w:val="18"/>
                <w:szCs w:val="18"/>
                <w:color w:val="000000"/>
              </w:rPr>
              <w:t>.</w:t>
            </w: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914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Insider Trading Policy (incorporated by reference to Exhibit 19.1 to the Annual Report on Form 10-K filed on March 6, 2025).</w:t>
              </w:r>
            </w:hyperlink>
          </w:p>
        </w:tc>
        <w:tc>
          <w:tcPr>
            <w:tcW w:w="540" w:type="dxa"/>
            <w:vAlign w:val="bottom"/>
            <w:tcBorders>
              <w:top w:val="single" w:sz="8" w:color="0000FF"/>
            </w:tcBorders>
            <w:gridSpan w:val="11"/>
          </w:tcPr>
          <w:p>
            <w:pPr>
              <w:spacing w:after="0"/>
              <w:rPr>
                <w:sz w:val="24"/>
                <w:szCs w:val="24"/>
                <w:color w:val="auto"/>
              </w:rPr>
            </w:pPr>
          </w:p>
        </w:tc>
        <w:tc>
          <w:tcPr>
            <w:tcW w:w="80" w:type="dxa"/>
            <w:vAlign w:val="bottom"/>
            <w:gridSpan w:val="2"/>
          </w:tcPr>
          <w:p>
            <w:pPr>
              <w:spacing w:after="0"/>
              <w:rPr>
                <w:sz w:val="24"/>
                <w:szCs w:val="24"/>
                <w:color w:val="auto"/>
              </w:rPr>
            </w:pPr>
          </w:p>
        </w:tc>
      </w:tr>
      <w:tr>
        <w:trPr>
          <w:trHeight w:val="49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2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Subsidiaries of Solid Biosciences Inc.</w:t>
            </w:r>
          </w:p>
        </w:tc>
        <w:tc>
          <w:tcPr>
            <w:tcW w:w="40" w:type="dxa"/>
            <w:vAlign w:val="bottom"/>
            <w:tcBorders>
              <w:bottom w:val="single" w:sz="8" w:color="0000EE"/>
            </w:tcBorders>
          </w:tcPr>
          <w:p>
            <w:pPr>
              <w:spacing w:after="0"/>
              <w:rPr>
                <w:sz w:val="24"/>
                <w:szCs w:val="24"/>
                <w:color w:val="auto"/>
              </w:rPr>
            </w:pPr>
          </w:p>
        </w:tc>
        <w:tc>
          <w:tcPr>
            <w:tcW w:w="6980" w:type="dxa"/>
            <w:vAlign w:val="bottom"/>
            <w:gridSpan w:val="27"/>
          </w:tcPr>
          <w:p>
            <w:pPr>
              <w:spacing w:after="0"/>
              <w:rPr>
                <w:sz w:val="24"/>
                <w:szCs w:val="24"/>
                <w:color w:val="auto"/>
              </w:rPr>
            </w:pPr>
          </w:p>
        </w:tc>
      </w:tr>
      <w:tr>
        <w:trPr>
          <w:trHeight w:val="30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6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20" w:type="dxa"/>
            <w:vAlign w:val="bottom"/>
            <w:tcBorders>
              <w:bottom w:val="single" w:sz="8" w:color="0000EE"/>
            </w:tcBorders>
          </w:tcPr>
          <w:p>
            <w:pPr>
              <w:spacing w:after="0"/>
              <w:rPr>
                <w:sz w:val="24"/>
                <w:szCs w:val="24"/>
                <w:color w:val="auto"/>
              </w:rPr>
            </w:pPr>
          </w:p>
        </w:tc>
        <w:tc>
          <w:tcPr>
            <w:tcW w:w="3120" w:type="dxa"/>
            <w:vAlign w:val="bottom"/>
            <w:gridSpan w:val="23"/>
          </w:tcPr>
          <w:p>
            <w:pPr>
              <w:spacing w:after="0"/>
              <w:rPr>
                <w:sz w:val="24"/>
                <w:szCs w:val="24"/>
                <w:color w:val="auto"/>
              </w:rPr>
            </w:pPr>
          </w:p>
        </w:tc>
      </w:tr>
      <w:tr>
        <w:trPr>
          <w:trHeight w:val="30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8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Section 302 of the Sarbanes-Oxley Act of 2002.</w:t>
            </w:r>
          </w:p>
        </w:tc>
        <w:tc>
          <w:tcPr>
            <w:tcW w:w="1260" w:type="dxa"/>
            <w:vAlign w:val="bottom"/>
            <w:gridSpan w:val="15"/>
          </w:tcPr>
          <w:p>
            <w:pPr>
              <w:spacing w:after="0"/>
              <w:rPr>
                <w:sz w:val="24"/>
                <w:szCs w:val="24"/>
                <w:color w:val="auto"/>
              </w:rPr>
            </w:pPr>
          </w:p>
        </w:tc>
      </w:tr>
      <w:tr>
        <w:trPr>
          <w:trHeight w:val="30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Section 302 of the Sarbanes-Oxley Act of 2002.</w:t>
            </w:r>
          </w:p>
        </w:tc>
      </w:tr>
      <w:tr>
        <w:trPr>
          <w:trHeight w:val="561"/>
        </w:trPr>
        <w:tc>
          <w:tcPr>
            <w:tcW w:w="1480" w:type="dxa"/>
            <w:vAlign w:val="bottom"/>
          </w:tcPr>
          <w:p>
            <w:pPr>
              <w:spacing w:after="0"/>
              <w:rPr>
                <w:sz w:val="24"/>
                <w:szCs w:val="24"/>
                <w:color w:val="auto"/>
              </w:rPr>
            </w:pPr>
          </w:p>
        </w:tc>
        <w:tc>
          <w:tcPr>
            <w:tcW w:w="5480" w:type="dxa"/>
            <w:vAlign w:val="bottom"/>
            <w:tcBorders>
              <w:top w:val="single" w:sz="8" w:color="0000EE"/>
            </w:tcBorders>
            <w:gridSpan w:val="8"/>
          </w:tcPr>
          <w:p>
            <w:pPr>
              <w:ind w:left="4000"/>
              <w:spacing w:after="0"/>
              <w:rPr>
                <w:sz w:val="20"/>
                <w:szCs w:val="20"/>
                <w:color w:val="auto"/>
              </w:rPr>
            </w:pPr>
            <w:r>
              <w:rPr>
                <w:rFonts w:ascii="Times New Roman" w:cs="Times New Roman" w:eastAsia="Times New Roman" w:hAnsi="Times New Roman"/>
                <w:sz w:val="18"/>
                <w:szCs w:val="18"/>
                <w:color w:val="auto"/>
              </w:rPr>
              <w:t>116</w:t>
            </w:r>
          </w:p>
        </w:tc>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22" w:name="page123"/>
    <w:bookmarkEnd w:id="122"/>
    <w:tbl>
      <w:tblPr>
        <w:tblLayout w:type="fixed"/>
        <w:tblInd w:w="1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Registrant Pursuant to 18 U.S.C. Section 1350, as adopted pursuant to Section 906 of</w:t>
            </w:r>
          </w:p>
        </w:tc>
        <w:tc>
          <w:tcPr>
            <w:tcW w:w="1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7340" w:type="dxa"/>
            <w:vAlign w:val="bottom"/>
            <w:gridSpan w:val="3"/>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Registrant Pursuant to 18 U.S.C. Section 1350, as adopted pursuant to Section 906 of the</w:t>
            </w:r>
          </w:p>
        </w:tc>
      </w:tr>
      <w:tr>
        <w:trPr>
          <w:trHeight w:val="196"/>
        </w:trPr>
        <w:tc>
          <w:tcPr>
            <w:tcW w:w="1340" w:type="dxa"/>
            <w:vAlign w:val="bottom"/>
          </w:tcPr>
          <w:p>
            <w:pPr>
              <w:spacing w:after="0"/>
              <w:rPr>
                <w:sz w:val="17"/>
                <w:szCs w:val="17"/>
                <w:color w:val="auto"/>
              </w:rPr>
            </w:pPr>
          </w:p>
        </w:tc>
        <w:tc>
          <w:tcPr>
            <w:tcW w:w="2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600" w:type="dxa"/>
            <w:vAlign w:val="bottom"/>
            <w:gridSpan w:val="4"/>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Dodd-Frank Compensation Recovery Policy (incorporated by reference to Exhibit 97.1 to the Annual Report on Form 10-K filed on</w:t>
              </w:r>
            </w:hyperlink>
          </w:p>
        </w:tc>
        <w:tc>
          <w:tcPr>
            <w:tcW w:w="2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March 13, 2024).</w:t>
              </w:r>
            </w:hyperlink>
          </w:p>
        </w:tc>
        <w:tc>
          <w:tcPr>
            <w:tcW w:w="20" w:type="dxa"/>
            <w:vAlign w:val="bottom"/>
            <w:tcBorders>
              <w:bottom w:val="single" w:sz="8" w:color="0000EE"/>
            </w:tcBorders>
          </w:tcPr>
          <w:p>
            <w:pPr>
              <w:spacing w:after="0"/>
              <w:rPr>
                <w:sz w:val="17"/>
                <w:szCs w:val="17"/>
                <w:color w:val="auto"/>
              </w:rPr>
            </w:pPr>
          </w:p>
        </w:tc>
        <w:tc>
          <w:tcPr>
            <w:tcW w:w="8480" w:type="dxa"/>
            <w:vAlign w:val="bottom"/>
            <w:gridSpan w:val="5"/>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63" w:lineRule="exact"/>
        <w:rPr>
          <w:sz w:val="20"/>
          <w:szCs w:val="20"/>
          <w:color w:val="auto"/>
        </w:rPr>
      </w:pPr>
    </w:p>
    <w:p>
      <w:pPr>
        <w:ind w:left="1480" w:hanging="1342"/>
        <w:spacing w:after="0"/>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right="420" w:firstLine="8"/>
        <w:spacing w:after="0" w:line="250" w:lineRule="auto"/>
        <w:tabs>
          <w:tab w:leader="none" w:pos="1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not material and contain information that the Registrant customarily and actually treats as private or confidential.</w:t>
      </w:r>
    </w:p>
    <w:p>
      <w:pPr>
        <w:ind w:right="360"/>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with this Annual Report on Form 10-K solely for the purpose of transitioning this previously-filed exhibit, which is the subject of expiring confidential treatment orders, to the rules governing the filing of redacted exhibits under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Item 601(b)(10)(iv) pursuant to the SEC’s CF Disclosure Guidance: Topic 7. Portions of this exhibit have been omitted pursuant to Item 601(b)(10)(iv) of Regulation S-K.</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SOLID BIOSCIENCES INC.</w:t>
      </w:r>
    </w:p>
    <w:p>
      <w:pPr>
        <w:sectPr>
          <w:pgSz w:w="11900" w:h="16838" w:orient="portrait"/>
          <w:cols w:equalWidth="0" w:num="1">
            <w:col w:w="11240"/>
          </w:cols>
          <w:pgMar w:left="320" w:top="108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19,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24765</wp:posOffset>
            </wp:positionV>
            <wp:extent cx="25457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6000" w:space="720"/>
            <w:col w:w="1020" w:space="720"/>
            <w:col w:w="2780"/>
          </w:cols>
          <w:pgMar w:left="320" w:top="1089" w:right="339" w:bottom="1440" w:gutter="0" w:footer="0" w:header="0"/>
          <w:type w:val="continuous"/>
        </w:sect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Alexander Cumbo</w:t>
      </w:r>
    </w:p>
    <w:p>
      <w:pPr>
        <w:spacing w:after="0" w:line="2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Cumbo</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Alexander Cumbo</w:t>
            </w: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Kevin Tan</w:t>
            </w: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F. Smith</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Ian F. Smith</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Freed</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Martin Freed</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Ilan Ganot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Ilan Ganot</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Clare Kahn</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Clare Kahn</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Georgia Keresty</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Georgia Keresty</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Sukumar Nagendran</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Sukumar Nagendran</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Stone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Adam Stone</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Lynne Sullivan</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Lynne Sullivan</w:t>
            </w:r>
          </w:p>
        </w:tc>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630"/>
        </w:trPr>
        <w:tc>
          <w:tcPr>
            <w:tcW w:w="3520" w:type="dxa"/>
            <w:vAlign w:val="bottom"/>
          </w:tcPr>
          <w:p>
            <w:pPr>
              <w:spacing w:after="0"/>
              <w:rPr>
                <w:sz w:val="24"/>
                <w:szCs w:val="24"/>
                <w:color w:val="auto"/>
              </w:rPr>
            </w:pPr>
          </w:p>
        </w:tc>
        <w:tc>
          <w:tcPr>
            <w:tcW w:w="4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118</w:t>
            </w:r>
          </w:p>
        </w:tc>
        <w:tc>
          <w:tcPr>
            <w:tcW w:w="32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Solid Biosciences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Solid Biosciences Inc. and its subsidiaries (the “Company”) as of December 31, 2025 and 2024,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Research and Development Costs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The Company has entered into various research and development contracts with research institutions and other companies. These agreements are generally cancellable, and related payments are recorded as research and development expenses as incurred. Management records accruals for estimated ongoing research costs. When evaluating the adequacy of the accrued liabilities, management analyzes progress of the studies, including the phase or completion of events, invoices received and contracted costs. As disclosed by management, the majority of service providers invoice the Company in arrears for services performed, on a predetermined schedule or when contractual milestones are met; however, some require advanced payments.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5" w:name="page126"/>
    <w:bookmarkEnd w:id="125"/>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expense for the year ended December 31, 2025 was $140.3 million, a majority of which relates to external research and development costs.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9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by agreeing relevant information, including overall contract value, amounts incurred to date, and percentage of completion amounts to the (i) underlying agreements with outside vendors engaged to conduct preclinical studies and clinical trials, (ii) purchase orders, (iii) invoices received, (iv) underlying payments made for expenses incurred on the contracts, and (v) external confirmations or communications obtained by management from outside vendors.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80,235</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current</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4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205,456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157,302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7"/>
                <w:szCs w:val="17"/>
                <w:color w:val="auto"/>
              </w:rPr>
            </w:pPr>
          </w:p>
        </w:tc>
      </w:tr>
      <w:tr>
        <w:trPr>
          <w:trHeight w:val="196"/>
        </w:trPr>
        <w:tc>
          <w:tcPr>
            <w:tcW w:w="6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non-current assets</w:t>
            </w:r>
          </w:p>
        </w:tc>
        <w:tc>
          <w:tcPr>
            <w:tcW w:w="14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18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232,540</w:t>
            </w:r>
          </w:p>
        </w:tc>
        <w:tc>
          <w:tcPr>
            <w:tcW w:w="16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188,662</w:t>
            </w:r>
          </w:p>
        </w:tc>
        <w:tc>
          <w:tcPr>
            <w:tcW w:w="10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19,852</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7"/>
                <w:szCs w:val="17"/>
                <w:color w:val="auto"/>
              </w:rPr>
            </w:pPr>
          </w:p>
        </w:tc>
      </w:tr>
      <w:tr>
        <w:trPr>
          <w:trHeight w:val="203"/>
        </w:trPr>
        <w:tc>
          <w:tcPr>
            <w:tcW w:w="6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Derivative liabilities</w:t>
            </w:r>
          </w:p>
        </w:tc>
        <w:tc>
          <w:tcPr>
            <w:tcW w:w="14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30,257</w:t>
            </w:r>
          </w:p>
        </w:tc>
        <w:tc>
          <w:tcPr>
            <w:tcW w:w="100" w:type="dxa"/>
            <w:vAlign w:val="bottom"/>
          </w:tcPr>
          <w:p>
            <w:pPr>
              <w:spacing w:after="0"/>
              <w:rPr>
                <w:sz w:val="17"/>
                <w:szCs w:val="17"/>
                <w:color w:val="auto"/>
              </w:rPr>
            </w:pPr>
          </w:p>
        </w:tc>
      </w:tr>
      <w:tr>
        <w:trPr>
          <w:trHeight w:val="19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Pr>
          <w:p>
            <w:pPr>
              <w:spacing w:after="0"/>
              <w:rPr>
                <w:sz w:val="17"/>
                <w:szCs w:val="17"/>
                <w:color w:val="auto"/>
              </w:rPr>
            </w:pPr>
          </w:p>
        </w:tc>
      </w:tr>
      <w:tr>
        <w:trPr>
          <w:trHeight w:val="196"/>
        </w:trPr>
        <w:tc>
          <w:tcPr>
            <w:tcW w:w="6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4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51,416</w:t>
            </w:r>
          </w:p>
        </w:tc>
        <w:tc>
          <w:tcPr>
            <w:tcW w:w="100" w:type="dxa"/>
            <w:vAlign w:val="bottom"/>
          </w:tcPr>
          <w:p>
            <w:pPr>
              <w:spacing w:after="0"/>
              <w:rPr>
                <w:sz w:val="17"/>
                <w:szCs w:val="17"/>
                <w:color w:val="auto"/>
              </w:rPr>
            </w:pPr>
          </w:p>
        </w:tc>
      </w:tr>
      <w:tr>
        <w:trPr>
          <w:trHeight w:val="19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at</w:t>
            </w:r>
          </w:p>
        </w:tc>
        <w:tc>
          <w:tcPr>
            <w:tcW w:w="1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December 31, 2025 and 2024; no shares issued and outstanding</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 December 31, 2025 and 2024</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$0.001 par value; 240,000,000 and 120,000,000 shares</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at December 31, 2025 and 2024, respectively; 78,967,888</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40,468,141 shares issued and outstanding at December 31, 2025 and</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respectively</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r>
      <w:tr>
        <w:trPr>
          <w:trHeight w:val="205"/>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1,137,654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920,609</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(957,775)</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(783,450)</w:t>
            </w:r>
          </w:p>
        </w:tc>
      </w:tr>
      <w:tr>
        <w:trPr>
          <w:trHeight w:val="196"/>
        </w:trPr>
        <w:tc>
          <w:tcPr>
            <w:tcW w:w="63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180,010</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137,246</w:t>
            </w:r>
          </w:p>
        </w:tc>
        <w:tc>
          <w:tcPr>
            <w:tcW w:w="100" w:type="dxa"/>
            <w:vAlign w:val="bottom"/>
            <w:tcBorders>
              <w:top w:val="single" w:sz="8" w:color="CFF0FC"/>
            </w:tcBorders>
          </w:tcPr>
          <w:p>
            <w:pPr>
              <w:spacing w:after="0"/>
              <w:rPr>
                <w:sz w:val="17"/>
                <w:szCs w:val="17"/>
                <w:color w:val="auto"/>
              </w:rPr>
            </w:pPr>
          </w:p>
        </w:tc>
      </w:tr>
      <w:tr>
        <w:trPr>
          <w:trHeight w:val="216"/>
        </w:trPr>
        <w:tc>
          <w:tcPr>
            <w:tcW w:w="63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232,540</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188,662</w:t>
            </w:r>
          </w:p>
        </w:tc>
        <w:tc>
          <w:tcPr>
            <w:tcW w:w="100" w:type="dxa"/>
            <w:vAlign w:val="bottom"/>
            <w:shd w:val="clear" w:color="auto" w:fill="CFF0FC"/>
          </w:tcPr>
          <w:p>
            <w:pPr>
              <w:spacing w:after="0"/>
              <w:rPr>
                <w:sz w:val="18"/>
                <w:szCs w:val="18"/>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-3590925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-2527935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140,325</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100" w:type="dxa"/>
            <w:vAlign w:val="bottom"/>
          </w:tcPr>
          <w:p>
            <w:pPr>
              <w:spacing w:after="0"/>
              <w:rPr>
                <w:sz w:val="17"/>
                <w:szCs w:val="17"/>
                <w:color w:val="auto"/>
              </w:rPr>
            </w:pPr>
          </w:p>
        </w:tc>
      </w:tr>
      <w:tr>
        <w:trPr>
          <w:trHeight w:val="203"/>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129,728</w:t>
            </w:r>
          </w:p>
        </w:tc>
        <w:tc>
          <w:tcPr>
            <w:tcW w:w="100" w:type="dxa"/>
            <w:vAlign w:val="bottom"/>
          </w:tcPr>
          <w:p>
            <w:pPr>
              <w:spacing w:after="0"/>
              <w:rPr>
                <w:sz w:val="17"/>
                <w:szCs w:val="17"/>
                <w:color w:val="auto"/>
              </w:rPr>
            </w:pP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(179,206)</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(129,728)</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w:t>
            </w: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(6,050)</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(4,750)</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7"/>
                <w:szCs w:val="17"/>
                <w:color w:val="auto"/>
              </w:rPr>
            </w:pPr>
          </w:p>
        </w:tc>
      </w:tr>
      <w:tr>
        <w:trPr>
          <w:trHeight w:val="196"/>
        </w:trPr>
        <w:tc>
          <w:tcPr>
            <w:tcW w:w="7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other income, net</w:t>
            </w:r>
          </w:p>
        </w:tc>
        <w:tc>
          <w:tcPr>
            <w:tcW w:w="3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(174,325)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(124,697)</w:t>
            </w: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(3.06)</w:t>
            </w:r>
          </w:p>
        </w:tc>
      </w:tr>
      <w:tr>
        <w:trPr>
          <w:trHeight w:val="183"/>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used to compute basic and diluted net loss per share</w:t>
            </w:r>
          </w:p>
        </w:tc>
        <w:tc>
          <w:tcPr>
            <w:tcW w:w="38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87,504,631</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40,816,694</w:t>
            </w:r>
          </w:p>
        </w:tc>
        <w:tc>
          <w:tcPr>
            <w:tcW w:w="100" w:type="dxa"/>
            <w:vAlign w:val="bottom"/>
            <w:tcBorders>
              <w:top w:val="single" w:sz="8" w:color="CFF0FC"/>
            </w:tcBorders>
          </w:tcPr>
          <w:p>
            <w:pPr>
              <w:spacing w:after="0"/>
              <w:rPr>
                <w:sz w:val="15"/>
                <w:szCs w:val="15"/>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(174,325)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(124,697)</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(174,320)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(124,665)</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140" w:type="dxa"/>
            <w:vAlign w:val="bottom"/>
            <w:gridSpan w:val="3"/>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0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20,386,606</w:t>
            </w:r>
          </w:p>
        </w:tc>
        <w:tc>
          <w:tcPr>
            <w:tcW w:w="10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785,199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(658,753)</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private placement, net</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issuance costs of $4,407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16,973,103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pre-funded warrants in private</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placement, net of issuance costs of $704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at-the-market public</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offering, net of sales commissions of $471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2,212,937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private placement for</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upfront consideration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364,990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335,981</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122,962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71,562</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(124,697)</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(124,697)</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40,468,141</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920,609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(783,450)</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public offering, net of</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costs of $8,665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35,739,810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135,331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pre-funded warrants in public offering,</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issuance costs of $3,366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private placement for</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payment of developmental milestone consideration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975,496</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at-the-market public</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offering, net of sales commissions of $164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1,189,572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434,314</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(174,325)</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(174,325)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78,967,888</w:t>
            </w:r>
          </w:p>
        </w:tc>
        <w:tc>
          <w:tcPr>
            <w:tcW w:w="10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1,137,654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(957,775)</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-2228215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-2228215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-2228215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-2228215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-2228215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-3175</wp:posOffset>
            </wp:positionV>
            <wp:extent cx="22459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(174,325)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(124,697)</w:t>
            </w: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discount on available-for-sale securities</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(3,592)</w:t>
            </w: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acquired in-process research and development</w:t>
            </w:r>
          </w:p>
        </w:tc>
        <w:tc>
          <w:tcPr>
            <w:tcW w:w="9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Common stock issued as upfront payment for collaboration and license agreement</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(7,993)</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(2,445)</w:t>
            </w: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operating lease liability</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(1,676)</w:t>
            </w: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tcPr>
          <w:p>
            <w:pPr>
              <w:spacing w:after="0"/>
              <w:rPr>
                <w:sz w:val="17"/>
                <w:szCs w:val="17"/>
                <w:color w:val="auto"/>
              </w:rPr>
            </w:pPr>
          </w:p>
        </w:tc>
      </w:tr>
      <w:tr>
        <w:trPr>
          <w:trHeight w:val="196"/>
        </w:trPr>
        <w:tc>
          <w:tcPr>
            <w:tcW w:w="7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(156,289)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(100,012)</w:t>
            </w:r>
          </w:p>
        </w:tc>
      </w:tr>
      <w:tr>
        <w:trPr>
          <w:trHeight w:val="196"/>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(654)</w:t>
            </w: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sales and maturities of available-for-sale securities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188,900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(235,886)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(204,337)</w:t>
            </w:r>
          </w:p>
        </w:tc>
      </w:tr>
      <w:tr>
        <w:trPr>
          <w:trHeight w:val="20"/>
        </w:trPr>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(58,454)</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(16,086)</w:t>
            </w:r>
          </w:p>
        </w:tc>
      </w:tr>
      <w:tr>
        <w:trPr>
          <w:trHeight w:val="196"/>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8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and pre-funded warrants in public offering, net of underwriting</w:t>
            </w:r>
          </w:p>
        </w:tc>
        <w:tc>
          <w:tcPr>
            <w:tcW w:w="9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discounts and commissions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common stock and pre-funded warrants issuance costs in public offering</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and pre-funded warrants in private placement</w:t>
            </w: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108,858</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common stock and pre-funded warrants issuance costs in private placement</w:t>
            </w:r>
          </w:p>
        </w:tc>
        <w:tc>
          <w:tcPr>
            <w:tcW w:w="9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(5,111)</w:t>
            </w: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in at-the-market public offering, net of sales commissions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exercises of common stock options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 purchases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principal portion of finance lease obligations</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(473)</w:t>
            </w:r>
          </w:p>
        </w:tc>
      </w:tr>
      <w:tr>
        <w:trPr>
          <w:trHeight w:val="196"/>
        </w:trPr>
        <w:tc>
          <w:tcPr>
            <w:tcW w:w="7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(20,297)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0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61,890</w:t>
            </w:r>
          </w:p>
        </w:tc>
        <w:tc>
          <w:tcPr>
            <w:tcW w:w="160" w:type="dxa"/>
            <w:vAlign w:val="bottom"/>
          </w:tcPr>
          <w:p>
            <w:pPr>
              <w:spacing w:after="0"/>
              <w:rPr>
                <w:sz w:val="17"/>
                <w:szCs w:val="17"/>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-2647950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-1859280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-427990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-161925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-3175</wp:posOffset>
            </wp:positionV>
            <wp:extent cx="22459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Financing cash flows for finance leases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6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19"/>
                <w:szCs w:val="19"/>
                <w:color w:val="auto"/>
              </w:rPr>
            </w:pPr>
          </w:p>
        </w:tc>
      </w:tr>
      <w:tr>
        <w:trPr>
          <w:trHeight w:val="183"/>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financing, and operating activities:</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2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issued as payment for developmental milestone consideration</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right-of-use asset and lease liability due to lease termination</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accruals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-1079500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-1062355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-770890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-753745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-487680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-471170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-179070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-162560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amounts reported in the consolidated statements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current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cash, cash equivalents, and restricted cash, as reported in</w:t>
            </w:r>
          </w:p>
        </w:tc>
        <w:tc>
          <w:tcPr>
            <w:tcW w:w="1000" w:type="dxa"/>
            <w:vAlign w:val="bottom"/>
            <w:vMerge w:val="restart"/>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61,890</w:t>
            </w: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the consolidated statements of cash flows</w:t>
            </w:r>
          </w:p>
        </w:tc>
        <w:tc>
          <w:tcPr>
            <w:tcW w:w="10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and where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0" w:lineRule="exact"/>
        <w:rPr>
          <w:sz w:val="20"/>
          <w:szCs w:val="20"/>
          <w:color w:val="auto"/>
        </w:rPr>
      </w:pPr>
    </w:p>
    <w:p>
      <w:pPr>
        <w:spacing w:after="0" w:line="2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Solid Bioscience Inc. (the “Company”) is a life sciences company focused on advancing a portfolio of current and future gene therapy candidates (collectively “Candidates”), including SGT-003 for the treatment of Duchenne muscular dystrophy (“Duchenne”), SGT-212 for the treatment of Friedreich’s ataxia (“FA”), SGT-501 for the treatment of catecholaminergic polymorphic ventricular tachycardia, SGT-601 for the treatment of TNNT2-mediated dilated cardiomyopathy, and additional assets for the treatment of genetic cardiac and neuromuscular diseases, at different stages of development with varying levels of investment. The Company is advancing its diverse pipeline across rare neuromuscular and cardiac diseases, bringing together experts in science, technology, disease management and care. Patient-focused and founded by those directly impacted by Duchenne, the Company’s mission is to improve the daily lives of patients living with these devastating diseases.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the Company will continue as a going concern and which contemplates the realization of assets and satisfaction of liabilities and commitments in the ordinary course of business. Through December 31, 2025, the Company has funded its operations primarily with the proceeds from the sale of common stock and pre-funded warrants to purchase shares of its common stock in private placements (including the January 2024 Private Placement (as defined below)), the sale of common stock in its initial public offering, follow-on public offerings in March 2021 and February 2025, and under its at-the-market sales agreement.</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11, 2024, the Company issued and sold in a private placement 16,973,103 shares of the Company’s common stock at a price per share of $5.53 and, to one investor in lieu of shares of common stock, pre-funded warrants to purchase 2,712,478 shares of common stock at a price of $5.529 per pre-funded warrant (the “January 2024 Private Placement”). The Company received $103.7 million of net proceeds from the January 2024 Private Placement after deducting offering costs.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19, 2025, the Company issued and sold 35,739,810 shares of its common stock at a price per share of $4.03 and, to certain investors in lieu of shares of common stock, pre-funded warrants to purchase 13,888,340 shares of common stock at a price of $4.029 per pre-funded warrant (the “February 2025 Offering”). The Company received approximately $188.0 million of net proceeds from the February 2025 Offering after deducting underwriting discounts and commissions and estimated offering costs.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9, 2026, the Company issued and sold 14,973,257 shares of its common stock at a price of $5.61 per share, and, to certain investors in lieu of shares of common stock, pre-funded warrants to purchase 27,807,482 shares of its common stock at a price of $5.609 per pre-funded warrant (the “March 2026 Private Placement”). The Company received approximately $226.4 million of aggregate net proceeds from the March 2026 Private Placement after deducting estimated offering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3" w:name="page134"/>
    <w:bookmarkEnd w:id="133"/>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determined the pre-funded warrants met the criteria for equity classification. No warrants were exercised during the years ended December 31, 2025 and 2024.</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issued 1,189,572 shares of its common stock, pursuant to the Company’s “at-the-market offering” sales agreement, between the Company and Jefferies LLC (the “ATM Sales Agreement”) for net proceeds of $6.8 million.</w:t>
      </w:r>
    </w:p>
    <w:p>
      <w:pPr>
        <w:spacing w:after="0" w:line="54" w:lineRule="exact"/>
        <w:rPr>
          <w:sz w:val="20"/>
          <w:szCs w:val="20"/>
          <w:color w:val="auto"/>
        </w:rPr>
      </w:pPr>
    </w:p>
    <w:p>
      <w:pPr>
        <w:ind w:firstLine="45"/>
        <w:spacing w:after="0" w:line="256"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within one year after the date the financial statements are issued. As of December 31, 2025, the Company had an accumulated deficit of $957.8 million. During the years ended December 31, 2025 and 2024, the Company incurred net losses of $174.3 million and $124.7 million, respectively. The Company used $156.3 million of cash in operations for the year ended December 31, 2025. The Company expects to continue to generate operating losses in the foreseeable future. Based upon its current operating plan, the Company expects that its cash, cash equivalents, and available-for-sale securities of $187.9 million, excluding restricted cash of $2.0 million, as of December 31, 2025, together with the net proceeds from the March 2026 Private Placement,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Solid Biosciences, Inc. and its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The Company believes that the financial statements as presented reflect all normal recurring adjustments necessary for a fair statement of the information for all periods presented. All intercompany balances and transactions have been eliminated in consolidation.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estimates related to recognition of research and development expenses, equity-based compensation, and derivative liabilities. On an ongoing basis, the Company evaluates its judgments and estimates in light of changes in facts and circumstances. The Company bases its estimates on historical experience and on various other factors that the Company believes are reasonable under the circumstances, the results of which form the basis for making judgments about the carrying values of assets and liabilities that are not apparent from other sources. Changes in estimates are recorded in the period in which they become known. Actual results could differ materially from the Company’s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acquisition date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Available-for-sale securities consist of investments with original maturities greater than 90 days at acquisition date. The Company has classified its investments as short term based on their highly liquid nature and because such available-for-sale securities represent the investment of cash that is available for current operations.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classifies all of its investments with maturities greater than 90 days at acquisition date as available-for-sale securities. The Company’s investments are measured and reported at fair value using quoted prices in active markets for similar securities. Unrealized gains and losses on available-for-sale debt securities are reported as a separate component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4" w:name="page135"/>
    <w:bookmarkEnd w:id="134"/>
    <w:p>
      <w:pPr>
        <w:ind w:right="20"/>
        <w:spacing w:after="0" w:line="219" w:lineRule="exact"/>
        <w:rPr>
          <w:sz w:val="20"/>
          <w:szCs w:val="20"/>
          <w:color w:val="auto"/>
        </w:rPr>
      </w:pPr>
      <w:r>
        <w:rPr>
          <w:rFonts w:ascii="Times New Roman" w:cs="Times New Roman" w:eastAsia="Times New Roman" w:hAnsi="Times New Roman"/>
          <w:sz w:val="18"/>
          <w:szCs w:val="18"/>
          <w:color w:val="auto"/>
        </w:rPr>
        <w:t>stockholders’ equity. The cost of debt securities sold is determined on a specific identification basis, and realized gains and losses are included in other income, net within the consolidated statements of operations. Impairment of available-for-sale securities is assessed based on multiple factors, whose relative significance varies by circumstance. Factors considered include whether a decline in fair value below the amortized cost basis is due to credit-related factors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factors, the financial condition and near-term prospects of the issuer, and our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No such adjustments were necessary during the periods presented.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available-for-sale securities. Periodically, the Company maintains deposits in accredited financial institutions in excess of federally insured limits. The Company maintains each of its cash, cash equivalents, and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balances with high-quality and accredited financial institutions, and accordingly, such funds are not exposed to significant credit risk. The Company does not believe that it is subject to unusual credit risk beyond the normal credit risk associated with commercial banking relationships.</w:t>
      </w:r>
    </w:p>
    <w:p>
      <w:pPr>
        <w:spacing w:after="0" w:line="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of its programs, including clinical and preclinical testing. These programs could be adversely affected by a significant interruption in the supply of such drug substance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 xml:space="preserve">The Company’s cash equivalents and available-for-sale securities are carried at fair value, determined according to the fair value hierarchy described above. Derivative liabilities are recorded at fair value based on the probability weighted present value of the estimated cash flows pursuant to the contractual terms of each agreement. The derivative liabilities are remeasured quarterly with changes in fair value recorded in change in fair value of derivative liabilities in the consolidated statements of operations. See Note 4,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for 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minimum future lease payments. Adjustments to the right-of-use asset may be required for items such as lease prepayments or incentives received. The Company’s policy is to not record leases with an original term of twelve months or less on the consolidated balance sheets. The Company recognizes lease expense for these short-term leases on a straight-line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ind w:right="20"/>
        <w:spacing w:after="0" w:line="255" w:lineRule="auto"/>
        <w:rPr>
          <w:sz w:val="20"/>
          <w:szCs w:val="20"/>
          <w:color w:val="auto"/>
        </w:rPr>
      </w:pPr>
      <w:r>
        <w:rPr>
          <w:rFonts w:ascii="Times New Roman" w:cs="Times New Roman" w:eastAsia="Times New Roman" w:hAnsi="Times New Roman"/>
          <w:sz w:val="18"/>
          <w:szCs w:val="18"/>
          <w:color w:val="auto"/>
        </w:rPr>
        <w:t>basis over the lease term. 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right-of-use asset and liability. Only when lease components and their associated non-lease components are fixed are they accounted for as a single lease component and recognized as part of a right-of-use asset and liability. Total contract consideration is allocated to the combined fixed lease and non-lease components.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related asset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680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680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68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680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2 years</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office equipment</w:t>
            </w:r>
          </w:p>
        </w:tc>
        <w:tc>
          <w:tcPr>
            <w:tcW w:w="68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680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The shorter of the lease term or the estimated useful life of the related asset.</w:t>
            </w:r>
          </w:p>
        </w:tc>
      </w:tr>
    </w:tbl>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net book value is written off and any resulting gain or loss is included in the consolidated statements of operations. Equipment under a finance lease is stated at fair value at the inception of the lease less accumulated depreciation and is depreciated over the remaining lease term or the estimated useful life of the equipment.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a license granted in an arrangement is determined to be 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arrangement.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based on certain events, the Company evaluates whether the milestones are considered probable of being achieved and estimates the amount to be included in the transaction price using the most likely amount method. If it is probable that a significant reversal in the amount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or the specified event occurs.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in the amount of cumulative revenue recognized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reversal in the amount of cumulative revenue recognized would not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elements of collaboration arrangements that are accounted for pursuant to ASC 808, an appropriate recognition method is determined and applied consistently, generally by analogy to ASC 606.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License and Collaborative Arrangements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All costs associated with license and collaborative arrangements are expensed as incurred and recorded in research and development expense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equity-based compensation, employee benefits, third-party license fees and other operational costs related to the Company’s research and development activities, including allocated facility-related expenses, regulatory costs, manufacturing costs, and external costs of outside vendors engaged to conduct both preclinical studies and clinical trials. Non-refundable pre-payments for goods or services that will be used or rendered for future research and development activities are deferred and capitalized. Such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37" w:name="page138"/>
    <w:bookmarkEnd w:id="137"/>
    <w:p>
      <w:pPr>
        <w:ind w:right="380"/>
        <w:spacing w:after="0" w:line="282" w:lineRule="auto"/>
        <w:rPr>
          <w:sz w:val="20"/>
          <w:szCs w:val="20"/>
          <w:color w:val="auto"/>
        </w:rPr>
      </w:pPr>
      <w:r>
        <w:rPr>
          <w:rFonts w:ascii="Times New Roman" w:cs="Times New Roman" w:eastAsia="Times New Roman" w:hAnsi="Times New Roman"/>
          <w:sz w:val="18"/>
          <w:szCs w:val="18"/>
          <w:color w:val="auto"/>
        </w:rPr>
        <w:t>amounts are recognized as expense as the goods or services are delivered or the related services are performed, or until it is no longer expected that the goods will be delivered or the services rendered.</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may in-license the rights to develop and commercialize product candidates. For each in-license transaction the Company evaluates whether it has acquired processes or activities along with inputs that would be sufficient to constitute a “business” as defined under GAAP. A “business” as defined under GAAP consists of inputs and processes applied to those inputs that have the ability to create outputs. Although businesses usually have outputs, outputs are not required for an integrated set of activities to qualify as a business. When the Company determines that it has not acquired sufficient processes or activities to constitute a business, any upfront payments, as well as milestone payments, are immediately expensed as acquired research and development in the period in which they are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Estimates based on available information are made in determining the accrual balances at the end of any reporting period. Actual results could differ from the Company’s estimates; however, the Company’s historical accrual estimates have not been materially different from the actual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for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non-employees based on the fair value on the date of the grant and recognizes compensation expense of those awards, over the requisite service period, which is generally the vesting period of the respective award. Forfeitures are accounted for as a reduction of equity-based compensation as they occur. The Company applies the straight-line method of expense recognition to all awards with only service-based vesting conditions.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calculates volatility utilizing its historical stock price. The expected term of stock options with service-based vesting conditions and options granted to non-employees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utilized a 0% expected dividend yield in its determination of grant fair value based on the fact that the Company has never paid cash dividends and does not expect to pay any cash dividends in the foreseeable future, if ever.</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values of restricted stock units and performance-based restricted stock units are measured at the grant date based on the closing price of the Company’s common stock on the date of grant. For restricted stock units, the fair value of the award is recognized on a straight-line basis over the requisite service periods. For performance-based restricted stock unit awards, which are subject to the achievement of performance milestones, the fair value is recognized as expense over the requisite service periods when the achievement of such performance milestones is determined to be probable. If a performance milestone is not determined to be probable or is not met, no equity-based compensation expense is recognized, and any previously recognized expense is reversed.</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does not currently hold any treasury shares. Upon the exercise of stock options and the vesting of restricted stock units and performance stock units, the Company issues new shares of common stock and delivers them to the participant.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ind w:right="40"/>
        <w:spacing w:after="0" w:line="258" w:lineRule="auto"/>
        <w:rPr>
          <w:sz w:val="20"/>
          <w:szCs w:val="20"/>
          <w:color w:val="auto"/>
        </w:rPr>
      </w:pPr>
      <w:r>
        <w:rPr>
          <w:rFonts w:ascii="Times New Roman" w:cs="Times New Roman" w:eastAsia="Times New Roman" w:hAnsi="Times New Roman"/>
          <w:sz w:val="18"/>
          <w:szCs w:val="18"/>
          <w:color w:val="auto"/>
        </w:rPr>
        <w:t>income in the period that includes the enactment date. The Company records valuation allowances to reduce deferred income tax assets to the amount that is more likely than not to be realized. 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Prior to January 25, 2018, the Company had not been subject to U.S. federal income taxes as the Company was organized as a limited liability company. As such, the taxable income or loss was passed through to and included in the tax returns of the members. Since January 25, 2018, the Company’s income has since been subject to U.S. federal, state, local, and foreign income taxes and taxed at the prevailing corporate tax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The Company manages its operations as a single segment for the purposes of assessing performance and making operating decisions. The Company’s singular focus is on developing treatments through gene therapy and other means for patients with neuromuscular and cardiac diseases. All of the Company’s tangible assets are held in the United States. Please refer to Note 15, </w:t>
      </w:r>
      <w:r>
        <w:rPr>
          <w:rFonts w:ascii="Times New Roman" w:cs="Times New Roman" w:eastAsia="Times New Roman" w:hAnsi="Times New Roman"/>
          <w:sz w:val="18"/>
          <w:szCs w:val="18"/>
          <w:i w:val="1"/>
          <w:iCs w:val="1"/>
          <w:color w:val="auto"/>
        </w:rPr>
        <w:t>Segment Reportin</w:t>
      </w:r>
      <w:r>
        <w:rPr>
          <w:rFonts w:ascii="Times New Roman" w:cs="Times New Roman" w:eastAsia="Times New Roman" w:hAnsi="Times New Roman"/>
          <w:sz w:val="18"/>
          <w:szCs w:val="18"/>
          <w:color w:val="auto"/>
        </w:rPr>
        <w:t>g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members. The Company’s only element of other comprehensive income in all periods presented was unrealized gains from available-for-sale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shares of common stock and pre-funded warrants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and pre-funded warrants outstanding for the period, including potential dilutive shares of common stock assuming the dilutive effect of common stock equivalents.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preferred stock that the Company may issue in the future could entitle the holders of such shares to participate in dividends and not require the holders of such shares to participate in losses of the Company. Accordingly, in periods in which the Company reports a net loss, such losses are not allocated to such participating securities. In periods in which the Company reports a net loss, diluted net loss per share is the same as basic net loss per share, since dilutive shares of common stock are not assumed to have been issued if their effect is anti-dilutive. As of December 31, 2025 and 2024, there was no preferred stock issued or outstanding with any contractual rights.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Loss contingency provisions are recorded if the potential loss from any claim, asserted or unasserted, or legal proceeding, is considered probable and the amount can be reasonably estimated, or a range of loss can be determined. These accruals represent the Company’s best estimate of probable loss. Disclosure also is provided when it is reasonably possible that a loss will be incurred or when it is reasonably possible that the amount of a loss will exceed the recorded provision.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may change its estimates. These changes in the estimates of the potential liabilities could have a material impact on the Company’s consolidated results of operations and financial position.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Acquisitions of assets or a group of assets that do not meet the definition of a business are accounted for as asset acquisitions using the cost accumulation method, whereby the cost of the acquisition, including certain transaction costs, is allocated to the assets acquired on the basis of relative fair values. No goodwill is recognized in an asset acquisition. Intangible assets that are acquired in an asset acquisition for use in research and development activities which have an alternative future use are capitalized as in-process research and development (“IPR&amp;D”). Acquired IPR&amp;D which has no alternative future use is recognized as research and development expense at acquisition. Contingent milestone payments associated with asset acquisitions are recognized when probable and estimable. These amounts are expensed to research and development if there is no alternative future use associated with the asset or capitalized as an intangible asset if an alternative future use of the asset exists.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No. 2024-03, “Income Statement - Reporting Comprehensive Income - Expense Disaggregation Disclosures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Topic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of adopting this ASU on its consolidated financial statements and disclosures.</w:t>
      </w:r>
    </w:p>
    <w:p>
      <w:pPr>
        <w:spacing w:after="0" w:line="9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ASU are effective for interim reporting periods within annual reporting periods beginning after December 15, 2027, with early adoption permitted. The Company is currently evaluating the effect of adopting this ASU on its consolidated financial statements and disclosures</w:t>
      </w:r>
      <w:r>
        <w:rPr>
          <w:rFonts w:ascii="Arial" w:cs="Arial" w:eastAsia="Arial" w:hAnsi="Arial"/>
          <w:sz w:val="18"/>
          <w:szCs w:val="18"/>
          <w:color w:val="00172E"/>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Improvements to Income Tax Disclosures.” This ASU updates income tax disclosure requirements primarily by requiring specific categories and greater disaggregation within the rate reconciliation and disaggregation of income taxes paid by jurisdiction. This ASU is effective for annual periods beginning after December 15, 2024 and is applicable to the Company’s fiscal year beginning January 1, 2025, with early application permitted. The Company adopted this standard on a retrospective basis beginning with this Annual Report on Form 10-K, with incremental income tax disclosures. See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w:t>
      </w:r>
    </w:p>
    <w:p>
      <w:pPr>
        <w:spacing w:after="0" w:line="75"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8"/>
          <w:szCs w:val="18"/>
          <w:color w:val="auto"/>
        </w:rPr>
        <w:t>In September 2025, the FASB issued ASU No. 2025-07, “Derivatives and Hedging (Topic 815) and Revenue from Contracts with Customers (Topic 606): Derivatives Scope Refinements and Scope Clarification for Share-Based Noncash Consideration from a Customer in a Revenue Contract”. This standard adds a new derivative scope exception for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traded contracts with underlyings based on operations or activities specific to one party, and clarifies that share-based payments received from a customer in a revenue contract should be accounted for under ASC 606 until the entity's right to receive or retain them is unconditional. The Company adopted this standard beginning with this Annual Report on Form 10-K, noting that it did not have a material impact on its consolidated financial statements or related disclosures.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FA212 Asset Acquisition</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On September 19, 2024, the Company entered into an asset purchase agreement with FA212 LLC (“FA212”) for the purchase of certain intellectual property, including patents and assigned licenses related to a preclinical drug candidate, which the Company now refers to as SGT-212, assigned manufacturing contracts as well as research and development materials such as manufactured materials and samples.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paid FA212 an upfront payment of $1.0 million in the third quarter of 2024. Additionally, the Company agreed to pay FA212 development milestone payments of up to $34.0 million, cumulative sales milestone payments of up to $21.0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ind w:right="100" w:firstLine="45"/>
        <w:spacing w:after="0" w:line="266" w:lineRule="auto"/>
        <w:rPr>
          <w:sz w:val="20"/>
          <w:szCs w:val="20"/>
          <w:color w:val="auto"/>
        </w:rPr>
      </w:pPr>
      <w:r>
        <w:rPr>
          <w:rFonts w:ascii="Times New Roman" w:cs="Times New Roman" w:eastAsia="Times New Roman" w:hAnsi="Times New Roman"/>
          <w:sz w:val="18"/>
          <w:szCs w:val="18"/>
          <w:color w:val="auto"/>
        </w:rPr>
        <w:t>million, and tiered royalties on net sales in the low-single-digits. The Company also assumed from FA212 contingent development milestone payments of up to $4.2 million, regulatory milestone payments of up to $13.0 million, cumulative sales milestone payments of up to $27.5 million, and tiered royalties on worldwide net sales in the mid-single digits payable to the University of Pennsylvania.</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Certain development milestone payments to FA212 are payable in either cash, equity, or a combination of both, at the Company’s discretion. Such contingent payments were determined to be derivative liabilities and were initially recorded at their fair value of $3.4 million.</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FA212 agreement represented an asset acquisition of IPR&amp;D assets with no alternative future use and recognized the aggregate acquisition cost of $5.1 million as research and development expense in the consolidated statement of operations for the year ended December 31, 2024, which included the upfront payment, initial recognition of the derivative liability, and $0.7 million in transaction costs.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submitted an investigational new drug application (“IND”) for SGT-212 for the treatment of FA to the U.S. Food and Drug Administration (“FDA”), which was cleared in December 2024. Upon clearance of the IND, the first developmental milestone of $5.0 million became payable to FA212. The $5.0 million milestone liability payment is included in accrued expenses and other current liabilities in the accompanying consolidated balance sheet as of December 31, 2024. On February 28, 2025, the Company made the first development milestone payment in the form of 975,496 shares of its common stock. The derivative liabilities for the remaining contingent payments were recorded at a fair value of $9.2 million and $3.2 million at December 31, 2025 and 2024, respectively. 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900" w:type="dxa"/>
            <w:vAlign w:val="bottom"/>
            <w:tcBorders>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equivalents: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100" w:type="dxa"/>
            <w:vAlign w:val="bottom"/>
            <w:shd w:val="clear" w:color="auto" w:fill="CFF0FC"/>
          </w:tcPr>
          <w:p>
            <w:pPr>
              <w:spacing w:after="0"/>
              <w:rPr>
                <w:sz w:val="17"/>
                <w:szCs w:val="17"/>
                <w:color w:val="auto"/>
              </w:rPr>
            </w:pPr>
          </w:p>
        </w:tc>
      </w:tr>
      <w:tr>
        <w:trPr>
          <w:trHeight w:val="196"/>
        </w:trPr>
        <w:tc>
          <w:tcPr>
            <w:tcW w:w="580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Total cash equivalents</w:t>
            </w:r>
          </w:p>
        </w:tc>
        <w:tc>
          <w:tcPr>
            <w:tcW w:w="9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100" w:type="dxa"/>
            <w:vAlign w:val="bottom"/>
            <w:tcBorders>
              <w:top w:val="single" w:sz="8" w:color="CFF0FC"/>
            </w:tcBorders>
          </w:tcPr>
          <w:p>
            <w:pPr>
              <w:spacing w:after="0"/>
              <w:rPr>
                <w:sz w:val="17"/>
                <w:szCs w:val="17"/>
                <w:color w:val="auto"/>
              </w:rPr>
            </w:pPr>
          </w:p>
        </w:tc>
      </w:tr>
      <w:tr>
        <w:trPr>
          <w:trHeight w:val="196"/>
        </w:trPr>
        <w:tc>
          <w:tcPr>
            <w:tcW w:w="5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Available-for-sale securities (Note 5):</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Treasury bills</w:t>
            </w:r>
          </w:p>
        </w:tc>
        <w:tc>
          <w:tcPr>
            <w:tcW w:w="90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72,932</w:t>
            </w:r>
          </w:p>
        </w:tc>
        <w:tc>
          <w:tcPr>
            <w:tcW w:w="100" w:type="dxa"/>
            <w:vAlign w:val="bottom"/>
          </w:tcPr>
          <w:p>
            <w:pPr>
              <w:spacing w:after="0"/>
              <w:rPr>
                <w:sz w:val="17"/>
                <w:szCs w:val="17"/>
                <w:color w:val="auto"/>
              </w:rPr>
            </w:pPr>
          </w:p>
        </w:tc>
      </w:tr>
      <w:tr>
        <w:trPr>
          <w:trHeight w:val="203"/>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Government bonds</w:t>
            </w:r>
          </w:p>
        </w:tc>
        <w:tc>
          <w:tcPr>
            <w:tcW w:w="9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100" w:type="dxa"/>
            <w:vAlign w:val="bottom"/>
          </w:tcPr>
          <w:p>
            <w:pPr>
              <w:spacing w:after="0"/>
              <w:rPr>
                <w:sz w:val="17"/>
                <w:szCs w:val="17"/>
                <w:color w:val="auto"/>
              </w:rPr>
            </w:pPr>
          </w:p>
        </w:tc>
      </w:tr>
      <w:tr>
        <w:trPr>
          <w:trHeight w:val="236"/>
        </w:trPr>
        <w:tc>
          <w:tcPr>
            <w:tcW w:w="5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financial assets</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179,283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179,283</w:t>
            </w:r>
          </w:p>
        </w:tc>
        <w:tc>
          <w:tcPr>
            <w:tcW w:w="100" w:type="dxa"/>
            <w:vAlign w:val="bottom"/>
            <w:shd w:val="clear" w:color="auto" w:fill="CFF0FC"/>
          </w:tcPr>
          <w:p>
            <w:pPr>
              <w:spacing w:after="0"/>
              <w:rPr>
                <w:sz w:val="20"/>
                <w:szCs w:val="20"/>
                <w:color w:val="auto"/>
              </w:rPr>
            </w:pPr>
          </w:p>
        </w:tc>
      </w:tr>
      <w:tr>
        <w:trPr>
          <w:trHeight w:val="183"/>
        </w:trPr>
        <w:tc>
          <w:tcPr>
            <w:tcW w:w="580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liabilities (Note 3):</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0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00" w:type="dxa"/>
            <w:vAlign w:val="bottom"/>
            <w:shd w:val="clear" w:color="auto" w:fill="CFF0FC"/>
          </w:tcPr>
          <w:p>
            <w:pPr>
              <w:spacing w:after="0"/>
              <w:rPr>
                <w:sz w:val="18"/>
                <w:szCs w:val="18"/>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5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00" w:type="dxa"/>
            <w:vAlign w:val="bottom"/>
          </w:tcPr>
          <w:p>
            <w:pPr>
              <w:spacing w:after="0"/>
              <w:rPr>
                <w:sz w:val="12"/>
                <w:szCs w:val="12"/>
                <w:color w:val="auto"/>
              </w:rPr>
            </w:pPr>
          </w:p>
        </w:tc>
        <w:tc>
          <w:tcPr>
            <w:tcW w:w="900" w:type="dxa"/>
            <w:vAlign w:val="bottom"/>
            <w:tcBorders>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equivalents: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Treasury bills</w:t>
            </w: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tcPr>
          <w:p>
            <w:pPr>
              <w:spacing w:after="0"/>
              <w:rPr>
                <w:sz w:val="17"/>
                <w:szCs w:val="17"/>
                <w:color w:val="auto"/>
              </w:rPr>
            </w:pPr>
          </w:p>
        </w:tc>
      </w:tr>
      <w:tr>
        <w:trPr>
          <w:trHeight w:val="196"/>
        </w:trPr>
        <w:tc>
          <w:tcPr>
            <w:tcW w:w="5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cash equivalents</w:t>
            </w:r>
          </w:p>
        </w:tc>
        <w:tc>
          <w:tcPr>
            <w:tcW w:w="9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35,522</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Available-for-sale securities (Note 5):</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Treasury bills</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 bonds</w:t>
            </w: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00" w:type="dxa"/>
            <w:vAlign w:val="bottom"/>
          </w:tcPr>
          <w:p>
            <w:pPr>
              <w:spacing w:after="0"/>
              <w:rPr>
                <w:sz w:val="17"/>
                <w:szCs w:val="17"/>
                <w:color w:val="auto"/>
              </w:rPr>
            </w:pPr>
          </w:p>
        </w:tc>
      </w:tr>
      <w:tr>
        <w:trPr>
          <w:trHeight w:val="196"/>
        </w:trPr>
        <w:tc>
          <w:tcPr>
            <w:tcW w:w="5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9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financial assets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104,207</w:t>
            </w:r>
          </w:p>
        </w:tc>
        <w:tc>
          <w:tcPr>
            <w:tcW w:w="10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Derivative liabilities (Note 3):</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shd w:val="clear" w:color="auto" w:fill="CFF0FC"/>
          </w:tcPr>
          <w:p>
            <w:pPr>
              <w:spacing w:after="0"/>
              <w:rPr>
                <w:sz w:val="17"/>
                <w:szCs w:val="17"/>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-3634105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-3634105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-3634105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-3102610</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-3102610</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-3102610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-2828290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-2811145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-2828290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-2811145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-2828290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-2811145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-2279650</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-2262505</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-2279650</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-2262505</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-2279650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-2262505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-1242695</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-1242695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-1242695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-710565</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-710565</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-710565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-161925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-161925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-161925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1" w:name="page142"/>
    <w:bookmarkEnd w:id="141"/>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fair values of the Company’s cash equivalents and available-for-sale securities were determined using Level 2 inputs.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by using a Monte Carlo simulation forecasting the timing and likelihood of certain development milestone events being achieved and discounting the probability adjusted payments using an appropriate discount rate based on market interest rates. The main assumptions when determining the fair value of the derivative liabilities are the timing of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unobservable inputs used in valuing the developmental milestone derivative liabilities at each measurement date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vMerge w:val="restart"/>
          </w:tcPr>
          <w:p>
            <w:pPr>
              <w:spacing w:after="0"/>
              <w:rPr>
                <w:sz w:val="15"/>
                <w:szCs w:val="15"/>
                <w:color w:val="auto"/>
              </w:rPr>
            </w:pPr>
          </w:p>
        </w:tc>
        <w:tc>
          <w:tcPr>
            <w:tcW w:w="26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2"/>
        </w:trPr>
        <w:tc>
          <w:tcPr>
            <w:tcW w:w="32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Probability of achieving certain development</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milestones</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40.0% - 100.0%</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right="521"/>
              <w:spacing w:after="0"/>
              <w:rPr>
                <w:sz w:val="20"/>
                <w:szCs w:val="20"/>
                <w:color w:val="auto"/>
              </w:rPr>
            </w:pPr>
            <w:r>
              <w:rPr>
                <w:rFonts w:ascii="Times New Roman" w:cs="Times New Roman" w:eastAsia="Times New Roman" w:hAnsi="Times New Roman"/>
                <w:sz w:val="16"/>
                <w:szCs w:val="16"/>
                <w:color w:val="auto"/>
              </w:rPr>
              <w:t>70.0%</w:t>
            </w:r>
          </w:p>
        </w:tc>
        <w:tc>
          <w:tcPr>
            <w:tcW w:w="20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28.0% - 70.0%</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ind w:right="501"/>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Volatility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98.0%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98.0%</w:t>
            </w:r>
          </w:p>
        </w:tc>
        <w:tc>
          <w:tcPr>
            <w:tcW w:w="20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center"/>
              <w:ind w:right="501"/>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3.5% - 3.7%</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40" w:type="dxa"/>
            <w:vAlign w:val="bottom"/>
            <w:shd w:val="clear" w:color="auto" w:fill="CFF0FC"/>
          </w:tcPr>
          <w:p>
            <w:pPr>
              <w:jc w:val="center"/>
              <w:ind w:right="521"/>
              <w:spacing w:after="0"/>
              <w:rPr>
                <w:sz w:val="20"/>
                <w:szCs w:val="20"/>
                <w:color w:val="auto"/>
              </w:rPr>
            </w:pPr>
            <w:r>
              <w:rPr>
                <w:rFonts w:ascii="Times New Roman" w:cs="Times New Roman" w:eastAsia="Times New Roman" w:hAnsi="Times New Roman"/>
                <w:sz w:val="16"/>
                <w:szCs w:val="16"/>
                <w:color w:val="auto"/>
              </w:rPr>
              <w:t>3.6%</w:t>
            </w:r>
          </w:p>
        </w:tc>
        <w:tc>
          <w:tcPr>
            <w:tcW w:w="20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4.2% - 4.3%</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center"/>
              <w:ind w:right="501"/>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9"/>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Timing of achieving certain development</w:t>
            </w: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milestones</w:t>
            </w:r>
          </w:p>
        </w:tc>
        <w:tc>
          <w:tcPr>
            <w:tcW w:w="26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color w:val="auto"/>
              </w:rPr>
              <w:t>0.1 - 2.8 years</w:t>
            </w:r>
          </w:p>
        </w:tc>
        <w:tc>
          <w:tcPr>
            <w:tcW w:w="134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1.4 years</w:t>
            </w:r>
          </w:p>
        </w:tc>
        <w:tc>
          <w:tcPr>
            <w:tcW w:w="140" w:type="dxa"/>
            <w:vAlign w:val="bottom"/>
          </w:tcPr>
          <w:p>
            <w:pPr>
              <w:spacing w:after="0"/>
              <w:rPr>
                <w:sz w:val="18"/>
                <w:szCs w:val="18"/>
                <w:color w:val="auto"/>
              </w:rPr>
            </w:pPr>
          </w:p>
        </w:tc>
        <w:tc>
          <w:tcPr>
            <w:tcW w:w="260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color w:val="auto"/>
              </w:rPr>
              <w:t>1.0 - 3.7 years</w:t>
            </w:r>
          </w:p>
        </w:tc>
        <w:tc>
          <w:tcPr>
            <w:tcW w:w="132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2.3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activity associated with the Company’s derivative liabilities measured using Level 3 inputs: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Developmental Milestone</w:t>
            </w:r>
          </w:p>
        </w:tc>
      </w:tr>
      <w:tr>
        <w:trPr>
          <w:trHeight w:val="173"/>
        </w:trPr>
        <w:tc>
          <w:tcPr>
            <w:tcW w:w="9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derivative liabilities as of January 1, 2025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shd w:val="clear" w:color="auto" w:fill="CFF0FC"/>
          </w:tcPr>
          <w:p>
            <w:pPr>
              <w:spacing w:after="0"/>
              <w:rPr>
                <w:sz w:val="17"/>
                <w:szCs w:val="17"/>
                <w:color w:val="auto"/>
              </w:rPr>
            </w:pPr>
          </w:p>
        </w:tc>
      </w:tr>
      <w:tr>
        <w:trPr>
          <w:trHeight w:val="203"/>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00" w:type="dxa"/>
            <w:vAlign w:val="bottom"/>
          </w:tcPr>
          <w:p>
            <w:pPr>
              <w:spacing w:after="0"/>
              <w:rPr>
                <w:sz w:val="17"/>
                <w:szCs w:val="17"/>
                <w:color w:val="auto"/>
              </w:rPr>
            </w:pPr>
          </w:p>
        </w:tc>
      </w:tr>
      <w:tr>
        <w:trPr>
          <w:trHeight w:val="236"/>
        </w:trPr>
        <w:tc>
          <w:tcPr>
            <w:tcW w:w="9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derivative liabilities as of December 31, 2025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losses of $6.1 million and $4.8 million for the change in fair values of derivative liabilities during the years ended December 31, 2025 and 2024, respectively.</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It is the Company’s policy to recognize transfers between levels of the fair value hierarchy, if any, at the end of the reporting period. During the years ended December 31, 2025 and 2024, there were no transfers between Level 1, Level 2, and Level 3.</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Company's accounts payable, accrued expenses, and other current liabilities approximated their estimated fair values due to the short-term nature of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Available-for-Sale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available-for-sale securities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 maturing in one year or less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Government bonds maturing in one year or less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127,898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2" w:name="page143"/>
    <w:bookmarkEnd w:id="142"/>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94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left="13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3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 maturing in one year or less</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w:t>
            </w:r>
          </w:p>
        </w:tc>
        <w:tc>
          <w:tcPr>
            <w:tcW w:w="120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Government bonds maturing in one year or less</w:t>
            </w:r>
          </w:p>
        </w:tc>
        <w:tc>
          <w:tcPr>
            <w:tcW w:w="1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40,759</w:t>
            </w:r>
          </w:p>
        </w:tc>
        <w:tc>
          <w:tcPr>
            <w:tcW w:w="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available-for sale securities</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68,638</w:t>
            </w:r>
          </w:p>
        </w:tc>
        <w:tc>
          <w:tcPr>
            <w:tcW w:w="120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1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maturity of the Company’s available-for-sale securities was approximately 0.6 years and 0.5 years as of December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research and development expenses</w:t>
            </w:r>
          </w:p>
        </w:tc>
        <w:tc>
          <w:tcPr>
            <w:tcW w:w="34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13,969</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Prepaid other and other current assets</w:t>
            </w:r>
          </w:p>
        </w:tc>
        <w:tc>
          <w:tcPr>
            <w:tcW w:w="2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4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16,384</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1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14,404</w:t>
            </w: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1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 expense</w:t>
            </w: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(14,190)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(13,026)</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2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774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$1.6 million and $2.5 million for the years ended December 31, 2025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research and development expense</w:t>
            </w:r>
          </w:p>
        </w:tc>
        <w:tc>
          <w:tcPr>
            <w:tcW w:w="33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2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20" w:type="dxa"/>
            <w:vAlign w:val="bottom"/>
          </w:tcPr>
          <w:p>
            <w:pPr>
              <w:spacing w:after="0"/>
              <w:rPr>
                <w:sz w:val="17"/>
                <w:szCs w:val="17"/>
                <w:color w:val="auto"/>
              </w:rPr>
            </w:pPr>
          </w:p>
        </w:tc>
      </w:tr>
      <w:tr>
        <w:trPr>
          <w:trHeight w:val="20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milestone payment (Note 3)</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 and other current liabilities</w:t>
            </w:r>
          </w:p>
        </w:tc>
        <w:tc>
          <w:tcPr>
            <w:tcW w:w="23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Pr>
          <w:p>
            <w:pPr>
              <w:spacing w:after="0"/>
              <w:rPr>
                <w:sz w:val="17"/>
                <w:szCs w:val="17"/>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3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18,945</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19,852</w:t>
            </w:r>
          </w:p>
        </w:tc>
        <w:tc>
          <w:tcPr>
            <w:tcW w:w="120" w:type="dxa"/>
            <w:vAlign w:val="bottom"/>
            <w:shd w:val="clear" w:color="auto" w:fill="CFF0FC"/>
          </w:tcPr>
          <w:p>
            <w:pPr>
              <w:spacing w:after="0"/>
              <w:rPr>
                <w:sz w:val="18"/>
                <w:szCs w:val="18"/>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equity-based compensation expense in its consolidated statements of operations as follows:</w:t>
      </w:r>
    </w:p>
    <w:p>
      <w:pPr>
        <w:spacing w:after="0" w:line="32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100" w:type="dxa"/>
            <w:vAlign w:val="bottom"/>
          </w:tcPr>
          <w:p>
            <w:pPr>
              <w:spacing w:after="0"/>
              <w:rPr>
                <w:sz w:val="17"/>
                <w:szCs w:val="17"/>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9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shd w:val="clear" w:color="auto" w:fill="CFF0FC"/>
          </w:tcPr>
          <w:p>
            <w:pPr>
              <w:spacing w:after="0"/>
              <w:rPr>
                <w:sz w:val="18"/>
                <w:szCs w:val="18"/>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8"/>
          <w:szCs w:val="18"/>
          <w:color w:val="auto"/>
        </w:rPr>
        <w:t>As of December 31, 2025, the Company’s approved equity incentive plans include: the 2018 Omnibus Incentive Plan (the “2018 Plan”); Amended and Restated 2020 Equity Incentive Plan, as amended (the “2020 Plan”); the Amended and Restated 2021 Employee Stock Purchase Plan; and the 2024 Inducement Stock Incentive Plan (the “2024 Plan”). These plans are administered by the Board of Directors (the “Board”) and permit the granting of stock options, stock appreciation rights, restricted stock, restricted stock units (the “RSUs”), performance awards,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or cash-based awards. Upon the adoption of the 2020 Plan, the Company no longer grants new equity awards under its 2018 Plan. Service based awards to employees generally vest over a four-year period with 25% of such awards vesting following twelve months of continued employment or service. The remaining awards vest in either monthly or yearly installments over the following three years. Stock options granted under the Company’s equity incentive plans expire ten years from the date of grant.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2020 Equity Incentive Plan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June 12, 2025 and June 11, 2024, the Company’s stockholders approved amendments to the 2020 Plan to increase the number of shares of common stock reserved for issuance under the plan by 9,000,000 shares and 2,000,000 shares, respectively. As of December 31, 2025, there were 3,519,002 stock options outstanding, 2,959,311 RSUs outstanding, 2,074,188 performance stock units outstanding, and 7,554,772 shares remained available for future issuance under the 2020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Inducement Stock Incentive Plan</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2024, the Board approved the 2024 Plan, which provides for the reservation of 1,000,000 shares of common stock for equity granted as an inducement material to the individuals entering into employment with the Company and in accordance with the requirements of Nasdaq Stock Market Rule 5635(c)(4). As of December 31, 2025, there were 100,000 stock options outstanding, 751,045 RSUs outstanding, and 73,947 shares remained available for future issuance under the 2024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2021 Employee Stock Purchase Plan</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ESPP was adopted by the Company’s Board of Directors on April 14, 2021, approved by the stockholders on June 16, 2021, and became effective on June 16, 2021. The first offering period under the ESPP commenced on September 1, 2021.</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6, 2023, the Company’s stockholders approved an amendment and restatement of the ESPP to (i) increase the number of shares of common stock reserved for issuance under the ESPP from 73,525 to 473,525 and (ii) provide for an annual increase to be added on the first day of each fiscal year, beginning with the fiscal year ending December 31, 2024 and ending with the fiscal year ending December 31, 2033, equal to the least of (a) 293,597 shares of common stock, (b) one percent (1%) of the outstanding shares of common stock on such date and (c) the number of shares of common stock determined by the Board of Directors. The Company’s Board of Directors amended and restated the ESPP on November 12, 2023 to provide for 24-month offering periods.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reserved for issuance under the ESPP is 970,988 shares. At December 31, 2025, 614,225 shares remained available for future issuance under the ESPP.</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with respect to stock options for the year ended December 31, 2025:</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9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gridSpan w:val="2"/>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3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January 1, 2025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2,927,937</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1,752,148</w:t>
            </w:r>
          </w:p>
        </w:tc>
        <w:tc>
          <w:tcPr>
            <w:tcW w:w="120" w:type="dxa"/>
            <w:vAlign w:val="bottom"/>
          </w:tcPr>
          <w:p>
            <w:pPr>
              <w:spacing w:after="0"/>
              <w:rPr>
                <w:sz w:val="17"/>
                <w:szCs w:val="17"/>
                <w:color w:val="auto"/>
              </w:rPr>
            </w:pP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(2,733)</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Expired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(194,390)</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Forfeitures</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(104,817)</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4,378,145</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36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and expected to vest as of December 31, 2025</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4,378,145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3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December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1,876,526</w:t>
            </w:r>
          </w:p>
        </w:tc>
        <w:tc>
          <w:tcPr>
            <w:tcW w:w="120" w:type="dxa"/>
            <w:vAlign w:val="bottom"/>
          </w:tcPr>
          <w:p>
            <w:pPr>
              <w:spacing w:after="0"/>
              <w:rPr>
                <w:sz w:val="15"/>
                <w:szCs w:val="15"/>
                <w:color w:val="auto"/>
              </w:rPr>
            </w:pP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-471170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-471170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-179705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-179705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-162560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all stock options granted during each period presented are as follows:</w:t>
      </w:r>
    </w:p>
    <w:tbl>
      <w:tblPr>
        <w:tblLayout w:type="fixed"/>
        <w:tblInd w:w="0" w:type="dxa"/>
        <w:tblCellMar>
          <w:top w:w="0" w:type="dxa"/>
          <w:left w:w="0" w:type="dxa"/>
          <w:bottom w:w="0" w:type="dxa"/>
          <w:right w:w="0" w:type="dxa"/>
        </w:tblCellMar>
      </w:tblPr>
      <w:tr>
        <w:trPr>
          <w:trHeight w:val="151"/>
        </w:trPr>
        <w:tc>
          <w:tcPr>
            <w:tcW w:w="7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gridSpan w:val="3"/>
          </w:tcPr>
          <w:p>
            <w:pPr>
              <w:jc w:val="right"/>
              <w:ind w:right="628"/>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3"/>
                <w:szCs w:val="13"/>
                <w:color w:val="auto"/>
              </w:rPr>
            </w:pPr>
          </w:p>
        </w:tc>
      </w:tr>
      <w:tr>
        <w:trPr>
          <w:trHeight w:val="173"/>
        </w:trPr>
        <w:tc>
          <w:tcPr>
            <w:tcW w:w="7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1600" w:type="dxa"/>
            <w:vAlign w:val="bottom"/>
            <w:tcBorders>
              <w:bottom w:val="single" w:sz="8" w:color="auto"/>
            </w:tcBorders>
            <w:gridSpan w:val="2"/>
          </w:tcPr>
          <w:p>
            <w:pPr>
              <w:jc w:val="center"/>
              <w:ind w:left="3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price</w:t>
            </w:r>
          </w:p>
        </w:tc>
        <w:tc>
          <w:tcPr>
            <w:tcW w:w="1600" w:type="dxa"/>
            <w:vAlign w:val="bottom"/>
            <w:gridSpan w:val="2"/>
            <w:shd w:val="clear" w:color="auto" w:fill="CFF0FC"/>
          </w:tcPr>
          <w:p>
            <w:pPr>
              <w:jc w:val="center"/>
              <w:ind w:left="341"/>
              <w:spacing w:after="0"/>
              <w:rPr>
                <w:sz w:val="20"/>
                <w:szCs w:val="20"/>
                <w:color w:val="auto"/>
              </w:rPr>
            </w:pPr>
            <w:r>
              <w:rPr>
                <w:rFonts w:ascii="Times New Roman" w:cs="Times New Roman" w:eastAsia="Times New Roman" w:hAnsi="Times New Roman"/>
                <w:sz w:val="16"/>
                <w:szCs w:val="16"/>
                <w:color w:val="auto"/>
              </w:rPr>
              <w:t>$4.10-$6.17</w:t>
            </w:r>
          </w:p>
        </w:tc>
        <w:tc>
          <w:tcPr>
            <w:tcW w:w="2540" w:type="dxa"/>
            <w:vAlign w:val="bottom"/>
            <w:gridSpan w:val="4"/>
            <w:shd w:val="clear" w:color="auto" w:fill="CFF0FC"/>
          </w:tcPr>
          <w:p>
            <w:pPr>
              <w:jc w:val="center"/>
              <w:ind w:left="522"/>
              <w:spacing w:after="0"/>
              <w:rPr>
                <w:sz w:val="20"/>
                <w:szCs w:val="20"/>
                <w:color w:val="auto"/>
              </w:rPr>
            </w:pPr>
            <w:r>
              <w:rPr>
                <w:rFonts w:ascii="Times New Roman" w:cs="Times New Roman" w:eastAsia="Times New Roman" w:hAnsi="Times New Roman"/>
                <w:sz w:val="16"/>
                <w:szCs w:val="16"/>
                <w:color w:val="auto"/>
              </w:rPr>
              <w:t>$5.76-$8.64</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- 114.2%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- 128.7%</w:t>
            </w: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dividends</w:t>
            </w:r>
          </w:p>
        </w:tc>
        <w:tc>
          <w:tcPr>
            <w:tcW w:w="1600" w:type="dxa"/>
            <w:vAlign w:val="bottom"/>
            <w:gridSpan w:val="2"/>
            <w:shd w:val="clear" w:color="auto" w:fill="CFF0FC"/>
          </w:tcPr>
          <w:p>
            <w:pPr>
              <w:jc w:val="center"/>
              <w:ind w:left="341"/>
              <w:spacing w:after="0"/>
              <w:rPr>
                <w:sz w:val="20"/>
                <w:szCs w:val="20"/>
                <w:color w:val="auto"/>
              </w:rPr>
            </w:pPr>
            <w:r>
              <w:rPr>
                <w:rFonts w:ascii="Times New Roman" w:cs="Times New Roman" w:eastAsia="Times New Roman" w:hAnsi="Times New Roman"/>
                <w:sz w:val="16"/>
                <w:szCs w:val="16"/>
                <w:color w:val="auto"/>
              </w:rPr>
              <w:t>0%</w:t>
            </w:r>
          </w:p>
        </w:tc>
        <w:tc>
          <w:tcPr>
            <w:tcW w:w="2540" w:type="dxa"/>
            <w:vAlign w:val="bottom"/>
            <w:gridSpan w:val="4"/>
            <w:shd w:val="clear" w:color="auto" w:fill="CFF0FC"/>
          </w:tcPr>
          <w:p>
            <w:pPr>
              <w:jc w:val="center"/>
              <w:ind w:left="522"/>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- 6.38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- 6.25</w:t>
            </w: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- 4.4%</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- 4.4%</w:t>
            </w:r>
          </w:p>
        </w:tc>
      </w:tr>
    </w:tbl>
    <w:p>
      <w:pPr>
        <w:spacing w:after="0" w:line="9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stock options granted during the years ended December 31, 2025 and 2024 were $4.77 and $6.96, respectively.</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recognized $5.9 million and $5.1 million of equity-based compensation expense in connection with stock options during the years ended December 31, 2025 and 2024, respectively. As of December 31, 2025, there was $10.9 million of total unrecognized equity-based compensation cost related to unvested stock options. This cost is expected to be recognized over a weighted average period of 2.3 years. </w:t>
      </w:r>
      <w:r>
        <w:rPr>
          <w:rFonts w:ascii="Times New Roman" w:cs="Times New Roman" w:eastAsia="Times New Roman" w:hAnsi="Times New Roman"/>
          <w:sz w:val="18"/>
          <w:szCs w:val="18"/>
          <w:color w:val="212529"/>
        </w:rPr>
        <w:t>The intrinsic value of stock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exercised during the years ended December 31, 2025 and 2024 was $0 and $0.3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activity with respect to RSUs during the year ended </w:t>
      </w:r>
      <w:r>
        <w:rPr>
          <w:rFonts w:ascii="Times New Roman" w:cs="Times New Roman" w:eastAsia="Times New Roman" w:hAnsi="Times New Roman"/>
          <w:sz w:val="18"/>
          <w:szCs w:val="18"/>
          <w:color w:val="212529"/>
        </w:rPr>
        <w:t>December 31, 2025</w:t>
      </w:r>
      <w:r>
        <w:rPr>
          <w:rFonts w:ascii="Times New Roman" w:cs="Times New Roman" w:eastAsia="Times New Roman" w:hAnsi="Times New Roman"/>
          <w:sz w:val="18"/>
          <w:szCs w:val="18"/>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3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826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RSUs at January 1, 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1,480,272</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3,070,020</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(434,314)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Forfeitures</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(306,201)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RSUs at December 31, 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3,809,777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recognized $4.9 million and $3.0 million of equity-based compensation expense in connection with RSUs during the years ended December 31, 2025 and 2024, respectively. As of December 31, 2025, there was $15.0 million of total unrecognized equity-based compensation expense related to nonvested RSUs. This cost is expected to be recognized over a weighted average period of 3.0 years. </w:t>
      </w:r>
      <w:r>
        <w:rPr>
          <w:rFonts w:ascii="Times New Roman" w:cs="Times New Roman" w:eastAsia="Times New Roman" w:hAnsi="Times New Roman"/>
          <w:sz w:val="18"/>
          <w:szCs w:val="18"/>
          <w:color w:val="212529"/>
        </w:rPr>
        <w:t>The aggregate grant date fair value of RSUs 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during the years ended December 31, 2025 and 2024 was $3.2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June 2024, the Board approved a grant of performance-based restricted stock unit awards (“PSUs” or “Performance Awards”) to the Company’s executive team. Each PSU represents the contingent right to receive one share of the Company’s common stock. These Performance Awards provide for the vesting of 25% of the target number of underlying RSUs granted upon the achievement of each of four independent performance milestones predetermined by the Board (“Performance Milestones”), subject to the grantee’s continued service with the Company (the “Approval Conditions”).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Performance Milestones are tied to the achievement of certain business objectives and are non-market and non-financial in nature. The Board will determine that all Approval Conditions have been satisfied and the number of units that will ultimately vest on the 2026 Evaluation Date, which will occur in the first quarter of 2026, and the 2027 Evaluation Date, which will occur in the first quarter of 2027. A maximum of 25% of the target number of RSUs may vest at the 2026 Evaluation Date and the percentage of the target number of RSUs allocable to any Performance Milestone that has not been achieved on or prior to the 2027 Evaluation Date shall be cancelled.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activity with respect to PSUs during the year ended </w:t>
      </w:r>
      <w:r>
        <w:rPr>
          <w:rFonts w:ascii="Times New Roman" w:cs="Times New Roman" w:eastAsia="Times New Roman" w:hAnsi="Times New Roman"/>
          <w:sz w:val="18"/>
          <w:szCs w:val="18"/>
          <w:color w:val="212529"/>
        </w:rPr>
        <w:t>December 31, 2025</w:t>
      </w:r>
      <w:r>
        <w:rPr>
          <w:rFonts w:ascii="Times New Roman" w:cs="Times New Roman" w:eastAsia="Times New Roman" w:hAnsi="Times New Roman"/>
          <w:sz w:val="18"/>
          <w:szCs w:val="18"/>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58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PSUs at January 1, 2025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2,165,325</w:t>
            </w:r>
          </w:p>
        </w:tc>
        <w:tc>
          <w:tcPr>
            <w:tcW w:w="18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(91,137)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PSUs at December 31, 2025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2,074,188</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recognized $5.9 million and $2.2 million of equity-based compensation expense in connection with PSUs during the years ended December 31, 2025 and 2024, respectively. As of December 31, 2025, there was $3.6 million of unrecognized equity-based compensation cost related to nonvested PSUs based on the achievement of all Performance Milestones. This cost is expected to be recognized over a weighted average period of 0.9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laboratory and office space in Massachusetts and North Carolina.</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lease with Hood Park LLC (“Landlord”), pursuant to which the Company leases approximately 49,869 square feet of office, laboratory, research and development and manufacturing space located in Charlestown, Massachusetts (“Premises”). The Company relocated its corporate headquarters to the Premises in June 2022. The initial term of the lease commenced in June 2022 when the construction of the lessor assets was substantially completed and continues for a ten-year period, unless earlier terminated. The lease provides the Company with an option to extend the lease for an additional five-year term. The Company and the Landlord were each obligated to undertake certain improvements prior to the commencement of the lease, and significant improvements were completed as of June 2022. The monthly lease payment is approximately $0.3 million with annual escalation of approximately 3%. The lease includes a $10.2 million construction allowance which is considered a lease incentive and included within the right-of-use asset. The Company was required to post a customary letter of credit in the amount of $1.8 million, subject to decrease on a set schedule, as a security deposit pursuant to the lease.</w:t>
      </w:r>
    </w:p>
    <w:p>
      <w:pPr>
        <w:spacing w:after="0" w:line="80"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On December 22, 2022, the Company entered into a sub-lease agreement (the “Sub-Lease”) with Arkea Bio Corp (“Arkea”). The Sub-Lease permits use by Arkea of a portion of the space leased by the Company at 500 Rutherford Avenue in Charlestown, Massachusetts. The Company subleased approximately 12,461 square feet of the 49,869 square foot building interior space.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term originally ended on February 28, 2025. The Sub-Lease was subsequently amended by the Sub-Lease Amendment, by and between Arkea and the Company, dated May 10, 2024, to increase the subleased area to approximately 13,714 square feet and extend the term to February 29, 2028.</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As of December 31, 2025, minimum future lease payments for operating leases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9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c>
          <w:tcPr>
            <w:tcW w:w="10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30,046</w:t>
            </w:r>
          </w:p>
        </w:tc>
        <w:tc>
          <w:tcPr>
            <w:tcW w:w="10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Lease Liabilities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21,161</w:t>
            </w:r>
          </w:p>
        </w:tc>
        <w:tc>
          <w:tcPr>
            <w:tcW w:w="10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lease costs: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costs</w:t>
            </w: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costs</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Interest on finance leases</w:t>
            </w: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0"/>
        </w:trPr>
        <w:tc>
          <w:tcPr>
            <w:tcW w:w="79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lease costs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60" w:type="dxa"/>
            <w:vAlign w:val="bottom"/>
          </w:tcPr>
          <w:p>
            <w:pPr>
              <w:spacing w:after="0"/>
              <w:rPr>
                <w:sz w:val="17"/>
                <w:szCs w:val="17"/>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-162560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Short-term lease and variable lease costs were not material for the years ended </w:t>
      </w:r>
      <w:r>
        <w:rPr>
          <w:rFonts w:ascii="Times New Roman" w:cs="Times New Roman" w:eastAsia="Times New Roman" w:hAnsi="Times New Roman"/>
          <w:sz w:val="18"/>
          <w:szCs w:val="18"/>
          <w:color w:val="212529"/>
        </w:rPr>
        <w:t>December 31, 2025 and 2024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remaining lease term and weighted average discount rates for the Company’s leases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3"/>
        </w:trPr>
        <w:tc>
          <w:tcPr>
            <w:tcW w:w="79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7960" w:type="dxa"/>
            <w:vAlign w:val="bottom"/>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r>
      <w:tr>
        <w:trPr>
          <w:trHeight w:val="196"/>
        </w:trPr>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9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7"/>
                <w:szCs w:val="17"/>
                <w:color w:val="auto"/>
              </w:rPr>
            </w:pPr>
          </w:p>
        </w:tc>
      </w:tr>
      <w:tr>
        <w:trPr>
          <w:trHeight w:val="203"/>
        </w:trPr>
        <w:tc>
          <w:tcPr>
            <w:tcW w:w="9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114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FF0FC"/>
          </w:tcPr>
          <w:p>
            <w:pPr>
              <w:spacing w:after="0"/>
              <w:rPr>
                <w:sz w:val="17"/>
                <w:szCs w:val="17"/>
                <w:color w:val="auto"/>
              </w:rPr>
            </w:pPr>
          </w:p>
        </w:tc>
      </w:tr>
      <w:tr>
        <w:trPr>
          <w:trHeight w:val="203"/>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9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r>
      <w:tr>
        <w:trPr>
          <w:trHeight w:val="210"/>
        </w:trPr>
        <w:tc>
          <w:tcPr>
            <w:tcW w:w="9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Company had an outstanding letter of credit in the amount of $2.0 million at </w:t>
      </w:r>
      <w:r>
        <w:rPr>
          <w:rFonts w:ascii="Times New Roman" w:cs="Times New Roman" w:eastAsia="Times New Roman" w:hAnsi="Times New Roman"/>
          <w:sz w:val="18"/>
          <w:szCs w:val="18"/>
          <w:color w:val="212529"/>
        </w:rPr>
        <w:t>December 31, 2025</w:t>
      </w:r>
      <w:r>
        <w:rPr>
          <w:rFonts w:ascii="Times New Roman" w:cs="Times New Roman" w:eastAsia="Times New Roman" w:hAnsi="Times New Roman"/>
          <w:sz w:val="18"/>
          <w:szCs w:val="18"/>
          <w:color w:val="auto"/>
        </w:rPr>
        <w:t xml:space="preserve"> and 2024, which was required as a condition of the Company’s office and laboratory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its executive officers and members of its Board of Directors that require the Company, among other things, to indemnify them against certain liabilities that may arise by reason of their status or service as executive officers or directors.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which the Company is focused. The Company is not aware of any material legal proceedings or claims as of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Washington License Agreement</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2015, the Company entered into a license agreement with the University of Washington, acting through UW CoMotion, under which the Company obtained an exclusive, royalty-bearing, sublicensable, worldwide license under a patent application owned by the University of Washington relating to novel micro-dystrophins and all patents claiming priority to such patent to develop, manufacture, and commercialize products for use in the treatment of Duchenne and related disease indications caused by a lack of functional dystrophin. The Company has the right to grant sublicenses to third parties contingent upon written approval by the University of Washington prior to executing such sublicense, which approval may not be unreasonably withheld.</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for the rights granted by the agreement, the Company paid a one-time, non-refundable license fee, which was recorded as a research and development expense in 2015. The Company is required to reimburse the University of Washington for costs incurred in applying for, prosecuting and maintaining patents and pay up to an aggregate of approximately $1.0 million upon the achievement of certain milestones. In October 2017, the first milestone was achieved under this agreement. The milestone payment was recorded as a research and development expense in the fourth quarter of 2017. In October 2020, the license agreement was amended such that the Company was required to pay the University of Washington $0.4 million in connection with the execution of the Collaboration Agreement. This payment was recorded as a research and development expense in the fourth quarter of 2020. The license agreement was also amended such that the Company is required to pay an aggregate of approximately $3.4 million upon the achievement of certain milestones. There were no milestones achieved during the years ended </w:t>
      </w:r>
      <w:r>
        <w:rPr>
          <w:rFonts w:ascii="Times New Roman" w:cs="Times New Roman" w:eastAsia="Times New Roman" w:hAnsi="Times New Roman"/>
          <w:sz w:val="18"/>
          <w:szCs w:val="18"/>
          <w:color w:val="212529"/>
        </w:rPr>
        <w:t>December 31, 2025 and 2024</w:t>
      </w:r>
      <w:r>
        <w:rPr>
          <w:rFonts w:ascii="Times New Roman" w:cs="Times New Roman" w:eastAsia="Times New Roman" w:hAnsi="Times New Roman"/>
          <w:sz w:val="18"/>
          <w:szCs w:val="18"/>
          <w:color w:val="auto"/>
        </w:rPr>
        <w:t>. The Company must also pay royalties of a low single digit percentage of future sales by the Company and its sublicensees of products developed under the licensed patent rights. In addition, the Company must pay an annual maintenance fee until certain milestones are achieved, at which time a minimum annual royalty requirement will replace such maintenance fee and will apply to the Company and its sublicensees.</w:t>
      </w:r>
    </w:p>
    <w:p>
      <w:pPr>
        <w:spacing w:after="0" w:line="8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licensed under the agreement. The Company may terminate the agreement at any time upon providing sixty days’ written notice to the University of Washington. The University of Washington may terminate the agreement upon the Company’s uncured, material breach of the agreement or if the Company enters into an insolvency-related event.</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$0 and $0.1 million for the years ended </w:t>
      </w:r>
      <w:r>
        <w:rPr>
          <w:rFonts w:ascii="Times New Roman" w:cs="Times New Roman" w:eastAsia="Times New Roman" w:hAnsi="Times New Roman"/>
          <w:sz w:val="18"/>
          <w:szCs w:val="18"/>
          <w:color w:val="212529"/>
        </w:rPr>
        <w:t>December 31, 2025 and 2024</w:t>
      </w:r>
      <w:r>
        <w:rPr>
          <w:rFonts w:ascii="Times New Roman" w:cs="Times New Roman" w:eastAsia="Times New Roman" w:hAnsi="Times New Roman"/>
          <w:sz w:val="18"/>
          <w:szCs w:val="18"/>
          <w:color w:val="auto"/>
        </w:rPr>
        <w:t>, respectively, under the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University of Missouri License Agreement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2015, the Company entered into a license agreement with the Curators of the University of Missouri (the “University of Missouri”), a public corporation of Missouri, under which the Company obtained an exclusive, royalty-bearing, sublicensable, worldwide license under certain patent and patent applications owned by the University of Missouri relating to a novel synthetic microdystrophin gene to make, sell and distribute products for use in the treatment of Duchenne and related disease indications resulting from a lack of functional dystrophin.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by the agreement, the Company paid a one-time, non-refundable license fee, which was recorded as a research and development expense in 2015. The Company is required to reimburse the University of Missouri for costs incurred in applying for, prosecuting and maintaining the licensed patents and pay up to an aggregate of approximately $1.0 million upon the achievement of certain milestones for each product developed based on the licensed patents. In October 2017, the first milestone was achieved under this agreement. The milestone payment was recorded as a research and development expense in the fourth quarter of 2017.</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agreement, in the event the Company grants a sublicenses to another party, the Company is required to pay the University of Missouri a percentage of the consideration received. The license agreement was amended such that the Company was required to pay the University of Missouri $0.8 million in 2021 and $1.3 million in 2022. These amounts were recorded as research and development expense in the fourth quarter of 2020. The Company paid $0.8 million in February 2021 and $1.3 million in February 2022. The license agreement was also amended such that the Company is required to pay an aggregate of approximately $1.9 million upon the achievement of certain milestones.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There were no material milestones achieved during the years ended </w:t>
      </w:r>
      <w:r>
        <w:rPr>
          <w:rFonts w:ascii="Times New Roman" w:cs="Times New Roman" w:eastAsia="Times New Roman" w:hAnsi="Times New Roman"/>
          <w:sz w:val="18"/>
          <w:szCs w:val="18"/>
          <w:color w:val="212529"/>
        </w:rPr>
        <w:t>December 31, 2025 and 2024</w:t>
      </w:r>
      <w:r>
        <w:rPr>
          <w:rFonts w:ascii="Times New Roman" w:cs="Times New Roman" w:eastAsia="Times New Roman" w:hAnsi="Times New Roman"/>
          <w:sz w:val="18"/>
          <w:szCs w:val="18"/>
          <w:color w:val="auto"/>
        </w:rPr>
        <w:t>. The Company must pay a royalty of a low single digit percentage of future sales or by its sublicensees of products developed using the licensed patents. In addition, the Company must pay an annual maintenance fee until certain milestones are achieved, after which time a minimum annual royalty will replace such maintenance fee.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8" w:name="page149"/>
    <w:bookmarkEnd w:id="148"/>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agreement, the Company granted the University of Missouri a non-exclusive, royalty-free, irrevocable, paid-up license, with the right to grant sublicenses to non-profit, academic, educational or governmental institutions, to practice and use improvements made by the Company using the licensed patent rights, solely for non-commercial research purposes.</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the Company’s sublicensees fail to achieve certain milestones. The Company may terminate the license agreement at any time upon providing six months’ written notice to the University of Missouri and paying a termination fee. Each of the University of Missouri and the Company may also terminate the agreement for an uncured default or breach of the agreement by the other party. The Company’s ability to cure such breach only applies to the first two notices of such breach provided by the University of Missouri, and thereafter, the University of Missouri may terminate the agreement for the Company’s default or breach of the agreement upon thirty days’ written notice without an opportunity to cure such default or breach.</w:t>
      </w:r>
    </w:p>
    <w:p>
      <w:pPr>
        <w:spacing w:after="0" w:line="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$0.1 million and $0.1 million for the years ended </w:t>
      </w:r>
      <w:r>
        <w:rPr>
          <w:rFonts w:ascii="Times New Roman" w:cs="Times New Roman" w:eastAsia="Times New Roman" w:hAnsi="Times New Roman"/>
          <w:sz w:val="18"/>
          <w:szCs w:val="18"/>
          <w:color w:val="212529"/>
        </w:rPr>
        <w:t>December 31, 2025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2024</w:t>
      </w:r>
      <w:r>
        <w:rPr>
          <w:rFonts w:ascii="Times New Roman" w:cs="Times New Roman" w:eastAsia="Times New Roman" w:hAnsi="Times New Roman"/>
          <w:sz w:val="18"/>
          <w:szCs w:val="18"/>
          <w:color w:val="000000"/>
        </w:rPr>
        <w:t>, respectively, under the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Florida License Agreements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2020, AavantiBio entered into license agreements, broadly relating to FA, with the University of Florida Research Foundation, Inc. (“UFRF”). The Company acquired the agreements in connection with the Acquisition. In 2023, the Company entered into an additional license agreement with UFRF. Under each agreement the Company obtained an exclusive, royalty-bearing, sublicensable, world-wide license to certain patents and patent applications and a royalty-bearing non-exclusive license under the know-how, to make, have made, use, see, have sold, import and export licensed products. UFRF retains the right to practice the patent rights and know-how for internal non-commercial research, including research sponsored by commercial entities, and educational purposes.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each agreement, AavantiBio paid a one-time non-refundable license fee. In connection with each agreement, the Company is required to pay an annual license maintenance fee until the first commercial sale of a licensed product after which time a minimum annual royalty will replace such maintenance fees. Under each agreement, the Company is required to reimburse UFRF for costs incurred in applying for, prosecuting and maintaining patents, pay up to an aggregate of approximately $2.9 million upon the achievement of certain intellectual property, clinical and regulatory milestones for each licensed product under the agreement, and pay a low, single digit royalty on annual net sales by us and our sublicensees of licensed products on a licensed-product-by-licensed product basis. For any licensed product covered by both of these agreements, the Company is only obligated to make one payment for each milestone achieved and royalty payment due. Prior to the Acquisition, AavantiBio paid a single milestone fee related to the agreements of $0.1 million. Under each agreement, in the event the Company grants a sublicense to another party, the Company is required to pay UFRF a percentage of the consideration received.</w:t>
      </w:r>
    </w:p>
    <w:p>
      <w:pPr>
        <w:spacing w:after="0" w:line="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Under each agreement, the Company has the right to grant sublicenses to third parties through multiple tiers, to the extent we are in compliance with our diligence obligations under the agreement and that sublicensee is subject to the terms of such agreement.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each agreement, the Company is obligated to use commercially reasonable efforts to develop and commercialize products covered by the licensed patent rights or know-how and to achieve certain regulatory and commercialization milestones within estimated time periods. Under the agreements entered in 2023 and 2024, the Company agreed to pay to UFRF cumulative sales milestones of up to $8.5 million and $27.0 million, respectively, upon achievement of specified commercial milestone events and tiered royalties on worldwide net sales in the low-to-mid-single digits.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each agreement, UFRF controls the prosecution and maintenance of the licensed patents in consultation with the Company and at the Company’s expense. In countries in which the Company has not requested prosecution or maintenance of licensed patents in a particular country or jurisdiction, the license granted to such patent rights will terminate in such country or jurisdiction. The Company has the first right to enforce such licensed patents at our expense.</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of the agreements terminates on a licensed product-by-licensed product basis on the later of: (i) expiration of the patent rights covering such licensed product or (ii) ten years from the first commercial sale of such licensed product. After five years, the Company may terminate an agreement for any reason giving advance written notice and reason for termination. UFRF may terminate an agreement for our uncured default or breach of the agreement. UFRF may immediately terminate an agreement if we bring or assist others in bringing a patent challenge against of the licensed patent rights. If UFRF sends the Company a written demand to terminate a sublicense agreement due to such sublicensee bringing or assisting a patent challenge, UFRF may terminate such agreement if we do not terminate the license with such sublicensee.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i w:val="1"/>
          <w:iCs w:val="1"/>
          <w:color w:val="auto"/>
        </w:rPr>
        <w:t>Maugeri License Agreement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29, 2023, the Company entered into a license agreement (the “Maugeri License Agreement”), with ICS Maugeri S.p.A. SB (“Maugeri”), to focus on the development and commercialization of cardiac-related products by the Company based on Maugeri’s inventions. Pursuant to the Maugeri License Agreement, Maugeri granted us an exclusive worldwide sublicensable license in certain Maugeri patent rights, including existing patent rights, and those in any improvements or know-how made in performance of the Maugeri License Agreement, and a non-exclusive worldwide sublicensable license in certain Maugeri know-how, including existing know-how, and on any improvement thereto, in each case, subject to certain conditions, that is necessary or reasonably useful to develop the licensed products under the terms of the Maugeri License Agreement. The Company will conduct certain activities agreed to by the parties with respect to the research and development of licensed products. A condition precedent to the effectiveness of the Maugeri License Agreement was regulatory review in Italy, which was completed in the third quarter of 2023 and, upon the completion of the condition precedent, the Maugeri License Agreement became effective.</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 paid Maugeri an upfront license fee of €1.5 million, which was recorded as research and development expense during the second quarter of 2023. Additionally, the Company agreed to cumulative developmental, regulatory, and commercial milestone payments of up to €15.0 million, cumulative sales milestone payments of up to €15.0 million, upon achievement of specified milestone events, and tiered royalties on worldwide net sales in the low-to-mid-single-digits. In connection with this agreement, the Company paid a €1.0 million milestone payment to Maugeri in the third quarter of 2025. There were no milestones achieved during the year ended </w:t>
      </w:r>
      <w:r>
        <w:rPr>
          <w:rFonts w:ascii="Times New Roman" w:cs="Times New Roman" w:eastAsia="Times New Roman" w:hAnsi="Times New Roman"/>
          <w:sz w:val="18"/>
          <w:szCs w:val="18"/>
          <w:color w:val="212529"/>
        </w:rPr>
        <w:t>December 31, 2024.</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Maugeri License Agreement continues until the latest expiry of (i) the last valid claim (as defined in the Maugeri License Agreement), (ii) regulatory exclusivity, and (iii) all payment obligations. Either party may terminate the Maugeri License Agreement for the other party’s uncured material breach. The Company may also terminate the Maugeri License Agreement in its sole discretion upon 60 days’ prior written notice to Maugeri and payment of a fee</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recorded $1.2 million in research and development expense for the year ended December 31, 2025 and no research and development expense for the year ended December 31, 2024, under this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Mayo Clinic Collaboration and License Agreement</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a collaboration, patent and know-how license agreement with the Mayo Foundation for Medical Education and Research (the “Mayo”) to further advance the Company’s research and development efforts in the field of genetic therapies, particularly for rare and debilitating cardiac diseases.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the collaboration, the Company will be providing manufactured viral materials and CMC know-how while the Mayo will be responsible for supporting all preclinical research through IND-enabling studies for six programs. The Company will then be responsible for the clinical development of programs chosen by it to develop. Under the terms of the collaboration, the Company and Mayo agreed to share intellectual property rights arising from the collaboration, with the Company retaining exclusive rights to commercialize any resulting therapies.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agreement, the Company paid a one-time upfront payment of $0.6 million in cash and $2.0 million of shares of its common stock to Mayo, which were recorded to research and development expense in the fourth quarter of 2024 having no alternative future use. Additionally, Mayo is eligible for cumulative developmental milestones of $5.0 million, cumulative regulatory milestones of $2.0 million, and cumulative sales milestone payments of up to $18.0 million, upon achievement of specified milestone events, and tiered royalties on worldwide net sales in the low-to-high-single-digits for certain licensed products developed by the Company. The Company also agreed to pay an annual $0.6 million know-how access fee to Mayo. There were no milestones achieved during the years ended </w:t>
      </w:r>
      <w:r>
        <w:rPr>
          <w:rFonts w:ascii="Times New Roman" w:cs="Times New Roman" w:eastAsia="Times New Roman" w:hAnsi="Times New Roman"/>
          <w:sz w:val="18"/>
          <w:szCs w:val="18"/>
          <w:color w:val="212529"/>
        </w:rPr>
        <w:t>December 31, 2025 and December 31, 2024.</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agreement also includes provisions for the potential sublicensing of certain intellectual property rights. The Company will also be responsible for reimbursing Mayo for costs incurred in the prosecution and maintenance of any patents resulting from the collaboration.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collaboration remains in effect for the duration of the intellectual property rights associated with any therapies developed under the agreement. Either party may terminate the agreement with proper notice should specific terms be breached or should an insolvency-related event occur.</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recorded $0.6 million and $3.2 million in research and development expense for the years ended December 31, 2025 and 2024, respectively, under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has committed to make potential future milestone payments and pay legal fees to third parties as part of licensing and development programs. The agreements generally required an upfront license fee and, under each agreement, the Company may be required to pay annual maintenance fees, royalties, milestone payments and sublicensing fees. Each license agreement is generally cancelable by the Company, given appropriate prior written notice. At December 31, 2025, potential future milestone payments under these agreements totaled an aggregate of $18.3 million. None of these milestones were assessed to be probable as of December 31, 2025</w:t>
      </w:r>
      <w:r>
        <w:rPr>
          <w:rFonts w:ascii="Times New Roman" w:cs="Times New Roman" w:eastAsia="Times New Roman" w:hAnsi="Times New Roman"/>
          <w:sz w:val="19"/>
          <w:szCs w:val="19"/>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128"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From time to time, the Company enters into non-exclusive license and collaboration agreements for the out-licensing of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its proprietary, rationally designed capsid technology used in SGT-003, to both companies and academic institutions pursuing treatments for rare diseases. These arrangements may entitle the Company to receive non-refundable upfront payments, contingent obligations for potential development, regulatory and commercial performance milestone payments, cost reimbursement arrangements, product supply and royalty payments as a percentage of worldwide license product sales. At December 31, 2025, potential future milestone payments the Company may be entitled to under these agreements totaled an aggregate of $97.1 million. None of these milestones were assessed to be probable as of December 31,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w:t>
      </w:r>
    </w:p>
    <w:p>
      <w:pPr>
        <w:spacing w:after="0" w:line="32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(174,325)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Shares used to compute net loss per share, basic and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Weighted average shares of common stock</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72,768,275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38,178,327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pre-funded warrants to</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14,736,356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2,638,367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shares of common stock</w:t>
            </w: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6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used to compute basic and diluted</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87,504,631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40,816,694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loss per share</w:t>
            </w:r>
          </w:p>
        </w:tc>
        <w:tc>
          <w:tcPr>
            <w:tcW w:w="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-162560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Included within weighted average shares of common stock outstanding for the years ended December 31, 2025 and 2024 are 16,600,818 and 2,712,478 shares of common stock issuable upon the exercise of the pre-funded warrants, respectively. The pre-funded warrants are exercisable at any time for nominal consideration, and as such, the shares are considered outstanding for the purpose of calculating basic and diluted net loss per share.</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outstanding securities presented below were excluded from the calculation of net loss per share because the inclusion of such securities would have been anti-dilutive due to the Company’s net loss per share during the periods presented.</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040" w:type="dxa"/>
            <w:vAlign w:val="bottom"/>
            <w:gridSpan w:val="3"/>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7800" w:type="dxa"/>
            <w:vAlign w:val="bottom"/>
          </w:tcPr>
          <w:p>
            <w:pPr>
              <w:spacing w:after="0"/>
              <w:rPr>
                <w:sz w:val="15"/>
                <w:szCs w:val="15"/>
                <w:color w:val="auto"/>
              </w:rPr>
            </w:pPr>
          </w:p>
        </w:tc>
        <w:tc>
          <w:tcPr>
            <w:tcW w:w="2040" w:type="dxa"/>
            <w:vAlign w:val="bottom"/>
            <w:tcBorders>
              <w:bottom w:val="single" w:sz="8" w:color="auto"/>
            </w:tcBorders>
            <w:gridSpan w:val="3"/>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00" w:type="dxa"/>
            <w:vAlign w:val="bottom"/>
          </w:tcPr>
          <w:p>
            <w:pPr>
              <w:spacing w:after="0"/>
              <w:rPr>
                <w:sz w:val="12"/>
                <w:szCs w:val="12"/>
                <w:color w:val="auto"/>
              </w:rPr>
            </w:pPr>
          </w:p>
        </w:tc>
        <w:tc>
          <w:tcPr>
            <w:tcW w:w="1500" w:type="dxa"/>
            <w:vAlign w:val="bottom"/>
            <w:tcBorders>
              <w:bottom w:val="single" w:sz="8" w:color="auto"/>
            </w:tcBorders>
          </w:tcPr>
          <w:p>
            <w:pPr>
              <w:jc w:val="right"/>
              <w:ind w:right="5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4,378,145</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2,927,937</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3,809,777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1,480,272</w:t>
            </w:r>
          </w:p>
        </w:tc>
        <w:tc>
          <w:tcPr>
            <w:tcW w:w="120" w:type="dxa"/>
            <w:vAlign w:val="bottom"/>
          </w:tcPr>
          <w:p>
            <w:pPr>
              <w:spacing w:after="0"/>
              <w:rPr>
                <w:sz w:val="17"/>
                <w:szCs w:val="17"/>
                <w:color w:val="auto"/>
              </w:rPr>
            </w:pPr>
          </w:p>
        </w:tc>
      </w:tr>
      <w:tr>
        <w:trPr>
          <w:trHeight w:val="202"/>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performance stock units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2,074,188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2,165,325</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Shares subject to employee stock purchase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275,602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281,640</w:t>
            </w:r>
          </w:p>
        </w:tc>
        <w:tc>
          <w:tcPr>
            <w:tcW w:w="12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10,539,712</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6,864,404</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-161925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no tax benefit for the years ended December 31, 2025 and 2024 for the net operating losses incurred due to its uncertainty of realizing a benefit from those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0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9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w:t>
            </w: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(174,199)</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(124,583)</w:t>
            </w:r>
          </w:p>
        </w:tc>
      </w:tr>
      <w:tr>
        <w:trPr>
          <w:trHeight w:val="203"/>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4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Total worldwide income from continuing operations before income tax</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(174,199)</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(124,583)</w:t>
            </w:r>
          </w:p>
        </w:tc>
      </w:tr>
      <w:tr>
        <w:trPr>
          <w:trHeight w:val="20"/>
        </w:trPr>
        <w:tc>
          <w:tcPr>
            <w:tcW w:w="7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-162560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that reflected in operations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computed at U.S. federal statutory tax rate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(36,582)</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(26,162)</w:t>
            </w:r>
          </w:p>
        </w:tc>
        <w:tc>
          <w:tcPr>
            <w:tcW w:w="4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Tax credits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Federal R&amp;D credit</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(4,693)</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w:t>
            </w:r>
          </w:p>
        </w:tc>
        <w:tc>
          <w:tcPr>
            <w:tcW w:w="4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(3,314)</w:t>
            </w:r>
          </w:p>
        </w:tc>
        <w:tc>
          <w:tcPr>
            <w:tcW w:w="4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Federal orphan drug credit</w:t>
            </w:r>
          </w:p>
        </w:tc>
        <w:tc>
          <w:tcPr>
            <w:tcW w:w="3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(10,035)</w:t>
            </w:r>
          </w:p>
        </w:tc>
        <w:tc>
          <w:tcPr>
            <w:tcW w:w="4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w:t>
            </w: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(3,171)</w:t>
            </w:r>
          </w:p>
        </w:tc>
        <w:tc>
          <w:tcPr>
            <w:tcW w:w="4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48,928</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(28.1)%</w:t>
            </w: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32,518</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(26.1)%</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items</w:t>
            </w: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4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5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-162560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-162560</wp:posOffset>
            </wp:positionV>
            <wp:extent cx="1289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-162560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-162560</wp:posOffset>
            </wp:positionV>
            <wp:extent cx="1289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established deferred tax assets and liabilities on identified book to tax temporary differences as of the date of conversion to a C-corporation. Deferred income taxes reflect the net tax effects of these temporary differences between the carrying amounts of assets and liabilities for financial reporting purposes and the amounts used for income tax purposes. The significant components of the Company’s net deferred tax assets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940" w:type="dxa"/>
            <w:vAlign w:val="bottom"/>
          </w:tcPr>
          <w:p>
            <w:pPr>
              <w:spacing w:after="0"/>
              <w:rPr>
                <w:sz w:val="17"/>
                <w:szCs w:val="17"/>
                <w:color w:val="auto"/>
              </w:rPr>
            </w:pPr>
          </w:p>
        </w:tc>
        <w:tc>
          <w:tcPr>
            <w:tcW w:w="37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12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loss carryforwards</w:t>
            </w:r>
          </w:p>
        </w:tc>
        <w:tc>
          <w:tcPr>
            <w:tcW w:w="3700" w:type="dxa"/>
            <w:vAlign w:val="bottom"/>
            <w:gridSpan w:val="2"/>
          </w:tcPr>
          <w:p>
            <w:pPr>
              <w:jc w:val="right"/>
              <w:ind w:right="13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71,602</w:t>
            </w:r>
          </w:p>
        </w:tc>
        <w:tc>
          <w:tcPr>
            <w:tcW w:w="160" w:type="dxa"/>
            <w:vAlign w:val="bottom"/>
          </w:tcPr>
          <w:p>
            <w:pPr>
              <w:spacing w:after="0"/>
              <w:rPr>
                <w:sz w:val="17"/>
                <w:szCs w:val="17"/>
                <w:color w:val="auto"/>
              </w:rPr>
            </w:pP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37,183</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Tax credit carryforwards</w:t>
            </w:r>
          </w:p>
        </w:tc>
        <w:tc>
          <w:tcPr>
            <w:tcW w:w="2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15,324</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expenses</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2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compensation</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100" w:type="dxa"/>
            <w:vAlign w:val="bottom"/>
          </w:tcPr>
          <w:p>
            <w:pPr>
              <w:spacing w:after="0"/>
              <w:rPr>
                <w:sz w:val="17"/>
                <w:szCs w:val="17"/>
                <w:color w:val="auto"/>
              </w:rPr>
            </w:pPr>
          </w:p>
        </w:tc>
      </w:tr>
      <w:tr>
        <w:trPr>
          <w:trHeight w:val="202"/>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Intangible assets</w:t>
            </w:r>
          </w:p>
        </w:tc>
        <w:tc>
          <w:tcPr>
            <w:tcW w:w="2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R&amp;D</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63,087</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Derivative liabilities</w:t>
            </w:r>
          </w:p>
        </w:tc>
        <w:tc>
          <w:tcPr>
            <w:tcW w:w="2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12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r>
      <w:tr>
        <w:trPr>
          <w:trHeight w:val="19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12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195,744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(190,437)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(130,690)</w:t>
            </w: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12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Right-of-use asset</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(5,054)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(5,570)</w:t>
            </w:r>
          </w:p>
        </w:tc>
      </w:tr>
      <w:tr>
        <w:trPr>
          <w:trHeight w:val="203"/>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2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r>
      <w:tr>
        <w:trPr>
          <w:trHeight w:val="20"/>
        </w:trPr>
        <w:tc>
          <w:tcPr>
            <w:tcW w:w="394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(5,307)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(5,914)</w:t>
            </w:r>
          </w:p>
        </w:tc>
      </w:tr>
      <w:tr>
        <w:trPr>
          <w:trHeight w:val="23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deferred taxes</w:t>
            </w:r>
          </w:p>
        </w:tc>
        <w:tc>
          <w:tcPr>
            <w:tcW w:w="21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-830580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-299720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$262.7 million which may be available to offset future taxable income and do not expire but are limited in their usage to an annual deduction equal to 80% of annual taxable income. In addition, as of December 31, 2025, the Company had state net operating loss carryforwards of approximately $261.4 million which may be available to offset future taxable income, of which $257.6 million begins to expire in 2032 and $3.8 million has unlimited carryforward. The Company also had federal and state tax credits of $27.8 million and $5.1 million, respectively, which may be used to offset future tax liability and each of which begin to expire in 2037.</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ability to utilize these federal and state carryforwards may be limited in the future if the Company experiences an ownership change pursuant to Section 382 of the Internal Revenue Code of 1986, as amended (the “Internal Revenue Code”). Ownership changes, as defined in the Internal Revenue Code, including those resulting from the issuance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ind w:right="160"/>
        <w:spacing w:after="0" w:line="258" w:lineRule="auto"/>
        <w:rPr>
          <w:sz w:val="20"/>
          <w:szCs w:val="20"/>
          <w:color w:val="auto"/>
        </w:rPr>
      </w:pPr>
      <w:r>
        <w:rPr>
          <w:rFonts w:ascii="Times New Roman" w:cs="Times New Roman" w:eastAsia="Times New Roman" w:hAnsi="Times New Roman"/>
          <w:sz w:val="18"/>
          <w:szCs w:val="18"/>
          <w:color w:val="auto"/>
        </w:rPr>
        <w:t>common stock in connection with the Company’s public offerings, may limit the amount of net operating loss and tax credit carryforwards that can be utilized to offset future taxable income or tax liability. The Company completed a study in 2023 to assess whether a change of control had occurred under Section 382, and it was determined that all net operating loss carryforwards and credits generated before December 2, 2022 are limited. As a result, the carryforwards before the ownership change date of December 2, 2022 are not available for utilization and have been written off. The carryforwards as of December 31, 2025 were generated after the ownership change of December 2, 2022.</w:t>
      </w:r>
    </w:p>
    <w:p>
      <w:pPr>
        <w:spacing w:after="0" w:line="7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A valuation allowance is recorded against deferred tax assets if it is more likely than not that some or all of the deferred tax assets will not be realized. The Company has evaluated the positive and negative evidence bearing upon the realizability of the deferred tax assets. The Company concluded, in accordance with the applicable accounting standards, that it is more likely than not that the Company will be unable to realize the benefit of its deferred tax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has recorded a full valuation allowance against its deferred tax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balance of the Company’s deferred income tax asset valuation allowance</w:t>
      </w:r>
      <w:r>
        <w:rPr>
          <w:rFonts w:ascii="Times New Roman" w:cs="Times New Roman" w:eastAsia="Times New Roman" w:hAnsi="Times New Roman"/>
          <w:sz w:val="21"/>
          <w:szCs w:val="21"/>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158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9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Valuation allowance at beginning of year</w:t>
            </w:r>
          </w:p>
        </w:tc>
        <w:tc>
          <w:tcPr>
            <w:tcW w:w="1580" w:type="dxa"/>
            <w:vAlign w:val="bottom"/>
            <w:shd w:val="clear" w:color="auto" w:fill="CFF0FC"/>
          </w:tcPr>
          <w:p>
            <w:pPr>
              <w:jc w:val="right"/>
              <w:ind w:right="14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130,690</w:t>
            </w:r>
          </w:p>
        </w:tc>
        <w:tc>
          <w:tcPr>
            <w:tcW w:w="102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91,705</w:t>
            </w:r>
          </w:p>
        </w:tc>
        <w:tc>
          <w:tcPr>
            <w:tcW w:w="100" w:type="dxa"/>
            <w:vAlign w:val="bottom"/>
            <w:shd w:val="clear" w:color="auto" w:fill="CFF0FC"/>
          </w:tcPr>
          <w:p>
            <w:pPr>
              <w:spacing w:after="0"/>
              <w:rPr>
                <w:sz w:val="17"/>
                <w:szCs w:val="17"/>
                <w:color w:val="auto"/>
              </w:rPr>
            </w:pPr>
          </w:p>
        </w:tc>
      </w:tr>
      <w:tr>
        <w:trPr>
          <w:trHeight w:val="203"/>
        </w:trPr>
        <w:tc>
          <w:tcPr>
            <w:tcW w:w="6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Increases recorded to income tax provision</w:t>
            </w:r>
          </w:p>
        </w:tc>
        <w:tc>
          <w:tcPr>
            <w:tcW w:w="1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59,747</w:t>
            </w:r>
          </w:p>
        </w:tc>
        <w:tc>
          <w:tcPr>
            <w:tcW w:w="4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00" w:type="dxa"/>
            <w:vAlign w:val="bottom"/>
          </w:tcPr>
          <w:p>
            <w:pPr>
              <w:spacing w:after="0"/>
              <w:rPr>
                <w:sz w:val="17"/>
                <w:szCs w:val="17"/>
                <w:color w:val="auto"/>
              </w:rPr>
            </w:pPr>
          </w:p>
        </w:tc>
      </w:tr>
      <w:tr>
        <w:trPr>
          <w:trHeight w:val="23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Valuation allowance at end of year</w:t>
            </w:r>
          </w:p>
        </w:tc>
        <w:tc>
          <w:tcPr>
            <w:tcW w:w="1580" w:type="dxa"/>
            <w:vAlign w:val="bottom"/>
            <w:tcBorders>
              <w:bottom w:val="single" w:sz="8" w:color="auto"/>
            </w:tcBorders>
            <w:shd w:val="clear" w:color="auto" w:fill="CFF0FC"/>
          </w:tcPr>
          <w:p>
            <w:pPr>
              <w:jc w:val="right"/>
              <w:ind w:right="14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190,437</w:t>
            </w:r>
          </w:p>
        </w:tc>
        <w:tc>
          <w:tcPr>
            <w:tcW w:w="4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C-Corporation tax years beginning with the year ended December 31, 2021 are open under statute. Any tax credit or net operating loss carryforward can be adjusted in future periods after the respective year of generation’s statute of limitation has closed.</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did not have unrecognized tax benefits. The Company recognizes interest and penalties related to income taxes as a component of income tax expense. As of December 31, 2025 and 2024, no interest and penalties have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one reportable and one operating segment and conducts its business activities primarily in North America and on a consolidated basis. The Company’s singular focus is developing treatments through gene therapy and other means for patients with neuromuscular and cardiac diseases. All of the Company’s tangible assets are held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 are the same as those described in the summary of significant accounting policies.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assesses performance for the Company and decides how to allocate resources based on net loss as reported on the consolidated statements of operations. The annual budgeting process is the primary mechanism used to make these decisions. The financial information also helps in making performance assessments using budgeted versus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expenses, other segment items, and segment net loss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gridSpan w:val="3"/>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SGT-003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100" w:type="dxa"/>
            <w:vAlign w:val="bottom"/>
          </w:tcPr>
          <w:p>
            <w:pPr>
              <w:spacing w:after="0"/>
              <w:rPr>
                <w:sz w:val="17"/>
                <w:szCs w:val="17"/>
                <w:color w:val="auto"/>
              </w:rPr>
            </w:pPr>
          </w:p>
        </w:tc>
      </w:tr>
      <w:tr>
        <w:trPr>
          <w:trHeight w:val="203"/>
        </w:trPr>
        <w:tc>
          <w:tcPr>
            <w:tcW w:w="8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SGT-501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100" w:type="dxa"/>
            <w:vAlign w:val="bottom"/>
            <w:shd w:val="clear" w:color="auto" w:fill="CFF0FC"/>
          </w:tcPr>
          <w:p>
            <w:pPr>
              <w:spacing w:after="0"/>
              <w:rPr>
                <w:sz w:val="17"/>
                <w:szCs w:val="17"/>
                <w:color w:val="auto"/>
              </w:rPr>
            </w:pPr>
          </w:p>
        </w:tc>
      </w:tr>
      <w:tr>
        <w:trPr>
          <w:trHeight w:val="20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External R&amp;D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00" w:type="dxa"/>
            <w:vAlign w:val="bottom"/>
          </w:tcPr>
          <w:p>
            <w:pPr>
              <w:spacing w:after="0"/>
              <w:rPr>
                <w:sz w:val="17"/>
                <w:szCs w:val="17"/>
                <w:color w:val="auto"/>
              </w:rPr>
            </w:pPr>
          </w:p>
        </w:tc>
      </w:tr>
      <w:tr>
        <w:trPr>
          <w:trHeight w:val="202"/>
        </w:trPr>
        <w:tc>
          <w:tcPr>
            <w:tcW w:w="8680" w:type="dxa"/>
            <w:vAlign w:val="bottom"/>
            <w:gridSpan w:val="2"/>
            <w:shd w:val="clear" w:color="auto" w:fill="CFF0FC"/>
          </w:tcPr>
          <w:p>
            <w:pPr>
              <w:ind w:left="140"/>
              <w:spacing w:after="0" w:line="203" w:lineRule="exact"/>
              <w:rPr>
                <w:sz w:val="20"/>
                <w:szCs w:val="20"/>
                <w:color w:val="auto"/>
              </w:rPr>
            </w:pPr>
            <w:r>
              <w:rPr>
                <w:rFonts w:ascii="Times New Roman" w:cs="Times New Roman" w:eastAsia="Times New Roman" w:hAnsi="Times New Roman"/>
                <w:sz w:val="16"/>
                <w:szCs w:val="16"/>
                <w:color w:val="auto"/>
              </w:rPr>
              <w:t>Internal R&amp;D expense</w:t>
            </w:r>
            <w:r>
              <w:rPr>
                <w:rFonts w:ascii="Times New Roman" w:cs="Times New Roman" w:eastAsia="Times New Roman" w:hAnsi="Times New Roman"/>
                <w:sz w:val="21"/>
                <w:szCs w:val="21"/>
                <w:color w:val="auto"/>
                <w:vertAlign w:val="superscript"/>
              </w:rPr>
              <w:t>(1)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29,335</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100" w:type="dxa"/>
            <w:vAlign w:val="bottom"/>
            <w:shd w:val="clear" w:color="auto" w:fill="CFF0FC"/>
          </w:tcPr>
          <w:p>
            <w:pPr>
              <w:spacing w:after="0"/>
              <w:rPr>
                <w:sz w:val="17"/>
                <w:szCs w:val="17"/>
                <w:color w:val="auto"/>
              </w:rPr>
            </w:pPr>
          </w:p>
        </w:tc>
      </w:tr>
      <w:tr>
        <w:trPr>
          <w:trHeight w:val="20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External G&amp;A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100" w:type="dxa"/>
            <w:vAlign w:val="bottom"/>
          </w:tcPr>
          <w:p>
            <w:pPr>
              <w:spacing w:after="0"/>
              <w:rPr>
                <w:sz w:val="17"/>
                <w:szCs w:val="17"/>
                <w:color w:val="auto"/>
              </w:rPr>
            </w:pPr>
          </w:p>
        </w:tc>
      </w:tr>
      <w:tr>
        <w:trPr>
          <w:trHeight w:val="203"/>
        </w:trPr>
        <w:tc>
          <w:tcPr>
            <w:tcW w:w="8680" w:type="dxa"/>
            <w:vAlign w:val="bottom"/>
            <w:gridSpan w:val="2"/>
            <w:shd w:val="clear" w:color="auto" w:fill="CFF0FC"/>
          </w:tcPr>
          <w:p>
            <w:pPr>
              <w:ind w:left="140"/>
              <w:spacing w:after="0" w:line="203" w:lineRule="exact"/>
              <w:rPr>
                <w:sz w:val="20"/>
                <w:szCs w:val="20"/>
                <w:color w:val="auto"/>
              </w:rPr>
            </w:pPr>
            <w:r>
              <w:rPr>
                <w:rFonts w:ascii="Times New Roman" w:cs="Times New Roman" w:eastAsia="Times New Roman" w:hAnsi="Times New Roman"/>
                <w:sz w:val="16"/>
                <w:szCs w:val="16"/>
                <w:color w:val="auto"/>
              </w:rPr>
              <w:t>Internal G&amp;A expense</w:t>
            </w:r>
            <w:r>
              <w:rPr>
                <w:rFonts w:ascii="Times New Roman" w:cs="Times New Roman" w:eastAsia="Times New Roman" w:hAnsi="Times New Roman"/>
                <w:sz w:val="21"/>
                <w:szCs w:val="21"/>
                <w:color w:val="auto"/>
                <w:vertAlign w:val="superscript"/>
              </w:rPr>
              <w:t>(1)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100" w:type="dxa"/>
            <w:vAlign w:val="bottom"/>
            <w:shd w:val="clear" w:color="auto" w:fill="CFF0FC"/>
          </w:tcPr>
          <w:p>
            <w:pPr>
              <w:spacing w:after="0"/>
              <w:rPr>
                <w:sz w:val="17"/>
                <w:szCs w:val="17"/>
                <w:color w:val="auto"/>
              </w:rPr>
            </w:pPr>
          </w:p>
        </w:tc>
      </w:tr>
      <w:tr>
        <w:trPr>
          <w:trHeight w:val="203"/>
        </w:trPr>
        <w:tc>
          <w:tcPr>
            <w:tcW w:w="868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37,816</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(4,881)</w:t>
            </w:r>
          </w:p>
        </w:tc>
        <w:tc>
          <w:tcPr>
            <w:tcW w:w="4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(5,031)</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loss</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(174,325)</w:t>
            </w:r>
          </w:p>
        </w:tc>
        <w:tc>
          <w:tcPr>
            <w:tcW w:w="4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(124,697)</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60" w:right="2360" w:hanging="5038"/>
        <w:spacing w:after="0"/>
        <w:tabs>
          <w:tab w:leader="none" w:pos="567" w:val="left"/>
        </w:tabs>
        <w:numPr>
          <w:ilvl w:val="0"/>
          <w:numId w:val="6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Internal expenses consisted primarily of payroll and related costs, temporary services, and travel and entertainment.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3" w:name="page154"/>
    <w:bookmarkEnd w:id="153"/>
    <w:p>
      <w:pPr>
        <w:ind w:right="380" w:firstLine="422"/>
        <w:spacing w:after="0" w:line="719" w:lineRule="auto"/>
        <w:tabs>
          <w:tab w:leader="none" w:pos="553" w:val="left"/>
        </w:tabs>
        <w:numPr>
          <w:ilvl w:val="1"/>
          <w:numId w:val="6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Other segment items primarily included other program costs, equity-based compensation expense, and depreciation and amortization expense. The measure of segment assets is reported on the balance sheet as total consolidated assets.</w:t>
      </w:r>
    </w:p>
    <w:p>
      <w:pPr>
        <w:spacing w:after="0" w:line="150" w:lineRule="exact"/>
        <w:rPr>
          <w:rFonts w:ascii="Times New Roman" w:cs="Times New Roman" w:eastAsia="Times New Roman" w:hAnsi="Times New Roman"/>
          <w:sz w:val="16"/>
          <w:szCs w:val="16"/>
          <w:color w:val="auto"/>
          <w:vertAlign w:val="superscript"/>
        </w:rPr>
      </w:pPr>
    </w:p>
    <w:p>
      <w:pPr>
        <w:ind w:left="280" w:hanging="272"/>
        <w:spacing w:after="0"/>
        <w:tabs>
          <w:tab w:leader="none" w:pos="2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the dosing of the first participant in the Phase 1b FALCON clinical trial of SGT-212, a $7.5 million development milestone became payable to FA212 LLC. On January 15, 2026, the Company made the second milestone payment in the form of 1,316,899 shares of its common stock.</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9, 2026, the Company issued and sold 14,973,257 shares of its common stock at a price of $5.61 per share, and, to certain investors in lieu of shares of common stock, pre-funded warrants to purchase 27,807,482 shares of its common stock at a price of $5.609 per pre-funded warrant, in the March 2026 Private Placement. The Company received approximately $226.4 million of aggregate net proceeds from the March 2026 Private Placement, after deducting estimated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SECURITIES EXCHANGE ACT OF 1934, AS AMENDED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securities of Solid Biosciences Inc. (“us,” “our,” “we” or the “Company”) registered under Section 12 of the Securities Exchange Act of 1934, as amended (the “Exchange Act”), is intended as a summary only and therefore is not a complete description. This description is based upon, and is qualified by reference to, our certificate of incorporation (“charter”), our bylaws and applicable provisions of the Delaware General Corporation Law (the “DGCL”). You should read our charter and bylaws, which are incorporated by reference as Exhibit 3.1 and Exhibit 3.2, respectively, to the Annual Report on Form 10-K of which this Exhibit 4.2 is a part, for the provisions that are important to you.</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120,000,000 shares of common stock, par value $0.001 per share, and 10,000,000 shares of preferred stock, par value $0.001 per share, all of which preferred stock is undesignated. Our common stock is registered under Section 12(b) of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our common stock is entitled to one vote for each share on all matters submitted to a vote of the stockholders,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Our stockholders do not have cumulative voting rights in the election of directors. Accordingly, holders of a majority of the voting shares are able to elect all of the directors.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if any, as may be declared from time to time by our board of directors out of legally available funds.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distribution to stockholders after the payment of all of our debts and other liabilities and the satisfaction of any liquidation preference granted to the holders of any then-outstanding shares of preferred stock.</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our common stock have no preemptive, conversion, subscription or other similar rights, and there are no redemption or sinking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authorized to issue up to 10,000,000 shares of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A series of our preferred stock could, depending on the terms of such series, impede the completion of a merger, tender offer or other takeover attempt.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and the DGCL That May Have Anti-Takeover Effects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charter and bylaws authorize only our board of directors to fill vacant directorships, including newly created seats.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the number of directors constituting our board of directors may only be set by a resolution adopted by a majority vote of our entire board of directors. These provisions would prevent a stockholder from increasing the size of our board of directors and then gaining control of our board of directors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both"/>
        <w:spacing w:after="0" w:line="282" w:lineRule="auto"/>
        <w:rPr>
          <w:sz w:val="20"/>
          <w:szCs w:val="20"/>
          <w:color w:val="auto"/>
        </w:rPr>
      </w:pPr>
      <w:r>
        <w:rPr>
          <w:rFonts w:ascii="Times New Roman" w:cs="Times New Roman" w:eastAsia="Times New Roman" w:hAnsi="Times New Roman"/>
          <w:sz w:val="18"/>
          <w:szCs w:val="18"/>
          <w:color w:val="auto"/>
        </w:rPr>
        <w:t>filling the resulting vacancies with its own nominees. This makes it more difficult to change the composition of our board of directors but promotes continuity of management.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charter and bylaws provide that our board of directors will be classified into three classes of directors, each with staggered three-year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charter provides that our stockholders may not take action by written consent, but may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bylaws provide advance notice procedures for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Supermajority Voting: </w:t>
      </w: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w:t>
      </w:r>
    </w:p>
    <w:p>
      <w:pPr>
        <w:spacing w:after="0" w:line="128" w:lineRule="exact"/>
        <w:rPr>
          <w:sz w:val="20"/>
          <w:szCs w:val="20"/>
          <w:color w:val="auto"/>
        </w:rPr>
      </w:pPr>
    </w:p>
    <w:p>
      <w:pPr>
        <w:ind w:right="9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the right to cumulate votes in the election of directors unless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charter does not provide for cumulative voting.</w:t>
      </w:r>
    </w:p>
    <w:p>
      <w:pPr>
        <w:spacing w:after="0" w:line="10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Removal of Directors Only for Cause: </w:t>
      </w:r>
      <w:r>
        <w:rPr>
          <w:rFonts w:ascii="Times New Roman" w:cs="Times New Roman" w:eastAsia="Times New Roman" w:hAnsi="Times New Roman"/>
          <w:sz w:val="18"/>
          <w:szCs w:val="18"/>
          <w:color w:val="auto"/>
        </w:rPr>
        <w:t>Our charter provides that stockholders may remove directors only for cause and only by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at least two-thirds of our outstanding common stock.</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 </w:t>
      </w:r>
      <w:r>
        <w:rPr>
          <w:rFonts w:ascii="Times New Roman" w:cs="Times New Roman" w:eastAsia="Times New Roman" w:hAnsi="Times New Roman"/>
          <w:sz w:val="18"/>
          <w:szCs w:val="18"/>
          <w:color w:val="auto"/>
        </w:rPr>
        <w:t>We are subject to the provisions of Section 203 of the DGCL, regulating corporate takeovers. In general, DGCL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203 prohibits a publicly held Delaware corporation from engaging in a business combination with an interested stockholder for a period of three years following the date on which the person became an interested stockholder unless (i) prior to the date of the transaction, the board of directors of the corporation approved either the business combination or the transaction which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(a) shares owned by persons who are directors and also officers and (b) shares owned by employee stock plans in which employee participants do not have the right to determine confidentially whether shares held subject to the plan will be tendered in a tender or exchange offer; or (iii) 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ind w:right="40"/>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Exclusive Forum Selection. </w:t>
      </w:r>
      <w:r>
        <w:rPr>
          <w:rFonts w:ascii="Times New Roman" w:cs="Times New Roman" w:eastAsia="Times New Roman" w:hAnsi="Times New Roman"/>
          <w:sz w:val="18"/>
          <w:szCs w:val="18"/>
          <w:color w:val="auto"/>
        </w:rPr>
        <w:t>Our charter provides that the Court of Chancery of the State of Delaware will be the exclusive forum for: any derivative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We do not intend to have this choice of forum provision apply to, and this choice of forum provision will not apply to, actions arising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974090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Solid Biosciences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Executive Chairman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jc w:val="both"/>
        <w:ind w:firstLine="853"/>
        <w:spacing w:after="0" w:line="239" w:lineRule="auto"/>
        <w:rPr>
          <w:sz w:val="20"/>
          <w:szCs w:val="20"/>
          <w:color w:val="auto"/>
        </w:rPr>
      </w:pPr>
      <w:r>
        <w:rPr>
          <w:rFonts w:ascii="Times New Roman" w:cs="Times New Roman" w:eastAsia="Times New Roman" w:hAnsi="Times New Roman"/>
          <w:sz w:val="22"/>
          <w:szCs w:val="22"/>
          <w:color w:val="auto"/>
        </w:rPr>
        <w:t>This Executive Chair Agreement (together with Exhibit A, the “Agreement”), effective January 1, 2022 (the “Effective Date”), is by and between Ian F. Smith, an individual having an address at [**] (the “Executive Chair”), and Solid Biosciences Inc., a Delaware corporation (together with its affiliates, the “Company”), having an address at 141 Portland Street, Fifth Floor, Cambridge, MA 02139.</w:t>
      </w:r>
    </w:p>
    <w:p>
      <w:pPr>
        <w:spacing w:after="0" w:line="180" w:lineRule="exact"/>
        <w:rPr>
          <w:sz w:val="20"/>
          <w:szCs w:val="20"/>
          <w:color w:val="auto"/>
        </w:rPr>
      </w:pPr>
    </w:p>
    <w:p>
      <w:pPr>
        <w:jc w:val="both"/>
        <w:ind w:firstLine="853"/>
        <w:spacing w:after="0" w:line="258" w:lineRule="auto"/>
        <w:rPr>
          <w:sz w:val="20"/>
          <w:szCs w:val="20"/>
          <w:color w:val="auto"/>
        </w:rPr>
      </w:pPr>
      <w:r>
        <w:rPr>
          <w:rFonts w:ascii="Times New Roman" w:cs="Times New Roman" w:eastAsia="Times New Roman" w:hAnsi="Times New Roman"/>
          <w:sz w:val="22"/>
          <w:szCs w:val="22"/>
          <w:color w:val="auto"/>
        </w:rPr>
        <w:t>WHEREAS, Executive Chair is currently serving as a member and chairman of the Board of Directors of the Company (the “Board”);</w:t>
      </w:r>
    </w:p>
    <w:p>
      <w:pPr>
        <w:spacing w:after="0" w:line="158" w:lineRule="exact"/>
        <w:rPr>
          <w:sz w:val="20"/>
          <w:szCs w:val="20"/>
          <w:color w:val="auto"/>
        </w:rPr>
      </w:pPr>
    </w:p>
    <w:p>
      <w:pPr>
        <w:jc w:val="both"/>
        <w:ind w:firstLine="853"/>
        <w:spacing w:after="0" w:line="261" w:lineRule="auto"/>
        <w:rPr>
          <w:sz w:val="20"/>
          <w:szCs w:val="20"/>
          <w:color w:val="auto"/>
        </w:rPr>
      </w:pPr>
      <w:r>
        <w:rPr>
          <w:rFonts w:ascii="Times New Roman" w:cs="Times New Roman" w:eastAsia="Times New Roman" w:hAnsi="Times New Roman"/>
          <w:sz w:val="21"/>
          <w:szCs w:val="21"/>
          <w:color w:val="auto"/>
        </w:rPr>
        <w:t>WHEREAS, Executive Chair has also been providing advisory services to Company pursuant to a consulting agreement between the Parties entered into on January 4, 2021 (the “Prior Agreement”) and both parties acknowledge and agree that, as of the Effective Date of this Agreement, the agreed upon services under the Prior Agreement have been completed;</w:t>
      </w:r>
    </w:p>
    <w:p>
      <w:pPr>
        <w:spacing w:after="0" w:line="157" w:lineRule="exact"/>
        <w:rPr>
          <w:sz w:val="20"/>
          <w:szCs w:val="20"/>
          <w:color w:val="auto"/>
        </w:rPr>
      </w:pPr>
    </w:p>
    <w:p>
      <w:pPr>
        <w:jc w:val="both"/>
        <w:ind w:firstLine="853"/>
        <w:spacing w:after="0" w:line="258" w:lineRule="auto"/>
        <w:rPr>
          <w:sz w:val="20"/>
          <w:szCs w:val="20"/>
          <w:color w:val="auto"/>
        </w:rPr>
      </w:pPr>
      <w:r>
        <w:rPr>
          <w:rFonts w:ascii="Times New Roman" w:cs="Times New Roman" w:eastAsia="Times New Roman" w:hAnsi="Times New Roman"/>
          <w:sz w:val="22"/>
          <w:szCs w:val="22"/>
          <w:color w:val="auto"/>
        </w:rPr>
        <w:t>WHEREAS, from and after the close of business on the Effective Date, Executive Chair shall no longer serve under the Prior Agreement, but shall be retained as the Executive Chairman pursuant to the terms and conditions set forth herein; and</w:t>
      </w:r>
    </w:p>
    <w:p>
      <w:pPr>
        <w:spacing w:after="0" w:line="158" w:lineRule="exact"/>
        <w:rPr>
          <w:sz w:val="20"/>
          <w:szCs w:val="20"/>
          <w:color w:val="auto"/>
        </w:rPr>
      </w:pPr>
    </w:p>
    <w:p>
      <w:pPr>
        <w:jc w:val="both"/>
        <w:ind w:firstLine="853"/>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herein and for other good and valuable consideration, the receipt and sufficiency of which are hereby acknowledged, Executive Chair and the Company agree as follows:</w:t>
      </w:r>
    </w:p>
    <w:p>
      <w:pPr>
        <w:spacing w:after="0" w:line="173" w:lineRule="exact"/>
        <w:rPr>
          <w:sz w:val="20"/>
          <w:szCs w:val="20"/>
          <w:color w:val="auto"/>
        </w:rPr>
      </w:pPr>
    </w:p>
    <w:p>
      <w:pPr>
        <w:jc w:val="both"/>
        <w:ind w:firstLine="757"/>
        <w:spacing w:after="0" w:line="238"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Company retains Executive Chair, and Executive Chair agrees to provide, part-time advisory services to Company, consistent with his position as Executive Chairman of the Board, and as more fully set forth on Exhibit A attached hereto (the “Services”). It is understood and agreed that the Executive Chair will not be an executive officer of the Company and that Chief Executive Officer of the Company will continue to be the Company’s principal executive officer and will continue to report directly to the board of directors and to the Executive Chairman.</w:t>
      </w:r>
    </w:p>
    <w:p>
      <w:pPr>
        <w:spacing w:after="0" w:line="20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As consideration for Services provided under this Agreement, the Company shall grant, subject to approval of Company’s Board, to Executive Chair an option to purchase 194,500 shares of the Company’s Common Stock (“Stock Options”) at an exercise price per share equal to the closing price of the Company’s Common Stock on January 3, 2021 (the “Grant Date”), and 97,250 restricted stock units (the “RSUs” and together with the RSUs, the “Awards”). The Awards will vest in equal quarterly installments with the first installment vesting three months from the Grant Date and the final installment vesting date on the date that is 12 months from the Grant Date, subject to continued services as a Director of the Company. Additionally, in the event of a change in control of the Company and on terms consistent with board of director equity award agreements, all unvested Awards will accelerate and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ind w:left="263" w:hanging="263"/>
        <w:spacing w:after="0"/>
        <w:tabs>
          <w:tab w:leader="none" w:pos="26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Work-Made-for Hire</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jc w:val="both"/>
        <w:ind w:left="-757" w:firstLine="857"/>
        <w:spacing w:after="0" w:line="231" w:lineRule="auto"/>
        <w:tabs>
          <w:tab w:leader="none" w:pos="52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in any and all writings, ideas, inventions, know-how, designs, improvements or other property created during Executive Chair’s advisory relationship relating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that are created, adapted or improved by Executive Chair (whether alone or in conjunction with any other person or employee), and all material created during Executive Chair’s advisory relationship that includes any of the foregoing (collectively, “Covered Material”), shall be owned by the Company and to the extent that it includes copyrightable subject matter, shall be deemed a work made for hire for the Company within the meaning of the United States Copyright Act of 1976 and for all other purposes. If any Covered Material is deemed not to be work made for hire, such Covered Material is hereby assigned by Executive Chair to the Company and Executive Chair shall not have or claim to have, under this Agreement or otherwise, any right, title or interest of any kind or nature whatsoever in such Covered Material.</w:t>
      </w:r>
    </w:p>
    <w:p>
      <w:pPr>
        <w:spacing w:after="0" w:line="186" w:lineRule="exact"/>
        <w:rPr>
          <w:rFonts w:ascii="Times New Roman" w:cs="Times New Roman" w:eastAsia="Times New Roman" w:hAnsi="Times New Roman"/>
          <w:sz w:val="22"/>
          <w:szCs w:val="22"/>
          <w:color w:val="auto"/>
        </w:rPr>
      </w:pPr>
    </w:p>
    <w:p>
      <w:pPr>
        <w:jc w:val="both"/>
        <w:ind w:left="-757" w:firstLine="857"/>
        <w:spacing w:after="0" w:line="238" w:lineRule="auto"/>
        <w:tabs>
          <w:tab w:leader="none" w:pos="52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Executive Chair’s name, Executive Chair shall assign in writing such application or registration to the Company and hereby authorizes and appoints the Company its agent for the purpose of recording such assignment.</w:t>
      </w:r>
    </w:p>
    <w:p>
      <w:pPr>
        <w:spacing w:after="0" w:line="176" w:lineRule="exact"/>
        <w:rPr>
          <w:rFonts w:ascii="Times New Roman" w:cs="Times New Roman" w:eastAsia="Times New Roman" w:hAnsi="Times New Roman"/>
          <w:sz w:val="22"/>
          <w:szCs w:val="22"/>
          <w:color w:val="auto"/>
        </w:rPr>
      </w:pPr>
    </w:p>
    <w:p>
      <w:pPr>
        <w:jc w:val="both"/>
        <w:ind w:left="-757" w:firstLine="857"/>
        <w:spacing w:after="0" w:line="234" w:lineRule="auto"/>
        <w:tabs>
          <w:tab w:leader="none" w:pos="52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Company, Executive Chair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Executive Chair for all reasonable out-of-pocket costs, incurred by Executive Chair in rendering any such assistance requested by the Company pursuant to this Section. In the event that Executive Chair should fail or refuse to execute such documents within a reasonable time, Executive Chair appoints Company as attorney to execute and deliver any such documents on Executive Chair’s behalf.</w:t>
      </w:r>
    </w:p>
    <w:p>
      <w:pPr>
        <w:spacing w:after="0" w:line="210" w:lineRule="exact"/>
        <w:rPr>
          <w:rFonts w:ascii="Times New Roman" w:cs="Times New Roman" w:eastAsia="Times New Roman" w:hAnsi="Times New Roman"/>
          <w:sz w:val="22"/>
          <w:szCs w:val="22"/>
          <w:color w:val="auto"/>
        </w:rPr>
      </w:pPr>
    </w:p>
    <w:p>
      <w:pPr>
        <w:jc w:val="both"/>
        <w:ind w:left="-757" w:firstLine="757"/>
        <w:spacing w:after="0" w:line="235" w:lineRule="auto"/>
        <w:tabs>
          <w:tab w:leader="none" w:pos="26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 Executive Chair agrees to (a) hold the Confidential Information (as defined below) in confidence; (b) not disclose any Confidential Information to any third party without the prior written consent of Company; (c) not use the Confidential Information for any purpose except solely as required to perform the Services; and (d) treat Confidential Information with no less than a reasonable degree of care. For purposes of this Agreement, the term “Confidential Information” means any and all information and derivative information, in whatever form or medium, including oral information, concerning or relating to the Company or information of any third party that the Company is under an obligation to keep confidential or that is maintained by the Company as confidential, including, without limitation, intellectual property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875665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35" w:right="339" w:bottom="1440" w:gutter="0" w:footer="0" w:header="0"/>
        </w:sectPr>
      </w:pPr>
    </w:p>
    <w:bookmarkStart w:id="159" w:name="page160"/>
    <w:bookmarkEnd w:id="159"/>
    <w:p>
      <w:pPr>
        <w:jc w:val="both"/>
        <w:spacing w:after="0" w:line="243" w:lineRule="auto"/>
        <w:rPr>
          <w:sz w:val="20"/>
          <w:szCs w:val="20"/>
          <w:color w:val="auto"/>
        </w:rPr>
      </w:pPr>
      <w:r>
        <w:rPr>
          <w:rFonts w:ascii="Times New Roman" w:cs="Times New Roman" w:eastAsia="Times New Roman" w:hAnsi="Times New Roman"/>
          <w:sz w:val="21"/>
          <w:szCs w:val="21"/>
          <w:color w:val="auto"/>
        </w:rPr>
        <w:t>Company, such as, but not limited to, Covered Material, patent applications, copyrights, copyright applications, and trade secrets; information regarding or resulting from research and development activities performed by or on behalf of the Company and other projects (such as, but not limited to, preclinical and clinical data, design details and specifications, engineering information, and works in process); and business and financial information (such as, but not limited to, current, future, and proposed products and services, financial information and models, information relating to procurement requirements, purchasing, manufacturing, investors, customer lists, customers, suppliers, facilities, product plans, product ideas, business strategies, marketing or business plans, financial or personnel matters, investors, employees, business and contractual relationships, business forecasts, sales, strategies, operations, policies, procedures, commercialization capabilities, and information regarding third parties). Notwithstanding the foregoing, Confidential Information does not include information that Executive Chair can demonstrate: (a) is publicly known and generally available in the public domain other than in consequence of improper action by any person; or</w:t>
      </w:r>
    </w:p>
    <w:p>
      <w:pPr>
        <w:spacing w:after="0" w:line="9" w:lineRule="exact"/>
        <w:rPr>
          <w:sz w:val="20"/>
          <w:szCs w:val="20"/>
          <w:color w:val="auto"/>
        </w:rPr>
      </w:pPr>
    </w:p>
    <w:p>
      <w:pPr>
        <w:jc w:val="both"/>
        <w:ind w:firstLine="8"/>
        <w:spacing w:after="0" w:line="231" w:lineRule="auto"/>
        <w:tabs>
          <w:tab w:leader="none" w:pos="30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acquired by Executive Chair free and clear of any duty of confidentiality or restricted use and without improper action by the transferor of such information or any other person. Executive Chair shall keep confidential all matters entrusted to Executive Chair by or on behalf of the Company and shall not use or attempt to use any Confidential Information except as may be required in the ordinary course of performing Executive Chair’s duties as an advisor to the Company, and Executive Chair shall not use any Confidential Information in any manner that may injure or cause loss or may be calculated to injure or cause loss to the Company, whether directly or indirectly. Nothing in this Agreement prohibits Executive Chair from reporting possible violations of federal or state law or regulations to any governmental agency or entity or self-regulatory institution, including but not limited to the Equal Employment Opportunity Commission, the National Labor Relations Board, the Department of Justice, the Securities and Exchange Commission, Congress, and any Inspector General, or making other disclosures that are protected under the whistleblower provisions of federal or state law or regulation. Prior authorization of the Company shall not be required to make any such reports or disclosures and Executive Chair is not required to notify the Company that Executive Chair has made such reports or disclosures.</w:t>
      </w:r>
    </w:p>
    <w:p>
      <w:pPr>
        <w:spacing w:after="0" w:line="18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Executive Chair agrees to provide the Services to Company and its affiliates in accordance with all applicable laws and regulations and the highest professional standards. Executive Chair represents and warrants that Executive Chair has not been, and is not under consideration to be (a) debarred from providing services pursuant to Section 306 of the United States Federal Food Drug and Cosmetic Act, 21 U.S.C. § 335a; (b) excluded, debarred or suspended from, or otherwise ineligible to participate in, any federal or state health care program or federal procurement or non-procurement programs (as that term is defined in 42 U.S.C. §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Obligations to Third Parties</w:t>
      </w:r>
      <w:r>
        <w:rPr>
          <w:rFonts w:ascii="Times New Roman" w:cs="Times New Roman" w:eastAsia="Times New Roman" w:hAnsi="Times New Roman"/>
          <w:sz w:val="22"/>
          <w:szCs w:val="22"/>
          <w:color w:val="auto"/>
        </w:rPr>
        <w:t>. Executive Chair represents and warrants to Company that the terms of this Agreement and Executive Chair’s performance of Services do not and will not conflict with any of Executive Chair’s obligations to any third parties. Executive Chair represents that Executive Chair has not brought and will not bring with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0" w:name="page161"/>
    <w:bookmarkEnd w:id="160"/>
    <w:p>
      <w:pPr>
        <w:jc w:val="both"/>
        <w:spacing w:after="0" w:line="234" w:lineRule="auto"/>
        <w:rPr>
          <w:sz w:val="20"/>
          <w:szCs w:val="20"/>
          <w:color w:val="auto"/>
        </w:rPr>
      </w:pPr>
      <w:r>
        <w:rPr>
          <w:rFonts w:ascii="Times New Roman" w:cs="Times New Roman" w:eastAsia="Times New Roman" w:hAnsi="Times New Roman"/>
          <w:sz w:val="22"/>
          <w:szCs w:val="22"/>
          <w:color w:val="auto"/>
        </w:rPr>
        <w:t>Chair to Company or use in the performance of Services any equipment, funds, space, personnel, facilities, confidential information, trade secrets or other resources of any third party which are not generally available to the public, nor will Executive Chair take any other action that would result in a third-party asserting ownership of, or other rights in, any Covered Material. If Executive Chair is a faculty member at or employee of a university or hospital or another organization or company (“Institution”), Executive Chair represents and warrants that Executive Chair is not prohibited by any applicable policy of such Institution, including without limitation any policy addressing conflicts of interest or intellectual property, from performing external consulting services and assigning rights to intellectual property arising from such services to Company or a third party. To the extent Executive Chair is subject to any policy of his/her employer that requires approval of agreements governing external consulting services, Executive Chair represents that such approval has been given and covenants that such approval will be obtained prior to entering into any amendment to this Agreement requiring such approval.</w:t>
      </w:r>
    </w:p>
    <w:p>
      <w:pPr>
        <w:spacing w:after="0" w:line="179" w:lineRule="exact"/>
        <w:rPr>
          <w:sz w:val="20"/>
          <w:szCs w:val="20"/>
          <w:color w:val="auto"/>
        </w:rPr>
      </w:pPr>
    </w:p>
    <w:p>
      <w:pPr>
        <w:jc w:val="both"/>
        <w:ind w:firstLine="757"/>
        <w:spacing w:after="0" w:line="249" w:lineRule="auto"/>
        <w:tabs>
          <w:tab w:leader="none" w:pos="101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Non-hire of Employees and Consultants</w:t>
      </w:r>
      <w:r>
        <w:rPr>
          <w:rFonts w:ascii="Times New Roman" w:cs="Times New Roman" w:eastAsia="Times New Roman" w:hAnsi="Times New Roman"/>
          <w:sz w:val="21"/>
          <w:szCs w:val="21"/>
          <w:color w:val="auto"/>
        </w:rPr>
        <w:t>. During the Term and for a one year period thereafter, Executive Chair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Executive Chair is employed or which is directly or indirectly controlled by Executive Chair to employ, hire or retain, any Company employee or consultant, or any such person whose employment or consultancy with the Company has terminated within six months prior to or after Executive Chair’s departure from the Company.</w:t>
      </w:r>
    </w:p>
    <w:p>
      <w:pPr>
        <w:spacing w:after="0" w:line="170"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 and Consultants</w:t>
      </w:r>
      <w:r>
        <w:rPr>
          <w:rFonts w:ascii="Times New Roman" w:cs="Times New Roman" w:eastAsia="Times New Roman" w:hAnsi="Times New Roman"/>
          <w:sz w:val="22"/>
          <w:szCs w:val="22"/>
          <w:color w:val="auto"/>
        </w:rPr>
        <w:t>. During the Term and for a one year period thereafter, Executive Chair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Executive Chair’s departure from the Company, to leave his or her employment or consultancy with the Company, or assist in the recruitment or hiring of any such person.</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Chair shall not at any time, whether during or after the Term, regardless of the reason for such termination, make to any person or entity disparaging, critical or otherwise detrimental comments of a business or personal nature relating to the Company or its personnel.</w:t>
      </w:r>
    </w:p>
    <w:p>
      <w:pPr>
        <w:jc w:val="both"/>
        <w:ind w:firstLine="74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Use of Name</w:t>
      </w:r>
      <w:r>
        <w:rPr>
          <w:rFonts w:ascii="Times New Roman" w:cs="Times New Roman" w:eastAsia="Times New Roman" w:hAnsi="Times New Roman"/>
          <w:sz w:val="22"/>
          <w:szCs w:val="22"/>
          <w:color w:val="auto"/>
        </w:rPr>
        <w:t>. Executive Chair will not use the name, logo, trade name, service mark, or trademark, or any simulation, abbreviation, or adaptation of same, or the name of Company or any of its affiliates for publicity, promotion, or other uses without Company’s prior written consent.</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 Executive Chair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1" w:name="page162"/>
    <w:bookmarkEnd w:id="161"/>
    <w:p>
      <w:pPr>
        <w:jc w:val="both"/>
        <w:spacing w:after="0" w:line="235" w:lineRule="auto"/>
        <w:rPr>
          <w:sz w:val="20"/>
          <w:szCs w:val="20"/>
          <w:color w:val="auto"/>
        </w:rPr>
      </w:pPr>
      <w:r>
        <w:rPr>
          <w:rFonts w:ascii="Times New Roman" w:cs="Times New Roman" w:eastAsia="Times New Roman" w:hAnsi="Times New Roman"/>
          <w:sz w:val="22"/>
          <w:szCs w:val="22"/>
          <w:color w:val="auto"/>
        </w:rPr>
        <w:t>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Executive Chair’s possession, custody or control. Executive Chair further agrees that upon expiration or termination of this Agreement, Executive Chair shall immediately return all Company Property to Company. Executive Chair acknowledges and agree that all Company Property shall be and remain the sole and exclusive property of the Company. Immediately upon the expiration or termination of this Agreement, Executive Chair shall deliver all Company Property in Executive Chair’s possession, and all copies thereof, to the Company.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The term of this Agreement will commence on the Effective Date and will expire on December 31, 2022, unless extended by mutual written agreement of the parties or earlier terminated in accordance with this Section 12 (the “Term”). Notwithstanding anything to the contrary herein, the Company may terminate this Agreement, for any or no reason, on written notice to Executive Chair and Executive Chair may terminate this agreement, for any reason or no reason, on fifteen (15) days prior written notice to the Company.</w:t>
      </w:r>
    </w:p>
    <w:p>
      <w:pPr>
        <w:spacing w:after="0" w:line="20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required or permitted under this Agreement must be in writing and must be given by directing the notice to the address for the receiving party set forth in this Agreement or at such other address as the receiving party may specify in writing under this procedure. Notices to Company will be marked “Attention: Chief Legal Officer.” All notices must be given</w:t>
      </w:r>
    </w:p>
    <w:p>
      <w:pPr>
        <w:spacing w:after="0" w:line="1" w:lineRule="exact"/>
        <w:rPr>
          <w:sz w:val="20"/>
          <w:szCs w:val="20"/>
          <w:color w:val="auto"/>
        </w:rPr>
      </w:pPr>
    </w:p>
    <w:p>
      <w:pPr>
        <w:jc w:val="both"/>
        <w:ind w:firstLine="8"/>
        <w:spacing w:after="0" w:line="235" w:lineRule="auto"/>
        <w:tabs>
          <w:tab w:leader="none" w:pos="27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personal delivery, with receipt acknowledged, (ii) by prepaid certified or registered mail, return receipt requested, or (iii) by prepaid recognized next business day delivery service. Notices will be effective upon receipt or at a later date stated in the notice.</w:t>
      </w:r>
    </w:p>
    <w:p>
      <w:pPr>
        <w:spacing w:after="0" w:line="20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Executive Chair agrees that (i) Company may be irreparably injured by a breach of this Agreement by Executive Chair; (ii) money damages would not be an adequate remedy for any such breach; (iii) as a remedy for any such breach Company will be entitled to seek equitable relief, including injunctive relief and specific performance, without being required by Executive Chair to post a bond; and (iv) such remedy will not be the exclusive remedy for any breach of this Agreement.</w:t>
      </w:r>
    </w:p>
    <w:p>
      <w:pPr>
        <w:spacing w:after="0" w:line="18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Executive Chair is an independent contractor and not an employee of the Company. Executive Chair shall be responsible for all taxes arising from compensation and other amounts paid under this Agreement. Neither federal, state or local income tax, nor payroll tax of any kind, shall be withheld or paid by the Company on Executive Chair’s behalf. Executive Chair will not be eligible for, and shall not participate in, any employee pension, health, welfare, or other fringe benefit plan of the Company.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 Amendments</w:t>
      </w:r>
      <w:r>
        <w:rPr>
          <w:rFonts w:ascii="Times New Roman" w:cs="Times New Roman" w:eastAsia="Times New Roman" w:hAnsi="Times New Roman"/>
          <w:sz w:val="22"/>
          <w:szCs w:val="22"/>
          <w:color w:val="auto"/>
        </w:rPr>
        <w:t>. Any waiver by the Company of a breach of any provision of this Agreement shall not operate or be construed as a waiver of any subsequent breach of such provision or any other provision hereof. In addition, any amendment to or modification of this Agreement or any waiver of any provision hereof must be agreed to in writing by both parties.</w:t>
      </w:r>
    </w:p>
    <w:p>
      <w:pPr>
        <w:spacing w:after="0" w:line="1" w:lineRule="exact"/>
        <w:rPr>
          <w:sz w:val="20"/>
          <w:szCs w:val="20"/>
          <w:color w:val="auto"/>
        </w:rPr>
      </w:pPr>
    </w:p>
    <w:p>
      <w:pPr>
        <w:jc w:val="both"/>
        <w:ind w:right="20" w:firstLine="749"/>
        <w:spacing w:after="0" w:line="237"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Executive Chair agrees that each provision and the subparts of each provision herein shall be treated as separate and independent clauses, and the unenforceability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2" w:name="page163"/>
    <w:bookmarkEnd w:id="162"/>
    <w:p>
      <w:pPr>
        <w:jc w:val="both"/>
        <w:spacing w:after="0" w:line="236" w:lineRule="auto"/>
        <w:rPr>
          <w:sz w:val="20"/>
          <w:szCs w:val="20"/>
          <w:color w:val="auto"/>
        </w:rPr>
      </w:pPr>
      <w:r>
        <w:rPr>
          <w:rFonts w:ascii="Times New Roman" w:cs="Times New Roman" w:eastAsia="Times New Roman" w:hAnsi="Times New Roman"/>
          <w:sz w:val="22"/>
          <w:szCs w:val="22"/>
          <w:color w:val="auto"/>
        </w:rPr>
        <w:t>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Executive Chair hereby further agrees that the language of all parts of this Agreement shall in all cases be construed as a whole according to its fair meaning and not strictly for or against either of the parties.</w:t>
      </w:r>
    </w:p>
    <w:p>
      <w:pPr>
        <w:spacing w:after="0" w:line="20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Executive Chair’s obligations under Section 3 through 22 of this Agreement shall survive the expiration or termination of this Agreement and shall be binding upon Executive Chair’s successors, heirs, executors, administrators and legal representatives.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shall have the right to assign this Agreement to its successors and assigns, and all covenants and agreements hereunder shall inure to the benefit of and be enforceable by said successors or assigns. Executive Chair may not assign this Agreement. In no event will Executive Chair assign or delegate responsibility for actual performance of the Services to any third party.</w:t>
      </w:r>
    </w:p>
    <w:p>
      <w:pPr>
        <w:spacing w:after="0" w:line="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20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complete, sole and entire agreement between the parties with respect to the subject matter herein and supersedes any and all other agreements, negotiations, discussions, proposals, or understandings, whether oral or written, previously entered into, discussed or considered by the parties.</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will be deemed an original, but all of which together will constitute one and the same instrument. A facsimile or portable document format (“.pdf”) copy of this Agreement, including the signature pages, will be deemed an original.</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WITNESS HEREOF, Executive Chair has executed this Agreement as of the last date written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SOLID BIOSCIENCES INC.</w:t>
            </w:r>
          </w:p>
        </w:tc>
        <w:tc>
          <w:tcPr>
            <w:tcW w:w="16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IAN F. SMITH</w:t>
            </w:r>
          </w:p>
        </w:tc>
      </w:tr>
      <w:tr>
        <w:trPr>
          <w:trHeight w:val="474"/>
        </w:trPr>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Ilan Ganot</w:t>
            </w:r>
          </w:p>
        </w:tc>
        <w:tc>
          <w:tcPr>
            <w:tcW w:w="1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Ian Smith</w:t>
            </w:r>
          </w:p>
        </w:tc>
      </w:tr>
      <w:tr>
        <w:trPr>
          <w:trHeight w:val="209"/>
        </w:trPr>
        <w:tc>
          <w:tcPr>
            <w:tcW w:w="142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66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Ilan Ganot</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82"/>
        </w:trPr>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6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&amp; Chief Executive Officer</w:t>
            </w:r>
          </w:p>
        </w:tc>
        <w:tc>
          <w:tcPr>
            <w:tcW w:w="1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642"/>
        </w:trPr>
        <w:tc>
          <w:tcPr>
            <w:tcW w:w="142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Executive Chairman Services</w:t>
      </w:r>
    </w:p>
    <w:p>
      <w:pPr>
        <w:spacing w:after="0" w:line="20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The Company requires, in addition to the traditional duties as Chairman of the Board, that the Executive Chair, as Executive Chairman, will be available to perform the duties customarily related to this function, including:</w:t>
      </w:r>
    </w:p>
    <w:p>
      <w:pPr>
        <w:spacing w:after="0" w:line="2" w:lineRule="exact"/>
        <w:rPr>
          <w:sz w:val="20"/>
          <w:szCs w:val="20"/>
          <w:color w:val="auto"/>
        </w:rPr>
      </w:pPr>
    </w:p>
    <w:p>
      <w:pPr>
        <w:jc w:val="both"/>
        <w:ind w:left="760" w:hanging="378"/>
        <w:spacing w:after="0" w:line="230"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mentorship and guidance to the Company’s Chief Executive Officer (who will remain the Company’s principal executive officer) and senior leadership team on operational and strategic matters; Chief Executive Officer will continue to report to the Board, as well as to the Executive Chair</w:t>
      </w:r>
    </w:p>
    <w:p>
      <w:pPr>
        <w:spacing w:after="0" w:line="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 liaison between the Company’s senior management and the Board;</w:t>
      </w:r>
    </w:p>
    <w:p>
      <w:pPr>
        <w:spacing w:after="0" w:line="182"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regular meetings with the Chief Executive Officer and Chief Operating Officer to further advance the Company’s strategic initiatives;</w:t>
      </w:r>
    </w:p>
    <w:p>
      <w:pPr>
        <w:spacing w:after="0" w:line="158"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himself available as reasonably requested by the Board or Executive Chair officers of the Company to fulfill such other duties as may be reasonably requested, consistent with his status as the Executive Chair Chairman; and</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between thirty-five to fifty (35-50) hours per month, including one (1) full day per week, on a schedule and at a location(s) mutually agreed between Executive Chair and the Company’s Chief Executive Officer, to include flexible availability to the Company’s Chief Executive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4" w:name="page165"/>
    <w:bookmarkEnd w:id="164"/>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jc w:val="both"/>
        <w:ind w:firstLine="853"/>
        <w:spacing w:after="0" w:line="255" w:lineRule="auto"/>
        <w:rPr>
          <w:sz w:val="20"/>
          <w:szCs w:val="20"/>
          <w:color w:val="auto"/>
        </w:rPr>
      </w:pPr>
      <w:r>
        <w:rPr>
          <w:rFonts w:ascii="Times New Roman" w:cs="Times New Roman" w:eastAsia="Times New Roman" w:hAnsi="Times New Roman"/>
          <w:sz w:val="18"/>
          <w:szCs w:val="18"/>
          <w:color w:val="auto"/>
        </w:rPr>
        <w:t xml:space="preserve">THIS FIRST AMENDMENT TO </w:t>
      </w:r>
      <w:r>
        <w:rPr>
          <w:rFonts w:ascii="Times New Roman" w:cs="Times New Roman" w:eastAsia="Times New Roman" w:hAnsi="Times New Roman"/>
          <w:sz w:val="21"/>
          <w:szCs w:val="21"/>
          <w:color w:val="auto"/>
        </w:rPr>
        <w:t>EXECUTIVE CHAIR AGREEMENT is effective September 30, 2022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Amendment Date”), is by and between Ian F. Smith, an individual having an address at [**] (the “Executive Chair”), and Solid Biosciences Inc., a Delaware corporation (together with its affiliates, the “Company”), having an address at 500 Rutherford Ave., Charlestown, MA 02129.</w:t>
      </w:r>
    </w:p>
    <w:p>
      <w:pPr>
        <w:spacing w:after="0" w:line="162" w:lineRule="exact"/>
        <w:rPr>
          <w:sz w:val="20"/>
          <w:szCs w:val="20"/>
          <w:color w:val="auto"/>
        </w:rPr>
      </w:pPr>
    </w:p>
    <w:p>
      <w:pPr>
        <w:jc w:val="both"/>
        <w:ind w:firstLine="853"/>
        <w:spacing w:after="0" w:line="258" w:lineRule="auto"/>
        <w:rPr>
          <w:sz w:val="20"/>
          <w:szCs w:val="20"/>
          <w:color w:val="auto"/>
        </w:rPr>
      </w:pPr>
      <w:r>
        <w:rPr>
          <w:rFonts w:ascii="Times New Roman" w:cs="Times New Roman" w:eastAsia="Times New Roman" w:hAnsi="Times New Roman"/>
          <w:sz w:val="22"/>
          <w:szCs w:val="22"/>
          <w:color w:val="auto"/>
        </w:rPr>
        <w:t>WHEREAS, Executive Chair and the Company are parties to that certain Executive Chair Agreement (“Agreement”), effective as of January 1, 2022 (the “Effective Date”), and</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WHEREAS, the parties desire to amend the Agreement in manner set forth below.</w:t>
      </w:r>
    </w:p>
    <w:p>
      <w:pPr>
        <w:spacing w:after="0" w:line="206" w:lineRule="exact"/>
        <w:rPr>
          <w:sz w:val="20"/>
          <w:szCs w:val="20"/>
          <w:color w:val="auto"/>
        </w:rPr>
      </w:pPr>
    </w:p>
    <w:p>
      <w:pPr>
        <w:jc w:val="both"/>
        <w:ind w:firstLine="853"/>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58" w:lineRule="exact"/>
        <w:rPr>
          <w:sz w:val="20"/>
          <w:szCs w:val="20"/>
          <w:color w:val="auto"/>
        </w:rPr>
      </w:pPr>
    </w:p>
    <w:p>
      <w:pPr>
        <w:ind w:firstLine="757"/>
        <w:spacing w:after="0" w:line="241" w:lineRule="auto"/>
        <w:tabs>
          <w:tab w:leader="none" w:pos="10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2A as follows: and restated in its entirety as follows:</w:t>
      </w:r>
    </w:p>
    <w:p>
      <w:pPr>
        <w:spacing w:after="0" w:line="1" w:lineRule="exact"/>
        <w:rPr>
          <w:rFonts w:ascii="Times New Roman" w:cs="Times New Roman" w:eastAsia="Times New Roman" w:hAnsi="Times New Roman"/>
          <w:sz w:val="22"/>
          <w:szCs w:val="22"/>
          <w:color w:val="auto"/>
        </w:rPr>
      </w:pPr>
    </w:p>
    <w:p>
      <w:pPr>
        <w:ind w:right="60"/>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“2A. Compensation – 2023. As consideration for Services provided under this Agreement from and after January 1, 2023, the Company shall, subject to approval of Company’s Board, grant to Executive Chair equity awards (the “2023 Awards”) with an aggregate total Black Scholes value of $700,000, consisting of (i) 50% stock options (the “2023 Stock Options”) at an exercise price per share equal to the closing price of the Company’s Common Stock on January 2, 2023 (the “2023 Grant Date”) and (ii) 50% restricted stock units (“2023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2023 Grant Date. The 2023 Awards will vest in equal quarterly installments with the first installment vesting three months from the 2023 Grant Date and the final installment vesting date on the date that is 12 months from the 2023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2023 Awards will accelerate and vest in full.”</w:t>
      </w:r>
    </w:p>
    <w:p>
      <w:pPr>
        <w:spacing w:after="0" w:line="18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in its entirety as follows:</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“Term &amp; Termination. The term of this Agreement will commence on the Effective Date and will expire on December 31, 2023, unless extended by mutual written agreement of the parties or earlier terminated in accordance with this Section 12 (the “Term”).Notwithstanding anything to the contrary herein, the Company may terminate this Agreement, for any or no reason, on written notice to Executive Chair and Executive Chair may terminate this agreement, for any reason or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65" w:name="page166"/>
    <w:bookmarkEnd w:id="165"/>
    <w:p>
      <w:pPr>
        <w:jc w:val="both"/>
        <w:spacing w:after="0" w:line="244" w:lineRule="auto"/>
        <w:rPr>
          <w:sz w:val="20"/>
          <w:szCs w:val="20"/>
          <w:color w:val="auto"/>
        </w:rPr>
      </w:pPr>
      <w:r>
        <w:rPr>
          <w:rFonts w:ascii="Times New Roman" w:cs="Times New Roman" w:eastAsia="Times New Roman" w:hAnsi="Times New Roman"/>
          <w:sz w:val="22"/>
          <w:szCs w:val="22"/>
          <w:color w:val="auto"/>
        </w:rPr>
        <w:t>reason, on fifteen (15) days prior written notice to the Company. The Board shall periodically review the ongoing benefit of the Executive Chair position to the Company and may elect to terminate the Agreement in accordance with the preceding sentence following any such review.”</w:t>
      </w:r>
    </w:p>
    <w:p>
      <w:pPr>
        <w:spacing w:after="0" w:line="173" w:lineRule="exact"/>
        <w:rPr>
          <w:sz w:val="20"/>
          <w:szCs w:val="20"/>
          <w:color w:val="auto"/>
        </w:rPr>
      </w:pPr>
    </w:p>
    <w:p>
      <w:pPr>
        <w:jc w:val="both"/>
        <w:ind w:firstLine="757"/>
        <w:spacing w:after="0" w:line="239" w:lineRule="auto"/>
        <w:tabs>
          <w:tab w:leader="none" w:pos="10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First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amended hereby, the Agreement shall  remain in full force and effect as originally</w:t>
      </w:r>
    </w:p>
    <w:p>
      <w:pPr>
        <w:spacing w:after="0" w:line="14"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6" w:name="page167"/>
    <w:bookmarkEnd w:id="166"/>
    <w:p>
      <w:pPr>
        <w:spacing w:after="0" w:line="320" w:lineRule="exact"/>
        <w:rPr>
          <w:sz w:val="20"/>
          <w:szCs w:val="20"/>
          <w:color w:val="auto"/>
        </w:rPr>
      </w:pPr>
    </w:p>
    <w:p>
      <w:pPr>
        <w:ind w:firstLine="88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First Amendment to Executive Chair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Ilan Ganot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Ilan Ganot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2647315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67" w:name="page168"/>
    <w:bookmarkEnd w:id="167"/>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SECOND AMENDMENT TO </w:t>
      </w:r>
      <w:r>
        <w:rPr>
          <w:rFonts w:ascii="Times New Roman" w:cs="Times New Roman" w:eastAsia="Times New Roman" w:hAnsi="Times New Roman"/>
          <w:sz w:val="21"/>
          <w:szCs w:val="21"/>
          <w:color w:val="auto"/>
        </w:rPr>
        <w:t>EXECUTIVE CHAIR AGREEMENT (“Amendment”) is effective January 1, 2024 (the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Amendment Date”), is by and between Ian F. Smith, an individual having an address at [**] (the “Executive Chair”), and Solid Biosciences Inc., a Delaware corporation (together with its affiliates, the “Company”), having an address at 500 Rutherford Ave., Charlestown, MA 02129.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Executive Chair and the Company are parties to that certain Executive Chair Agreement (“Agreement”), effective as of January 1, 2022 (the “Effective Date”),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desire to amend the Agreement in manner set forth below.</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85"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Each capitalized term used but not defined herein shall have the meaning ascribed to such term in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2B as follows:</w:t>
      </w:r>
    </w:p>
    <w:p>
      <w:pPr>
        <w:spacing w:after="0" w:line="23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“2A. Compensation – 2023. As consideration for Services provided under this Agreement from and after January 1, 2024, the Company shall, subject to approval of Company’s Board, grant to Executive Chair equity awards (the “2024 Awards”) with an aggregate total Black Scholes value of $150,000, consisting of (i) 50% stock options (the “2024 Stock Options”) at an exercise price per share equal to the closing price of the Company’s Common Stock on 2024 Grant Date and (ii) 50% restricted stock units (“2024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Grant Date. The 2024 Awards will vest in equal quarterly installments with the first installment vesting three months from the 2024 Grant Date and the final installment vesting date on the date that is 12 months from the 2024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2024 Awards will accelerate and vest in full. The Company’s external compensation consultants evaluated the cash rate and found the rates to be appropriate. The consultants were present for the official recommendation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68" w:name="page169"/>
    <w:bookmarkEnd w:id="168"/>
    <w:p>
      <w:pPr>
        <w:ind w:left="760"/>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Second in its entirety as follows:</w:t>
      </w:r>
    </w:p>
    <w:p>
      <w:pPr>
        <w:spacing w:after="0" w:line="247" w:lineRule="exact"/>
        <w:rPr>
          <w:sz w:val="20"/>
          <w:szCs w:val="20"/>
          <w:color w:val="auto"/>
        </w:rPr>
      </w:pPr>
    </w:p>
    <w:p>
      <w:pPr>
        <w:ind w:right="40" w:firstLine="432"/>
        <w:spacing w:after="0"/>
        <w:rPr>
          <w:sz w:val="20"/>
          <w:szCs w:val="20"/>
          <w:color w:val="auto"/>
        </w:rPr>
      </w:pPr>
      <w:r>
        <w:rPr>
          <w:rFonts w:ascii="Times New Roman" w:cs="Times New Roman" w:eastAsia="Times New Roman" w:hAnsi="Times New Roman"/>
          <w:sz w:val="22"/>
          <w:szCs w:val="22"/>
          <w:color w:val="auto"/>
        </w:rPr>
        <w:t>“Term &amp; Termination. The term of this Agreement will commence on the Effective Date and will expire on December 31, 2024, unless extended by mutual written agreement of the parties or earlier terminated in accordance with this Section 12 (the “Term”). Notwithstanding anything to the contrary herein, the Company may terminate this Agreement, for any or no reason, on written notice to Executive Chair, and Executive Chair may terminate this agreement, for any reason or no reason, on fifteen (15) days prior written notice to the Company. The Board shall, on or about June 1, 2024, and periodically thereafter, review the ongoing benefit of the Executive Chair position to the Company and may elect to terminate the Agreement in accordance with the preceding sentence following any such review in accordance with the preceding sentence.</w:t>
      </w:r>
    </w:p>
    <w:p>
      <w:pPr>
        <w:spacing w:after="0" w:line="200" w:lineRule="exact"/>
        <w:rPr>
          <w:sz w:val="20"/>
          <w:szCs w:val="20"/>
          <w:color w:val="auto"/>
        </w:rPr>
      </w:pPr>
    </w:p>
    <w:p>
      <w:pPr>
        <w:spacing w:after="0" w:line="216" w:lineRule="exact"/>
        <w:rPr>
          <w:sz w:val="20"/>
          <w:szCs w:val="20"/>
          <w:color w:val="auto"/>
        </w:rPr>
      </w:pPr>
    </w:p>
    <w:p>
      <w:pPr>
        <w:ind w:firstLine="757"/>
        <w:spacing w:after="0" w:line="258"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each of the other provisions of the Agreement shall remain in full force and effect.</w:t>
      </w:r>
    </w:p>
    <w:p>
      <w:pPr>
        <w:spacing w:after="0" w:line="185"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date hereof, each reference in the Agreement to “this Agreement,” “hereunder,” “hereof,” “herein,” or words of like important shall mean and be reference to the Agreement, as amended hereby.</w:t>
      </w:r>
    </w:p>
    <w:p>
      <w:pPr>
        <w:spacing w:after="0" w:line="20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Second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207"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 counterparts, including by electronic (PDF) transmission, each of which shall be deemed an original, but all of which together shall constitute one and the same instrument.</w:t>
      </w:r>
    </w:p>
    <w:p>
      <w:pPr>
        <w:spacing w:after="0" w:line="19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as supplemented and modified by this Amendment contains the Parties’ entire agreement, and there are no promises or conditions in any other agreement between the Parties, whether oral or written, concerning the subject matter hereof. As supplemented and modified by this Amendment., the agreement supersedes any prior written or oral agreements between the Parties concerning the subject matter 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1043940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9" w:name="page170"/>
    <w:bookmarkEnd w:id="169"/>
    <w:p>
      <w:pPr>
        <w:spacing w:after="0" w:line="77" w:lineRule="exact"/>
        <w:rPr>
          <w:sz w:val="20"/>
          <w:szCs w:val="20"/>
          <w:color w:val="auto"/>
        </w:rPr>
      </w:pPr>
    </w:p>
    <w:p>
      <w:pPr>
        <w:ind w:firstLine="88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Amendment No. 2 to Executive Chair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Bo Cumbo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Bo Cumbo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12/31/2023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Ian F. Smith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01/01/2024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70" w:name="page171"/>
    <w:bookmarkEnd w:id="170"/>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THIRD AMENDMENT TO </w:t>
      </w:r>
      <w:r>
        <w:rPr>
          <w:rFonts w:ascii="Times New Roman" w:cs="Times New Roman" w:eastAsia="Times New Roman" w:hAnsi="Times New Roman"/>
          <w:sz w:val="21"/>
          <w:szCs w:val="21"/>
          <w:color w:val="auto"/>
        </w:rPr>
        <w:t>EXECUTIVE CHAIR AGREEMENT (“Amendment”) is</w:t>
      </w:r>
    </w:p>
    <w:p>
      <w:pPr>
        <w:spacing w:after="0" w:line="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effective January 1, 2025 (the “Third Amendment Date”), is by and between Ian F. Smith, an individual having an address at [**] (the “Executive Chair”), and Solid Biosciences Inc., a Delaware corporation (together with its affiliates, the “Company”), having an address at 500 Rutherford Ave.,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 Charlestown, MA 02129.</w:t>
      </w:r>
    </w:p>
    <w:p>
      <w:pPr>
        <w:spacing w:after="0" w:line="58"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WHEREAS, the Executive Chair and the Company are parties to that certain Executive Chair Agreement (“Agreement”), effective as of January 1, 2022 and amended to date by that certain Third Amendment to Executive Chair Agreement (the “Effective Date”), 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desire to further amend the Agreement in the manner set forth below.</w:t>
      </w:r>
    </w:p>
    <w:p>
      <w:pPr>
        <w:spacing w:after="0" w:line="220" w:lineRule="exact"/>
        <w:rPr>
          <w:sz w:val="20"/>
          <w:szCs w:val="20"/>
          <w:color w:val="auto"/>
        </w:rPr>
      </w:pPr>
    </w:p>
    <w:p>
      <w:pPr>
        <w:jc w:val="both"/>
        <w:ind w:firstLine="873"/>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77"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Each capitalized term used but not defined herein shall have the meaning ascribed to such term in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2B as follows:</w:t>
      </w:r>
    </w:p>
    <w:p>
      <w:pPr>
        <w:spacing w:after="0" w:line="2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“2B. Compensation – 2025. As consideration for Services provided under this Agreement from and after January 1, 2025, the Company shall, subject to approval of Company’s Board, grant to Executive Chair equity awards (the “2025 Awards”) with an aggregate total Black Scholes value of $150,000.00 consisting of (i) 50% stock options (the “2025 Stock Options”) at an exercise price per share equal to the closing price of the Company’s Common Stock on the 2025 Grant Date and (ii) 50% restricted stock units (“2025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Grant Date. The 2025 Awards will vest in equal quarterly installments with the first installment vesting three months from the 2025 Grant Date and the final installment vesting date on the date that is 12 months from the 2025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2025 Awards will accelerate and vest in full. The Company’s external compensation consultants evaluated the cash rate and the conversion rate and found the rates to be appropriate. The consultants were present for the official compensation recommendation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Third in its entirety as follows:</w:t>
      </w:r>
    </w:p>
    <w:p>
      <w:pPr>
        <w:spacing w:after="0" w:line="3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 &amp; Termination. The term of this Agreement will commence on the Effective Date. It will expire on December 31, 2025, unless extended by mutual written agreement of the parties or earlier terminated in accordance with this Section 12 (the “Term”). Notwithstanding anything to the contrary herein, the Company may terminate this Agreement, for any or no reason, on written notice to the Executive Chair, and the Executive Chair may terminate this Agreement, for any reason or no reason, on fifteen (15) days’ prior written notice to the Company. The Board shall, on or about June 1, 2025, and periodically thereafter, review the ongoing benefit of the Executive Chair position to the Company and may elect to terminate the Agreement following any such review in accordance with the preceding sentence.</w:t>
      </w:r>
    </w:p>
    <w:p>
      <w:pPr>
        <w:spacing w:after="0" w:line="183" w:lineRule="exact"/>
        <w:rPr>
          <w:sz w:val="20"/>
          <w:szCs w:val="20"/>
          <w:color w:val="auto"/>
        </w:rPr>
      </w:pPr>
    </w:p>
    <w:p>
      <w:pPr>
        <w:ind w:firstLine="757"/>
        <w:spacing w:after="0" w:line="25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each of the other provisions of the Agreement shall remain in full force and effect.</w:t>
      </w:r>
    </w:p>
    <w:p>
      <w:pPr>
        <w:spacing w:after="0" w:line="144"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date hereof, each reference in the Agreement to “this Agreement,” “hereunder,” “hereof,” “herein,” or words of like import shall mean and be a reference to the Agreement, as amended hereby.</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Third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the Commonwealth of Massachusetts and waive any defense of inconvenient forum to the maintenance of any action or proceeding in such courts.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including by electronic (PDF) transmission, each of which shall be deemed an original, but all of which together shall constitute one and the same instrument.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Agreement, as supplemented and modified by this Amendment, contains the Parties' entire agreement, and there are no promises or conditions in any other agreement between the Parties, whether oral or written, concerning the subject matter hereof. As supplemented and modified by this Amendment, the Agreement supersedes any prior written or oral agreements between the Parties concerning the subject matter hereof.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No. 2 to the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Bo Cumbo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Bo Cumbo</w:t>
      </w:r>
    </w:p>
    <w:p>
      <w:pPr>
        <w:spacing w:after="0" w:line="230" w:lineRule="auto"/>
        <w:rPr>
          <w:sz w:val="20"/>
          <w:szCs w:val="20"/>
          <w:color w:val="auto"/>
        </w:rPr>
      </w:pPr>
      <w:r>
        <w:rPr>
          <w:rFonts w:ascii="Times New Roman" w:cs="Times New Roman" w:eastAsia="Times New Roman" w:hAnsi="Times New Roman"/>
          <w:sz w:val="22"/>
          <w:szCs w:val="22"/>
          <w:color w:val="auto"/>
        </w:rPr>
        <w:t>Title: President and 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01/06/2025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Ian F. Smith</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Ian F. Smith</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Date:01/06/2025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3" w:name="page174"/>
    <w:bookmarkEnd w:id="173"/>
    <w:p>
      <w:pPr>
        <w:spacing w:after="0" w:line="200" w:lineRule="exact"/>
        <w:rPr>
          <w:sz w:val="20"/>
          <w:szCs w:val="20"/>
          <w:color w:val="auto"/>
        </w:rPr>
      </w:pPr>
    </w:p>
    <w:p>
      <w:pPr>
        <w:spacing w:after="0" w:line="2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FOURTH AMENDMENT TO EXECUTIVE CHAIR AGREEMENT (“Amendment”) is effective January 1, 2026 (the “Fourth Amendment Date”), is by and between Ian F. Smith, an individual having an address at [**] (the “Executive Chair”), and Solid Biosciences Inc., a Delaware corporation (together with its affiliates, the “Company”), having an address at 500 Rutherford Ave., 3rd Floor, Charlestown, MA 02129.</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Executive Chair and the Company are parties to that certain Executive Chair Agreement (“Agreement”), effective as of January 1, 2022, and amended to date by that certain Second Amendment and Third Amendment to Executive Chair Agreement (the “Effective Date”), and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desire to further amend the Agreement in the manner set forth below.</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58" w:lineRule="exact"/>
        <w:rPr>
          <w:sz w:val="20"/>
          <w:szCs w:val="20"/>
          <w:color w:val="auto"/>
        </w:rPr>
      </w:pPr>
    </w:p>
    <w:p>
      <w:pPr>
        <w:ind w:left="1020" w:hanging="263"/>
        <w:spacing w:after="0"/>
        <w:tabs>
          <w:tab w:leader="none" w:pos="10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Each capitalized term used but not defined herein shall have the meaning ascribed to such term in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2B as follows:</w:t>
      </w:r>
    </w:p>
    <w:p>
      <w:pPr>
        <w:spacing w:after="0" w:line="23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1"/>
          <w:szCs w:val="21"/>
          <w:color w:val="auto"/>
        </w:rPr>
        <w:t xml:space="preserve">“2B. </w:t>
      </w:r>
      <w:r>
        <w:rPr>
          <w:rFonts w:ascii="Times New Roman" w:cs="Times New Roman" w:eastAsia="Times New Roman" w:hAnsi="Times New Roman"/>
          <w:sz w:val="21"/>
          <w:szCs w:val="21"/>
          <w:u w:val="single" w:color="auto"/>
          <w:color w:val="auto"/>
        </w:rPr>
        <w:t>Compensation - 2026</w:t>
      </w:r>
      <w:r>
        <w:rPr>
          <w:rFonts w:ascii="Times New Roman" w:cs="Times New Roman" w:eastAsia="Times New Roman" w:hAnsi="Times New Roman"/>
          <w:sz w:val="21"/>
          <w:szCs w:val="21"/>
          <w:color w:val="auto"/>
        </w:rPr>
        <w:t>. As consideration for Services provided under this Agreement from and after January 1, 2026, the Company shall, subject to approval of Company’s Board, grant to Executive Chair equity awards (the “2026 Awards”) with an aggregate total Black Scholes value of $150,000.00 consisting of (i) 50% stock options (the “2026 Stock Options”) at an exercise price per share equal to the closing price of the Company’s Common Stock on the 2026 Grant Date and (ii) 50% restricted stock units (“2026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Grant Date. The 2026 Awards will vest in equal quarterly installments with the first installment vesting three months from the 2026 Grant Date and the final installment vesting date on the date that is 12 months from the 2026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2026 Awards will accelerate and vest in full. The Company’s external compensation consultants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the cash rate and the conversion rate and found the rates to be appropriate. The consultants were present for the official compensation recommendation to the Compensation Committee.”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Second in its entirety as follows:</w:t>
      </w:r>
    </w:p>
    <w:p>
      <w:pPr>
        <w:spacing w:after="0" w:line="233"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1"/>
          <w:szCs w:val="21"/>
          <w:u w:val="single" w:color="auto"/>
          <w:color w:val="auto"/>
        </w:rPr>
        <w:t>“Term &amp; Termination</w:t>
      </w:r>
      <w:r>
        <w:rPr>
          <w:rFonts w:ascii="Times New Roman" w:cs="Times New Roman" w:eastAsia="Times New Roman" w:hAnsi="Times New Roman"/>
          <w:sz w:val="21"/>
          <w:szCs w:val="21"/>
          <w:color w:val="auto"/>
        </w:rPr>
        <w:t>. The term of this Agreement will commence on the Effective Date. It will expire on December 31, 2026, unless extended by mutual written agreement of the parties or earlier terminated in accordance with this Section 12 (the “Term”). Notwithstanding anything to the contrary herein, the Company may terminate this Agreement, for any or no reason, on written notice to the Executive Chair, and the Executive Chair may terminate this Agreement, for any reason or no reason, on fifteen (15) days’ prior written notice to the Company. The Board shall, on or about June 1, 2026, and periodically thereafter, review the ongoing benefit of the Executive Chair position to the Company and may elect to terminate the Agreement following any such review in accordance with the preceding sentence.</w:t>
      </w:r>
    </w:p>
    <w:p>
      <w:pPr>
        <w:spacing w:after="0" w:line="197" w:lineRule="exact"/>
        <w:rPr>
          <w:sz w:val="20"/>
          <w:szCs w:val="20"/>
          <w:color w:val="auto"/>
        </w:rPr>
      </w:pPr>
    </w:p>
    <w:p>
      <w:pPr>
        <w:ind w:firstLine="757"/>
        <w:spacing w:after="0" w:line="258" w:lineRule="auto"/>
        <w:tabs>
          <w:tab w:leader="none" w:pos="10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each of the other provisions of the Agreement shall remain in full force and effect.</w:t>
      </w:r>
    </w:p>
    <w:p>
      <w:pPr>
        <w:spacing w:after="0" w:line="185"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date hereof, each reference in the Agreement to “this Agreement,” “hereunder,” “hereof,” “herein,” or words of like import shall mean and be a reference to the Agreement, as amended hereby.</w:t>
      </w:r>
    </w:p>
    <w:p>
      <w:pPr>
        <w:spacing w:after="0" w:line="20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the Commonwealth of Massachusetts and waive any defense of inconvenient forum to the maintenance of any action or proceeding in such courts.</w:t>
      </w:r>
    </w:p>
    <w:p>
      <w:pPr>
        <w:spacing w:after="0" w:line="207"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including by electronic (PDF) transmission, each of which shall be deemed an original, but all of which together shall constitute one and the same instrument.</w:t>
      </w:r>
    </w:p>
    <w:p>
      <w:pPr>
        <w:spacing w:after="0" w:line="185"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Agreement, as supplemented and modified by this Amendment, contains the parties’ entire agreement, and there are no promises or conditions in any other agreement between the parties, whether oral or written, concerning the subject matter hereof. As supplemented and modified by this Amendment, the Agreement supersedes any prior written or oral agreements between the parties concerning the subject matter hereof.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to the Agreement below.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Bo Cumbo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Bo Cumbo</w:t>
      </w:r>
    </w:p>
    <w:p>
      <w:pPr>
        <w:spacing w:after="0" w:line="230" w:lineRule="auto"/>
        <w:rPr>
          <w:sz w:val="20"/>
          <w:szCs w:val="20"/>
          <w:color w:val="auto"/>
        </w:rPr>
      </w:pPr>
      <w:r>
        <w:rPr>
          <w:rFonts w:ascii="Times New Roman" w:cs="Times New Roman" w:eastAsia="Times New Roman" w:hAnsi="Times New Roman"/>
          <w:sz w:val="22"/>
          <w:szCs w:val="22"/>
          <w:color w:val="auto"/>
        </w:rPr>
        <w:t>Title: President and 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01-Jan-2026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Ian Smith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Ian F. Smith</w:t>
      </w:r>
    </w:p>
    <w:p>
      <w:pPr>
        <w:spacing w:after="0"/>
        <w:rPr>
          <w:sz w:val="20"/>
          <w:szCs w:val="20"/>
          <w:color w:val="auto"/>
        </w:rPr>
      </w:pPr>
      <w:r>
        <w:rPr>
          <w:rFonts w:ascii="Times New Roman" w:cs="Times New Roman" w:eastAsia="Times New Roman" w:hAnsi="Times New Roman"/>
          <w:sz w:val="22"/>
          <w:szCs w:val="22"/>
          <w:color w:val="auto"/>
        </w:rPr>
        <w:t>Date: 30-Dec-2025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1011555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35"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THIS EMPLOYMENT AGREEMENT (the “Agreement”) is made as of September 29, 2022 by and between Solid Biosciences Inc. (the “Company”) and Bo Cumbo (the “Executive”) (together, the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WHEREAS, the Executive is currently employed by AavantiBio, Inc. (“</w:t>
      </w:r>
      <w:r>
        <w:rPr>
          <w:rFonts w:ascii="Times New Roman" w:cs="Times New Roman" w:eastAsia="Times New Roman" w:hAnsi="Times New Roman"/>
          <w:sz w:val="18"/>
          <w:szCs w:val="18"/>
          <w:u w:val="single" w:color="auto"/>
          <w:color w:val="auto"/>
        </w:rPr>
        <w:t>AavantiBio</w:t>
      </w:r>
      <w:r>
        <w:rPr>
          <w:rFonts w:ascii="Times New Roman" w:cs="Times New Roman" w:eastAsia="Times New Roman" w:hAnsi="Times New Roman"/>
          <w:sz w:val="18"/>
          <w:szCs w:val="18"/>
          <w:color w:val="auto"/>
        </w:rPr>
        <w:t>”) pursuant to that certain Employment Agreement, dated as of July 31, 2020, by and between AavantiBio and the Executive (as amended from time to time, the “Prior Employment Agreement”);</w:t>
      </w:r>
    </w:p>
    <w:p>
      <w:pPr>
        <w:spacing w:after="0" w:line="16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WHEREAS, the Company has entered into an Agreement and Plan of Merger (the “Merger Agreement”) dated as of September 29, 2022, by and among the Company, Greenland Merger Sub LLC, AavantiBio, and Doug Swirsky, solely in his capacity as the equityholder representative, pursuant to which AavantiBio will continue as a wholly owned subsidiary of the Company (such transaction, the “Transaction”);</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WHEREAS, the Parties desire to enter into an agreement whereby the Executive will be employed as an employee of the Company on the terms contained in this Agreement, subject to, and contingent and effective upon, the closing of the Transaction (the “Closing”);</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WHEREAS, this Agreement shall terminate and be of no force or effect upon termination of the Merger Agreement in accordance with the terms thereof, and upon the termination of this Agreement as a result of the termination of the Merger Agreement, no party shall have any further obligations or liability under this Agreement; and</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WHEREAS, the Executive has agreed to accept such employment with the Company upon the Closing on the terms and conditions set forth in this Agreement.</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of the Parties herein contained, the Parties hereto agree to the following terms, which shall govern the Executive’s employment upon the Closing (the “Effective Date”):</w:t>
      </w:r>
    </w:p>
    <w:p>
      <w:pPr>
        <w:spacing w:after="0" w:line="160" w:lineRule="exact"/>
        <w:rPr>
          <w:sz w:val="20"/>
          <w:szCs w:val="20"/>
          <w:color w:val="auto"/>
        </w:rPr>
      </w:pPr>
    </w:p>
    <w:p>
      <w:pPr>
        <w:ind w:right="300" w:firstLine="8"/>
        <w:spacing w:after="0" w:line="267"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This Agreement shall be effective as of the Effective Date. The Executive’s employment on the terms contained in this Agreement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on the Effective Date and shall continue until such employment relationship is terminated in accordance with Section 6 hereof (the “Term of Employment”).</w:t>
      </w:r>
    </w:p>
    <w:p>
      <w:pPr>
        <w:spacing w:after="0" w:line="173" w:lineRule="exact"/>
        <w:rPr>
          <w:rFonts w:ascii="Times New Roman" w:cs="Times New Roman" w:eastAsia="Times New Roman" w:hAnsi="Times New Roman"/>
          <w:sz w:val="18"/>
          <w:szCs w:val="18"/>
          <w:color w:val="auto"/>
        </w:rPr>
      </w:pPr>
    </w:p>
    <w:p>
      <w:pPr>
        <w:ind w:right="360" w:firstLine="8"/>
        <w:spacing w:after="0" w:line="284"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Position</w:t>
      </w:r>
      <w:r>
        <w:rPr>
          <w:rFonts w:ascii="Times New Roman" w:cs="Times New Roman" w:eastAsia="Times New Roman" w:hAnsi="Times New Roman"/>
          <w:sz w:val="18"/>
          <w:szCs w:val="18"/>
          <w:color w:val="auto"/>
        </w:rPr>
        <w:t>. During the Term of Employment, the Executive shall serve as the Chief Executive Officer of the Company, working out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in Charlestown, Massachusetts, and travelling as reasonably required by the Executive’s job duties.</w:t>
      </w:r>
    </w:p>
    <w:p>
      <w:pPr>
        <w:spacing w:after="0" w:line="225" w:lineRule="exact"/>
        <w:rPr>
          <w:rFonts w:ascii="Times New Roman" w:cs="Times New Roman" w:eastAsia="Times New Roman" w:hAnsi="Times New Roman"/>
          <w:sz w:val="18"/>
          <w:szCs w:val="18"/>
          <w:color w:val="auto"/>
        </w:rPr>
      </w:pPr>
    </w:p>
    <w:p>
      <w:pPr>
        <w:ind w:firstLine="8"/>
        <w:spacing w:after="0" w:line="254"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Scope of Employment</w:t>
      </w:r>
      <w:r>
        <w:rPr>
          <w:rFonts w:ascii="Times New Roman" w:cs="Times New Roman" w:eastAsia="Times New Roman" w:hAnsi="Times New Roman"/>
          <w:sz w:val="18"/>
          <w:szCs w:val="18"/>
          <w:color w:val="auto"/>
        </w:rPr>
        <w:t>. During the Term of Employment, the Executive shall be responsible for the performance of those duties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position as Chief Executive Officer. The Executive shall report to the Company’s board of directors (the “Board”)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Board, and membership on boards of directors of community, charitable or industry organizations will be permitted provided that such activities do not create a conflict of interest or otherwise interfere with the Executive’s performance of the Executive’s duties hereunder, as determined by the Board in the Board’s sole discretion.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spacing w:after="0" w:line="192" w:lineRule="exact"/>
        <w:rPr>
          <w:sz w:val="20"/>
          <w:szCs w:val="20"/>
          <w:color w:val="auto"/>
        </w:rPr>
      </w:pPr>
    </w:p>
    <w:p>
      <w:pPr>
        <w:ind w:left="-8" w:right="940" w:firstLine="8"/>
        <w:spacing w:after="0" w:line="284" w:lineRule="auto"/>
        <w:tabs>
          <w:tab w:leader="none" w:pos="17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As full compensation for all services rendered by the Executive to the Company and any affiliate thereof, during the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the Company will provide to the Executive the following:</w:t>
      </w:r>
    </w:p>
    <w:p>
      <w:pPr>
        <w:spacing w:after="0" w:line="158" w:lineRule="exact"/>
        <w:rPr>
          <w:rFonts w:ascii="Times New Roman" w:cs="Times New Roman" w:eastAsia="Times New Roman" w:hAnsi="Times New Roman"/>
          <w:sz w:val="18"/>
          <w:szCs w:val="18"/>
          <w:color w:val="auto"/>
        </w:rPr>
      </w:pPr>
    </w:p>
    <w:p>
      <w:pPr>
        <w:ind w:left="-8" w:right="80" w:firstLine="517"/>
        <w:spacing w:after="0" w:line="267" w:lineRule="auto"/>
        <w:tabs>
          <w:tab w:leader="none" w:pos="74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Executive shall receive a base salary at the annualized rate of $585,000 (the “Base Salary”). The Executive’s Base Salary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in equal installments in accordance with the Company’s regularly established payroll procedures. The Executive’s Base Salary will be reviewed from time to time by the Board and is subject to change in the discretion of the Board.</w:t>
      </w:r>
    </w:p>
    <w:p>
      <w:pPr>
        <w:spacing w:after="0" w:line="173" w:lineRule="exact"/>
        <w:rPr>
          <w:rFonts w:ascii="Times New Roman" w:cs="Times New Roman" w:eastAsia="Times New Roman" w:hAnsi="Times New Roman"/>
          <w:sz w:val="18"/>
          <w:szCs w:val="18"/>
          <w:color w:val="auto"/>
        </w:rPr>
      </w:pPr>
    </w:p>
    <w:p>
      <w:pPr>
        <w:ind w:left="-8" w:right="80" w:firstLine="517"/>
        <w:spacing w:after="0" w:line="253" w:lineRule="auto"/>
        <w:tabs>
          <w:tab w:leader="none" w:pos="75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Discretionary Bonus</w:t>
      </w:r>
      <w:r>
        <w:rPr>
          <w:rFonts w:ascii="Times New Roman" w:cs="Times New Roman" w:eastAsia="Times New Roman" w:hAnsi="Times New Roman"/>
          <w:sz w:val="18"/>
          <w:szCs w:val="18"/>
          <w:color w:val="auto"/>
        </w:rPr>
        <w:t>. Beginning on January 1, 2023, the Executive will be eligible to earn an annual performance bonus of up to 55%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Executive’s Base Salary (the “Target Bonus”), based upon the Board’s assessment of the Executive’s performance and the Company’s attainment of targeted goals as set by the Board in its sole discretion.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as such bonus also serves as an incentive for the Executive to remain employed by the Company, except as specifically set forth below; provided that if the Executive is terminated by the Company without Cause after January 1 but prior to the payment of any annual bonus that would have been paid under this Section 4(b) for the year prior to the year in which the Executive’s employment is terminated, the Executive shall be entitled to receive, on the payment date, the amount of the annual bonus that the Executive would have received for the year prior to termination had the Executive remained employed on the payment date, less all applicable taxes and withholdings. The Executive’s bonus eligibility will be reviewed from time to time by the Board and is subject to change in the discretion of the Board.</w:t>
      </w:r>
    </w:p>
    <w:p>
      <w:pPr>
        <w:spacing w:after="0" w:line="191" w:lineRule="exact"/>
        <w:rPr>
          <w:rFonts w:ascii="Times New Roman" w:cs="Times New Roman" w:eastAsia="Times New Roman" w:hAnsi="Times New Roman"/>
          <w:sz w:val="18"/>
          <w:szCs w:val="18"/>
          <w:color w:val="auto"/>
        </w:rPr>
      </w:pPr>
    </w:p>
    <w:p>
      <w:pPr>
        <w:ind w:left="-8" w:right="100" w:firstLine="517"/>
        <w:spacing w:after="0" w:line="267" w:lineRule="auto"/>
        <w:tabs>
          <w:tab w:leader="none" w:pos="74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Award</w:t>
      </w:r>
      <w:r>
        <w:rPr>
          <w:rFonts w:ascii="Times New Roman" w:cs="Times New Roman" w:eastAsia="Times New Roman" w:hAnsi="Times New Roman"/>
          <w:sz w:val="18"/>
          <w:szCs w:val="18"/>
          <w:color w:val="auto"/>
        </w:rPr>
        <w:t>. Subject to approval by the compensation committee of the Board or a majority of the Company’s Independent Directors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Nasdaq Listing Rule 5605(a)(2), and as a material inducement to the Executive entering into employment with the Company, the Company will grant to the Executive:</w:t>
      </w:r>
    </w:p>
    <w:p>
      <w:pPr>
        <w:spacing w:after="0" w:line="242" w:lineRule="exact"/>
        <w:rPr>
          <w:rFonts w:ascii="Times New Roman" w:cs="Times New Roman" w:eastAsia="Times New Roman" w:hAnsi="Times New Roman"/>
          <w:sz w:val="18"/>
          <w:szCs w:val="18"/>
          <w:color w:val="auto"/>
        </w:rPr>
      </w:pPr>
    </w:p>
    <w:p>
      <w:pPr>
        <w:ind w:left="512" w:right="20" w:firstLine="506"/>
        <w:spacing w:after="0" w:line="256" w:lineRule="auto"/>
        <w:tabs>
          <w:tab w:leader="none" w:pos="123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non-qualified stock option (the “Option”) to purchase 3,433,500 shares of the Company’s common stock, such Option to (1) have an exercise price per share equal to the fair market value of the Company’s common stock on the date of grant, (2) vest and become exercisable, subject to the Executive’s continued employment on each applicable vesting date, at a rate of 25% of the total shares underlying the Option on the first anniversary of the grant date and, following that, as to an additional 1/48th of the total shares underlying the Option upon the Executive’s completion of each additional month of service over the 36-month period measured from the first anniversary of the grant date, (3) have a term of up to 10 years and (4) have such other terms as are set forth in the applicable Option agreement; and</w:t>
      </w:r>
    </w:p>
    <w:p>
      <w:pPr>
        <w:spacing w:after="0" w:line="79" w:lineRule="exact"/>
        <w:rPr>
          <w:rFonts w:ascii="Times New Roman" w:cs="Times New Roman" w:eastAsia="Times New Roman" w:hAnsi="Times New Roman"/>
          <w:sz w:val="18"/>
          <w:szCs w:val="18"/>
          <w:color w:val="auto"/>
        </w:rPr>
      </w:pPr>
    </w:p>
    <w:p>
      <w:pPr>
        <w:ind w:left="512" w:firstLine="506"/>
        <w:spacing w:after="0" w:line="261" w:lineRule="auto"/>
        <w:tabs>
          <w:tab w:leader="none" w:pos="128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1,716,749 restricted stock units (the “RSUs” and, together with the Option, the “Equity Awards”), which RSUs shall (1) entitle the Executive to receive one share of the Company’s common stock for each RSU that vests, (2) vest and become exercisable, subject to the Executive’s continued employment on each applicable vesting date, at a rate of 25% of the total shares underlying the RSUs on each anniversary of the grant date and (3) have such other terms as are set forth in the applicable RSU agreement.</w:t>
      </w:r>
    </w:p>
    <w:p>
      <w:pPr>
        <w:spacing w:after="0" w:line="71" w:lineRule="exact"/>
        <w:rPr>
          <w:rFonts w:ascii="Times New Roman" w:cs="Times New Roman" w:eastAsia="Times New Roman" w:hAnsi="Times New Roman"/>
          <w:sz w:val="18"/>
          <w:szCs w:val="18"/>
          <w:color w:val="auto"/>
        </w:rPr>
      </w:pPr>
    </w:p>
    <w:p>
      <w:pPr>
        <w:ind w:left="512" w:right="20" w:firstLine="506"/>
        <w:spacing w:after="0" w:line="258" w:lineRule="auto"/>
        <w:tabs>
          <w:tab w:leader="none" w:pos="133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Awards will be granted outside of the Company’s equity incentive plans as “inducement grants” within the meaning of Nasdaq Listing Rule 5635(c)(4). The Equity Awards are subject to adjustment for stock splits, combinations or other changes in capitalization. For the avoidance of doubt, subject to the grant of the Equity Awards, the Executive will not be eligible to receive any equity awards in the Company’s regular 2023 annual equity grant cycle, but will otherwise be eligible to receive additional equity awards, if any, at such times and on such terms and conditions as the Board shall, in its sole discretion, determine.</w:t>
      </w:r>
    </w:p>
    <w:p>
      <w:pPr>
        <w:spacing w:after="0" w:line="181" w:lineRule="exact"/>
        <w:rPr>
          <w:rFonts w:ascii="Times New Roman" w:cs="Times New Roman" w:eastAsia="Times New Roman" w:hAnsi="Times New Roman"/>
          <w:sz w:val="18"/>
          <w:szCs w:val="18"/>
          <w:color w:val="auto"/>
        </w:rPr>
      </w:pPr>
    </w:p>
    <w:p>
      <w:pPr>
        <w:ind w:left="-8" w:right="260" w:firstLine="517"/>
        <w:spacing w:after="0" w:line="284" w:lineRule="auto"/>
        <w:tabs>
          <w:tab w:leader="none" w:pos="75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Paid Time Off</w:t>
      </w:r>
      <w:r>
        <w:rPr>
          <w:rFonts w:ascii="Times New Roman" w:cs="Times New Roman" w:eastAsia="Times New Roman" w:hAnsi="Times New Roman"/>
          <w:sz w:val="18"/>
          <w:szCs w:val="18"/>
          <w:color w:val="auto"/>
        </w:rPr>
        <w:t>. The Executive shall receive paid vacation time plus sick time, consistent with the Company’s policies as in effect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In addition, the Executive shall receive paid time off for Company holidays which are set annually and in accordance with Company policy.</w:t>
      </w:r>
    </w:p>
    <w:p>
      <w:pPr>
        <w:spacing w:after="0" w:line="158" w:lineRule="exact"/>
        <w:rPr>
          <w:rFonts w:ascii="Times New Roman" w:cs="Times New Roman" w:eastAsia="Times New Roman" w:hAnsi="Times New Roman"/>
          <w:sz w:val="18"/>
          <w:szCs w:val="18"/>
          <w:color w:val="auto"/>
        </w:rPr>
      </w:pPr>
    </w:p>
    <w:p>
      <w:pPr>
        <w:ind w:left="-8" w:right="80" w:firstLine="517"/>
        <w:spacing w:after="0" w:line="284" w:lineRule="auto"/>
        <w:tabs>
          <w:tab w:leader="none" w:pos="74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Subject to eligibility requirements and the Company’s polices, the Executive shall have the right, on the same basis as other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to participate in, and to receive benefits under, any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854710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78" w:name="page179"/>
    <w:bookmarkEnd w:id="178"/>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 Benefits are subject to change at any time in the Company’s sole discretion.</w:t>
      </w:r>
    </w:p>
    <w:p>
      <w:pPr>
        <w:spacing w:after="0" w:line="174" w:lineRule="exact"/>
        <w:rPr>
          <w:sz w:val="20"/>
          <w:szCs w:val="20"/>
          <w:color w:val="auto"/>
        </w:rPr>
      </w:pPr>
    </w:p>
    <w:p>
      <w:pPr>
        <w:ind w:left="740" w:hanging="223"/>
        <w:spacing w:after="0"/>
        <w:tabs>
          <w:tab w:leader="none" w:pos="74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Withholdings</w:t>
      </w:r>
      <w:r>
        <w:rPr>
          <w:rFonts w:ascii="Times New Roman" w:cs="Times New Roman" w:eastAsia="Times New Roman" w:hAnsi="Times New Roman"/>
          <w:sz w:val="18"/>
          <w:szCs w:val="18"/>
          <w:color w:val="auto"/>
        </w:rPr>
        <w:t>. All compensation payable to the Executive shall be subject to applicable taxes and withholdings.</w:t>
      </w:r>
    </w:p>
    <w:p>
      <w:pPr>
        <w:spacing w:after="0" w:line="225" w:lineRule="exact"/>
        <w:rPr>
          <w:rFonts w:ascii="Times New Roman" w:cs="Times New Roman" w:eastAsia="Times New Roman" w:hAnsi="Times New Roman"/>
          <w:sz w:val="18"/>
          <w:szCs w:val="18"/>
          <w:color w:val="auto"/>
        </w:rPr>
      </w:pPr>
    </w:p>
    <w:p>
      <w:pPr>
        <w:ind w:right="80" w:firstLine="8"/>
        <w:spacing w:after="0" w:line="284"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Executive will be reimbursed for the Executive’s actual, necessary and reasonable business expense pursuant to Company policy,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provisions of Section 3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5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Employment Termination</w:t>
      </w:r>
      <w:r>
        <w:rPr>
          <w:rFonts w:ascii="Times New Roman" w:cs="Times New Roman" w:eastAsia="Times New Roman" w:hAnsi="Times New Roman"/>
          <w:sz w:val="18"/>
          <w:szCs w:val="18"/>
          <w:color w:val="auto"/>
        </w:rPr>
        <w:t>. This Agreement and the employment of the Executive shall terminate upon the occurrence of any of the following:</w:t>
      </w:r>
    </w:p>
    <w:p>
      <w:pPr>
        <w:spacing w:after="0" w:line="294" w:lineRule="exact"/>
        <w:rPr>
          <w:rFonts w:ascii="Times New Roman" w:cs="Times New Roman" w:eastAsia="Times New Roman" w:hAnsi="Times New Roman"/>
          <w:sz w:val="18"/>
          <w:szCs w:val="18"/>
          <w:color w:val="auto"/>
        </w:rPr>
      </w:pPr>
    </w:p>
    <w:p>
      <w:pPr>
        <w:ind w:right="160" w:firstLine="517"/>
        <w:spacing w:after="0" w:line="261" w:lineRule="auto"/>
        <w:tabs>
          <w:tab w:leader="none" w:pos="75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death of the Executive or at the election of the Company due to the Executive’s “Disability”.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during any twelve-month period. The Company shall determine in good faith and in its sole discretion whether the Executive is unable to perform the services provided for herein.</w:t>
      </w:r>
    </w:p>
    <w:p>
      <w:pPr>
        <w:spacing w:after="0" w:line="179" w:lineRule="exact"/>
        <w:rPr>
          <w:rFonts w:ascii="Times New Roman" w:cs="Times New Roman" w:eastAsia="Times New Roman" w:hAnsi="Times New Roman"/>
          <w:sz w:val="18"/>
          <w:szCs w:val="18"/>
          <w:color w:val="auto"/>
        </w:rPr>
      </w:pPr>
    </w:p>
    <w:p>
      <w:pPr>
        <w:ind w:right="40" w:firstLine="517"/>
        <w:spacing w:after="0" w:line="282" w:lineRule="auto"/>
        <w:tabs>
          <w:tab w:leader="none" w:pos="76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Company, with or without “Cause” (as defined below), immediately upon written notice by the Company to the Executive. As used in this Agreement, “Cause” shall mean a finding by the Board that the Executive:</w:t>
      </w:r>
    </w:p>
    <w:p>
      <w:pPr>
        <w:spacing w:after="0" w:line="67" w:lineRule="exact"/>
        <w:rPr>
          <w:rFonts w:ascii="Times New Roman" w:cs="Times New Roman" w:eastAsia="Times New Roman" w:hAnsi="Times New Roman"/>
          <w:sz w:val="18"/>
          <w:szCs w:val="18"/>
          <w:color w:val="auto"/>
        </w:rPr>
      </w:pPr>
    </w:p>
    <w:p>
      <w:pPr>
        <w:ind w:left="1020" w:right="900" w:hanging="55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the Executive’s duties, in the good faith opinion of the Board, in a grossly negligent or reckless manner or with willful malfeasance;</w:t>
      </w:r>
    </w:p>
    <w:p>
      <w:pPr>
        <w:spacing w:after="0" w:line="67"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exhibited habitual drunkenness or engaged in substance abuse;</w:t>
      </w:r>
    </w:p>
    <w:p>
      <w:pPr>
        <w:spacing w:after="0" w:line="130" w:lineRule="exact"/>
        <w:rPr>
          <w:rFonts w:ascii="Times New Roman" w:cs="Times New Roman" w:eastAsia="Times New Roman" w:hAnsi="Times New Roman"/>
          <w:sz w:val="18"/>
          <w:szCs w:val="18"/>
          <w:color w:val="auto"/>
        </w:rPr>
      </w:pPr>
    </w:p>
    <w:p>
      <w:pPr>
        <w:jc w:val="both"/>
        <w:ind w:left="1020" w:right="520" w:hanging="55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any material violation of any state or federal law relating to the workplace environment (including, without limitation, laws relating to sexual harassment or age, sex or other prohibited discrimination) or any material violation of any material Company policy;</w:t>
      </w:r>
    </w:p>
    <w:p>
      <w:pPr>
        <w:spacing w:after="0" w:line="67" w:lineRule="exact"/>
        <w:rPr>
          <w:rFonts w:ascii="Times New Roman" w:cs="Times New Roman" w:eastAsia="Times New Roman" w:hAnsi="Times New Roman"/>
          <w:sz w:val="18"/>
          <w:szCs w:val="18"/>
          <w:color w:val="auto"/>
        </w:rPr>
      </w:pPr>
    </w:p>
    <w:p>
      <w:pPr>
        <w:ind w:left="1020" w:right="20" w:hanging="553"/>
        <w:spacing w:after="0" w:line="257"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failed or refused to perform in the usual manner at the usual time those duties which the Executive regularly and routinely performed in connection with the business of the Company or such other duties reasonably related to the capacity in which the Executive is employed hereunder which may be assigned to the Executive by the Board, which failure or refusal continues for a period of more than seven</w:t>
      </w:r>
    </w:p>
    <w:p>
      <w:pPr>
        <w:spacing w:after="0" w:line="1" w:lineRule="exact"/>
        <w:rPr>
          <w:rFonts w:ascii="Times New Roman" w:cs="Times New Roman" w:eastAsia="Times New Roman" w:hAnsi="Times New Roman"/>
          <w:sz w:val="18"/>
          <w:szCs w:val="18"/>
          <w:color w:val="auto"/>
        </w:rPr>
      </w:pPr>
    </w:p>
    <w:p>
      <w:pPr>
        <w:ind w:left="102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days after written notice thereof has been provided to the Executive by the Board, such notice to set forth in reasonable detail the nature of such failure or refusal;</w:t>
      </w:r>
    </w:p>
    <w:p>
      <w:pPr>
        <w:spacing w:after="0" w:line="8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any material action when specifically and reasonably instructed not to do so by the Board;</w:t>
      </w:r>
    </w:p>
    <w:p>
      <w:pPr>
        <w:spacing w:after="0" w:line="130" w:lineRule="exact"/>
        <w:rPr>
          <w:rFonts w:ascii="Times New Roman" w:cs="Times New Roman" w:eastAsia="Times New Roman" w:hAnsi="Times New Roman"/>
          <w:sz w:val="18"/>
          <w:szCs w:val="18"/>
          <w:color w:val="auto"/>
        </w:rPr>
      </w:pPr>
    </w:p>
    <w:p>
      <w:pPr>
        <w:ind w:left="1020" w:right="700" w:hanging="55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any fraud or used or appropriated for the Executive’s personal use or benefit any funds, properties or opportunities of the Company not authorized by the Board to be so used or appropriated; or</w:t>
      </w:r>
    </w:p>
    <w:p>
      <w:pPr>
        <w:spacing w:after="0" w:line="67" w:lineRule="exact"/>
        <w:rPr>
          <w:rFonts w:ascii="Times New Roman" w:cs="Times New Roman" w:eastAsia="Times New Roman" w:hAnsi="Times New Roman"/>
          <w:sz w:val="18"/>
          <w:szCs w:val="18"/>
          <w:color w:val="auto"/>
        </w:rPr>
      </w:pPr>
    </w:p>
    <w:p>
      <w:pPr>
        <w:ind w:left="1020" w:right="180" w:hanging="55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convicted of, or pled guilty or “no contest” to, any felony or any other crime related to the Executive’s employment or involving moral turpitude.</w:t>
      </w:r>
    </w:p>
    <w:p>
      <w:pPr>
        <w:spacing w:after="0" w:line="161" w:lineRule="exact"/>
        <w:rPr>
          <w:rFonts w:ascii="Times New Roman" w:cs="Times New Roman" w:eastAsia="Times New Roman" w:hAnsi="Times New Roman"/>
          <w:sz w:val="18"/>
          <w:szCs w:val="18"/>
          <w:color w:val="auto"/>
        </w:rPr>
      </w:pPr>
    </w:p>
    <w:p>
      <w:pPr>
        <w:ind w:right="300" w:firstLine="517"/>
        <w:spacing w:after="0" w:line="266" w:lineRule="auto"/>
        <w:tabs>
          <w:tab w:leader="none" w:pos="75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81" w:lineRule="exact"/>
        <w:rPr>
          <w:sz w:val="20"/>
          <w:szCs w:val="20"/>
          <w:color w:val="auto"/>
        </w:rPr>
      </w:pPr>
    </w:p>
    <w:p>
      <w:pPr>
        <w:ind w:left="1020" w:hanging="55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nature or scope of Executive’s duties, responsibilities, or authority;</w:t>
      </w:r>
    </w:p>
    <w:p>
      <w:pPr>
        <w:spacing w:after="0" w:line="292"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the Executive’s base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ind w:left="1020" w:right="460" w:hanging="55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Executive to relocate Executive’s primary office more than fifty (50) miles from the Executive’s then-current primary office; or</w:t>
      </w:r>
    </w:p>
    <w:p>
      <w:pPr>
        <w:spacing w:after="0" w:line="67"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by the Company not otherwise covered by this paragraph;</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74"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517"/>
        <w:spacing w:after="0" w:line="253" w:lineRule="auto"/>
        <w:tabs>
          <w:tab w:leader="none" w:pos="75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Terminations Other Than by the Company Without Cause or by the Executive With Good Reason</w:t>
      </w:r>
      <w:r>
        <w:rPr>
          <w:rFonts w:ascii="Times New Roman" w:cs="Times New Roman" w:eastAsia="Times New Roman" w:hAnsi="Times New Roman"/>
          <w:sz w:val="18"/>
          <w:szCs w:val="18"/>
          <w:color w:val="auto"/>
        </w:rPr>
        <w:t>. If the Executive’s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under any circumstances other 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91" w:lineRule="exact"/>
        <w:rPr>
          <w:rFonts w:ascii="Times New Roman" w:cs="Times New Roman" w:eastAsia="Times New Roman" w:hAnsi="Times New Roman"/>
          <w:sz w:val="18"/>
          <w:szCs w:val="18"/>
          <w:color w:val="auto"/>
        </w:rPr>
      </w:pPr>
    </w:p>
    <w:p>
      <w:pPr>
        <w:ind w:firstLine="517"/>
        <w:spacing w:after="0" w:line="254" w:lineRule="auto"/>
        <w:tabs>
          <w:tab w:leader="none" w:pos="7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Without Cause or by the Executive With Good Reason Prior to or More Than Twelve Months Following a Change in Control. </w:t>
      </w:r>
      <w:r>
        <w:rPr>
          <w:rFonts w:ascii="Times New Roman" w:cs="Times New Roman" w:eastAsia="Times New Roman" w:hAnsi="Times New Roman"/>
          <w:sz w:val="18"/>
          <w:szCs w:val="18"/>
          <w:color w:val="auto"/>
        </w:rPr>
        <w:t>If the Executive’s employment is terminated by the Company without Cause pursuant to Section 6(b) or by the Executive with 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Section 6(c) (in either case, a “Qualifying Termination”) prior to or more than twelve (12) months following a Change in Control (as defined below), the Executive shall be entitled to the Accrued Obligations. In addition, and subject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conditions of Section 7(d),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52" w:lineRule="exact"/>
        <w:rPr>
          <w:rFonts w:ascii="Times New Roman" w:cs="Times New Roman" w:eastAsia="Times New Roman" w:hAnsi="Times New Roman"/>
          <w:sz w:val="18"/>
          <w:szCs w:val="18"/>
          <w:color w:val="auto"/>
        </w:rPr>
      </w:pPr>
    </w:p>
    <w:p>
      <w:pPr>
        <w:ind w:firstLine="517"/>
        <w:spacing w:after="0" w:line="253" w:lineRule="auto"/>
        <w:tabs>
          <w:tab w:leader="none" w:pos="75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Without Cause or by the Executive With Good Reason Within Twelve Months Following a Change in Control. </w:t>
      </w:r>
      <w:r>
        <w:rPr>
          <w:rFonts w:ascii="Times New Roman" w:cs="Times New Roman" w:eastAsia="Times New Roman" w:hAnsi="Times New Roman"/>
          <w:sz w:val="18"/>
          <w:szCs w:val="18"/>
          <w:color w:val="auto"/>
        </w:rPr>
        <w:t>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Qualifying Termination occurs within twelve (12) months following a Change in Control, then the Executive shall be entitled to the Accrued Obligations. In addition, and subject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conditions of Section 7(d), the Company shall: (i) continue to pay to the Executive, in accordance with the Company’s regularly established payroll procedures, the Executive’s Base Salary for a period of eighteen (18) months; (ii) pay to the Executive, in a single lump sum on the Payment Date (as defined below) an amount equal to 150% of the Executive’s Target Bonus for the year in which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eighteen (18)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0" w:name="page181"/>
    <w:bookmarkEnd w:id="180"/>
    <w:p>
      <w:pPr>
        <w:ind w:right="600"/>
        <w:spacing w:after="0" w:line="282" w:lineRule="auto"/>
        <w:rPr>
          <w:sz w:val="20"/>
          <w:szCs w:val="20"/>
          <w:color w:val="auto"/>
        </w:rPr>
      </w:pPr>
      <w:r>
        <w:rPr>
          <w:rFonts w:ascii="Times New Roman" w:cs="Times New Roman" w:eastAsia="Times New Roman" w:hAnsi="Times New Roman"/>
          <w:sz w:val="18"/>
          <w:szCs w:val="18"/>
          <w:color w:val="auto"/>
        </w:rPr>
        <w:t>time-based equity awards shall vest and become fully exercisable or non-forfeitable as of the termination date (collectively, the “Change in Control Severance Benefits”).</w:t>
      </w:r>
    </w:p>
    <w:p>
      <w:pPr>
        <w:spacing w:after="0" w:line="160" w:lineRule="exact"/>
        <w:rPr>
          <w:sz w:val="20"/>
          <w:szCs w:val="20"/>
          <w:color w:val="auto"/>
        </w:rPr>
      </w:pPr>
    </w:p>
    <w:p>
      <w:pPr>
        <w:ind w:firstLine="517"/>
        <w:spacing w:after="0" w:line="253" w:lineRule="auto"/>
        <w:tabs>
          <w:tab w:leader="none" w:pos="7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and Release of Claims Agreement</w:t>
      </w:r>
      <w:r>
        <w:rPr>
          <w:rFonts w:ascii="Times New Roman" w:cs="Times New Roman" w:eastAsia="Times New Roman" w:hAnsi="Times New Roman"/>
          <w:sz w:val="18"/>
          <w:szCs w:val="18"/>
          <w:color w:val="auto"/>
        </w:rPr>
        <w:t>. As a condition of the Executive’s receipt of the Severance Benefits or the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 reaffirmation of the Executive’s continuing obligations under any existing restrictive covenant agreements, and an agreement not to compete with the Company for twelve (12) months following the Executive’s separation from employment),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w:t>
      </w:r>
    </w:p>
    <w:p>
      <w:pPr>
        <w:spacing w:after="0" w:line="259" w:lineRule="exact"/>
        <w:rPr>
          <w:rFonts w:ascii="Times New Roman" w:cs="Times New Roman" w:eastAsia="Times New Roman" w:hAnsi="Times New Roman"/>
          <w:sz w:val="18"/>
          <w:szCs w:val="18"/>
          <w:color w:val="auto"/>
        </w:rPr>
      </w:pPr>
    </w:p>
    <w:p>
      <w:pPr>
        <w:ind w:firstLine="517"/>
        <w:spacing w:after="0" w:line="251" w:lineRule="auto"/>
        <w:tabs>
          <w:tab w:leader="none" w:pos="7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Definition</w:t>
      </w:r>
      <w:r>
        <w:rPr>
          <w:rFonts w:ascii="Times New Roman" w:cs="Times New Roman" w:eastAsia="Times New Roman" w:hAnsi="Times New Roman"/>
          <w:sz w:val="18"/>
          <w:szCs w:val="18"/>
          <w:color w:val="auto"/>
        </w:rPr>
        <w:t>. For purposes of this Agreement, “Change in Control” shall mean the occurrence of any of the following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1" w:name="page182"/>
    <w:bookmarkEnd w:id="181"/>
    <w:p>
      <w:pPr>
        <w:ind w:right="160"/>
        <w:spacing w:after="0" w:line="261" w:lineRule="auto"/>
        <w:rPr>
          <w:sz w:val="20"/>
          <w:szCs w:val="20"/>
          <w:color w:val="auto"/>
        </w:rPr>
      </w:pPr>
      <w:r>
        <w:rPr>
          <w:rFonts w:ascii="Times New Roman" w:cs="Times New Roman" w:eastAsia="Times New Roman" w:hAnsi="Times New Roman"/>
          <w:sz w:val="18"/>
          <w:szCs w:val="18"/>
          <w:color w:val="auto"/>
        </w:rPr>
        <w:t>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245" w:lineRule="exact"/>
        <w:rPr>
          <w:sz w:val="20"/>
          <w:szCs w:val="20"/>
          <w:color w:val="auto"/>
        </w:rPr>
      </w:pPr>
    </w:p>
    <w:p>
      <w:pPr>
        <w:ind w:right="640" w:firstLine="8"/>
        <w:spacing w:after="0" w:line="284"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Modified Section 280G Cutback</w:t>
      </w:r>
      <w:r>
        <w:rPr>
          <w:rFonts w:ascii="Times New Roman" w:cs="Times New Roman" w:eastAsia="Times New Roman" w:hAnsi="Times New Roman"/>
          <w:sz w:val="18"/>
          <w:szCs w:val="18"/>
          <w:color w:val="auto"/>
        </w:rPr>
        <w:t>. Notwithstanding any other provision of this Agreement, except as set forth in Section 8(b), in the event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undergoes a “Change in Ownership or Control” (as defined below), the following provisions shall apply:</w:t>
      </w:r>
    </w:p>
    <w:p>
      <w:pPr>
        <w:spacing w:after="0" w:line="160" w:lineRule="exact"/>
        <w:rPr>
          <w:rFonts w:ascii="Times New Roman" w:cs="Times New Roman" w:eastAsia="Times New Roman" w:hAnsi="Times New Roman"/>
          <w:sz w:val="18"/>
          <w:szCs w:val="18"/>
          <w:color w:val="auto"/>
        </w:rPr>
      </w:pPr>
    </w:p>
    <w:p>
      <w:pPr>
        <w:ind w:right="80" w:firstLine="517"/>
        <w:spacing w:after="0" w:line="258" w:lineRule="auto"/>
        <w:tabs>
          <w:tab w:leader="none" w:pos="75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provide to the Executive any portion of any “Contingent Compensation Payments” (as defined below) that the Executive would otherwise be entitled to receive to the extent necessary to eliminate any “excess parachute payments” (as defined in Section 280G(b)(1) of the Code) for the Executive. For purposes of this Section 8,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83" w:lineRule="exact"/>
        <w:rPr>
          <w:rFonts w:ascii="Times New Roman" w:cs="Times New Roman" w:eastAsia="Times New Roman" w:hAnsi="Times New Roman"/>
          <w:sz w:val="18"/>
          <w:szCs w:val="18"/>
          <w:color w:val="auto"/>
        </w:rPr>
      </w:pPr>
    </w:p>
    <w:p>
      <w:pPr>
        <w:ind w:right="40" w:firstLine="517"/>
        <w:spacing w:after="0" w:line="254" w:lineRule="auto"/>
        <w:tabs>
          <w:tab w:leader="none" w:pos="7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8(a),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8(b) shall be referred to as a “Section 8(b)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88"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8 the following terms shall have the following respective meanings:</w:t>
      </w:r>
    </w:p>
    <w:p>
      <w:pPr>
        <w:spacing w:after="0" w:line="117" w:lineRule="exact"/>
        <w:rPr>
          <w:rFonts w:ascii="Times New Roman" w:cs="Times New Roman" w:eastAsia="Times New Roman" w:hAnsi="Times New Roman"/>
          <w:sz w:val="18"/>
          <w:szCs w:val="18"/>
          <w:color w:val="auto"/>
        </w:rPr>
      </w:pPr>
    </w:p>
    <w:p>
      <w:pPr>
        <w:ind w:left="520" w:right="360" w:firstLine="506"/>
        <w:spacing w:after="0" w:line="282" w:lineRule="auto"/>
        <w:tabs>
          <w:tab w:leader="none" w:pos="1244"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66" w:lineRule="auto"/>
        <w:tabs>
          <w:tab w:leader="none" w:pos="1294"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Compensation Payment”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280G(b)(2)(A)(i) of the Code) on a Change in Ownership or Control of the Company.</w:t>
      </w:r>
    </w:p>
    <w:p>
      <w:pPr>
        <w:spacing w:after="0" w:line="175" w:lineRule="exact"/>
        <w:rPr>
          <w:rFonts w:ascii="Times New Roman" w:cs="Times New Roman" w:eastAsia="Times New Roman" w:hAnsi="Times New Roman"/>
          <w:sz w:val="18"/>
          <w:szCs w:val="18"/>
          <w:color w:val="auto"/>
        </w:rPr>
      </w:pPr>
    </w:p>
    <w:p>
      <w:pPr>
        <w:ind w:firstLine="517"/>
        <w:spacing w:after="0" w:line="261" w:lineRule="auto"/>
        <w:tabs>
          <w:tab w:leader="none" w:pos="7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8(d). Within thirty (30) days after each date on which the Executive first becomes entitled to receive (whether or not then due) a Contingent Compensation Payment</w:t>
      </w:r>
    </w:p>
    <w:p>
      <w:pPr>
        <w:spacing w:after="0" w:line="24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relating to such Change in Ownership or Control, the Company shall determine and notify the Executive (with reasonable detail regarding the basis for its determinations) (1) which Potential Payments constitute Contingent Compensation Payments, (2) the Eliminated Amount and (3) whether the Section 8(b) Override is applicable. Within thirty (30) days after delivery of such notice to the Executive, the Executive shall deliver a response to the Company (the “Executive Response”) stating either (A) that the Executive agrees with the Company’s determination pursuant to the preceding sentence or (B) that the Executive disagrees with such determination, in which case the Executive shall set forth (x) which Potential Payments should be characterized as Contingent Compensation Payments, (y) the Eliminated Amount, and (z) whether the Section 8(b) Override is applicable. In the event that the Executive fails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2" w:name="page183"/>
    <w:bookmarkEnd w:id="182"/>
    <w:p>
      <w:pPr>
        <w:spacing w:after="0" w:line="253" w:lineRule="auto"/>
        <w:rPr>
          <w:sz w:val="20"/>
          <w:szCs w:val="20"/>
          <w:color w:val="auto"/>
        </w:rPr>
      </w:pPr>
      <w:r>
        <w:rPr>
          <w:rFonts w:ascii="Times New Roman" w:cs="Times New Roman" w:eastAsia="Times New Roman" w:hAnsi="Times New Roman"/>
          <w:sz w:val="18"/>
          <w:szCs w:val="18"/>
          <w:color w:val="auto"/>
        </w:rPr>
        <w:t>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 with the Company’s determination, then, for a period of sixty (60) days following delivery of the Executive Response, the Executive and the Company shall use good faith efforts to resolve such dispute. If such dispute is not resolved within such 60-day period, such dispute shall be settled exclusively by arbitration in Charlestown, Massachusetts, in accordance with the rules of the American Arbitration Association then in effect. Judgment may be entered on the arbitrator’s award in any court having jurisdiction. The Company shall, within three (3)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w:t>
      </w:r>
    </w:p>
    <w:p>
      <w:pPr>
        <w:spacing w:after="0" w:line="190" w:lineRule="exact"/>
        <w:rPr>
          <w:sz w:val="20"/>
          <w:szCs w:val="20"/>
          <w:color w:val="auto"/>
        </w:rPr>
      </w:pPr>
    </w:p>
    <w:p>
      <w:pPr>
        <w:ind w:firstLine="517"/>
        <w:spacing w:after="0" w:line="253" w:lineRule="auto"/>
        <w:tabs>
          <w:tab w:leader="none" w:pos="75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 Q/A-24(b) or (c)).</w:t>
      </w:r>
    </w:p>
    <w:p>
      <w:pPr>
        <w:spacing w:after="0" w:line="254" w:lineRule="exact"/>
        <w:rPr>
          <w:rFonts w:ascii="Times New Roman" w:cs="Times New Roman" w:eastAsia="Times New Roman" w:hAnsi="Times New Roman"/>
          <w:sz w:val="18"/>
          <w:szCs w:val="18"/>
          <w:color w:val="auto"/>
        </w:rPr>
      </w:pPr>
    </w:p>
    <w:p>
      <w:pPr>
        <w:ind w:right="20" w:firstLine="517"/>
        <w:spacing w:after="0" w:line="282" w:lineRule="auto"/>
        <w:tabs>
          <w:tab w:leader="none" w:pos="73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8 are intended to apply to any and all payments or benefits available to the Executive under this Agreement or any other agreement or plan under which the Executive receives Contingent Compensation Payments.</w:t>
      </w:r>
    </w:p>
    <w:p>
      <w:pPr>
        <w:spacing w:after="0" w:line="159" w:lineRule="exact"/>
        <w:rPr>
          <w:rFonts w:ascii="Times New Roman" w:cs="Times New Roman" w:eastAsia="Times New Roman" w:hAnsi="Times New Roman"/>
          <w:sz w:val="18"/>
          <w:szCs w:val="18"/>
          <w:color w:val="auto"/>
        </w:rPr>
      </w:pPr>
    </w:p>
    <w:p>
      <w:pPr>
        <w:ind w:right="100" w:firstLine="8"/>
        <w:spacing w:after="0" w:line="267" w:lineRule="auto"/>
        <w:tabs>
          <w:tab w:leader="none" w:pos="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Restrictive Covenants Agreements</w:t>
      </w:r>
      <w:r>
        <w:rPr>
          <w:rFonts w:ascii="Times New Roman" w:cs="Times New Roman" w:eastAsia="Times New Roman" w:hAnsi="Times New Roman"/>
          <w:sz w:val="18"/>
          <w:szCs w:val="18"/>
          <w:color w:val="auto"/>
        </w:rPr>
        <w:t>. As a condition of the Executive’s employment pursuant to the terms set forth in this Agreement, the Executive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execute and comply with the terms of (a) the Invention, Nondisclosure and Nonsolicitation Agreement and (b) the Noncompetition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respectively.</w:t>
      </w:r>
    </w:p>
    <w:p>
      <w:pPr>
        <w:spacing w:after="0" w:line="173" w:lineRule="exact"/>
        <w:rPr>
          <w:rFonts w:ascii="Times New Roman" w:cs="Times New Roman" w:eastAsia="Times New Roman" w:hAnsi="Times New Roman"/>
          <w:sz w:val="18"/>
          <w:szCs w:val="18"/>
          <w:color w:val="auto"/>
        </w:rPr>
      </w:pPr>
    </w:p>
    <w:p>
      <w:pPr>
        <w:ind w:right="120" w:firstLine="8"/>
        <w:spacing w:after="0" w:line="267" w:lineRule="auto"/>
        <w:tabs>
          <w:tab w:leader="none" w:pos="2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Restrictions</w:t>
      </w:r>
      <w:r>
        <w:rPr>
          <w:rFonts w:ascii="Times New Roman" w:cs="Times New Roman" w:eastAsia="Times New Roman" w:hAnsi="Times New Roman"/>
          <w:sz w:val="18"/>
          <w:szCs w:val="18"/>
          <w:color w:val="auto"/>
        </w:rPr>
        <w:t>. The Executive represents and warrants that the Executive is not bound by any employment contracts, restrictive covenants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restrictions that prevent the Executive from entering into employment with, or carrying out the Executive’s responsibilities for, the Company, or which are in any way inconsistent with any of the terms of this Agreement.</w:t>
      </w:r>
    </w:p>
    <w:p>
      <w:pPr>
        <w:spacing w:after="0" w:line="173" w:lineRule="exact"/>
        <w:rPr>
          <w:rFonts w:ascii="Times New Roman" w:cs="Times New Roman" w:eastAsia="Times New Roman" w:hAnsi="Times New Roman"/>
          <w:sz w:val="18"/>
          <w:szCs w:val="18"/>
          <w:color w:val="auto"/>
        </w:rPr>
      </w:pPr>
    </w:p>
    <w:p>
      <w:pPr>
        <w:ind w:right="20" w:firstLine="8"/>
        <w:spacing w:after="0" w:line="267" w:lineRule="auto"/>
        <w:tabs>
          <w:tab w:leader="none" w:pos="2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Any notice delivered under this Agreement shall be deemed duly delivered three (3) business days after it is sent by registered or certified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83" w:name="page184"/>
    <w:bookmarkEnd w:id="18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address set forth in the Executive’s personnel file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Solid Biosciences Inc.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500 Rutherford Avenue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Third Floor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Charlestown, MA 02129</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Either Party may change the address to which notices are to be delivered by giving notice of such change to the other Party in the manner set forth in this Section 11.</w:t>
      </w:r>
    </w:p>
    <w:p>
      <w:pPr>
        <w:spacing w:after="0" w:line="160" w:lineRule="exact"/>
        <w:rPr>
          <w:sz w:val="20"/>
          <w:szCs w:val="20"/>
          <w:color w:val="auto"/>
        </w:rPr>
      </w:pPr>
    </w:p>
    <w:p>
      <w:pPr>
        <w:ind w:right="20" w:firstLine="8"/>
        <w:spacing w:after="0" w:line="258"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 Jury Trial Waiver</w:t>
      </w:r>
      <w:r>
        <w:rPr>
          <w:rFonts w:ascii="Times New Roman" w:cs="Times New Roman" w:eastAsia="Times New Roman" w:hAnsi="Times New Roman"/>
          <w:sz w:val="18"/>
          <w:szCs w:val="18"/>
          <w:color w:val="auto"/>
        </w:rPr>
        <w:t>. This Agreement shall be governed by and construed in accordance with the laws of the State of Delaware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the conflict of laws provisions thereof). Any action, suit or other legal proceeding arising under or relating to any provision of this Agreement shall be commenced only in a court of the State of Delaware (or, if appropriate, a federal court located within the State of Delaware),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50" w:lineRule="exact"/>
        <w:rPr>
          <w:rFonts w:ascii="Times New Roman" w:cs="Times New Roman" w:eastAsia="Times New Roman" w:hAnsi="Times New Roman"/>
          <w:sz w:val="18"/>
          <w:szCs w:val="18"/>
          <w:color w:val="auto"/>
        </w:rPr>
      </w:pPr>
    </w:p>
    <w:p>
      <w:pPr>
        <w:ind w:right="160" w:firstLine="8"/>
        <w:spacing w:after="0" w:line="267"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be binding upon and inure to the benefit of both Parties and their respective successors and assigns,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corporation with which or into which the Company may be merged or which may succeed to its assets or business; provided, however, that the obligations of the Executive are personal and shall not be assigned by the Executive.</w:t>
      </w:r>
    </w:p>
    <w:p>
      <w:pPr>
        <w:spacing w:after="0" w:line="173" w:lineRule="exact"/>
        <w:rPr>
          <w:rFonts w:ascii="Times New Roman" w:cs="Times New Roman" w:eastAsia="Times New Roman" w:hAnsi="Times New Roman"/>
          <w:sz w:val="18"/>
          <w:szCs w:val="18"/>
          <w:color w:val="auto"/>
        </w:rPr>
      </w:pPr>
    </w:p>
    <w:p>
      <w:pPr>
        <w:ind w:right="320" w:firstLine="8"/>
        <w:spacing w:after="0" w:line="267"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At-Will Employment</w:t>
      </w:r>
      <w:r>
        <w:rPr>
          <w:rFonts w:ascii="Times New Roman" w:cs="Times New Roman" w:eastAsia="Times New Roman" w:hAnsi="Times New Roman"/>
          <w:sz w:val="18"/>
          <w:szCs w:val="18"/>
          <w:color w:val="auto"/>
        </w:rPr>
        <w:t>. During the Term of Employment, the Executive will continue to be an at-will employee of the Company, which means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 other provision set forth herein, the employment relationship can be terminated by either Party for any reason, at any time, with or without prior notice and with or without Cause.</w:t>
      </w:r>
    </w:p>
    <w:p>
      <w:pPr>
        <w:spacing w:after="0" w:line="173" w:lineRule="exact"/>
        <w:rPr>
          <w:rFonts w:ascii="Times New Roman" w:cs="Times New Roman" w:eastAsia="Times New Roman" w:hAnsi="Times New Roman"/>
          <w:sz w:val="18"/>
          <w:szCs w:val="18"/>
          <w:color w:val="auto"/>
        </w:rPr>
      </w:pPr>
    </w:p>
    <w:p>
      <w:pPr>
        <w:ind w:firstLine="8"/>
        <w:spacing w:after="0" w:line="267"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Acknowledgment</w:t>
      </w:r>
      <w:r>
        <w:rPr>
          <w:rFonts w:ascii="Times New Roman" w:cs="Times New Roman" w:eastAsia="Times New Roman" w:hAnsi="Times New Roman"/>
          <w:sz w:val="18"/>
          <w:szCs w:val="18"/>
          <w:color w:val="auto"/>
        </w:rPr>
        <w:t>. The Executive states and represents that the Executive has had an opportunity to fully discuss and review the terms of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73" w:lineRule="exact"/>
        <w:rPr>
          <w:rFonts w:ascii="Times New Roman" w:cs="Times New Roman" w:eastAsia="Times New Roman" w:hAnsi="Times New Roman"/>
          <w:sz w:val="18"/>
          <w:szCs w:val="18"/>
          <w:color w:val="auto"/>
        </w:rPr>
      </w:pPr>
    </w:p>
    <w:p>
      <w:pPr>
        <w:ind w:right="100" w:firstLine="8"/>
        <w:spacing w:after="0" w:line="261"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Oral Modification, Waiver, Cancellation or Discharge</w:t>
      </w:r>
      <w:r>
        <w:rPr>
          <w:rFonts w:ascii="Times New Roman" w:cs="Times New Roman" w:eastAsia="Times New Roman" w:hAnsi="Times New Roman"/>
          <w:sz w:val="18"/>
          <w:szCs w:val="18"/>
          <w:color w:val="auto"/>
        </w:rPr>
        <w:t>. This Agreement may be amended or modified only by a written instrument executed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9" w:lineRule="exact"/>
        <w:rPr>
          <w:rFonts w:ascii="Times New Roman" w:cs="Times New Roman" w:eastAsia="Times New Roman" w:hAnsi="Times New Roman"/>
          <w:sz w:val="18"/>
          <w:szCs w:val="18"/>
          <w:color w:val="auto"/>
        </w:rPr>
      </w:pPr>
    </w:p>
    <w:p>
      <w:pPr>
        <w:ind w:right="160" w:firstLine="8"/>
        <w:spacing w:after="0" w:line="267"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Captions and Pronouns</w:t>
      </w:r>
      <w:r>
        <w:rPr>
          <w:rFonts w:ascii="Times New Roman" w:cs="Times New Roman" w:eastAsia="Times New Roman" w:hAnsi="Times New Roman"/>
          <w:sz w:val="18"/>
          <w:szCs w:val="18"/>
          <w:color w:val="auto"/>
        </w:rPr>
        <w:t>. The captions of the sections of this Agreement are for convenience of reference only and in no way define, limit or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73" w:lineRule="exact"/>
        <w:rPr>
          <w:rFonts w:ascii="Times New Roman" w:cs="Times New Roman" w:eastAsia="Times New Roman" w:hAnsi="Times New Roman"/>
          <w:sz w:val="18"/>
          <w:szCs w:val="18"/>
          <w:color w:val="auto"/>
        </w:rPr>
      </w:pPr>
    </w:p>
    <w:p>
      <w:pPr>
        <w:ind w:right="140" w:firstLine="8"/>
        <w:spacing w:after="0" w:line="267"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Parties agree that this Agreement will be construed without regard to any presumption or rule requiring construction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73" w:lineRule="exact"/>
        <w:rPr>
          <w:rFonts w:ascii="Times New Roman" w:cs="Times New Roman" w:eastAsia="Times New Roman" w:hAnsi="Times New Roman"/>
          <w:sz w:val="18"/>
          <w:szCs w:val="18"/>
          <w:color w:val="auto"/>
        </w:rPr>
      </w:pPr>
    </w:p>
    <w:p>
      <w:pPr>
        <w:ind w:right="500" w:firstLine="8"/>
        <w:spacing w:after="0" w:line="261" w:lineRule="auto"/>
        <w:tabs>
          <w:tab w:leader="none" w:pos="2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Each provision of this Agreement must be interpreted in such manner as to be effective and valid under applicable law, but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227" w:lineRule="exact"/>
        <w:rPr>
          <w:sz w:val="20"/>
          <w:szCs w:val="20"/>
          <w:color w:val="auto"/>
        </w:rPr>
      </w:pPr>
    </w:p>
    <w:p>
      <w:pPr>
        <w:ind w:right="40" w:firstLine="8"/>
        <w:spacing w:after="0" w:line="267" w:lineRule="auto"/>
        <w:tabs>
          <w:tab w:leader="none" w:pos="27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Except as expressly provided in the Merger Agreement and any other agreements to which the Executive is or will be a party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Transaction, this Agreement constitutes the entire agreement between the Parties and supersedes all prior agreements and understandings, whether written or oral, relating to the subject matter of this Agreement, including, but not limited to, the Prior Employment Agreement.</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set forth above.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SOLID BIOSCIENCES INC.</w:t>
      </w:r>
    </w:p>
    <w:p>
      <w:pPr>
        <w:spacing w:after="0" w:line="225"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4688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Ian Smith</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Subject to Section 409A</w:t>
      </w:r>
    </w:p>
    <w:p>
      <w:pPr>
        <w:spacing w:after="0" w:line="229" w:lineRule="exact"/>
        <w:rPr>
          <w:sz w:val="20"/>
          <w:szCs w:val="20"/>
          <w:color w:val="auto"/>
        </w:rPr>
      </w:pPr>
    </w:p>
    <w:p>
      <w:pPr>
        <w:ind w:left="-40" w:right="300" w:firstLine="517"/>
        <w:spacing w:after="0" w:line="266" w:lineRule="auto"/>
        <w:tabs>
          <w:tab w:leader="none" w:pos="6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67" w:lineRule="exact"/>
        <w:rPr>
          <w:rFonts w:ascii="Times New Roman" w:cs="Times New Roman" w:eastAsia="Times New Roman" w:hAnsi="Times New Roman"/>
          <w:sz w:val="18"/>
          <w:szCs w:val="18"/>
          <w:color w:val="auto"/>
        </w:rPr>
      </w:pPr>
    </w:p>
    <w:p>
      <w:pPr>
        <w:ind w:left="480" w:right="20" w:firstLine="506"/>
        <w:spacing w:after="0" w:line="266" w:lineRule="auto"/>
        <w:tabs>
          <w:tab w:leader="none" w:pos="123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67" w:lineRule="exact"/>
        <w:rPr>
          <w:rFonts w:ascii="Times New Roman" w:cs="Times New Roman" w:eastAsia="Times New Roman" w:hAnsi="Times New Roman"/>
          <w:sz w:val="18"/>
          <w:szCs w:val="18"/>
          <w:color w:val="auto"/>
        </w:rPr>
      </w:pPr>
    </w:p>
    <w:p>
      <w:pPr>
        <w:ind w:left="480" w:right="40" w:firstLine="506"/>
        <w:spacing w:after="0" w:line="312" w:lineRule="auto"/>
        <w:tabs>
          <w:tab w:leader="none" w:pos="1244"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31" w:lineRule="exact"/>
        <w:rPr>
          <w:rFonts w:ascii="Times New Roman" w:cs="Times New Roman" w:eastAsia="Times New Roman" w:hAnsi="Times New Roman"/>
          <w:sz w:val="17"/>
          <w:szCs w:val="17"/>
          <w:color w:val="auto"/>
        </w:rPr>
      </w:pPr>
    </w:p>
    <w:p>
      <w:pPr>
        <w:ind w:left="480" w:right="320" w:firstLine="506"/>
        <w:spacing w:after="0" w:line="282" w:lineRule="auto"/>
        <w:tabs>
          <w:tab w:leader="none" w:pos="123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Executive’s “separation from service” from the Company, the Executive is a “specified employee” (within the meaning of Section 409A), then:</w:t>
      </w:r>
    </w:p>
    <w:p>
      <w:pPr>
        <w:spacing w:after="0" w:line="67" w:lineRule="exact"/>
        <w:rPr>
          <w:rFonts w:ascii="Times New Roman" w:cs="Times New Roman" w:eastAsia="Times New Roman" w:hAnsi="Times New Roman"/>
          <w:sz w:val="18"/>
          <w:szCs w:val="18"/>
          <w:color w:val="auto"/>
        </w:rPr>
      </w:pPr>
    </w:p>
    <w:p>
      <w:pPr>
        <w:ind w:left="1440" w:hanging="460"/>
        <w:spacing w:after="0" w:line="258" w:lineRule="auto"/>
        <w:tabs>
          <w:tab w:leader="none" w:pos="14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88" w:lineRule="exact"/>
        <w:rPr>
          <w:rFonts w:ascii="Times New Roman" w:cs="Times New Roman" w:eastAsia="Times New Roman" w:hAnsi="Times New Roman"/>
          <w:sz w:val="18"/>
          <w:szCs w:val="18"/>
          <w:color w:val="auto"/>
        </w:rPr>
      </w:pPr>
    </w:p>
    <w:p>
      <w:pPr>
        <w:ind w:left="1440" w:right="20" w:hanging="460"/>
        <w:spacing w:after="0" w:line="254" w:lineRule="auto"/>
        <w:tabs>
          <w:tab w:leader="none" w:pos="144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w:t>
      </w:r>
    </w:p>
    <w:p>
      <w:pPr>
        <w:spacing w:after="0" w:line="259" w:lineRule="exact"/>
        <w:rPr>
          <w:rFonts w:ascii="Times New Roman" w:cs="Times New Roman" w:eastAsia="Times New Roman" w:hAnsi="Times New Roman"/>
          <w:sz w:val="18"/>
          <w:szCs w:val="18"/>
          <w:color w:val="auto"/>
        </w:rPr>
      </w:pPr>
    </w:p>
    <w:p>
      <w:pPr>
        <w:jc w:val="both"/>
        <w:ind w:left="144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deferral of compensation by reason of the application of Treasury Regulation 1.409A-1(b)(9)(iii) (relating to separation pay upon an involuntary separation from service). Any installments that qualify for the exception under Treasury Regulation Section</w:t>
      </w:r>
    </w:p>
    <w:p>
      <w:pPr>
        <w:ind w:left="144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1.409A-1(b)(9)(iii) must be paid no later than the last day of the Executive’s second taxable year following the taxable year in which the separation from service occurs.</w:t>
      </w:r>
    </w:p>
    <w:p>
      <w:pPr>
        <w:spacing w:after="0" w:line="181" w:lineRule="exact"/>
        <w:rPr>
          <w:rFonts w:ascii="Times New Roman" w:cs="Times New Roman" w:eastAsia="Times New Roman" w:hAnsi="Times New Roman"/>
          <w:sz w:val="18"/>
          <w:szCs w:val="18"/>
          <w:color w:val="auto"/>
        </w:rPr>
      </w:pPr>
    </w:p>
    <w:p>
      <w:pPr>
        <w:jc w:val="both"/>
        <w:ind w:left="-40" w:right="140" w:firstLine="517"/>
        <w:spacing w:after="0" w:line="289" w:lineRule="auto"/>
        <w:tabs>
          <w:tab w:leader="none" w:pos="64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57" w:lineRule="exact"/>
        <w:rPr>
          <w:rFonts w:ascii="Times New Roman" w:cs="Times New Roman" w:eastAsia="Times New Roman" w:hAnsi="Times New Roman"/>
          <w:sz w:val="17"/>
          <w:szCs w:val="17"/>
          <w:color w:val="auto"/>
        </w:rPr>
      </w:pPr>
    </w:p>
    <w:p>
      <w:pPr>
        <w:ind w:left="-40" w:firstLine="517"/>
        <w:spacing w:after="0" w:line="258" w:lineRule="auto"/>
        <w:tabs>
          <w:tab w:leader="none" w:pos="6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3" w:right="379" w:bottom="1440" w:gutter="0" w:footer="0" w:header="0"/>
        </w:sectPr>
      </w:pPr>
    </w:p>
    <w:bookmarkStart w:id="187" w:name="page188"/>
    <w:bookmarkEnd w:id="187"/>
    <w:p>
      <w:pPr>
        <w:spacing w:after="0" w:line="1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last day of the calendar year following the year in which the expense is incurred and (iv) the right to reimbursement is not subject to set off or liquidation or exchange for any other benefit.</w:t>
      </w:r>
    </w:p>
    <w:p>
      <w:pPr>
        <w:spacing w:after="0" w:line="162" w:lineRule="exact"/>
        <w:rPr>
          <w:sz w:val="20"/>
          <w:szCs w:val="20"/>
          <w:color w:val="auto"/>
        </w:rPr>
      </w:pPr>
    </w:p>
    <w:p>
      <w:pPr>
        <w:jc w:val="both"/>
        <w:ind w:firstLine="517"/>
        <w:spacing w:after="0" w:line="266" w:lineRule="auto"/>
        <w:tabs>
          <w:tab w:leader="none" w:pos="6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7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intended to comply with, or be exempt from, Section 409A and shall be interpreted accordingly.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EMPLOYMENT AGREEMENT</w:t>
      </w:r>
    </w:p>
    <w:p>
      <w:pPr>
        <w:spacing w:after="0" w:line="200" w:lineRule="exact"/>
        <w:rPr>
          <w:sz w:val="20"/>
          <w:szCs w:val="20"/>
          <w:color w:val="auto"/>
        </w:rPr>
      </w:pPr>
    </w:p>
    <w:p>
      <w:pPr>
        <w:spacing w:after="0" w:line="3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First Amendment to the Employment Agreement (“First Amendment”) effective as of August 14, 2025 (“Effective Date”) is made and entered by and between Solid Biosciences Inc. (the “Company”) and Bo Cumbo (the “Executive”) (together, the “Parties”).</w:t>
      </w:r>
    </w:p>
    <w:p>
      <w:pPr>
        <w:spacing w:after="0" w:line="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amend that certain Employment Agreement by and between Company and Executive effective September 29,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set forth herein, the Parties agree as follows:</w:t>
      </w:r>
    </w:p>
    <w:p>
      <w:pPr>
        <w:spacing w:after="0" w:line="162"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Section 7(b) of the Agreement shall be deleted in its entirety and replaced with the following:</w:t>
      </w:r>
    </w:p>
    <w:p>
      <w:pPr>
        <w:spacing w:after="0" w:line="186" w:lineRule="exact"/>
        <w:rPr>
          <w:rFonts w:ascii="Times New Roman" w:cs="Times New Roman" w:eastAsia="Times New Roman" w:hAnsi="Times New Roman"/>
          <w:sz w:val="20"/>
          <w:szCs w:val="20"/>
          <w:color w:val="auto"/>
        </w:rPr>
      </w:pPr>
    </w:p>
    <w:p>
      <w:pPr>
        <w:jc w:val="both"/>
        <w:ind w:left="380" w:firstLine="2"/>
        <w:spacing w:after="0" w:line="253" w:lineRule="auto"/>
        <w:tabs>
          <w:tab w:leader="none" w:pos="63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Without Cause or by the Executive With Good Reason More than Three (3) Months Prior to or More Than Twelve (12) Months Following a Change in Control</w:t>
      </w:r>
      <w:r>
        <w:rPr>
          <w:rFonts w:ascii="Times New Roman" w:cs="Times New Roman" w:eastAsia="Times New Roman" w:hAnsi="Times New Roman"/>
          <w:sz w:val="18"/>
          <w:szCs w:val="18"/>
          <w:color w:val="auto"/>
        </w:rPr>
        <w:t>. If the Executive’s employment is terminated by the Company without Cause pursuant to Section 6(b)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Executive with Good Reason pursuant to Section 6(c) (in either case, a “Qualifying Termination”) more than three (3) months prior to or more than twelve (12) months following a Change in Control (as defined below), the Executive shall be entitled to the Accrued Obligations. In addition, and subject to Exhibit A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pro-rated for the year in which such Qualifying Termination occurs based on the number of full weeks the Executive has work for the Company in such year through the date of such termination; and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the Company pays for active and similarly 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Section 7(c) of the Agreement shall be deleted in its entirety and replaced with the following:</w:t>
      </w:r>
    </w:p>
    <w:p>
      <w:pPr>
        <w:spacing w:after="0" w:line="6" w:lineRule="exact"/>
        <w:rPr>
          <w:rFonts w:ascii="Times New Roman" w:cs="Times New Roman" w:eastAsia="Times New Roman" w:hAnsi="Times New Roman"/>
          <w:sz w:val="20"/>
          <w:szCs w:val="20"/>
          <w:color w:val="auto"/>
        </w:rPr>
      </w:pPr>
    </w:p>
    <w:p>
      <w:pPr>
        <w:jc w:val="both"/>
        <w:ind w:left="380" w:firstLine="54"/>
        <w:spacing w:after="0" w:line="251" w:lineRule="auto"/>
        <w:tabs>
          <w:tab w:leader="none" w:pos="68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Without Cause or by the Executive With Good Reason Within Three (3) Months Prior to or Within Twelve Months Following a Change in Control. </w:t>
      </w:r>
      <w:r>
        <w:rPr>
          <w:rFonts w:ascii="Times New Roman" w:cs="Times New Roman" w:eastAsia="Times New Roman" w:hAnsi="Times New Roman"/>
          <w:sz w:val="18"/>
          <w:szCs w:val="18"/>
          <w:color w:val="auto"/>
        </w:rPr>
        <w:t>If a Qualifying Termination occurs within three (3) months prior to or within twelve (12) months following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then the Executive shall be entitled to the Accrued Obligations. In addition, and subject to Exhibit A and the conditions of Section 7(d), the Company shall: (i) continue to pay to the Executive, in accordance with the Company’s regularly established payroll procedures, the Executive’s Base Salary for a period of eighteen (18) months; (ii) pay to the Executive, in a single lump sum on the Payment Date an amount equal to 150% of the Executive’s Target Bonus for the year in which such Qualifying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eighteen (18)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(iv) provide that the vesting of the Executive’s then-unvested equity awards that vest based solely on the passage of time shall be accelerated, such that all then unvested time-based equity awards shall vest and become fully exercisable or non-forfeitable as of the later of the termination date and the closing of the Change in Control[, provided, however, that if Executive’s Company equity awards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based solely on the passage of time are not continued, assumed or substituted in connection with the Change in Control, it is understood that such awards shall vest and become fully exercisable or non-forfeitable immediately prior to the closing of such Change in Control] (collectively, the “Change in Control Severance Benefits”).</w:t>
      </w:r>
    </w:p>
    <w:p>
      <w:pPr>
        <w:spacing w:after="0" w:line="324" w:lineRule="exact"/>
        <w:rPr>
          <w:sz w:val="20"/>
          <w:szCs w:val="20"/>
          <w:color w:val="auto"/>
        </w:rPr>
      </w:pPr>
    </w:p>
    <w:p>
      <w:pPr>
        <w:ind w:left="380" w:hanging="372"/>
        <w:spacing w:after="0"/>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Section 7(d) of the Agreement shall be deleted in its entirety and replaced with the following:</w:t>
      </w:r>
    </w:p>
    <w:p>
      <w:pPr>
        <w:spacing w:after="0" w:line="186" w:lineRule="exact"/>
        <w:rPr>
          <w:rFonts w:ascii="Times New Roman" w:cs="Times New Roman" w:eastAsia="Times New Roman" w:hAnsi="Times New Roman"/>
          <w:sz w:val="20"/>
          <w:szCs w:val="20"/>
          <w:color w:val="auto"/>
        </w:rPr>
      </w:pPr>
    </w:p>
    <w:p>
      <w:pPr>
        <w:jc w:val="both"/>
        <w:ind w:left="380" w:firstLine="2"/>
        <w:spacing w:after="0" w:line="252" w:lineRule="auto"/>
        <w:tabs>
          <w:tab w:leader="none" w:pos="66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and Release of Claims Agreement</w:t>
      </w:r>
      <w:r>
        <w:rPr>
          <w:rFonts w:ascii="Times New Roman" w:cs="Times New Roman" w:eastAsia="Times New Roman" w:hAnsi="Times New Roman"/>
          <w:sz w:val="18"/>
          <w:szCs w:val="18"/>
          <w:color w:val="auto"/>
        </w:rPr>
        <w:t>. As a condition of the Executive’s receipt of the Severance Benefits or the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 reaffirmation of the Executive’s continuing obligations under any existing restrictive covenant agreements, and an agreement not to compete with the Company for twelve (12) months following the Executive’s separation from employment),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For the avoidance of doubt, if the Executive experiences a Qualifying Termination prior to a Change in Control, (i) any then-outstanding and unvested equity awards that vest based solely on the passage of time held by the Executive shall remain outstanding (but any vesting shall be suspended) for up to (but no longer than) three (3) months following the date of termination so that, if it is later determined that such termination occurred during the three (3)-month period prior to the closing of a Change in Control and that the Executive is entitled to Change in Control acceleration and/or Change in Control Severance Benefits rather than Severance Benefits, the vesting of such awards may be accelerated, in accordance with Section 7(c) hereof, immediately prior to the closing of the Change in Control and (ii) any Change in Control Severance Benefits shall be reduced by any Severance Benefits previously paid to you, if it is later determined that the termination occurred during the three (3)-month period prior to the closing of a Change in Control and that you are entitled to Change in Control Severance Benefits rather than Severance Benefits.</w:t>
      </w:r>
    </w:p>
    <w:p>
      <w:pPr>
        <w:spacing w:after="0" w:line="1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capitalized terms used but not defined herein shall have the respective meanings given to them in the Agreement.</w:t>
      </w:r>
    </w:p>
    <w:p>
      <w:pPr>
        <w:spacing w:after="0" w:line="20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Except as amended herein, all provisions of the Agreement shall remain in full force and effect.</w:t>
      </w:r>
    </w:p>
    <w:p>
      <w:pPr>
        <w:spacing w:after="0" w:line="202" w:lineRule="exact"/>
        <w:rPr>
          <w:rFonts w:ascii="Times New Roman" w:cs="Times New Roman" w:eastAsia="Times New Roman" w:hAnsi="Times New Roman"/>
          <w:sz w:val="20"/>
          <w:szCs w:val="20"/>
          <w:color w:val="auto"/>
        </w:rPr>
      </w:pPr>
    </w:p>
    <w:p>
      <w:pPr>
        <w:jc w:val="both"/>
        <w:ind w:left="380" w:hanging="372"/>
        <w:spacing w:after="0" w:line="252" w:lineRule="auto"/>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First Amendment may be executed in two counterparts, both of which shall constitute one and the same legal instrument, and delivery of an executed copy of this First Amendment by a Party via pdf or other electronic transmission shall be as effective as delivery of a manually executed copy of this First Amendment by such Party.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entered into this First Amendment.</w:t>
      </w:r>
    </w:p>
    <w:p>
      <w:pPr>
        <w:spacing w:after="0" w:line="154" w:lineRule="exact"/>
        <w:rPr>
          <w:sz w:val="20"/>
          <w:szCs w:val="20"/>
          <w:color w:val="auto"/>
        </w:rPr>
      </w:pPr>
    </w:p>
    <w:p>
      <w:pPr>
        <w:ind w:left="200"/>
        <w:spacing w:after="0"/>
        <w:tabs>
          <w:tab w:leader="none" w:pos="5540" w:val="left"/>
        </w:tabs>
        <w:rPr>
          <w:sz w:val="20"/>
          <w:szCs w:val="20"/>
          <w:color w:val="auto"/>
        </w:rPr>
      </w:pPr>
      <w:r>
        <w:rPr>
          <w:rFonts w:ascii="Times New Roman" w:cs="Times New Roman" w:eastAsia="Times New Roman" w:hAnsi="Times New Roman"/>
          <w:sz w:val="18"/>
          <w:szCs w:val="18"/>
          <w:b w:val="1"/>
          <w:bCs w:val="1"/>
          <w:color w:val="auto"/>
        </w:rPr>
        <w:t>Solid Biosciences Inc.</w:t>
      </w:r>
      <w:r>
        <w:rPr>
          <w:sz w:val="20"/>
          <w:szCs w:val="20"/>
          <w:color w:val="auto"/>
        </w:rPr>
        <w:tab/>
      </w:r>
      <w:r>
        <w:rPr>
          <w:rFonts w:ascii="Times New Roman" w:cs="Times New Roman" w:eastAsia="Times New Roman" w:hAnsi="Times New Roman"/>
          <w:sz w:val="17"/>
          <w:szCs w:val="17"/>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1216025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/s/ Ty Howton</w:t>
            </w:r>
          </w:p>
        </w:tc>
        <w:tc>
          <w:tcPr>
            <w:tcW w:w="72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 /s/ Bo Cumbo</w:t>
            </w:r>
          </w:p>
        </w:tc>
      </w:tr>
      <w:tr>
        <w:trPr>
          <w:trHeight w:val="364"/>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 Ty Howton</w:t>
            </w:r>
          </w:p>
        </w:tc>
        <w:tc>
          <w:tcPr>
            <w:tcW w:w="72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 Bo Cumbo</w:t>
            </w:r>
          </w:p>
        </w:tc>
      </w:tr>
      <w:tr>
        <w:trPr>
          <w:trHeight w:val="351"/>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Chief Operating Officer</w:t>
            </w:r>
          </w:p>
        </w:tc>
        <w:tc>
          <w:tcPr>
            <w:tcW w:w="72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365"/>
        </w:trPr>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 10/30/2025</w:t>
            </w:r>
          </w:p>
        </w:tc>
        <w:tc>
          <w:tcPr>
            <w:tcW w:w="72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Date: 10/28/2025</w:t>
            </w:r>
          </w:p>
        </w:tc>
      </w:tr>
      <w:tr>
        <w:trPr>
          <w:trHeight w:val="6865"/>
        </w:trPr>
        <w:tc>
          <w:tcPr>
            <w:tcW w:w="39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51" w:lineRule="exact"/>
        <w:rPr>
          <w:sz w:val="20"/>
          <w:szCs w:val="20"/>
          <w:color w:val="auto"/>
        </w:rPr>
      </w:pPr>
    </w:p>
    <w:p>
      <w:pPr>
        <w:jc w:val="both"/>
        <w:ind w:left="140" w:right="540" w:firstLine="749"/>
        <w:spacing w:after="0" w:line="282" w:lineRule="auto"/>
        <w:rPr>
          <w:sz w:val="20"/>
          <w:szCs w:val="20"/>
          <w:color w:val="auto"/>
        </w:rPr>
      </w:pPr>
      <w:r>
        <w:rPr>
          <w:rFonts w:ascii="Times New Roman" w:cs="Times New Roman" w:eastAsia="Times New Roman" w:hAnsi="Times New Roman"/>
          <w:sz w:val="21"/>
          <w:szCs w:val="21"/>
          <w:color w:val="auto"/>
        </w:rPr>
        <w:t>THIS EMPLOYMENT AGREEMENT (the “Agreement”) is made as of September 29, 2022 by and between Solid Biosciences Inc. (the “Company”) and Ty Howton (the “Executive”) (together, the “Parties”).</w:t>
      </w:r>
    </w:p>
    <w:p>
      <w:pPr>
        <w:spacing w:after="0" w:line="16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RECITALS</w:t>
      </w:r>
    </w:p>
    <w:p>
      <w:pPr>
        <w:spacing w:after="0" w:line="247" w:lineRule="exact"/>
        <w:rPr>
          <w:sz w:val="20"/>
          <w:szCs w:val="20"/>
          <w:color w:val="auto"/>
        </w:rPr>
      </w:pPr>
    </w:p>
    <w:p>
      <w:pPr>
        <w:jc w:val="both"/>
        <w:ind w:left="140" w:right="420" w:firstLine="749"/>
        <w:spacing w:after="0" w:line="244" w:lineRule="auto"/>
        <w:rPr>
          <w:sz w:val="20"/>
          <w:szCs w:val="20"/>
          <w:color w:val="auto"/>
        </w:rPr>
      </w:pPr>
      <w:r>
        <w:rPr>
          <w:rFonts w:ascii="Times New Roman" w:cs="Times New Roman" w:eastAsia="Times New Roman" w:hAnsi="Times New Roman"/>
          <w:sz w:val="22"/>
          <w:szCs w:val="22"/>
          <w:color w:val="auto"/>
        </w:rPr>
        <w:t>WHEREAS, the Executive is currently employed by AavantiBio, Inc. (“</w:t>
      </w:r>
      <w:r>
        <w:rPr>
          <w:rFonts w:ascii="Times New Roman" w:cs="Times New Roman" w:eastAsia="Times New Roman" w:hAnsi="Times New Roman"/>
          <w:sz w:val="22"/>
          <w:szCs w:val="22"/>
          <w:u w:val="single" w:color="auto"/>
          <w:color w:val="auto"/>
        </w:rPr>
        <w:t>AavantiBio</w:t>
      </w:r>
      <w:r>
        <w:rPr>
          <w:rFonts w:ascii="Times New Roman" w:cs="Times New Roman" w:eastAsia="Times New Roman" w:hAnsi="Times New Roman"/>
          <w:sz w:val="22"/>
          <w:szCs w:val="22"/>
          <w:color w:val="auto"/>
        </w:rPr>
        <w:t>”) pursuant to that certain Employment Agreement, dated as of March 4, 2021, by and between AavantiBio and the Executive (as amended from time to time, the “Prior Employment Agreement”);</w:t>
      </w:r>
    </w:p>
    <w:p>
      <w:pPr>
        <w:spacing w:after="0" w:line="200" w:lineRule="exact"/>
        <w:rPr>
          <w:sz w:val="20"/>
          <w:szCs w:val="20"/>
          <w:color w:val="auto"/>
        </w:rPr>
      </w:pPr>
    </w:p>
    <w:p>
      <w:pPr>
        <w:ind w:left="140" w:right="140" w:firstLine="749"/>
        <w:spacing w:after="0" w:line="239" w:lineRule="auto"/>
        <w:rPr>
          <w:sz w:val="20"/>
          <w:szCs w:val="20"/>
          <w:color w:val="auto"/>
        </w:rPr>
      </w:pPr>
      <w:r>
        <w:rPr>
          <w:rFonts w:ascii="Times New Roman" w:cs="Times New Roman" w:eastAsia="Times New Roman" w:hAnsi="Times New Roman"/>
          <w:sz w:val="22"/>
          <w:szCs w:val="22"/>
          <w:color w:val="auto"/>
        </w:rPr>
        <w:t>WHEREAS, the Company has entered into an Agreement and Plan of Merger (the “Merger Agreement”) dated as of September 29, 2022, by and among the Company, Greenland Merger Sub LLC, AavantiBio, and Doug Swirsky, solely in his capacity as the equityholder representative, pursuant to which AavantiBio will continue as a wholly owned subsidiary of the Company (such transaction, the “Transaction”);</w:t>
      </w:r>
    </w:p>
    <w:p>
      <w:pPr>
        <w:spacing w:after="0" w:line="221" w:lineRule="exact"/>
        <w:rPr>
          <w:sz w:val="20"/>
          <w:szCs w:val="20"/>
          <w:color w:val="auto"/>
        </w:rPr>
      </w:pPr>
    </w:p>
    <w:p>
      <w:pPr>
        <w:ind w:left="140" w:right="220"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desire to enter into an agreement whereby the Executive will be employed as an employee of the Company on the terms contained in this Agreement, subject to, and contingent and effective upon, the closing of the Transaction (the “Closing”);</w:t>
      </w:r>
    </w:p>
    <w:p>
      <w:pPr>
        <w:spacing w:after="0" w:line="214" w:lineRule="exact"/>
        <w:rPr>
          <w:sz w:val="20"/>
          <w:szCs w:val="20"/>
          <w:color w:val="auto"/>
        </w:rPr>
      </w:pPr>
    </w:p>
    <w:p>
      <w:pPr>
        <w:ind w:left="140" w:right="240" w:firstLine="749"/>
        <w:spacing w:after="0" w:line="239" w:lineRule="auto"/>
        <w:rPr>
          <w:sz w:val="20"/>
          <w:szCs w:val="20"/>
          <w:color w:val="auto"/>
        </w:rPr>
      </w:pPr>
      <w:r>
        <w:rPr>
          <w:rFonts w:ascii="Times New Roman" w:cs="Times New Roman" w:eastAsia="Times New Roman" w:hAnsi="Times New Roman"/>
          <w:sz w:val="22"/>
          <w:szCs w:val="22"/>
          <w:color w:val="auto"/>
        </w:rPr>
        <w:t>WHEREAS, this Agreement shall terminate and be of no force or effect upon termination of the Merger Agreement in accordance with the terms thereof, and upon the termination of this Agreement as a result of the termination of the Merger Agreement, no party shall have any further obligations or liability under this Agreement; and</w:t>
      </w:r>
    </w:p>
    <w:p>
      <w:pPr>
        <w:spacing w:after="0" w:line="207" w:lineRule="exact"/>
        <w:rPr>
          <w:sz w:val="20"/>
          <w:szCs w:val="20"/>
          <w:color w:val="auto"/>
        </w:rPr>
      </w:pPr>
    </w:p>
    <w:p>
      <w:pPr>
        <w:ind w:left="140" w:right="340"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has agreed to accept such employment with the Company upon the Closing on the terms and conditions set forth in this Agreement.</w:t>
      </w:r>
    </w:p>
    <w:p>
      <w:pPr>
        <w:spacing w:after="0" w:line="199" w:lineRule="exact"/>
        <w:rPr>
          <w:sz w:val="20"/>
          <w:szCs w:val="20"/>
          <w:color w:val="auto"/>
        </w:rPr>
      </w:pPr>
    </w:p>
    <w:p>
      <w:pPr>
        <w:ind w:left="140" w:right="48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of the Parties herein contained, the Parties hereto agree to the following terms, which shall govern the Executive’s employment upon the Closing (the “Effective Date”):</w:t>
      </w:r>
    </w:p>
    <w:p>
      <w:pPr>
        <w:spacing w:after="0" w:line="210" w:lineRule="exact"/>
        <w:rPr>
          <w:sz w:val="20"/>
          <w:szCs w:val="20"/>
          <w:color w:val="auto"/>
        </w:rPr>
      </w:pPr>
    </w:p>
    <w:p>
      <w:pPr>
        <w:ind w:left="140" w:right="400" w:hanging="9"/>
        <w:spacing w:after="0" w:line="246" w:lineRule="auto"/>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This Agreement shall be effective as of the Effective Date. The Executive’s employment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contained in this Agreement shall commence on the Effective Date and shall continue until such employment relationship is terminated in accordance with Section 6 hereof (the “Term of Employment”).</w:t>
      </w:r>
    </w:p>
    <w:p>
      <w:pPr>
        <w:spacing w:after="0" w:line="194" w:lineRule="exact"/>
        <w:rPr>
          <w:rFonts w:ascii="Times New Roman" w:cs="Times New Roman" w:eastAsia="Times New Roman" w:hAnsi="Times New Roman"/>
          <w:sz w:val="22"/>
          <w:szCs w:val="22"/>
          <w:color w:val="auto"/>
        </w:rPr>
      </w:pPr>
    </w:p>
    <w:p>
      <w:pPr>
        <w:ind w:left="140" w:right="440" w:hanging="9"/>
        <w:spacing w:after="0" w:line="246" w:lineRule="auto"/>
        <w:tabs>
          <w:tab w:leader="none" w:pos="4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Position</w:t>
      </w:r>
      <w:r>
        <w:rPr>
          <w:rFonts w:ascii="Times New Roman" w:cs="Times New Roman" w:eastAsia="Times New Roman" w:hAnsi="Times New Roman"/>
          <w:sz w:val="22"/>
          <w:szCs w:val="22"/>
          <w:color w:val="auto"/>
        </w:rPr>
        <w:t>. During the Term of Employment, the Executive shall serve as the Chief Administrative Officer &amp;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Corporate Secretary of the Company, working out of the Company’s office in Charlestown, Massachusetts, and travelling as reasonably required by the Executive’s job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748030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92" w:name="page193"/>
    <w:bookmarkEnd w:id="192"/>
    <w:p>
      <w:pPr>
        <w:ind w:left="140" w:right="100" w:hanging="9"/>
        <w:spacing w:after="0" w:line="233" w:lineRule="auto"/>
        <w:tabs>
          <w:tab w:leader="none" w:pos="42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Scope of Employment</w:t>
      </w:r>
      <w:r>
        <w:rPr>
          <w:rFonts w:ascii="Times New Roman" w:cs="Times New Roman" w:eastAsia="Times New Roman" w:hAnsi="Times New Roman"/>
          <w:sz w:val="22"/>
          <w:szCs w:val="22"/>
          <w:color w:val="auto"/>
        </w:rPr>
        <w:t>. During the Term of Employment, the Executive shall be responsible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of those duties consistent with the Executive’s position as Chief Administrative Officer &amp; Corporate Secretary. The Executive shall report to the Chief Executive Officer of the Company and/or the Company’s board of directors (the “Board”)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up to two other companies will be permitted only with the express approval of the Chief Executive Officer, and membership on boards of directors of community, charitable or industry organizations will be permitted only provided that such activities do not create a conflict of interest or otherwise interfere with the Executive’s performance of the Executive’s duties hereunder, as determined by the Chief Executive Officer in the Chief Executive Officer’s sole discretion. The Executive agrees to abide by the rules, regulations, instructions, personnel practices and policies of the Company and any changes therein that may be adopted from time to time by the Company.</w:t>
      </w:r>
    </w:p>
    <w:p>
      <w:pPr>
        <w:spacing w:after="0" w:line="222" w:lineRule="exact"/>
        <w:rPr>
          <w:rFonts w:ascii="Times New Roman" w:cs="Times New Roman" w:eastAsia="Times New Roman" w:hAnsi="Times New Roman"/>
          <w:sz w:val="22"/>
          <w:szCs w:val="22"/>
          <w:color w:val="auto"/>
        </w:rPr>
      </w:pPr>
    </w:p>
    <w:p>
      <w:pPr>
        <w:jc w:val="both"/>
        <w:ind w:left="140" w:right="600" w:hanging="9"/>
        <w:spacing w:after="0" w:line="286" w:lineRule="auto"/>
        <w:tabs>
          <w:tab w:leader="none" w:pos="41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Compensation</w:t>
      </w:r>
      <w:r>
        <w:rPr>
          <w:rFonts w:ascii="Times New Roman" w:cs="Times New Roman" w:eastAsia="Times New Roman" w:hAnsi="Times New Roman"/>
          <w:sz w:val="21"/>
          <w:szCs w:val="21"/>
          <w:color w:val="auto"/>
        </w:rPr>
        <w:t>. As full compensation for all services rendered by the Executive to the Company and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affiliate thereof, during the Term of Employment, the Company will provide to the Executive the following:</w:t>
      </w:r>
    </w:p>
    <w:p>
      <w:pPr>
        <w:spacing w:after="0" w:line="153" w:lineRule="exact"/>
        <w:rPr>
          <w:rFonts w:ascii="Times New Roman" w:cs="Times New Roman" w:eastAsia="Times New Roman" w:hAnsi="Times New Roman"/>
          <w:sz w:val="21"/>
          <w:szCs w:val="21"/>
          <w:color w:val="auto"/>
        </w:rPr>
      </w:pPr>
    </w:p>
    <w:p>
      <w:pPr>
        <w:ind w:left="140" w:firstLine="739"/>
        <w:spacing w:after="0" w:line="241" w:lineRule="auto"/>
        <w:tabs>
          <w:tab w:leader="none" w:pos="1443"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The Executive shall receive a base salary at the annualized rate of $455,000 (the “Base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Salary”). The Executive’s Base Salary shall be paid in equal installments in accordance with the Company’s regularly established payroll procedures. The Executive’s Base Salary will be reviewed from time to time by the Board and is subject to change in the discretion of the Board.</w:t>
      </w:r>
    </w:p>
    <w:p>
      <w:pPr>
        <w:spacing w:after="0" w:line="212" w:lineRule="exact"/>
        <w:rPr>
          <w:rFonts w:ascii="Times New Roman" w:cs="Times New Roman" w:eastAsia="Times New Roman" w:hAnsi="Times New Roman"/>
          <w:sz w:val="22"/>
          <w:szCs w:val="22"/>
          <w:color w:val="auto"/>
        </w:rPr>
      </w:pPr>
    </w:p>
    <w:p>
      <w:pPr>
        <w:ind w:left="140" w:right="140" w:firstLine="739"/>
        <w:spacing w:after="0" w:line="233" w:lineRule="auto"/>
        <w:tabs>
          <w:tab w:leader="none" w:pos="143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Discretionary Bonus</w:t>
      </w:r>
      <w:r>
        <w:rPr>
          <w:rFonts w:ascii="Times New Roman" w:cs="Times New Roman" w:eastAsia="Times New Roman" w:hAnsi="Times New Roman"/>
          <w:sz w:val="22"/>
          <w:szCs w:val="22"/>
          <w:color w:val="auto"/>
        </w:rPr>
        <w:t>. Beginning on January 1, 2023, the Executive will be eligible to earn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annual performance bonus of up to 40% of the Executive’s Base Salary (the “Target Bonus”), based upon the Board’s assessment of the Executive’s performance and the Company’s attainment of targeted goals as set by the Board in its sole discretion.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as such bonus also serves as an incentive for the Executive to remain employed by the Company, except as specifically set forth below; provided that if the Executive is terminated by the Company without Cause after January 1 but prior to the payment of any annual bonus that would have been paid under this Section 4(b) for the year prior to the year in which the Executive’s employment is terminated, the Executive shall be entitled to receive, on the payment date, the amount of the annual bonus that the Executive would have received for the year prior to termination had the Executive remained employed on the payment date, less all applicable taxes and withholdings. The Executive’s bonus eligibility will be reviewed from time to time by the Board and is subject to change in the discretion of the Board.</w:t>
      </w:r>
    </w:p>
    <w:p>
      <w:pPr>
        <w:spacing w:after="0" w:line="214" w:lineRule="exact"/>
        <w:rPr>
          <w:rFonts w:ascii="Times New Roman" w:cs="Times New Roman" w:eastAsia="Times New Roman" w:hAnsi="Times New Roman"/>
          <w:sz w:val="22"/>
          <w:szCs w:val="22"/>
          <w:color w:val="auto"/>
        </w:rPr>
      </w:pPr>
    </w:p>
    <w:p>
      <w:pPr>
        <w:jc w:val="both"/>
        <w:ind w:left="140" w:right="180" w:firstLine="739"/>
        <w:spacing w:after="0" w:line="241" w:lineRule="auto"/>
        <w:tabs>
          <w:tab w:leader="none" w:pos="143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w:t>
      </w:r>
      <w:r>
        <w:rPr>
          <w:rFonts w:ascii="Times New Roman" w:cs="Times New Roman" w:eastAsia="Times New Roman" w:hAnsi="Times New Roman"/>
          <w:sz w:val="22"/>
          <w:szCs w:val="22"/>
          <w:color w:val="auto"/>
        </w:rPr>
        <w:t>. Subject to approval by the compensation committee of the Board or a majority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Independent Directors as defined in Nasdaq Listing Rule 5605(a)(2), and as a material inducement to the Executive entering into employment with the Company, the Company will grant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742315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188" w:right="379" w:bottom="1440" w:gutter="0" w:footer="0" w:header="0"/>
        </w:sectPr>
      </w:pPr>
    </w:p>
    <w:bookmarkStart w:id="193" w:name="page194"/>
    <w:bookmarkEnd w:id="193"/>
    <w:p>
      <w:pPr>
        <w:ind w:left="880" w:right="120" w:firstLine="800"/>
        <w:spacing w:after="0" w:line="234" w:lineRule="auto"/>
        <w:tabs>
          <w:tab w:leader="none" w:pos="193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non-qualified stock option (the “Option”) to purchase 1,566,152 shares of the Company’s common stock, such Option to (1) have an exercise price per share equal to the fair market value of the Company’s common stock on the date of grant, (2) vest and become exercisable, subject to the Executive’s continued employment on each applicable vesting date, at a rate of 25% of the total shares underlying the Option on the first anniversary of the grant date and, following that, as to an additional 1/48th of the total shares underlying the Option upon the Executive’s completion of each additional month of service over the 36-month period measured from the first anniversary of the grant date, (3) have a term of up to 10 years and (4) have such other terms as are set forth in the applicable Option agreement; and</w:t>
      </w:r>
    </w:p>
    <w:p>
      <w:pPr>
        <w:spacing w:after="0" w:line="224" w:lineRule="exact"/>
        <w:rPr>
          <w:sz w:val="20"/>
          <w:szCs w:val="20"/>
          <w:color w:val="auto"/>
        </w:rPr>
      </w:pPr>
    </w:p>
    <w:p>
      <w:pPr>
        <w:ind w:left="880" w:right="60" w:firstLine="770"/>
        <w:spacing w:after="0" w:line="236" w:lineRule="auto"/>
        <w:rPr>
          <w:sz w:val="20"/>
          <w:szCs w:val="20"/>
          <w:color w:val="auto"/>
        </w:rPr>
      </w:pPr>
      <w:r>
        <w:rPr>
          <w:rFonts w:ascii="Times New Roman" w:cs="Times New Roman" w:eastAsia="Times New Roman" w:hAnsi="Times New Roman"/>
          <w:sz w:val="22"/>
          <w:szCs w:val="22"/>
          <w:color w:val="auto"/>
        </w:rPr>
        <w:t>(ii)783,076 restricted stock units (the “RSUs” and, together with the Option, the “Equity Awards”), which RSUs shall (1) entitle the Executive to receive one share of the Company’s common stock for each RSU that vests, (2) vest and become exercisable, subject to the Executive’s continued employment on each applicable vesting date, at a rate of 25% of the total shares underlying the RSUs on each anniversary of the grant date and (3) have such other terms as are set forth in the applicable RSU agreement.</w:t>
      </w:r>
    </w:p>
    <w:p>
      <w:pPr>
        <w:spacing w:after="0" w:line="208" w:lineRule="exact"/>
        <w:rPr>
          <w:sz w:val="20"/>
          <w:szCs w:val="20"/>
          <w:color w:val="auto"/>
        </w:rPr>
      </w:pPr>
    </w:p>
    <w:p>
      <w:pPr>
        <w:ind w:left="880" w:right="200" w:firstLine="749"/>
        <w:spacing w:after="0" w:line="235" w:lineRule="auto"/>
        <w:rPr>
          <w:sz w:val="20"/>
          <w:szCs w:val="20"/>
          <w:color w:val="auto"/>
        </w:rPr>
      </w:pPr>
      <w:r>
        <w:rPr>
          <w:rFonts w:ascii="Times New Roman" w:cs="Times New Roman" w:eastAsia="Times New Roman" w:hAnsi="Times New Roman"/>
          <w:sz w:val="22"/>
          <w:szCs w:val="22"/>
          <w:color w:val="auto"/>
        </w:rPr>
        <w:t>(iii)The Equity Awards will be granted outside of the Company’s equity incentive plans as “inducement grants” within the meaning of Nasdaq Listing Rule 5635(c)(4). The Equity Awards are subject to adjustment for stock splits, combinations or other changes in capitalization. For the avoidance of doubt, subject to the grant of the Equity Awards, the Executive will not be eligible to receive any equity awards in the Company’s regular 2023 annual equity grant cycle, but will otherwise be eligible to receive additional equity awards, if any, at such times and on such terms and conditions as the Board shall, in its sole discretion, determine.</w:t>
      </w:r>
    </w:p>
    <w:p>
      <w:pPr>
        <w:spacing w:after="0" w:line="220" w:lineRule="exact"/>
        <w:rPr>
          <w:sz w:val="20"/>
          <w:szCs w:val="20"/>
          <w:color w:val="auto"/>
        </w:rPr>
      </w:pPr>
    </w:p>
    <w:p>
      <w:pPr>
        <w:ind w:left="140" w:right="180" w:firstLine="739"/>
        <w:spacing w:after="0" w:line="246" w:lineRule="auto"/>
        <w:tabs>
          <w:tab w:leader="none" w:pos="143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Paid Time Off</w:t>
      </w:r>
      <w:r>
        <w:rPr>
          <w:rFonts w:ascii="Times New Roman" w:cs="Times New Roman" w:eastAsia="Times New Roman" w:hAnsi="Times New Roman"/>
          <w:sz w:val="22"/>
          <w:szCs w:val="22"/>
          <w:color w:val="auto"/>
        </w:rPr>
        <w:t>. The Executive shall receive paid vacation time plus sick time, consistent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policies as in effect from time to time. In addition, the Executive shall receive paid time off for Company holidays which are set annually and in accordance with Company policy.</w:t>
      </w:r>
    </w:p>
    <w:p>
      <w:pPr>
        <w:spacing w:after="0" w:line="207" w:lineRule="exact"/>
        <w:rPr>
          <w:rFonts w:ascii="Times New Roman" w:cs="Times New Roman" w:eastAsia="Times New Roman" w:hAnsi="Times New Roman"/>
          <w:sz w:val="22"/>
          <w:szCs w:val="22"/>
          <w:color w:val="auto"/>
        </w:rPr>
      </w:pPr>
    </w:p>
    <w:p>
      <w:pPr>
        <w:ind w:left="140" w:firstLine="739"/>
        <w:spacing w:after="0" w:line="237" w:lineRule="auto"/>
        <w:tabs>
          <w:tab w:leader="none" w:pos="143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Subject to eligibility requirements and the Company’s polices, the Executive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on the same 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 Benefits are subject to change at any time in the Company’s sole discretion.</w:t>
      </w:r>
    </w:p>
    <w:p>
      <w:pPr>
        <w:spacing w:after="0" w:line="202" w:lineRule="exact"/>
        <w:rPr>
          <w:rFonts w:ascii="Times New Roman" w:cs="Times New Roman" w:eastAsia="Times New Roman" w:hAnsi="Times New Roman"/>
          <w:sz w:val="22"/>
          <w:szCs w:val="22"/>
          <w:color w:val="auto"/>
        </w:rPr>
      </w:pPr>
    </w:p>
    <w:p>
      <w:pPr>
        <w:ind w:left="1380" w:hanging="501"/>
        <w:spacing w:after="0"/>
        <w:tabs>
          <w:tab w:leader="none" w:pos="13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Withholdings</w:t>
      </w:r>
      <w:r>
        <w:rPr>
          <w:rFonts w:ascii="Times New Roman" w:cs="Times New Roman" w:eastAsia="Times New Roman" w:hAnsi="Times New Roman"/>
          <w:sz w:val="22"/>
          <w:szCs w:val="22"/>
          <w:color w:val="auto"/>
        </w:rPr>
        <w:t>. All compensation payable to the Executive shall be subject to applicable</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taxes and withholdings.</w:t>
      </w:r>
    </w:p>
    <w:p>
      <w:pPr>
        <w:spacing w:after="0" w:line="219" w:lineRule="exact"/>
        <w:rPr>
          <w:sz w:val="20"/>
          <w:szCs w:val="20"/>
          <w:color w:val="auto"/>
        </w:rPr>
      </w:pPr>
    </w:p>
    <w:p>
      <w:pPr>
        <w:ind w:left="140" w:right="360" w:hanging="9"/>
        <w:spacing w:after="0" w:line="286" w:lineRule="auto"/>
        <w:tabs>
          <w:tab w:leader="none" w:pos="41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The Executive will be reimbursed for the Executive’s actual, necessary and reasonable business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expense pursuant to Company policy, subject to the provisions of Section 3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976" w:right="499" w:bottom="1440" w:gutter="0" w:footer="0" w:header="0"/>
        </w:sectPr>
      </w:pPr>
    </w:p>
    <w:bookmarkStart w:id="194" w:name="page195"/>
    <w:bookmarkEnd w:id="194"/>
    <w:p>
      <w:pPr>
        <w:ind w:left="140" w:right="1180" w:hanging="9"/>
        <w:spacing w:after="0" w:line="262" w:lineRule="auto"/>
        <w:tabs>
          <w:tab w:leader="none" w:pos="39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Employment Termination</w:t>
      </w:r>
      <w:r>
        <w:rPr>
          <w:rFonts w:ascii="Times New Roman" w:cs="Times New Roman" w:eastAsia="Times New Roman" w:hAnsi="Times New Roman"/>
          <w:sz w:val="22"/>
          <w:szCs w:val="22"/>
          <w:color w:val="auto"/>
        </w:rPr>
        <w:t>. This Agreement and the employment of the Executive shall terminate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the occurrence of any of the following:</w:t>
      </w:r>
    </w:p>
    <w:p>
      <w:pPr>
        <w:spacing w:after="0" w:line="194" w:lineRule="exact"/>
        <w:rPr>
          <w:rFonts w:ascii="Times New Roman" w:cs="Times New Roman" w:eastAsia="Times New Roman" w:hAnsi="Times New Roman"/>
          <w:sz w:val="22"/>
          <w:szCs w:val="22"/>
          <w:color w:val="auto"/>
        </w:rPr>
      </w:pPr>
    </w:p>
    <w:p>
      <w:pPr>
        <w:ind w:left="140" w:firstLine="739"/>
        <w:spacing w:after="0" w:line="236" w:lineRule="auto"/>
        <w:tabs>
          <w:tab w:leader="none" w:pos="1431"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death of the Executive or at the election of the Company due to the Executive’s “Disability”.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during any twelve-month period. The Company shall determine in good faith and in its sole discretion whether the Executive is unable to perform the services provided for herein.</w:t>
      </w:r>
    </w:p>
    <w:p>
      <w:pPr>
        <w:spacing w:after="0" w:line="221" w:lineRule="exact"/>
        <w:rPr>
          <w:rFonts w:ascii="Times New Roman" w:cs="Times New Roman" w:eastAsia="Times New Roman" w:hAnsi="Times New Roman"/>
          <w:sz w:val="22"/>
          <w:szCs w:val="22"/>
          <w:color w:val="auto"/>
        </w:rPr>
      </w:pPr>
    </w:p>
    <w:p>
      <w:pPr>
        <w:ind w:left="140" w:right="220" w:firstLine="739"/>
        <w:spacing w:after="0" w:line="244" w:lineRule="auto"/>
        <w:tabs>
          <w:tab w:leader="none" w:pos="142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Company, with or without “Cause” (as defined below), immediately upon written notice by the Company to the Executive. As used in this Agreement, “Cause” shall mean a finding by the Company’s Chief Executive Officer or the Board that the Executive:</w:t>
      </w:r>
    </w:p>
    <w:p>
      <w:pPr>
        <w:spacing w:after="0" w:line="200" w:lineRule="exact"/>
        <w:rPr>
          <w:rFonts w:ascii="Times New Roman" w:cs="Times New Roman" w:eastAsia="Times New Roman" w:hAnsi="Times New Roman"/>
          <w:sz w:val="22"/>
          <w:szCs w:val="22"/>
          <w:color w:val="auto"/>
        </w:rPr>
      </w:pPr>
    </w:p>
    <w:p>
      <w:pPr>
        <w:ind w:left="1620" w:right="120" w:hanging="475"/>
        <w:spacing w:after="0" w:line="282" w:lineRule="auto"/>
        <w:tabs>
          <w:tab w:leader="none" w:pos="1620" w:val="left"/>
        </w:tabs>
        <w:numPr>
          <w:ilvl w:val="2"/>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performed the Executive’s duties, in the good faith opinion of the Company’s Chief Executive Officer or the Board, in a grossly negligent or reckless manner or with willful malfeasance;</w:t>
      </w:r>
    </w:p>
    <w:p>
      <w:pPr>
        <w:spacing w:after="0" w:line="175" w:lineRule="exact"/>
        <w:rPr>
          <w:sz w:val="20"/>
          <w:szCs w:val="20"/>
          <w:color w:val="auto"/>
        </w:rPr>
      </w:pPr>
    </w:p>
    <w:p>
      <w:pPr>
        <w:ind w:left="1620" w:hanging="498"/>
        <w:spacing w:after="0"/>
        <w:tabs>
          <w:tab w:leader="none" w:pos="16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exhibited habitual drunkenness or engaged in substance abuse;</w:t>
      </w:r>
    </w:p>
    <w:p>
      <w:pPr>
        <w:spacing w:after="0" w:line="246" w:lineRule="exact"/>
        <w:rPr>
          <w:rFonts w:ascii="Times New Roman" w:cs="Times New Roman" w:eastAsia="Times New Roman" w:hAnsi="Times New Roman"/>
          <w:sz w:val="22"/>
          <w:szCs w:val="22"/>
          <w:color w:val="auto"/>
        </w:rPr>
      </w:pPr>
    </w:p>
    <w:p>
      <w:pPr>
        <w:ind w:left="1580" w:right="580" w:hanging="514"/>
        <w:spacing w:after="0" w:line="239" w:lineRule="auto"/>
        <w:tabs>
          <w:tab w:leader="none" w:pos="158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any material violation of any state or federal law relating to the workplace environment (including, without limitation, laws relating to sexual harassment or age, sex or other prohibited discrimination) or any material violation of any material Company policy;</w:t>
      </w:r>
    </w:p>
    <w:p>
      <w:pPr>
        <w:spacing w:after="0" w:line="207" w:lineRule="exact"/>
        <w:rPr>
          <w:rFonts w:ascii="Times New Roman" w:cs="Times New Roman" w:eastAsia="Times New Roman" w:hAnsi="Times New Roman"/>
          <w:sz w:val="22"/>
          <w:szCs w:val="22"/>
          <w:color w:val="auto"/>
        </w:rPr>
      </w:pPr>
    </w:p>
    <w:p>
      <w:pPr>
        <w:ind w:left="1620" w:right="220" w:hanging="530"/>
        <w:spacing w:after="0" w:line="235" w:lineRule="auto"/>
        <w:tabs>
          <w:tab w:leader="none" w:pos="162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failed or refused to perform in the usual manner at the usual time those duties which the Executive regularly and routinely performed in connection with the business of the Company or such other duties reasonably related to the capacity in which the Executive is employed hereunder which may be assigned to the Executive by the Company’s Chief Executive Officer or the Board, which failure or refusal continues for a period of more than seven (7) days after written notice thereof has been provided to the Executive by the Company’s Chief Executive Officer or the Board, such notice to set forth in reasonable detail the nature of such failure or refusal;</w:t>
      </w:r>
    </w:p>
    <w:p>
      <w:pPr>
        <w:spacing w:after="0" w:line="218" w:lineRule="exact"/>
        <w:rPr>
          <w:rFonts w:ascii="Times New Roman" w:cs="Times New Roman" w:eastAsia="Times New Roman" w:hAnsi="Times New Roman"/>
          <w:sz w:val="22"/>
          <w:szCs w:val="22"/>
          <w:color w:val="auto"/>
        </w:rPr>
      </w:pPr>
    </w:p>
    <w:p>
      <w:pPr>
        <w:ind w:left="1600" w:right="200" w:hanging="483"/>
        <w:spacing w:after="0" w:line="258" w:lineRule="auto"/>
        <w:tabs>
          <w:tab w:leader="none" w:pos="16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any material action when specifically and reasonably instructed not to do so by the Company’s Chief Executive Officer or the Board;</w:t>
      </w:r>
    </w:p>
    <w:p>
      <w:pPr>
        <w:spacing w:after="0" w:line="198" w:lineRule="exact"/>
        <w:rPr>
          <w:rFonts w:ascii="Times New Roman" w:cs="Times New Roman" w:eastAsia="Times New Roman" w:hAnsi="Times New Roman"/>
          <w:sz w:val="22"/>
          <w:szCs w:val="22"/>
          <w:color w:val="auto"/>
        </w:rPr>
      </w:pPr>
    </w:p>
    <w:p>
      <w:pPr>
        <w:ind w:left="1600" w:right="360" w:hanging="517"/>
        <w:spacing w:after="0" w:line="244" w:lineRule="auto"/>
        <w:tabs>
          <w:tab w:leader="none" w:pos="1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any fraud or used or appropriated for the Executive’s personal use or benefit any funds, properties or opportunities of the Company not authorized by the Company’s Chief Executive Officer or the Board to be so used or appropriated; or</w:t>
      </w:r>
    </w:p>
    <w:p>
      <w:pPr>
        <w:spacing w:after="0" w:line="200" w:lineRule="exact"/>
        <w:rPr>
          <w:sz w:val="20"/>
          <w:szCs w:val="20"/>
          <w:color w:val="auto"/>
        </w:rPr>
      </w:pPr>
    </w:p>
    <w:p>
      <w:pPr>
        <w:ind w:left="1600" w:right="120" w:hanging="544"/>
        <w:spacing w:after="0" w:line="258" w:lineRule="auto"/>
        <w:tabs>
          <w:tab w:leader="none" w:pos="16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convicted of, or pled guilty or “no contest” to, any felony or any other crime related to the Executive’s employment or involving moral turpitude.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739775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040" w:right="559" w:bottom="1440" w:gutter="0" w:footer="0" w:header="0"/>
        </w:sectPr>
      </w:pPr>
    </w:p>
    <w:bookmarkStart w:id="195" w:name="page196"/>
    <w:bookmarkEnd w:id="195"/>
    <w:p>
      <w:pPr>
        <w:ind w:left="140" w:right="260" w:firstLine="799"/>
        <w:spacing w:after="0" w:line="239" w:lineRule="auto"/>
        <w:tabs>
          <w:tab w:leader="none" w:pos="143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7" w:lineRule="exact"/>
        <w:rPr>
          <w:rFonts w:ascii="Times New Roman" w:cs="Times New Roman" w:eastAsia="Times New Roman" w:hAnsi="Times New Roman"/>
          <w:sz w:val="22"/>
          <w:szCs w:val="22"/>
          <w:color w:val="auto"/>
        </w:rPr>
      </w:pPr>
    </w:p>
    <w:p>
      <w:pPr>
        <w:ind w:left="1620" w:hanging="473"/>
        <w:spacing w:after="0"/>
        <w:tabs>
          <w:tab w:leader="none" w:pos="162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nature or scope of Executive’s duties, responsibilities, or authority;</w:t>
      </w:r>
    </w:p>
    <w:p>
      <w:pPr>
        <w:spacing w:after="0" w:line="245" w:lineRule="exact"/>
        <w:rPr>
          <w:sz w:val="20"/>
          <w:szCs w:val="20"/>
          <w:color w:val="auto"/>
        </w:rPr>
      </w:pPr>
    </w:p>
    <w:p>
      <w:pPr>
        <w:ind w:left="1620" w:hanging="498"/>
        <w:spacing w:after="0"/>
        <w:tabs>
          <w:tab w:leader="none" w:pos="16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Executive’s base compensation;</w:t>
      </w:r>
    </w:p>
    <w:p>
      <w:pPr>
        <w:spacing w:after="0" w:line="233" w:lineRule="exact"/>
        <w:rPr>
          <w:sz w:val="20"/>
          <w:szCs w:val="20"/>
          <w:color w:val="auto"/>
        </w:rPr>
      </w:pPr>
    </w:p>
    <w:p>
      <w:pPr>
        <w:ind w:left="1600" w:hanging="523"/>
        <w:spacing w:after="0"/>
        <w:tabs>
          <w:tab w:leader="none" w:pos="16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Executive to relocate Executive’s primary office more than fifty</w:t>
      </w:r>
    </w:p>
    <w:p>
      <w:pPr>
        <w:spacing w:after="0" w:line="14" w:lineRule="exact"/>
        <w:rPr>
          <w:rFonts w:ascii="Times New Roman" w:cs="Times New Roman" w:eastAsia="Times New Roman" w:hAnsi="Times New Roman"/>
          <w:sz w:val="22"/>
          <w:szCs w:val="22"/>
          <w:color w:val="auto"/>
        </w:rPr>
      </w:pPr>
    </w:p>
    <w:p>
      <w:pPr>
        <w:ind w:left="2020" w:hanging="422"/>
        <w:spacing w:after="0"/>
        <w:tabs>
          <w:tab w:leader="none" w:pos="20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the Executive’s then-current primary office; or</w:t>
      </w:r>
    </w:p>
    <w:p>
      <w:pPr>
        <w:spacing w:after="0" w:line="209" w:lineRule="exact"/>
        <w:rPr>
          <w:rFonts w:ascii="Times New Roman" w:cs="Times New Roman" w:eastAsia="Times New Roman" w:hAnsi="Times New Roman"/>
          <w:sz w:val="22"/>
          <w:szCs w:val="22"/>
          <w:color w:val="auto"/>
        </w:rPr>
      </w:pPr>
    </w:p>
    <w:p>
      <w:pPr>
        <w:ind w:left="1600" w:right="980" w:hanging="512"/>
        <w:spacing w:after="0" w:line="258" w:lineRule="auto"/>
        <w:tabs>
          <w:tab w:leader="none" w:pos="16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by the Company not otherwise covered by this paragraph;</w:t>
      </w:r>
    </w:p>
    <w:p>
      <w:pPr>
        <w:spacing w:after="0" w:line="185" w:lineRule="exact"/>
        <w:rPr>
          <w:sz w:val="20"/>
          <w:szCs w:val="20"/>
          <w:color w:val="auto"/>
        </w:rPr>
      </w:pPr>
    </w:p>
    <w:p>
      <w:pPr>
        <w:ind w:left="140"/>
        <w:spacing w:after="0" w:line="241" w:lineRule="auto"/>
        <w:rPr>
          <w:sz w:val="20"/>
          <w:szCs w:val="20"/>
          <w:color w:val="auto"/>
        </w:rPr>
      </w:pPr>
      <w:r>
        <w:rPr>
          <w:rFonts w:ascii="Times New Roman" w:cs="Times New Roman" w:eastAsia="Times New Roman" w:hAnsi="Times New Roman"/>
          <w:sz w:val="22"/>
          <w:szCs w:val="22"/>
          <w:color w:val="auto"/>
        </w:rPr>
        <w:t>provided, however, that in each case, the Company shall have a period of not less than thirty (30) days to cure any act constituting Good Reason following Executive’s delivery to the Company of written notice within sixty</w:t>
      </w:r>
    </w:p>
    <w:p>
      <w:pPr>
        <w:spacing w:after="0" w:line="2" w:lineRule="exact"/>
        <w:rPr>
          <w:sz w:val="20"/>
          <w:szCs w:val="20"/>
          <w:color w:val="auto"/>
        </w:rPr>
      </w:pPr>
    </w:p>
    <w:p>
      <w:pPr>
        <w:ind w:left="140" w:right="20" w:hanging="5"/>
        <w:spacing w:after="0" w:line="237" w:lineRule="auto"/>
        <w:tabs>
          <w:tab w:leader="none" w:pos="61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action or omission constituting Good Reason and that the Executive actually terminates employment within thirty (30) days following the expiration of the Company’s cure period.</w:t>
      </w:r>
    </w:p>
    <w:p>
      <w:pPr>
        <w:spacing w:after="0" w:line="201" w:lineRule="exact"/>
        <w:rPr>
          <w:rFonts w:ascii="Times New Roman" w:cs="Times New Roman" w:eastAsia="Times New Roman" w:hAnsi="Times New Roman"/>
          <w:sz w:val="22"/>
          <w:szCs w:val="22"/>
          <w:color w:val="auto"/>
        </w:rPr>
      </w:pPr>
    </w:p>
    <w:p>
      <w:pPr>
        <w:ind w:left="380" w:hanging="249"/>
        <w:spacing w:after="0"/>
        <w:tabs>
          <w:tab w:leader="none" w:pos="3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40" w:right="20" w:firstLine="739"/>
        <w:spacing w:after="0" w:line="233" w:lineRule="auto"/>
        <w:tabs>
          <w:tab w:leader="none" w:pos="1435"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 Terminations Other Than by the Company Without Cause or by the Executive With Good Reason</w:t>
      </w:r>
      <w:r>
        <w:rPr>
          <w:rFonts w:ascii="Times New Roman" w:cs="Times New Roman" w:eastAsia="Times New Roman" w:hAnsi="Times New Roman"/>
          <w:sz w:val="22"/>
          <w:szCs w:val="22"/>
          <w:color w:val="auto"/>
        </w:rPr>
        <w:t>. If the Executive’s employment is terminated under any circumstances other than a Qualifying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753745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976" w:right="479" w:bottom="1440" w:gutter="0" w:footer="0" w:header="0"/>
        </w:sectPr>
      </w:pPr>
    </w:p>
    <w:bookmarkStart w:id="196" w:name="page197"/>
    <w:bookmarkEnd w:id="196"/>
    <w:p>
      <w:pPr>
        <w:ind w:left="140" w:right="220" w:firstLine="739"/>
        <w:spacing w:after="0" w:line="233" w:lineRule="auto"/>
        <w:tabs>
          <w:tab w:leader="none" w:pos="142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Prior to or More Than Twelve Months Following a Change in Control. </w:t>
      </w:r>
      <w:r>
        <w:rPr>
          <w:rFonts w:ascii="Times New Roman" w:cs="Times New Roman" w:eastAsia="Times New Roman" w:hAnsi="Times New Roman"/>
          <w:sz w:val="22"/>
          <w:szCs w:val="22"/>
          <w:color w:val="auto"/>
        </w:rPr>
        <w:t>If the Executive’s employment is terminated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Company without Cause pursuant to Section 6(b) or by the Executive with Good Reason pursuant to Section 6(c) (in either case, a “Qualifying Termination”) prior to or more than twelve (12) months following a Change in Control (as defined below), the Executive shall be entitled to the Accrued Obligations. In addition, and subject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conditions of Section 7(d),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20" w:lineRule="exact"/>
        <w:rPr>
          <w:rFonts w:ascii="Times New Roman" w:cs="Times New Roman" w:eastAsia="Times New Roman" w:hAnsi="Times New Roman"/>
          <w:sz w:val="22"/>
          <w:szCs w:val="22"/>
          <w:color w:val="auto"/>
        </w:rPr>
      </w:pPr>
    </w:p>
    <w:p>
      <w:pPr>
        <w:ind w:left="140" w:right="80" w:firstLine="739"/>
        <w:spacing w:after="0" w:line="243" w:lineRule="auto"/>
        <w:tabs>
          <w:tab w:leader="none" w:pos="1431"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Termination by the Company Without Cause or by the Executive With Good Reason Within Twelve Months Following a Change in Control. </w:t>
      </w:r>
      <w:r>
        <w:rPr>
          <w:rFonts w:ascii="Times New Roman" w:cs="Times New Roman" w:eastAsia="Times New Roman" w:hAnsi="Times New Roman"/>
          <w:sz w:val="21"/>
          <w:szCs w:val="21"/>
          <w:color w:val="auto"/>
        </w:rPr>
        <w:t>If a Qualifying Termination occurs within twelve (12) months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following a Change in Control, then the Executive shall be entitled to the Accrued Obligations. In addition, and subject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w:t>
      </w:r>
    </w:p>
    <w:p>
      <w:pPr>
        <w:spacing w:after="0" w:line="8" w:lineRule="exact"/>
        <w:rPr>
          <w:rFonts w:ascii="Times New Roman" w:cs="Times New Roman" w:eastAsia="Times New Roman" w:hAnsi="Times New Roman"/>
          <w:sz w:val="21"/>
          <w:szCs w:val="21"/>
          <w:color w:val="auto"/>
        </w:rPr>
      </w:pPr>
    </w:p>
    <w:p>
      <w:pPr>
        <w:ind w:left="140" w:hanging="9"/>
        <w:spacing w:after="0" w:line="234" w:lineRule="auto"/>
        <w:tabs>
          <w:tab w:leader="none" w:pos="50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vesting of the Executive’s then-unvested equity awards that vest based solely on the passage of time shall be accelerated, such that all then unvested time-based equity awards shall vest and become fully exercisable or non-forfeitable as of the termination date (collectively, the “Change in Control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751840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188" w:right="559" w:bottom="1440" w:gutter="0" w:footer="0" w:header="0"/>
        </w:sectPr>
      </w:pPr>
    </w:p>
    <w:bookmarkStart w:id="197" w:name="page198"/>
    <w:bookmarkEnd w:id="197"/>
    <w:p>
      <w:pPr>
        <w:ind w:left="140" w:firstLine="739"/>
        <w:spacing w:after="0" w:line="233" w:lineRule="auto"/>
        <w:tabs>
          <w:tab w:leader="none" w:pos="143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and Release of Claims Agreement</w:t>
      </w:r>
      <w:r>
        <w:rPr>
          <w:rFonts w:ascii="Times New Roman" w:cs="Times New Roman" w:eastAsia="Times New Roman" w:hAnsi="Times New Roman"/>
          <w:sz w:val="22"/>
          <w:szCs w:val="22"/>
          <w:color w:val="auto"/>
        </w:rPr>
        <w:t>. As a condition of the Executive’s receipt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Severance Benefits or the Change in Control 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 reaffirmation of the Executive’s continuing obligations under any existing restrictive covenant agreements, and an agreement not to compete with the Company for twelve (12) months following the Executive’s separation from employment),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972" w:right="679" w:bottom="1440" w:gutter="0" w:footer="0" w:header="0"/>
        </w:sectPr>
      </w:pPr>
    </w:p>
    <w:bookmarkStart w:id="198" w:name="page199"/>
    <w:bookmarkEnd w:id="198"/>
    <w:p>
      <w:pPr>
        <w:ind w:left="140" w:firstLine="739"/>
        <w:spacing w:after="0" w:line="242" w:lineRule="auto"/>
        <w:tabs>
          <w:tab w:leader="none" w:pos="143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in Control Definition</w:t>
      </w:r>
      <w:r>
        <w:rPr>
          <w:rFonts w:ascii="Times New Roman" w:cs="Times New Roman" w:eastAsia="Times New Roman" w:hAnsi="Times New Roman"/>
          <w:sz w:val="21"/>
          <w:szCs w:val="21"/>
          <w:color w:val="auto"/>
        </w:rPr>
        <w:t>. For purposes of this Agreement, “Change in Control” shall mean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765810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188" w:right="519" w:bottom="1440" w:gutter="0" w:footer="0" w:header="0"/>
        </w:sectPr>
      </w:pPr>
    </w:p>
    <w:bookmarkStart w:id="199" w:name="page200"/>
    <w:bookmarkEnd w:id="199"/>
    <w:p>
      <w:pPr>
        <w:ind w:left="140" w:right="660" w:hanging="9"/>
        <w:spacing w:after="0" w:line="246" w:lineRule="auto"/>
        <w:tabs>
          <w:tab w:leader="none" w:pos="40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Modified Section 280G Cutback</w:t>
      </w:r>
      <w:r>
        <w:rPr>
          <w:rFonts w:ascii="Times New Roman" w:cs="Times New Roman" w:eastAsia="Times New Roman" w:hAnsi="Times New Roman"/>
          <w:sz w:val="22"/>
          <w:szCs w:val="22"/>
          <w:color w:val="auto"/>
        </w:rPr>
        <w:t>. Notwithstanding any other provision of this Agreement, except as set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forth in Section 8(b), in the event that the Company undergoes a “Change in Ownership or Control” (as defined below), the following provisions shall apply:</w:t>
      </w:r>
    </w:p>
    <w:p>
      <w:pPr>
        <w:spacing w:after="0" w:line="211" w:lineRule="exact"/>
        <w:rPr>
          <w:rFonts w:ascii="Times New Roman" w:cs="Times New Roman" w:eastAsia="Times New Roman" w:hAnsi="Times New Roman"/>
          <w:sz w:val="22"/>
          <w:szCs w:val="22"/>
          <w:color w:val="auto"/>
        </w:rPr>
      </w:pPr>
    </w:p>
    <w:p>
      <w:pPr>
        <w:ind w:left="140" w:right="80" w:firstLine="739"/>
        <w:spacing w:after="0" w:line="235" w:lineRule="auto"/>
        <w:tabs>
          <w:tab w:leader="none" w:pos="143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provide to the Executive any portion of any “Contingent Compensation Payments” (as defined below) that the Executive would otherwise be entitled to receive to the extent necessary to eliminate any “excess parachute payments” (as defined in Section 280G(b)(1) of the Code) for the Executive. For purposes of this Section 8,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210" w:lineRule="exact"/>
        <w:rPr>
          <w:rFonts w:ascii="Times New Roman" w:cs="Times New Roman" w:eastAsia="Times New Roman" w:hAnsi="Times New Roman"/>
          <w:sz w:val="22"/>
          <w:szCs w:val="22"/>
          <w:color w:val="auto"/>
        </w:rPr>
      </w:pPr>
    </w:p>
    <w:p>
      <w:pPr>
        <w:ind w:left="140" w:firstLine="739"/>
        <w:spacing w:after="0" w:line="245" w:lineRule="auto"/>
        <w:tabs>
          <w:tab w:leader="none" w:pos="1435"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8(a),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8(b) shall be referred to as a “Section 8(b)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73" w:lineRule="exact"/>
        <w:rPr>
          <w:rFonts w:ascii="Times New Roman" w:cs="Times New Roman" w:eastAsia="Times New Roman" w:hAnsi="Times New Roman"/>
          <w:sz w:val="21"/>
          <w:szCs w:val="21"/>
          <w:color w:val="auto"/>
        </w:rPr>
      </w:pPr>
    </w:p>
    <w:p>
      <w:pPr>
        <w:ind w:left="1420" w:hanging="541"/>
        <w:spacing w:after="0"/>
        <w:tabs>
          <w:tab w:leader="none" w:pos="142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8 the following terms shall have the following respective meanings:</w:t>
      </w:r>
    </w:p>
    <w:p>
      <w:pPr>
        <w:spacing w:after="0" w:line="206" w:lineRule="exact"/>
        <w:rPr>
          <w:rFonts w:ascii="Times New Roman" w:cs="Times New Roman" w:eastAsia="Times New Roman" w:hAnsi="Times New Roman"/>
          <w:sz w:val="22"/>
          <w:szCs w:val="22"/>
          <w:color w:val="auto"/>
        </w:rPr>
      </w:pPr>
    </w:p>
    <w:p>
      <w:pPr>
        <w:jc w:val="both"/>
        <w:ind w:left="880" w:right="640" w:firstLine="801"/>
        <w:spacing w:after="0" w:line="244" w:lineRule="auto"/>
        <w:tabs>
          <w:tab w:leader="none" w:pos="1938"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214" w:lineRule="exact"/>
        <w:rPr>
          <w:sz w:val="20"/>
          <w:szCs w:val="20"/>
          <w:color w:val="auto"/>
        </w:rPr>
      </w:pPr>
    </w:p>
    <w:p>
      <w:pPr>
        <w:ind w:left="880" w:right="100" w:firstLine="769"/>
        <w:spacing w:after="0" w:line="238" w:lineRule="auto"/>
        <w:rPr>
          <w:sz w:val="20"/>
          <w:szCs w:val="20"/>
          <w:color w:val="auto"/>
        </w:rPr>
      </w:pPr>
      <w:r>
        <w:rPr>
          <w:rFonts w:ascii="Times New Roman" w:cs="Times New Roman" w:eastAsia="Times New Roman" w:hAnsi="Times New Roman"/>
          <w:sz w:val="22"/>
          <w:szCs w:val="22"/>
          <w:color w:val="auto"/>
        </w:rPr>
        <w:t>(ii)“Contingent Compensation Payment”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280G(b)(2)(A)(i) of the Code) on a Change in Ownership or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751205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188" w:right="519" w:bottom="1440" w:gutter="0" w:footer="0" w:header="0"/>
        </w:sectPr>
      </w:pPr>
    </w:p>
    <w:bookmarkStart w:id="200" w:name="page201"/>
    <w:bookmarkEnd w:id="200"/>
    <w:p>
      <w:pPr>
        <w:ind w:left="140" w:right="60" w:firstLine="739"/>
        <w:spacing w:after="0" w:line="242" w:lineRule="auto"/>
        <w:tabs>
          <w:tab w:leader="none" w:pos="1433"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8(d). Within thirty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(1) which Potential Payments constitute Contingent Compensation Payments, (2) the Eliminated Amount and (3) whether the Section 8(b) Override is applicable. Within thirty (30) days after delivery of such notice to the Executive, the Executive shall deliver a response to the Company (the “Executive Response”) stating either (A) that the Executive agrees with the Company’s determination pursuant to the preceding sentence or (B) that the Executive disagrees with such determination, in which case the Executive shall set forth (x) which Potential Payments should be characterized as Contingent Compensation Payments, (y) the Eliminated Amount, and (z) whether the Section 8(b)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 with the Company’s determination, then, for a period of sixty</w:t>
      </w:r>
    </w:p>
    <w:p>
      <w:pPr>
        <w:spacing w:after="0" w:line="14" w:lineRule="exact"/>
        <w:rPr>
          <w:rFonts w:ascii="Times New Roman" w:cs="Times New Roman" w:eastAsia="Times New Roman" w:hAnsi="Times New Roman"/>
          <w:sz w:val="21"/>
          <w:szCs w:val="21"/>
          <w:color w:val="auto"/>
        </w:rPr>
      </w:pPr>
    </w:p>
    <w:p>
      <w:pPr>
        <w:ind w:left="140" w:right="80" w:hanging="9"/>
        <w:spacing w:after="0" w:line="232" w:lineRule="auto"/>
        <w:tabs>
          <w:tab w:leader="none" w:pos="55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delivery of the Executive Response, the Executive and the Company shall use good faith efforts to resolve such dispute. If such dispute is not resolved within such 60-day period, such dispute shall be settled exclusively by arbitration in Charlestown, Massachusetts, in accordance with the rules of the American Arbitration Association then in effect. Judgment may be entered on the arbitrator’s award in any court having jurisdiction. The Company shall, within three (3)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w:t>
      </w:r>
    </w:p>
    <w:p>
      <w:pPr>
        <w:spacing w:after="0" w:line="217" w:lineRule="exact"/>
        <w:rPr>
          <w:rFonts w:ascii="Times New Roman" w:cs="Times New Roman" w:eastAsia="Times New Roman" w:hAnsi="Times New Roman"/>
          <w:sz w:val="22"/>
          <w:szCs w:val="22"/>
          <w:color w:val="auto"/>
        </w:rPr>
      </w:pPr>
    </w:p>
    <w:p>
      <w:pPr>
        <w:ind w:left="140" w:firstLine="739"/>
        <w:spacing w:after="0" w:line="233" w:lineRule="auto"/>
        <w:tabs>
          <w:tab w:leader="none" w:pos="143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895350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976" w:right="479" w:bottom="1440" w:gutter="0" w:footer="0" w:header="0"/>
        </w:sectPr>
      </w:pPr>
    </w:p>
    <w:bookmarkStart w:id="201" w:name="page202"/>
    <w:bookmarkEnd w:id="201"/>
    <w:p>
      <w:pPr>
        <w:ind w:left="264"/>
        <w:spacing w:after="0" w:line="235" w:lineRule="auto"/>
        <w:rPr>
          <w:sz w:val="20"/>
          <w:szCs w:val="20"/>
          <w:color w:val="auto"/>
        </w:rPr>
      </w:pPr>
      <w:r>
        <w:rPr>
          <w:rFonts w:ascii="Times New Roman" w:cs="Times New Roman" w:eastAsia="Times New Roman" w:hAnsi="Times New Roman"/>
          <w:sz w:val="22"/>
          <w:szCs w:val="22"/>
          <w:color w:val="auto"/>
        </w:rPr>
        <w:t>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 Q/A-24(b) or (c)).</w:t>
      </w:r>
    </w:p>
    <w:p>
      <w:pPr>
        <w:spacing w:after="0" w:line="219" w:lineRule="exact"/>
        <w:rPr>
          <w:sz w:val="20"/>
          <w:szCs w:val="20"/>
          <w:color w:val="auto"/>
        </w:rPr>
      </w:pPr>
    </w:p>
    <w:p>
      <w:pPr>
        <w:ind w:left="264" w:right="560" w:firstLine="739"/>
        <w:spacing w:after="0" w:line="244" w:lineRule="auto"/>
        <w:tabs>
          <w:tab w:leader="none" w:pos="154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8 are intended to apply to any and all payments or benefits available to the Executive under this Agreement or any other agreement or plan under which the Executive receives Contingent Compensation Payments.</w:t>
      </w:r>
    </w:p>
    <w:p>
      <w:pPr>
        <w:spacing w:after="0" w:line="317" w:lineRule="exact"/>
        <w:rPr>
          <w:rFonts w:ascii="Times New Roman" w:cs="Times New Roman" w:eastAsia="Times New Roman" w:hAnsi="Times New Roman"/>
          <w:sz w:val="22"/>
          <w:szCs w:val="22"/>
          <w:color w:val="auto"/>
        </w:rPr>
      </w:pPr>
    </w:p>
    <w:p>
      <w:pPr>
        <w:ind w:left="284" w:right="300" w:hanging="284"/>
        <w:spacing w:after="0" w:line="262" w:lineRule="auto"/>
        <w:tabs>
          <w:tab w:leader="none" w:pos="5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Covenants Agreements</w:t>
      </w:r>
      <w:r>
        <w:rPr>
          <w:rFonts w:ascii="Times New Roman" w:cs="Times New Roman" w:eastAsia="Times New Roman" w:hAnsi="Times New Roman"/>
          <w:sz w:val="22"/>
          <w:szCs w:val="22"/>
          <w:color w:val="auto"/>
        </w:rPr>
        <w:t>. As a condition of the Executive’s employment pursuant to the terms set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forth in this Agreement, the Executive shall execute and comply with the terms of</w:t>
      </w:r>
    </w:p>
    <w:p>
      <w:pPr>
        <w:spacing w:after="0" w:line="45" w:lineRule="exact"/>
        <w:rPr>
          <w:rFonts w:ascii="Times New Roman" w:cs="Times New Roman" w:eastAsia="Times New Roman" w:hAnsi="Times New Roman"/>
          <w:sz w:val="22"/>
          <w:szCs w:val="22"/>
          <w:color w:val="auto"/>
        </w:rPr>
      </w:pPr>
    </w:p>
    <w:p>
      <w:pPr>
        <w:ind w:left="264" w:right="800" w:firstLine="739"/>
        <w:spacing w:after="0" w:line="258" w:lineRule="auto"/>
        <w:tabs>
          <w:tab w:leader="none" w:pos="1543"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Invention, Nondisclosure and Nonsolicitation Agreement and (b) the Noncompetition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respectively.</w:t>
      </w:r>
    </w:p>
    <w:p>
      <w:pPr>
        <w:spacing w:after="0" w:line="181" w:lineRule="exact"/>
        <w:rPr>
          <w:sz w:val="20"/>
          <w:szCs w:val="20"/>
          <w:color w:val="auto"/>
        </w:rPr>
      </w:pPr>
    </w:p>
    <w:p>
      <w:pPr>
        <w:ind w:left="244" w:right="300" w:hanging="248"/>
        <w:spacing w:after="0" w:line="24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i w:val="1"/>
          <w:iCs w:val="1"/>
          <w:color w:val="auto"/>
        </w:rPr>
        <w:t>Absence of Restrictions</w:t>
      </w:r>
      <w:r>
        <w:rPr>
          <w:rFonts w:ascii="Times New Roman" w:cs="Times New Roman" w:eastAsia="Times New Roman" w:hAnsi="Times New Roman"/>
          <w:sz w:val="22"/>
          <w:szCs w:val="22"/>
          <w:color w:val="auto"/>
        </w:rPr>
        <w:t>. The Executive represents and warrants that the Executive is not bound by any employment 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12" w:lineRule="exact"/>
        <w:rPr>
          <w:sz w:val="20"/>
          <w:szCs w:val="20"/>
          <w:color w:val="auto"/>
        </w:rPr>
      </w:pPr>
    </w:p>
    <w:p>
      <w:pPr>
        <w:ind w:left="244" w:right="140" w:hanging="248"/>
        <w:spacing w:after="0" w:line="241"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Any notice delivered under this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16"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22"/>
          <w:szCs w:val="22"/>
          <w:color w:val="auto"/>
        </w:rPr>
        <w:t>To Executive:</w:t>
      </w:r>
    </w:p>
    <w:p>
      <w:pPr>
        <w:spacing w:after="0" w:line="233" w:lineRule="exact"/>
        <w:rPr>
          <w:sz w:val="20"/>
          <w:szCs w:val="20"/>
          <w:color w:val="auto"/>
        </w:rPr>
      </w:pPr>
    </w:p>
    <w:p>
      <w:pPr>
        <w:ind w:left="1004" w:right="3880"/>
        <w:spacing w:after="0" w:line="241" w:lineRule="auto"/>
        <w:rPr>
          <w:sz w:val="20"/>
          <w:szCs w:val="20"/>
          <w:color w:val="auto"/>
        </w:rPr>
      </w:pPr>
      <w:r>
        <w:rPr>
          <w:rFonts w:ascii="Times New Roman" w:cs="Times New Roman" w:eastAsia="Times New Roman" w:hAnsi="Times New Roman"/>
          <w:sz w:val="22"/>
          <w:szCs w:val="22"/>
          <w:color w:val="auto"/>
        </w:rPr>
        <w:t>At the address set forth in the Executive’s personnel file To Company:</w:t>
      </w:r>
    </w:p>
    <w:p>
      <w:pPr>
        <w:ind w:left="1004"/>
        <w:spacing w:after="0" w:line="232" w:lineRule="auto"/>
        <w:rPr>
          <w:sz w:val="20"/>
          <w:szCs w:val="20"/>
          <w:color w:val="auto"/>
        </w:rPr>
      </w:pPr>
      <w:r>
        <w:rPr>
          <w:rFonts w:ascii="Times New Roman" w:cs="Times New Roman" w:eastAsia="Times New Roman" w:hAnsi="Times New Roman"/>
          <w:sz w:val="22"/>
          <w:szCs w:val="22"/>
          <w:color w:val="auto"/>
        </w:rPr>
        <w:t>Solid Biosciences Inc. 500</w:t>
      </w:r>
    </w:p>
    <w:p>
      <w:pPr>
        <w:ind w:left="1004"/>
        <w:spacing w:after="0" w:line="230" w:lineRule="auto"/>
        <w:rPr>
          <w:sz w:val="20"/>
          <w:szCs w:val="20"/>
          <w:color w:val="auto"/>
        </w:rPr>
      </w:pPr>
      <w:r>
        <w:rPr>
          <w:rFonts w:ascii="Times New Roman" w:cs="Times New Roman" w:eastAsia="Times New Roman" w:hAnsi="Times New Roman"/>
          <w:sz w:val="22"/>
          <w:szCs w:val="22"/>
          <w:color w:val="auto"/>
        </w:rPr>
        <w:t>Rutherford Avenue Third</w:t>
      </w:r>
    </w:p>
    <w:p>
      <w:pPr>
        <w:ind w:left="1004"/>
        <w:spacing w:after="0" w:line="231" w:lineRule="auto"/>
        <w:rPr>
          <w:sz w:val="20"/>
          <w:szCs w:val="20"/>
          <w:color w:val="auto"/>
        </w:rPr>
      </w:pPr>
      <w:r>
        <w:rPr>
          <w:rFonts w:ascii="Times New Roman" w:cs="Times New Roman" w:eastAsia="Times New Roman" w:hAnsi="Times New Roman"/>
          <w:sz w:val="22"/>
          <w:szCs w:val="22"/>
          <w:color w:val="auto"/>
        </w:rPr>
        <w:t>Floor Charlestown, MA</w:t>
      </w:r>
    </w:p>
    <w:p>
      <w:pPr>
        <w:ind w:left="1004"/>
        <w:spacing w:after="0"/>
        <w:rPr>
          <w:sz w:val="20"/>
          <w:szCs w:val="20"/>
          <w:color w:val="auto"/>
        </w:rPr>
      </w:pPr>
      <w:r>
        <w:rPr>
          <w:rFonts w:ascii="Times New Roman" w:cs="Times New Roman" w:eastAsia="Times New Roman" w:hAnsi="Times New Roman"/>
          <w:sz w:val="22"/>
          <w:szCs w:val="22"/>
          <w:color w:val="auto"/>
        </w:rPr>
        <w:t>02129</w:t>
      </w:r>
    </w:p>
    <w:p>
      <w:pPr>
        <w:spacing w:after="0" w:line="223" w:lineRule="exact"/>
        <w:rPr>
          <w:sz w:val="20"/>
          <w:szCs w:val="20"/>
          <w:color w:val="auto"/>
        </w:rPr>
      </w:pPr>
    </w:p>
    <w:p>
      <w:pPr>
        <w:ind w:left="264" w:right="160"/>
        <w:spacing w:after="0" w:line="258" w:lineRule="auto"/>
        <w:rPr>
          <w:sz w:val="20"/>
          <w:szCs w:val="20"/>
          <w:color w:val="auto"/>
        </w:rPr>
      </w:pPr>
      <w:r>
        <w:rPr>
          <w:rFonts w:ascii="Times New Roman" w:cs="Times New Roman" w:eastAsia="Times New Roman" w:hAnsi="Times New Roman"/>
          <w:sz w:val="22"/>
          <w:szCs w:val="22"/>
          <w:color w:val="auto"/>
        </w:rPr>
        <w:t>Either Party may change the address to which notices are to be delivered by giving notice of such change to the other Party in the manner set forth in this Section 11.</w:t>
      </w:r>
    </w:p>
    <w:p>
      <w:pPr>
        <w:spacing w:after="0" w:line="195" w:lineRule="exact"/>
        <w:rPr>
          <w:sz w:val="20"/>
          <w:szCs w:val="20"/>
          <w:color w:val="auto"/>
        </w:rPr>
      </w:pPr>
    </w:p>
    <w:p>
      <w:pPr>
        <w:ind w:left="244" w:right="140" w:hanging="246"/>
        <w:spacing w:after="0" w:line="26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i w:val="1"/>
          <w:iCs w:val="1"/>
          <w:color w:val="auto"/>
        </w:rPr>
        <w:t>Applicable Law; Jury Trial Waiver</w:t>
      </w:r>
      <w:r>
        <w:rPr>
          <w:rFonts w:ascii="Times New Roman" w:cs="Times New Roman" w:eastAsia="Times New Roman" w:hAnsi="Times New Roman"/>
          <w:sz w:val="22"/>
          <w:szCs w:val="22"/>
          <w:color w:val="auto"/>
        </w:rPr>
        <w:t>. This Agreement shall be governed by and construed in accordance with the laws of the State of Delaware (without reference to the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728345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4"/>
          </w:cols>
          <w:pgMar w:left="1316" w:top="1044" w:right="539" w:bottom="1440" w:gutter="0" w:footer="0" w:header="0"/>
        </w:sectPr>
      </w:pPr>
    </w:p>
    <w:bookmarkStart w:id="202" w:name="page203"/>
    <w:bookmarkEnd w:id="202"/>
    <w:p>
      <w:pPr>
        <w:ind w:left="120"/>
        <w:spacing w:after="0" w:line="251" w:lineRule="auto"/>
        <w:rPr>
          <w:sz w:val="20"/>
          <w:szCs w:val="20"/>
          <w:color w:val="auto"/>
        </w:rPr>
      </w:pPr>
      <w:r>
        <w:rPr>
          <w:rFonts w:ascii="Times New Roman" w:cs="Times New Roman" w:eastAsia="Times New Roman" w:hAnsi="Times New Roman"/>
          <w:sz w:val="21"/>
          <w:szCs w:val="21"/>
          <w:color w:val="auto"/>
        </w:rPr>
        <w:t>provisions thereof). Any action, suit or other legal proceeding arising under or relating to any provision of this Agreement shall be commenced only in a court of the State of Delaware (or, if appropriate, a federal court located within the State of Delaware),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746125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976" w:right="699" w:bottom="1440" w:gutter="0" w:footer="0" w:header="0"/>
        </w:sectPr>
      </w:pPr>
    </w:p>
    <w:bookmarkStart w:id="203" w:name="page204"/>
    <w:bookmarkEnd w:id="203"/>
    <w:p>
      <w:pPr>
        <w:spacing w:after="0" w:line="208" w:lineRule="exact"/>
        <w:rPr>
          <w:sz w:val="20"/>
          <w:szCs w:val="20"/>
          <w:color w:val="auto"/>
        </w:rPr>
      </w:pPr>
    </w:p>
    <w:p>
      <w:pPr>
        <w:ind w:left="1240" w:hanging="9"/>
        <w:spacing w:after="0" w:line="241" w:lineRule="auto"/>
        <w:tabs>
          <w:tab w:leader="none" w:pos="15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99" w:lineRule="exact"/>
        <w:rPr>
          <w:sz w:val="20"/>
          <w:szCs w:val="20"/>
          <w:color w:val="auto"/>
        </w:rPr>
      </w:pPr>
    </w:p>
    <w:p>
      <w:pPr>
        <w:ind w:left="1240" w:right="60"/>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i w:val="1"/>
          <w:iCs w:val="1"/>
          <w:color w:val="auto"/>
        </w:rPr>
        <w:t>At-Will Employment</w:t>
      </w:r>
      <w:r>
        <w:rPr>
          <w:rFonts w:ascii="Times New Roman" w:cs="Times New Roman" w:eastAsia="Times New Roman" w:hAnsi="Times New Roman"/>
          <w:sz w:val="22"/>
          <w:szCs w:val="22"/>
          <w:color w:val="auto"/>
        </w:rPr>
        <w:t>. During the Term of Employment, the Executive will continue to be an at-will employee of the Company, which means that, notwithstanding any other provision set forth herein, the employment relationship can be terminated by either Party for any reason, at any time, with or without prior notice and with or without Cause.</w:t>
      </w:r>
    </w:p>
    <w:p>
      <w:pPr>
        <w:spacing w:after="0" w:line="212" w:lineRule="exact"/>
        <w:rPr>
          <w:sz w:val="20"/>
          <w:szCs w:val="20"/>
          <w:color w:val="auto"/>
        </w:rPr>
      </w:pPr>
    </w:p>
    <w:p>
      <w:pPr>
        <w:ind w:left="1240" w:right="400"/>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i w:val="1"/>
          <w:iCs w:val="1"/>
          <w:color w:val="auto"/>
        </w:rPr>
        <w:t>Acknowledgment</w:t>
      </w:r>
      <w:r>
        <w:rPr>
          <w:rFonts w:ascii="Times New Roman" w:cs="Times New Roman" w:eastAsia="Times New Roman" w:hAnsi="Times New Roman"/>
          <w:sz w:val="22"/>
          <w:szCs w:val="22"/>
          <w:color w:val="auto"/>
        </w:rPr>
        <w:t>. The Executive states and represents that the Executive has had an opportunity to fully 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204" w:lineRule="exact"/>
        <w:rPr>
          <w:sz w:val="20"/>
          <w:szCs w:val="20"/>
          <w:color w:val="auto"/>
        </w:rPr>
      </w:pPr>
    </w:p>
    <w:p>
      <w:pPr>
        <w:ind w:left="1240" w:right="260"/>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i w:val="1"/>
          <w:iCs w:val="1"/>
          <w:color w:val="auto"/>
        </w:rPr>
        <w:t>No Oral Modification, Waiver, Cancellation or Discharge</w:t>
      </w:r>
      <w:r>
        <w:rPr>
          <w:rFonts w:ascii="Times New Roman" w:cs="Times New Roman" w:eastAsia="Times New Roman" w:hAnsi="Times New Roman"/>
          <w:sz w:val="22"/>
          <w:szCs w:val="22"/>
          <w:color w:val="auto"/>
        </w:rPr>
        <w:t>. This Agreement may be amended or modified only by a 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196675774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487680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204" w:name="page205"/>
    <w:bookmarkEnd w:id="204"/>
    <w:p>
      <w:pPr>
        <w:ind w:left="1240" w:right="20"/>
        <w:spacing w:after="0" w:line="256" w:lineRule="auto"/>
        <w:rPr>
          <w:sz w:val="20"/>
          <w:szCs w:val="20"/>
          <w:color w:val="auto"/>
        </w:rPr>
      </w:pPr>
      <w:r>
        <w:rPr>
          <w:rFonts w:ascii="Times New Roman" w:cs="Times New Roman" w:eastAsia="Times New Roman" w:hAnsi="Times New Roman"/>
          <w:sz w:val="21"/>
          <w:szCs w:val="21"/>
          <w:color w:val="auto"/>
        </w:rPr>
        <w:t>17.</w:t>
      </w:r>
      <w:r>
        <w:rPr>
          <w:rFonts w:ascii="Times New Roman" w:cs="Times New Roman" w:eastAsia="Times New Roman" w:hAnsi="Times New Roman"/>
          <w:sz w:val="21"/>
          <w:szCs w:val="21"/>
          <w:i w:val="1"/>
          <w:iCs w:val="1"/>
          <w:color w:val="auto"/>
        </w:rPr>
        <w:t>Captions and Pronouns</w:t>
      </w:r>
      <w:r>
        <w:rPr>
          <w:rFonts w:ascii="Times New Roman" w:cs="Times New Roman" w:eastAsia="Times New Roman" w:hAnsi="Times New Roman"/>
          <w:sz w:val="21"/>
          <w:szCs w:val="21"/>
          <w:color w:val="auto"/>
        </w:rPr>
        <w:t>. The captions of the sections of this Agreement are for convenience of reference 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98" w:lineRule="exact"/>
        <w:rPr>
          <w:sz w:val="20"/>
          <w:szCs w:val="20"/>
          <w:color w:val="auto"/>
        </w:rPr>
      </w:pPr>
    </w:p>
    <w:p>
      <w:pPr>
        <w:ind w:left="1240" w:hanging="9"/>
        <w:spacing w:after="0" w:line="241" w:lineRule="auto"/>
        <w:tabs>
          <w:tab w:leader="none" w:pos="152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The Parties agree that this Agreement will be construed without regard to any presumption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212" w:lineRule="exact"/>
        <w:rPr>
          <w:sz w:val="20"/>
          <w:szCs w:val="20"/>
          <w:color w:val="auto"/>
        </w:rPr>
      </w:pPr>
    </w:p>
    <w:p>
      <w:pPr>
        <w:ind w:left="1240" w:right="320"/>
        <w:spacing w:after="0" w:line="237"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Each provision of this Agreement must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196675774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487680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323" w:right="559" w:bottom="1440" w:gutter="0" w:footer="0" w:header="0"/>
        </w:sectPr>
      </w:pPr>
    </w:p>
    <w:bookmarkStart w:id="205" w:name="page206"/>
    <w:bookmarkEnd w:id="205"/>
    <w:p>
      <w:pPr>
        <w:ind w:left="1240"/>
        <w:spacing w:after="0" w:line="244" w:lineRule="auto"/>
        <w:rPr>
          <w:sz w:val="20"/>
          <w:szCs w:val="20"/>
          <w:color w:val="auto"/>
        </w:rPr>
      </w:pPr>
      <w:r>
        <w:rPr>
          <w:rFonts w:ascii="Times New Roman" w:cs="Times New Roman" w:eastAsia="Times New Roman" w:hAnsi="Times New Roman"/>
          <w:sz w:val="22"/>
          <w:szCs w:val="22"/>
          <w:color w:val="auto"/>
        </w:rPr>
        <w:t>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96" w:lineRule="exact"/>
        <w:rPr>
          <w:sz w:val="20"/>
          <w:szCs w:val="20"/>
          <w:color w:val="auto"/>
        </w:rPr>
      </w:pPr>
    </w:p>
    <w:p>
      <w:pPr>
        <w:ind w:left="1240" w:right="100"/>
        <w:spacing w:after="0" w:line="23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Except as expressly provided in the Merger Agreement and any other agreements to which the Executive is or will be a party in connection with the Transaction, this Agreement constitutes the entire agreement between the Parties and supersedes all prior agreements and understandings, whether written or oral, relating to the subject matter of this Agreement, including, but not limited to, the Prior Employment Agreement.</w:t>
      </w:r>
    </w:p>
    <w:p>
      <w:pPr>
        <w:spacing w:after="0" w:line="1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[Signatures on Page Following]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196675774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487680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08" w:right="719" w:bottom="1440" w:gutter="0" w:footer="0" w:header="0"/>
        </w:sectPr>
      </w:pPr>
    </w:p>
    <w:bookmarkStart w:id="206" w:name="page207"/>
    <w:bookmarkEnd w:id="206"/>
    <w:p>
      <w:pPr>
        <w:ind w:left="124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day and year set forth above.</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76" w:lineRule="exact"/>
        <w:rPr>
          <w:sz w:val="20"/>
          <w:szCs w:val="20"/>
          <w:color w:val="auto"/>
        </w:rPr>
      </w:pPr>
    </w:p>
    <w:tbl>
      <w:tblPr>
        <w:tblLayout w:type="fixed"/>
        <w:tblInd w:w="1480" w:type="dxa"/>
        <w:tblCellMar>
          <w:top w:w="0" w:type="dxa"/>
          <w:left w:w="0" w:type="dxa"/>
          <w:bottom w:w="0" w:type="dxa"/>
          <w:right w:w="0" w:type="dxa"/>
        </w:tblCellMar>
      </w:tblP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Ian Smith</w:t>
            </w:r>
          </w:p>
        </w:tc>
      </w:tr>
      <w:tr>
        <w:trPr>
          <w:trHeight w:val="48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Ian Smith</w:t>
            </w:r>
          </w:p>
        </w:tc>
      </w:tr>
      <w:tr>
        <w:trPr>
          <w:trHeight w:val="47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/s/ Ty Howton</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Ty Howton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196675774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487680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1327" w:right="1019" w:bottom="1440" w:gutter="0" w:footer="0" w:header="0"/>
        </w:sectPr>
      </w:pPr>
    </w:p>
    <w:bookmarkStart w:id="207" w:name="page208"/>
    <w:bookmarkEnd w:id="207"/>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Payments Subject to Section 409A</w:t>
      </w:r>
    </w:p>
    <w:p>
      <w:pPr>
        <w:spacing w:after="0" w:line="251" w:lineRule="exact"/>
        <w:rPr>
          <w:sz w:val="20"/>
          <w:szCs w:val="20"/>
          <w:color w:val="auto"/>
        </w:rPr>
      </w:pPr>
    </w:p>
    <w:p>
      <w:pPr>
        <w:ind w:left="1240" w:right="560" w:firstLine="739"/>
        <w:spacing w:after="0" w:line="238" w:lineRule="auto"/>
        <w:tabs>
          <w:tab w:leader="none" w:pos="250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03" w:lineRule="exact"/>
        <w:rPr>
          <w:rFonts w:ascii="Times New Roman" w:cs="Times New Roman" w:eastAsia="Times New Roman" w:hAnsi="Times New Roman"/>
          <w:sz w:val="22"/>
          <w:szCs w:val="22"/>
          <w:color w:val="auto"/>
        </w:rPr>
      </w:pPr>
    </w:p>
    <w:p>
      <w:pPr>
        <w:ind w:left="1980" w:right="540" w:firstLine="748"/>
        <w:spacing w:after="0" w:line="238" w:lineRule="auto"/>
        <w:tabs>
          <w:tab w:leader="none" w:pos="3027"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03" w:lineRule="exact"/>
        <w:rPr>
          <w:rFonts w:ascii="Times New Roman" w:cs="Times New Roman" w:eastAsia="Times New Roman" w:hAnsi="Times New Roman"/>
          <w:sz w:val="22"/>
          <w:szCs w:val="22"/>
          <w:color w:val="auto"/>
        </w:rPr>
      </w:pPr>
    </w:p>
    <w:p>
      <w:pPr>
        <w:ind w:left="1980" w:right="320" w:firstLine="748"/>
        <w:spacing w:after="0" w:line="261" w:lineRule="auto"/>
        <w:tabs>
          <w:tab w:leader="none" w:pos="3029"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4" w:lineRule="exact"/>
        <w:rPr>
          <w:rFonts w:ascii="Times New Roman" w:cs="Times New Roman" w:eastAsia="Times New Roman" w:hAnsi="Times New Roman"/>
          <w:sz w:val="21"/>
          <w:szCs w:val="21"/>
          <w:color w:val="auto"/>
        </w:rPr>
      </w:pPr>
    </w:p>
    <w:p>
      <w:pPr>
        <w:ind w:left="1980" w:right="660" w:firstLine="748"/>
        <w:spacing w:after="0" w:line="258" w:lineRule="auto"/>
        <w:tabs>
          <w:tab w:leader="none" w:pos="302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the Executive’s “separation from service” from the Company, the Executive is a “specified employee” (within the meaning of Section 409A), then:</w:t>
      </w:r>
    </w:p>
    <w:p>
      <w:pPr>
        <w:spacing w:after="0" w:line="185" w:lineRule="exact"/>
        <w:rPr>
          <w:rFonts w:ascii="Times New Roman" w:cs="Times New Roman" w:eastAsia="Times New Roman" w:hAnsi="Times New Roman"/>
          <w:sz w:val="22"/>
          <w:szCs w:val="22"/>
          <w:color w:val="auto"/>
        </w:rPr>
      </w:pPr>
    </w:p>
    <w:p>
      <w:pPr>
        <w:ind w:left="3200" w:right="120" w:hanging="407"/>
        <w:spacing w:after="0" w:line="235" w:lineRule="auto"/>
        <w:tabs>
          <w:tab w:leader="none" w:pos="320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10" w:lineRule="exact"/>
        <w:rPr>
          <w:rFonts w:ascii="Times New Roman" w:cs="Times New Roman" w:eastAsia="Times New Roman" w:hAnsi="Times New Roman"/>
          <w:sz w:val="22"/>
          <w:szCs w:val="22"/>
          <w:color w:val="auto"/>
        </w:rPr>
      </w:pPr>
    </w:p>
    <w:p>
      <w:pPr>
        <w:ind w:left="3200" w:hanging="475"/>
        <w:spacing w:after="0" w:line="245" w:lineRule="auto"/>
        <w:tabs>
          <w:tab w:leader="none" w:pos="3200"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196675774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487680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04" w:right="519" w:bottom="1440" w:gutter="0" w:footer="0" w:header="0"/>
        </w:sectPr>
      </w:pPr>
    </w:p>
    <w:bookmarkStart w:id="208" w:name="page209"/>
    <w:bookmarkEnd w:id="208"/>
    <w:p>
      <w:pPr>
        <w:ind w:left="2700" w:right="160"/>
        <w:spacing w:after="0" w:line="249" w:lineRule="auto"/>
        <w:rPr>
          <w:sz w:val="20"/>
          <w:szCs w:val="20"/>
          <w:color w:val="auto"/>
        </w:rPr>
      </w:pPr>
      <w:r>
        <w:rPr>
          <w:rFonts w:ascii="Times New Roman" w:cs="Times New Roman" w:eastAsia="Times New Roman" w:hAnsi="Times New Roman"/>
          <w:sz w:val="21"/>
          <w:szCs w:val="21"/>
          <w:color w:val="auto"/>
        </w:rPr>
        <w:t>provide for a deferral of compensation by reason of the application of Treasury Regulation 1.409A-1(b)(9)(iii) (relating to separation pay upon an involuntary separation from service). Any installments that qualify for the exception under Treasury Regulation Section 1.409A-1(b)</w:t>
      </w:r>
    </w:p>
    <w:p>
      <w:pPr>
        <w:spacing w:after="0" w:line="1" w:lineRule="exact"/>
        <w:rPr>
          <w:sz w:val="20"/>
          <w:szCs w:val="20"/>
          <w:color w:val="auto"/>
        </w:rPr>
      </w:pPr>
    </w:p>
    <w:p>
      <w:pPr>
        <w:ind w:left="2700" w:right="200"/>
        <w:spacing w:after="0" w:line="237" w:lineRule="auto"/>
        <w:rPr>
          <w:sz w:val="20"/>
          <w:szCs w:val="20"/>
          <w:color w:val="auto"/>
        </w:rPr>
      </w:pPr>
      <w:r>
        <w:rPr>
          <w:rFonts w:ascii="Times New Roman" w:cs="Times New Roman" w:eastAsia="Times New Roman" w:hAnsi="Times New Roman"/>
          <w:sz w:val="22"/>
          <w:szCs w:val="22"/>
          <w:color w:val="auto"/>
        </w:rPr>
        <w:t>(9)(iii) must be paid no later than the last day of the Executive’s second taxable year following the taxable year in which the separation from service occurs.</w:t>
      </w:r>
    </w:p>
    <w:p>
      <w:pPr>
        <w:spacing w:after="0" w:line="205" w:lineRule="exact"/>
        <w:rPr>
          <w:sz w:val="20"/>
          <w:szCs w:val="20"/>
          <w:color w:val="auto"/>
        </w:rPr>
      </w:pPr>
    </w:p>
    <w:p>
      <w:pPr>
        <w:ind w:left="1240" w:firstLine="739"/>
        <w:spacing w:after="0" w:line="238" w:lineRule="auto"/>
        <w:tabs>
          <w:tab w:leader="none" w:pos="25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3" w:lineRule="exact"/>
        <w:rPr>
          <w:rFonts w:ascii="Times New Roman" w:cs="Times New Roman" w:eastAsia="Times New Roman" w:hAnsi="Times New Roman"/>
          <w:sz w:val="22"/>
          <w:szCs w:val="22"/>
          <w:color w:val="auto"/>
        </w:rPr>
      </w:pPr>
    </w:p>
    <w:p>
      <w:pPr>
        <w:ind w:left="1240" w:right="60" w:firstLine="739"/>
        <w:spacing w:after="0" w:line="247" w:lineRule="auto"/>
        <w:tabs>
          <w:tab w:leader="none" w:pos="2531"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98" w:lineRule="exact"/>
        <w:rPr>
          <w:rFonts w:ascii="Times New Roman" w:cs="Times New Roman" w:eastAsia="Times New Roman" w:hAnsi="Times New Roman"/>
          <w:sz w:val="21"/>
          <w:szCs w:val="21"/>
          <w:color w:val="auto"/>
        </w:rPr>
      </w:pPr>
    </w:p>
    <w:p>
      <w:pPr>
        <w:ind w:left="2520" w:hanging="541"/>
        <w:spacing w:after="0"/>
        <w:tabs>
          <w:tab w:leader="none" w:pos="25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w:t>
      </w:r>
    </w:p>
    <w:p>
      <w:pPr>
        <w:spacing w:after="0" w:line="14" w:lineRule="exact"/>
        <w:rPr>
          <w:sz w:val="20"/>
          <w:szCs w:val="20"/>
          <w:color w:val="auto"/>
        </w:rPr>
      </w:pPr>
    </w:p>
    <w:p>
      <w:pPr>
        <w:ind w:left="1240" w:right="480"/>
        <w:spacing w:after="0" w:line="235" w:lineRule="auto"/>
        <w:rPr>
          <w:sz w:val="20"/>
          <w:szCs w:val="20"/>
          <w:color w:val="auto"/>
        </w:rPr>
      </w:pPr>
      <w:r>
        <w:rPr>
          <w:rFonts w:ascii="Times New Roman" w:cs="Times New Roman" w:eastAsia="Times New Roman" w:hAnsi="Times New Roman"/>
          <w:sz w:val="22"/>
          <w:szCs w:val="22"/>
          <w:color w:val="auto"/>
        </w:rPr>
        <w:t>or to any other person if any of the provisions of the Agreement (including this Exhibit A) are determined to constitute deferred compensation subject to Section 409A but that do not satisfy an exemption from, or the conditions of, that section.</w:t>
      </w:r>
    </w:p>
    <w:p>
      <w:pPr>
        <w:spacing w:after="0" w:line="205" w:lineRule="exact"/>
        <w:rPr>
          <w:sz w:val="20"/>
          <w:szCs w:val="20"/>
          <w:color w:val="auto"/>
        </w:rPr>
      </w:pPr>
    </w:p>
    <w:p>
      <w:pPr>
        <w:ind w:left="1240" w:right="760" w:firstLine="739"/>
        <w:spacing w:after="0" w:line="258" w:lineRule="auto"/>
        <w:tabs>
          <w:tab w:leader="none" w:pos="25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intended to comply with, or be exempt from, Section 409A and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ActiveUS 196675774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487680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327" w:right="47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EMPLOYMENT AGREEMENT</w:t>
      </w:r>
    </w:p>
    <w:p>
      <w:pPr>
        <w:spacing w:after="0" w:line="200" w:lineRule="exact"/>
        <w:rPr>
          <w:sz w:val="20"/>
          <w:szCs w:val="20"/>
          <w:color w:val="auto"/>
        </w:rPr>
      </w:pPr>
    </w:p>
    <w:p>
      <w:pPr>
        <w:spacing w:after="0" w:line="3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First Amendment to the Employment Agreement (“First Amendment”) effective as of August 14, 2025 (“Effective Date”) is made and entered by and between Solid Biosciences Inc. (the “Company”) and Ty Howton (the “Executive”) (together, the “Parties”).</w:t>
      </w:r>
    </w:p>
    <w:p>
      <w:pPr>
        <w:spacing w:after="0" w:line="8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amend that certain Employment Agreement by and between Company and Executive effective September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29, 2022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set forth herein, the Parties agree as follows:</w:t>
      </w:r>
    </w:p>
    <w:p>
      <w:pPr>
        <w:spacing w:after="0" w:line="139" w:lineRule="exact"/>
        <w:rPr>
          <w:sz w:val="20"/>
          <w:szCs w:val="20"/>
          <w:color w:val="auto"/>
        </w:rPr>
      </w:pPr>
    </w:p>
    <w:p>
      <w:pPr>
        <w:ind w:left="380" w:hanging="372"/>
        <w:spacing w:after="0"/>
        <w:tabs>
          <w:tab w:leader="none" w:pos="3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7(b) of the Agreement shall be deleted in its entirety and replaced with the following:</w:t>
      </w:r>
    </w:p>
    <w:p>
      <w:pPr>
        <w:spacing w:after="0" w:line="360" w:lineRule="exact"/>
        <w:rPr>
          <w:rFonts w:ascii="Times New Roman" w:cs="Times New Roman" w:eastAsia="Times New Roman" w:hAnsi="Times New Roman"/>
          <w:sz w:val="20"/>
          <w:szCs w:val="20"/>
          <w:color w:val="auto"/>
        </w:rPr>
      </w:pPr>
    </w:p>
    <w:p>
      <w:pPr>
        <w:jc w:val="both"/>
        <w:ind w:left="380" w:firstLine="58"/>
        <w:spacing w:after="0" w:line="260" w:lineRule="auto"/>
        <w:tabs>
          <w:tab w:leader="none" w:pos="723"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the Company Without Cause or by the Executive With Good Reason More than Three (3) Months Prior to or More Than Twelve Months Following a Change in Control</w:t>
      </w:r>
      <w:r>
        <w:rPr>
          <w:rFonts w:ascii="Times New Roman" w:cs="Times New Roman" w:eastAsia="Times New Roman" w:hAnsi="Times New Roman"/>
          <w:sz w:val="19"/>
          <w:szCs w:val="19"/>
          <w:color w:val="auto"/>
        </w:rPr>
        <w:t>. If the Executive’s employment is terminated by the Company without Cause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pursuant to Section 6(b) or by the Executive with Good Reason pursuant to Section 6(c) (in either case, a “Qualifying Termination”) more than three (3) months prior to or more than twelve (12) months following a Change in Control (as defined below), the Executive shall be entitled to the Accrued Obligations. In addition, and subject to Exhibit A and the conditions of Section 7(d), the Company shall:</w:t>
      </w:r>
    </w:p>
    <w:p>
      <w:pPr>
        <w:spacing w:after="0" w:line="3" w:lineRule="exact"/>
        <w:rPr>
          <w:rFonts w:ascii="Times New Roman" w:cs="Times New Roman" w:eastAsia="Times New Roman" w:hAnsi="Times New Roman"/>
          <w:sz w:val="19"/>
          <w:szCs w:val="19"/>
          <w:color w:val="auto"/>
        </w:rPr>
      </w:pPr>
    </w:p>
    <w:p>
      <w:pPr>
        <w:jc w:val="both"/>
        <w:ind w:left="380" w:firstLine="2"/>
        <w:spacing w:after="0"/>
        <w:tabs>
          <w:tab w:leader="none" w:pos="63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pro-rated for the year in which such Qualifying Termination occurs based on the number of full weeks the Executive has work for the Company in such year through the date of such termination; and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00" w:lineRule="exact"/>
        <w:rPr>
          <w:rFonts w:ascii="Times New Roman" w:cs="Times New Roman" w:eastAsia="Times New Roman" w:hAnsi="Times New Roman"/>
          <w:sz w:val="20"/>
          <w:szCs w:val="20"/>
          <w:color w:val="auto"/>
        </w:rPr>
      </w:pPr>
    </w:p>
    <w:p>
      <w:pPr>
        <w:spacing w:after="0" w:line="273"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7(c) of the Agreement shall be deleted in its entirety and replaced with the following:</w:t>
      </w:r>
    </w:p>
    <w:p>
      <w:pPr>
        <w:spacing w:after="0" w:line="21" w:lineRule="exact"/>
        <w:rPr>
          <w:rFonts w:ascii="Times New Roman" w:cs="Times New Roman" w:eastAsia="Times New Roman" w:hAnsi="Times New Roman"/>
          <w:sz w:val="20"/>
          <w:szCs w:val="20"/>
          <w:color w:val="auto"/>
        </w:rPr>
      </w:pPr>
    </w:p>
    <w:p>
      <w:pPr>
        <w:jc w:val="both"/>
        <w:ind w:left="380" w:firstLine="65"/>
        <w:spacing w:after="0" w:line="253" w:lineRule="auto"/>
        <w:tabs>
          <w:tab w:leader="none" w:pos="726" w:val="left"/>
        </w:tabs>
        <w:numPr>
          <w:ilvl w:val="2"/>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Termination by the Company Without Cause or by the Executive With Good Reason Within Three (3) Months Prior to or Within Twelve Months Following a Change in Control. </w:t>
      </w:r>
      <w:r>
        <w:rPr>
          <w:rFonts w:ascii="Times New Roman" w:cs="Times New Roman" w:eastAsia="Times New Roman" w:hAnsi="Times New Roman"/>
          <w:sz w:val="19"/>
          <w:szCs w:val="19"/>
          <w:color w:val="auto"/>
        </w:rPr>
        <w:t>If a Qualifying Termination occurs within three (3) months prior to or within twelve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(12) months following a Change in Control, then the Executive shall be entitled to the Accrued Obligations. In addition, and subject to Exhibit A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an amount equal to 100% of the Executive’s Target Bonus for the year in which such Qualifying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(iv) provide that the vesting of the Executive’s then-unvested equity awards that vest based solely on the passage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0" w:name="page211"/>
    <w:bookmarkEnd w:id="210"/>
    <w:p>
      <w:pPr>
        <w:jc w:val="both"/>
        <w:ind w:left="372"/>
        <w:spacing w:after="0" w:line="244" w:lineRule="auto"/>
        <w:rPr>
          <w:sz w:val="20"/>
          <w:szCs w:val="20"/>
          <w:color w:val="auto"/>
        </w:rPr>
      </w:pPr>
      <w:r>
        <w:rPr>
          <w:rFonts w:ascii="Times New Roman" w:cs="Times New Roman" w:eastAsia="Times New Roman" w:hAnsi="Times New Roman"/>
          <w:sz w:val="20"/>
          <w:szCs w:val="20"/>
          <w:color w:val="auto"/>
        </w:rPr>
        <w:t>time shall be accelerated, such that all then unvested time-based equity awards shall vest and become fully exercisable or non-forfeitable as of the later of the termination date and the closing of the Change in Control; and (v) if any Executive equity awards are canceled, terminated, or otherwise extinguished in connection with the Change in Control (whether in exchange for cash, securities, or other consideration), and are not assumed or continued by the acquiring or successor entity, then upon the termination of Executive’s employment as described above, Executive shall be entitled to receive a lump-sum cash payment equal to the transaction value of the unvested portion of such awards as if such portion had fully vested immediately prior to the Change in Control (collectively, the “Change in Control Severance Benefits”).</w:t>
      </w:r>
    </w:p>
    <w:p>
      <w:pPr>
        <w:spacing w:after="0" w:line="118" w:lineRule="exact"/>
        <w:rPr>
          <w:sz w:val="20"/>
          <w:szCs w:val="20"/>
          <w:color w:val="auto"/>
        </w:rPr>
      </w:pPr>
    </w:p>
    <w:p>
      <w:pPr>
        <w:ind w:left="472" w:hanging="472"/>
        <w:spacing w:after="0"/>
        <w:tabs>
          <w:tab w:leader="none" w:pos="47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7(d) of the Agreement shall be deleted in its entirety and replaced with the following:</w:t>
      </w:r>
    </w:p>
    <w:p>
      <w:pPr>
        <w:spacing w:after="0" w:line="28" w:lineRule="exact"/>
        <w:rPr>
          <w:rFonts w:ascii="Times New Roman" w:cs="Times New Roman" w:eastAsia="Times New Roman" w:hAnsi="Times New Roman"/>
          <w:sz w:val="20"/>
          <w:szCs w:val="20"/>
          <w:color w:val="auto"/>
        </w:rPr>
      </w:pPr>
    </w:p>
    <w:p>
      <w:pPr>
        <w:jc w:val="both"/>
        <w:ind w:left="3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i w:val="1"/>
          <w:iCs w:val="1"/>
          <w:color w:val="auto"/>
        </w:rPr>
        <w:t>Severance and Release of Claims Agreement</w:t>
      </w:r>
      <w:r>
        <w:rPr>
          <w:rFonts w:ascii="Times New Roman" w:cs="Times New Roman" w:eastAsia="Times New Roman" w:hAnsi="Times New Roman"/>
          <w:sz w:val="20"/>
          <w:szCs w:val="20"/>
          <w:color w:val="auto"/>
        </w:rPr>
        <w:t>. As a condition of the Executive’s receipt of the Severance Benefits or the Change in Control 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 reaffirmation of the Executive’s continuing obligations under any existing restrictive covenant agreements, and an agreement not to compete with the Company for twelve (12) months following the Executive’s separation from employment),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For the avoidance of doubt, if the Executive experiences a Qualifying Termination prior to a Change in Control, (i) any then-outstanding and unvested equity awards that vest based solely on the passage of time held by the Executive shall remain outstanding (but any vesting shall be suspended) for up to (but no longer than) three (3) months following the date of termination so that, if it is later determined that such termination occurred during the three (3)-month period prior to the closing of a Change in Control and that the Executive is entitled to Change in Control acceleration and/or Change in Control Severance Benefits rather than Severance Benefits, the vesting of such awards may be accelerated, in accordance with Section 7(c) hereof, immediately prior to the closing of the Change in Control and (ii) any Change in Control Severance Benefits shall be reduced by any Severance Benefits previously paid to you, if it is later determined that the termination occurred during the three (3)-month period prior to the closing of a Change in Control and that you are entitled to Change in Control Severance Benefits rather than Severance Benefits.</w:t>
      </w:r>
    </w:p>
    <w:p>
      <w:pPr>
        <w:spacing w:after="0" w:line="109"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but not defined herein shall have the respective meanings given to them in the Agreement.</w:t>
      </w:r>
    </w:p>
    <w:p>
      <w:pPr>
        <w:spacing w:after="0" w:line="364"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amended herein, all provisions of the Agreement shall remain in full force and effect.</w:t>
      </w:r>
    </w:p>
    <w:p>
      <w:pPr>
        <w:spacing w:after="0" w:line="364" w:lineRule="exact"/>
        <w:rPr>
          <w:rFonts w:ascii="Times New Roman" w:cs="Times New Roman" w:eastAsia="Times New Roman" w:hAnsi="Times New Roman"/>
          <w:sz w:val="20"/>
          <w:szCs w:val="20"/>
          <w:color w:val="auto"/>
        </w:rPr>
      </w:pPr>
    </w:p>
    <w:p>
      <w:pPr>
        <w:jc w:val="both"/>
        <w:ind w:left="372" w:hanging="372"/>
        <w:spacing w:after="0" w:line="254" w:lineRule="auto"/>
        <w:tabs>
          <w:tab w:leader="none" w:pos="37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may be executed in two counterparts, both of which shall constitute one and the same legal instrument, and delivery of an executed copy of this First Amendment by a Party via pdf or other electronic transmission shall be as effective as delivery of a manually executed copy of this First Amendment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211" w:name="page212"/>
    <w:bookmarkEnd w:id="211"/>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entered into this First Amendment as of the Effective Date.</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Solid Biosciences Inc.</w:t>
            </w:r>
          </w:p>
        </w:tc>
        <w:tc>
          <w:tcPr>
            <w:tcW w:w="7420" w:type="dxa"/>
            <w:vAlign w:val="bottom"/>
          </w:tcPr>
          <w:p>
            <w:pPr>
              <w:ind w:left="1740"/>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756"/>
        </w:trPr>
        <w:tc>
          <w:tcPr>
            <w:tcW w:w="3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By: /s/ Bo Cumbo</w:t>
            </w:r>
          </w:p>
        </w:tc>
        <w:tc>
          <w:tcPr>
            <w:tcW w:w="7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By: /s/ Ty Howton</w:t>
            </w:r>
          </w:p>
        </w:tc>
      </w:tr>
      <w:tr>
        <w:trPr>
          <w:trHeight w:val="364"/>
        </w:trPr>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Bo Cumbo</w:t>
            </w:r>
          </w:p>
        </w:tc>
        <w:tc>
          <w:tcPr>
            <w:tcW w:w="742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Name: Ty Howton</w:t>
            </w:r>
          </w:p>
        </w:tc>
      </w:tr>
      <w:tr>
        <w:trPr>
          <w:trHeight w:val="378"/>
        </w:trPr>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Title: President &amp; CEO</w:t>
            </w:r>
          </w:p>
        </w:tc>
        <w:tc>
          <w:tcPr>
            <w:tcW w:w="742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Title: Chief Operating Officer</w:t>
            </w:r>
          </w:p>
        </w:tc>
      </w:tr>
      <w:tr>
        <w:trPr>
          <w:trHeight w:val="378"/>
        </w:trPr>
        <w:tc>
          <w:tcPr>
            <w:tcW w:w="38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Date: 10/28/2025</w:t>
            </w:r>
          </w:p>
        </w:tc>
        <w:tc>
          <w:tcPr>
            <w:tcW w:w="742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Date: 10/30/2025</w:t>
            </w:r>
          </w:p>
        </w:tc>
      </w:tr>
      <w:tr>
        <w:trPr>
          <w:trHeight w:val="3794"/>
        </w:trPr>
        <w:tc>
          <w:tcPr>
            <w:tcW w:w="38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231F20"/>
        </w:rPr>
        <w:t>EMPLOYMENT AGREEMENT</w:t>
      </w:r>
    </w:p>
    <w:p>
      <w:pPr>
        <w:spacing w:after="0" w:line="197" w:lineRule="exact"/>
        <w:rPr>
          <w:sz w:val="20"/>
          <w:szCs w:val="20"/>
          <w:color w:val="auto"/>
        </w:rPr>
      </w:pPr>
    </w:p>
    <w:p>
      <w:pPr>
        <w:ind w:left="300" w:right="400" w:firstLine="647"/>
        <w:spacing w:after="0" w:line="244" w:lineRule="auto"/>
        <w:rPr>
          <w:sz w:val="20"/>
          <w:szCs w:val="20"/>
          <w:color w:val="auto"/>
        </w:rPr>
      </w:pPr>
      <w:r>
        <w:rPr>
          <w:rFonts w:ascii="Times New Roman" w:cs="Times New Roman" w:eastAsia="Times New Roman" w:hAnsi="Times New Roman"/>
          <w:sz w:val="22"/>
          <w:szCs w:val="22"/>
          <w:color w:val="231F20"/>
        </w:rPr>
        <w:t>THIS EMPLOYMENT AGREEMENT (the “Agreement”) is made as of January 9, 2023 (the “Effective Date”) by and between Solid Biosciences Inc. (the “Company”) and Kevin Tan (the “Executive”) (together, the “Parties”).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231F20"/>
        </w:rPr>
        <w:t>RECITALS</w:t>
      </w:r>
    </w:p>
    <w:p>
      <w:pPr>
        <w:spacing w:after="0" w:line="206" w:lineRule="exact"/>
        <w:rPr>
          <w:sz w:val="20"/>
          <w:szCs w:val="20"/>
          <w:color w:val="auto"/>
        </w:rPr>
      </w:pPr>
    </w:p>
    <w:p>
      <w:pPr>
        <w:ind w:left="300" w:right="420" w:firstLine="647"/>
        <w:spacing w:after="0" w:line="258" w:lineRule="auto"/>
        <w:rPr>
          <w:sz w:val="20"/>
          <w:szCs w:val="20"/>
          <w:color w:val="auto"/>
        </w:rPr>
      </w:pPr>
      <w:r>
        <w:rPr>
          <w:rFonts w:ascii="Times New Roman" w:cs="Times New Roman" w:eastAsia="Times New Roman" w:hAnsi="Times New Roman"/>
          <w:sz w:val="22"/>
          <w:szCs w:val="22"/>
          <w:color w:val="231F20"/>
        </w:rPr>
        <w:t>WHEREAS, the Company desires to employ the Executive as its Chief Financial Officer and Treasurer; and</w:t>
      </w:r>
    </w:p>
    <w:p>
      <w:pPr>
        <w:spacing w:after="0" w:line="158" w:lineRule="exact"/>
        <w:rPr>
          <w:sz w:val="20"/>
          <w:szCs w:val="20"/>
          <w:color w:val="auto"/>
        </w:rPr>
      </w:pPr>
    </w:p>
    <w:p>
      <w:pPr>
        <w:ind w:left="300" w:right="460" w:firstLine="647"/>
        <w:spacing w:after="0" w:line="258" w:lineRule="auto"/>
        <w:rPr>
          <w:sz w:val="20"/>
          <w:szCs w:val="20"/>
          <w:color w:val="auto"/>
        </w:rPr>
      </w:pPr>
      <w:r>
        <w:rPr>
          <w:rFonts w:ascii="Times New Roman" w:cs="Times New Roman" w:eastAsia="Times New Roman" w:hAnsi="Times New Roman"/>
          <w:sz w:val="22"/>
          <w:szCs w:val="22"/>
          <w:color w:val="231F20"/>
        </w:rPr>
        <w:t>WHEREAS, the Executive has agreed to accept such employment with the Company on the terms and conditions set forth in this Agreement.</w:t>
      </w:r>
    </w:p>
    <w:p>
      <w:pPr>
        <w:spacing w:after="0" w:line="158" w:lineRule="exact"/>
        <w:rPr>
          <w:sz w:val="20"/>
          <w:szCs w:val="20"/>
          <w:color w:val="auto"/>
        </w:rPr>
      </w:pPr>
    </w:p>
    <w:p>
      <w:pPr>
        <w:jc w:val="both"/>
        <w:ind w:left="300" w:right="520" w:firstLine="647"/>
        <w:spacing w:after="0" w:line="244" w:lineRule="auto"/>
        <w:rPr>
          <w:sz w:val="20"/>
          <w:szCs w:val="20"/>
          <w:color w:val="auto"/>
        </w:rPr>
      </w:pPr>
      <w:r>
        <w:rPr>
          <w:rFonts w:ascii="Times New Roman" w:cs="Times New Roman" w:eastAsia="Times New Roman" w:hAnsi="Times New Roman"/>
          <w:sz w:val="22"/>
          <w:szCs w:val="22"/>
          <w:color w:val="231F20"/>
        </w:rPr>
        <w:t>NOW, THEREFORE, in consideration of the foregoing and of the respective covenants and agreements of the Parties herein contained, the Parties hereto agree to the following terms, which shall govern the Executive’s employment:</w:t>
      </w:r>
    </w:p>
    <w:p>
      <w:pPr>
        <w:spacing w:after="0" w:line="169" w:lineRule="exact"/>
        <w:rPr>
          <w:sz w:val="20"/>
          <w:szCs w:val="20"/>
          <w:color w:val="auto"/>
        </w:rPr>
      </w:pPr>
    </w:p>
    <w:p>
      <w:pPr>
        <w:ind w:left="300" w:right="340"/>
        <w:spacing w:after="0" w:line="241" w:lineRule="auto"/>
        <w:rPr>
          <w:sz w:val="20"/>
          <w:szCs w:val="20"/>
          <w:color w:val="auto"/>
        </w:rPr>
      </w:pPr>
      <w:r>
        <w:rPr>
          <w:rFonts w:ascii="Times New Roman" w:cs="Times New Roman" w:eastAsia="Times New Roman" w:hAnsi="Times New Roman"/>
          <w:sz w:val="22"/>
          <w:szCs w:val="22"/>
          <w:color w:val="231F20"/>
        </w:rPr>
        <w:t>1.</w:t>
      </w:r>
      <w:r>
        <w:rPr>
          <w:rFonts w:ascii="Times New Roman" w:cs="Times New Roman" w:eastAsia="Times New Roman" w:hAnsi="Times New Roman"/>
          <w:sz w:val="22"/>
          <w:szCs w:val="22"/>
          <w:i w:val="1"/>
          <w:iCs w:val="1"/>
          <w:color w:val="231F20"/>
        </w:rPr>
        <w:t>Agreement</w:t>
      </w:r>
      <w:r>
        <w:rPr>
          <w:rFonts w:ascii="Times New Roman" w:cs="Times New Roman" w:eastAsia="Times New Roman" w:hAnsi="Times New Roman"/>
          <w:sz w:val="22"/>
          <w:szCs w:val="22"/>
          <w:color w:val="231F20"/>
        </w:rPr>
        <w:t>. This Agreement shall be effective as of the Effective Date. The Executive’s employment on the terms contained in this Agreement shall commence on the Effective Date and shall continue until such employment relationship is terminated in accordance with Section 6 hereof (the “Term of Employment”).</w:t>
      </w:r>
    </w:p>
    <w:p>
      <w:pPr>
        <w:spacing w:after="0" w:line="172" w:lineRule="exact"/>
        <w:rPr>
          <w:sz w:val="20"/>
          <w:szCs w:val="20"/>
          <w:color w:val="auto"/>
        </w:rPr>
      </w:pPr>
    </w:p>
    <w:p>
      <w:pPr>
        <w:jc w:val="both"/>
        <w:ind w:left="300" w:right="700"/>
        <w:spacing w:after="0" w:line="263" w:lineRule="auto"/>
        <w:rPr>
          <w:sz w:val="20"/>
          <w:szCs w:val="20"/>
          <w:color w:val="auto"/>
        </w:rPr>
      </w:pPr>
      <w:r>
        <w:rPr>
          <w:rFonts w:ascii="Times New Roman" w:cs="Times New Roman" w:eastAsia="Times New Roman" w:hAnsi="Times New Roman"/>
          <w:sz w:val="21"/>
          <w:szCs w:val="21"/>
          <w:color w:val="231F20"/>
        </w:rPr>
        <w:t>2.</w:t>
      </w:r>
      <w:r>
        <w:rPr>
          <w:rFonts w:ascii="Times New Roman" w:cs="Times New Roman" w:eastAsia="Times New Roman" w:hAnsi="Times New Roman"/>
          <w:sz w:val="21"/>
          <w:szCs w:val="21"/>
          <w:i w:val="1"/>
          <w:iCs w:val="1"/>
          <w:color w:val="231F20"/>
        </w:rPr>
        <w:t>Position</w:t>
      </w:r>
      <w:r>
        <w:rPr>
          <w:rFonts w:ascii="Times New Roman" w:cs="Times New Roman" w:eastAsia="Times New Roman" w:hAnsi="Times New Roman"/>
          <w:sz w:val="21"/>
          <w:szCs w:val="21"/>
          <w:color w:val="231F20"/>
        </w:rPr>
        <w:t>. During the Term of Employment, the Executive shall serve as the Chief Financial Officer and Treasurer of the Company, working out of the Company’s office in Charlestown, Massachusetts, and travelling as reasonably required by the Executive’s job duties.</w:t>
      </w:r>
    </w:p>
    <w:p>
      <w:pPr>
        <w:spacing w:after="0" w:line="151" w:lineRule="exact"/>
        <w:rPr>
          <w:sz w:val="20"/>
          <w:szCs w:val="20"/>
          <w:color w:val="auto"/>
        </w:rPr>
      </w:pPr>
    </w:p>
    <w:p>
      <w:pPr>
        <w:ind w:left="300" w:right="360"/>
        <w:spacing w:after="0" w:line="244" w:lineRule="auto"/>
        <w:rPr>
          <w:sz w:val="20"/>
          <w:szCs w:val="20"/>
          <w:color w:val="auto"/>
        </w:rPr>
      </w:pPr>
      <w:r>
        <w:rPr>
          <w:rFonts w:ascii="Times New Roman" w:cs="Times New Roman" w:eastAsia="Times New Roman" w:hAnsi="Times New Roman"/>
          <w:sz w:val="21"/>
          <w:szCs w:val="21"/>
          <w:color w:val="231F20"/>
        </w:rPr>
        <w:t>3.</w:t>
      </w:r>
      <w:r>
        <w:rPr>
          <w:rFonts w:ascii="Times New Roman" w:cs="Times New Roman" w:eastAsia="Times New Roman" w:hAnsi="Times New Roman"/>
          <w:sz w:val="21"/>
          <w:szCs w:val="21"/>
          <w:i w:val="1"/>
          <w:iCs w:val="1"/>
          <w:color w:val="231F20"/>
        </w:rPr>
        <w:t>Scope of Employment</w:t>
      </w:r>
      <w:r>
        <w:rPr>
          <w:rFonts w:ascii="Times New Roman" w:cs="Times New Roman" w:eastAsia="Times New Roman" w:hAnsi="Times New Roman"/>
          <w:sz w:val="21"/>
          <w:szCs w:val="21"/>
          <w:color w:val="231F20"/>
        </w:rPr>
        <w:t>. During the Term of Employment, the Executive shall be responsible for the performance of those duties consistent with the Executive’s position as Chief Financial Officer and Treasurer. The Executive shall report to the Chief Executive Officer of the Company and/or the Company’s board of directors (the “Board”)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up to two other companies will be permitted only with the express approval of the Chief Executive Officer, and membership on boards of directors of community, charitable or industry organizations will be permitted only provided that such activities do not create a conflict of interest or otherwise interfere with the Executive’s performance of the Executive’s duties hereunder, as determined by the Chief Executive Officer in the Chief Executive Officer’s sole discretion. The Executive agrees to abide by the written rules, regulations, instructions, personnel practices and policies of the Company and any changes therein that may be adopted from time to time by the Company.</w:t>
      </w:r>
    </w:p>
    <w:p>
      <w:pPr>
        <w:spacing w:after="0" w:line="178" w:lineRule="exact"/>
        <w:rPr>
          <w:sz w:val="20"/>
          <w:szCs w:val="20"/>
          <w:color w:val="auto"/>
        </w:rPr>
      </w:pPr>
    </w:p>
    <w:p>
      <w:pPr>
        <w:ind w:left="300" w:right="500"/>
        <w:spacing w:after="0" w:line="246" w:lineRule="auto"/>
        <w:rPr>
          <w:sz w:val="20"/>
          <w:szCs w:val="20"/>
          <w:color w:val="auto"/>
        </w:rPr>
      </w:pPr>
      <w:r>
        <w:rPr>
          <w:rFonts w:ascii="Times New Roman" w:cs="Times New Roman" w:eastAsia="Times New Roman" w:hAnsi="Times New Roman"/>
          <w:sz w:val="22"/>
          <w:szCs w:val="22"/>
          <w:color w:val="231F20"/>
        </w:rPr>
        <w:t>4.</w:t>
      </w:r>
      <w:r>
        <w:rPr>
          <w:rFonts w:ascii="Times New Roman" w:cs="Times New Roman" w:eastAsia="Times New Roman" w:hAnsi="Times New Roman"/>
          <w:sz w:val="22"/>
          <w:szCs w:val="22"/>
          <w:i w:val="1"/>
          <w:iCs w:val="1"/>
          <w:color w:val="231F20"/>
        </w:rPr>
        <w:t>Compensation</w:t>
      </w:r>
      <w:r>
        <w:rPr>
          <w:rFonts w:ascii="Times New Roman" w:cs="Times New Roman" w:eastAsia="Times New Roman" w:hAnsi="Times New Roman"/>
          <w:sz w:val="22"/>
          <w:szCs w:val="22"/>
          <w:color w:val="231F20"/>
        </w:rPr>
        <w:t>. As full compensation for all services rendered by the Executive to the Company and any affiliate thereof, during the Term of Employment, the Company will provide to the Executive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730885</wp:posOffset>
            </wp:positionV>
            <wp:extent cx="703770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293" w:right="1419" w:bottom="1440" w:gutter="0" w:footer="0" w:header="0"/>
        </w:sectPr>
      </w:pPr>
    </w:p>
    <w:bookmarkStart w:id="213" w:name="page214"/>
    <w:bookmarkEnd w:id="213"/>
    <w:p>
      <w:pPr>
        <w:ind w:left="940"/>
        <w:spacing w:after="0"/>
        <w:rPr>
          <w:sz w:val="20"/>
          <w:szCs w:val="20"/>
          <w:color w:val="auto"/>
        </w:rPr>
      </w:pPr>
      <w:r>
        <w:rPr>
          <w:rFonts w:ascii="Times New Roman" w:cs="Times New Roman" w:eastAsia="Times New Roman" w:hAnsi="Times New Roman"/>
          <w:sz w:val="22"/>
          <w:szCs w:val="22"/>
          <w:color w:val="231F20"/>
        </w:rPr>
        <w:t xml:space="preserve">(a) </w:t>
      </w:r>
      <w:r>
        <w:rPr>
          <w:rFonts w:ascii="Times New Roman" w:cs="Times New Roman" w:eastAsia="Times New Roman" w:hAnsi="Times New Roman"/>
          <w:sz w:val="22"/>
          <w:szCs w:val="22"/>
          <w:i w:val="1"/>
          <w:iCs w:val="1"/>
          <w:color w:val="231F20"/>
        </w:rPr>
        <w:t>Base Salary</w:t>
      </w:r>
      <w:r>
        <w:rPr>
          <w:rFonts w:ascii="Times New Roman" w:cs="Times New Roman" w:eastAsia="Times New Roman" w:hAnsi="Times New Roman"/>
          <w:sz w:val="22"/>
          <w:szCs w:val="22"/>
          <w:color w:val="231F20"/>
        </w:rPr>
        <w:t>. The Executive shall receive a base salary at the annualized rate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231F20"/>
        </w:rPr>
        <w:t>$425,000 (the “Base Salary”). The Executive’s Base Salary shall be paid in equal installments 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231F20"/>
        </w:rPr>
        <w:t>accordance with the Company’s regularly established payroll procedures. The Executive’s Base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231F20"/>
        </w:rPr>
        <w:t>Salary will be reviewed from time to time by the Board and is subject to change in the discretion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231F20"/>
        </w:rPr>
        <w:t>of the Board.</w:t>
      </w:r>
    </w:p>
    <w:p>
      <w:pPr>
        <w:spacing w:after="0" w:line="178" w:lineRule="exact"/>
        <w:rPr>
          <w:sz w:val="20"/>
          <w:szCs w:val="20"/>
          <w:color w:val="auto"/>
        </w:rPr>
      </w:pPr>
    </w:p>
    <w:p>
      <w:pPr>
        <w:ind w:left="300" w:right="339" w:firstLine="640"/>
        <w:spacing w:after="0" w:line="232" w:lineRule="auto"/>
        <w:tabs>
          <w:tab w:leader="none" w:pos="1284" w:val="left"/>
        </w:tabs>
        <w:numPr>
          <w:ilvl w:val="0"/>
          <w:numId w:val="12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Annual Discretionary Bonus</w:t>
      </w:r>
      <w:r>
        <w:rPr>
          <w:rFonts w:ascii="Times New Roman" w:cs="Times New Roman" w:eastAsia="Times New Roman" w:hAnsi="Times New Roman"/>
          <w:sz w:val="22"/>
          <w:szCs w:val="22"/>
          <w:color w:val="231F20"/>
        </w:rPr>
        <w:t>. The Executive will be eligible to earn an annual</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performance bonus targeted at 40% of the Executive’s Base Salary (the “Target Bonus”), based upon the Board’s assessment of the Executive’s performance against objective criteria and the Company’s attainment of targeted goals as set by the Board in its sole discretion.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objective criteria. No amount of the annual bonus is guaranteed, and the Executive must be an employee in good standing on the date of payment in order to be eligible for any annual bonus, as such bonus also serves as an incentive for the Executive to remain employed by the Company, except as specifically set forth below; provided that if the Executive is terminated by the Company without Cause after January 1 but prior to the payment of any annual bonus that would have been paid under this Section 4(b) for the year prior to the year in which the Executive’s employment is terminated, the Executive shall be entitled to receive, on the payment date, one hundred percent of the Target Bonus (which for the avoidance of doubt, shall not be less than 40% of Executive’s Base Salary on the date of termination), less all applicable taxes and withholdings. Any bonus determined by the Board to be payable to the Executive for 2023 shall not be prorated based on the starting date and, for the avoidance of doubt, the Company acknowledges and agrees that Executive shall be entitled to the full amount of the annual bonus determined by the Board to be payable for 2023. The objective criteria used to assess Executive’s performance will be reviewed from time to time by the Board and is subject to change in the discretion of the Board.</w:t>
      </w:r>
    </w:p>
    <w:p>
      <w:pPr>
        <w:spacing w:after="0" w:line="182" w:lineRule="exact"/>
        <w:rPr>
          <w:rFonts w:ascii="Times New Roman" w:cs="Times New Roman" w:eastAsia="Times New Roman" w:hAnsi="Times New Roman"/>
          <w:sz w:val="22"/>
          <w:szCs w:val="22"/>
          <w:color w:val="231F20"/>
        </w:rPr>
      </w:pPr>
    </w:p>
    <w:p>
      <w:pPr>
        <w:ind w:left="300" w:right="399" w:firstLine="640"/>
        <w:spacing w:after="0" w:line="237" w:lineRule="auto"/>
        <w:tabs>
          <w:tab w:leader="none" w:pos="1281" w:val="left"/>
        </w:tabs>
        <w:numPr>
          <w:ilvl w:val="0"/>
          <w:numId w:val="12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Equity Award</w:t>
      </w:r>
      <w:r>
        <w:rPr>
          <w:rFonts w:ascii="Times New Roman" w:cs="Times New Roman" w:eastAsia="Times New Roman" w:hAnsi="Times New Roman"/>
          <w:sz w:val="22"/>
          <w:szCs w:val="22"/>
          <w:color w:val="231F20"/>
        </w:rPr>
        <w:t>. Subject to approval by the compensation committee of the Board or a</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majority of the Company’s Independent Directors as defined in Nasdaq Listing Rule 5605(a)(2), and in consideration of and contingent upon the Executive entering into the Noncompetition Agreement following the Executive’s commencement of employment as set forth in Section 9 below and adhering to the non-competition provisions set forth therein, the Company will grant to the Executive:</w:t>
      </w:r>
    </w:p>
    <w:p>
      <w:pPr>
        <w:spacing w:after="0" w:line="179" w:lineRule="exact"/>
        <w:rPr>
          <w:sz w:val="20"/>
          <w:szCs w:val="20"/>
          <w:color w:val="auto"/>
        </w:rPr>
      </w:pPr>
    </w:p>
    <w:p>
      <w:pPr>
        <w:ind w:left="940" w:right="359" w:firstLine="648"/>
        <w:spacing w:after="0" w:line="234" w:lineRule="auto"/>
        <w:rPr>
          <w:sz w:val="20"/>
          <w:szCs w:val="20"/>
          <w:color w:val="auto"/>
        </w:rPr>
      </w:pPr>
      <w:r>
        <w:rPr>
          <w:rFonts w:ascii="Times New Roman" w:cs="Times New Roman" w:eastAsia="Times New Roman" w:hAnsi="Times New Roman"/>
          <w:sz w:val="22"/>
          <w:szCs w:val="22"/>
          <w:color w:val="231F20"/>
        </w:rPr>
        <w:t>(i)a non-qualified stock option (the “Option”) to purchase 90,000 shares of the Company’s common stock, such Option to (1) have an exercise price per share equal to the fair market value of the Company’s common stock on the date of grant, (2) vest and become exercisable, subject to the Executive’s continued employment on each applicable vesting date, at a rate of 25% of the total shares underlying the Option on the first anniversary of the grant date and, following that, as to an additional 1/48th of the total shares underlying the Option upon the Executive’s completion of each additional month of service over the 36-month period measured from the first anniversary of the grant date, (3) have a term of up to 10 years and (4) have such other terms as are set forth in the applicable Option agreement.</w:t>
      </w:r>
    </w:p>
    <w:p>
      <w:pPr>
        <w:spacing w:after="0" w:line="382" w:lineRule="exact"/>
        <w:rPr>
          <w:sz w:val="20"/>
          <w:szCs w:val="20"/>
          <w:color w:val="auto"/>
        </w:rPr>
      </w:pPr>
    </w:p>
    <w:p>
      <w:pPr>
        <w:ind w:left="940" w:right="399" w:firstLine="648"/>
        <w:spacing w:after="0" w:line="255" w:lineRule="auto"/>
        <w:rPr>
          <w:sz w:val="20"/>
          <w:szCs w:val="20"/>
          <w:color w:val="auto"/>
        </w:rPr>
      </w:pPr>
      <w:r>
        <w:rPr>
          <w:rFonts w:ascii="Times New Roman" w:cs="Times New Roman" w:eastAsia="Times New Roman" w:hAnsi="Times New Roman"/>
          <w:sz w:val="21"/>
          <w:szCs w:val="21"/>
          <w:color w:val="231F20"/>
        </w:rPr>
        <w:t>(ii)45,000 restricted stock units (the “RSUs” and, together with the Option, the “Equity Awards”), which RSUs shall (1) entitle the Executive to receive one share of the Company’s common stock for each RSU that vests, (2) vest and become exercisable, subject to the Executive’s continued employment on each applicable vesting date,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596265</wp:posOffset>
            </wp:positionV>
            <wp:extent cx="703770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214" w:name="page215"/>
    <w:bookmarkEnd w:id="214"/>
    <w:p>
      <w:pPr>
        <w:ind w:left="940" w:right="379"/>
        <w:spacing w:after="0" w:line="258" w:lineRule="auto"/>
        <w:rPr>
          <w:sz w:val="20"/>
          <w:szCs w:val="20"/>
          <w:color w:val="auto"/>
        </w:rPr>
      </w:pPr>
      <w:r>
        <w:rPr>
          <w:rFonts w:ascii="Times New Roman" w:cs="Times New Roman" w:eastAsia="Times New Roman" w:hAnsi="Times New Roman"/>
          <w:sz w:val="22"/>
          <w:szCs w:val="22"/>
          <w:color w:val="231F20"/>
        </w:rPr>
        <w:t>rate of 25% of the total shares underlying the RSUs on each anniversary of the grant date and (3) have such other terms as are set forth in the applicable RSU agreement.</w:t>
      </w:r>
    </w:p>
    <w:p>
      <w:pPr>
        <w:spacing w:after="0" w:line="172" w:lineRule="exact"/>
        <w:rPr>
          <w:sz w:val="20"/>
          <w:szCs w:val="20"/>
          <w:color w:val="auto"/>
        </w:rPr>
      </w:pPr>
    </w:p>
    <w:p>
      <w:pPr>
        <w:ind w:left="940" w:right="559" w:firstLine="648"/>
        <w:spacing w:after="0" w:line="239" w:lineRule="auto"/>
        <w:rPr>
          <w:sz w:val="20"/>
          <w:szCs w:val="20"/>
          <w:color w:val="auto"/>
        </w:rPr>
      </w:pPr>
      <w:r>
        <w:rPr>
          <w:rFonts w:ascii="Times New Roman" w:cs="Times New Roman" w:eastAsia="Times New Roman" w:hAnsi="Times New Roman"/>
          <w:sz w:val="22"/>
          <w:szCs w:val="22"/>
          <w:color w:val="231F20"/>
        </w:rPr>
        <w:t>(iii)The Equity Awards will be granted outside of the Company’s equity incentive plans as “inducement grants” within the meaning of Nasdaq Listing Rule 5635(c)(4). The Equity Awards are subject to adjustment for stock splits, combinations or other changes in capitalization.</w:t>
      </w:r>
    </w:p>
    <w:p>
      <w:pPr>
        <w:spacing w:after="0" w:line="180" w:lineRule="exact"/>
        <w:rPr>
          <w:sz w:val="20"/>
          <w:szCs w:val="20"/>
          <w:color w:val="auto"/>
        </w:rPr>
      </w:pPr>
    </w:p>
    <w:p>
      <w:pPr>
        <w:ind w:left="940" w:right="719" w:firstLine="648"/>
        <w:spacing w:after="0" w:line="244" w:lineRule="auto"/>
        <w:rPr>
          <w:sz w:val="20"/>
          <w:szCs w:val="20"/>
          <w:color w:val="auto"/>
        </w:rPr>
      </w:pPr>
      <w:r>
        <w:rPr>
          <w:rFonts w:ascii="Times New Roman" w:cs="Times New Roman" w:eastAsia="Times New Roman" w:hAnsi="Times New Roman"/>
          <w:sz w:val="22"/>
          <w:szCs w:val="22"/>
          <w:color w:val="231F20"/>
        </w:rPr>
        <w:t>(iv)The Executive shall also be eligible to receive additional equity awards, if any, at such times and on such terms and conditions as the Board shall, in its sole discretion, determine.</w:t>
      </w:r>
    </w:p>
    <w:p>
      <w:pPr>
        <w:spacing w:after="0" w:line="169" w:lineRule="exact"/>
        <w:rPr>
          <w:sz w:val="20"/>
          <w:szCs w:val="20"/>
          <w:color w:val="auto"/>
        </w:rPr>
      </w:pPr>
    </w:p>
    <w:p>
      <w:pPr>
        <w:ind w:left="300" w:right="379" w:firstLine="640"/>
        <w:spacing w:after="0" w:line="238" w:lineRule="auto"/>
        <w:tabs>
          <w:tab w:leader="none" w:pos="1284" w:val="left"/>
        </w:tabs>
        <w:numPr>
          <w:ilvl w:val="0"/>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Paid Time Off</w:t>
      </w:r>
      <w:r>
        <w:rPr>
          <w:rFonts w:ascii="Times New Roman" w:cs="Times New Roman" w:eastAsia="Times New Roman" w:hAnsi="Times New Roman"/>
          <w:sz w:val="22"/>
          <w:szCs w:val="22"/>
          <w:color w:val="231F20"/>
        </w:rPr>
        <w:t>. The Executive shall receive paid vacation time plus sick time,</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consistent with the Company’s policies as in effect from time to time, but in no event shall Executive receive less than fifteen (15) days of paid vacation each calendar year. In addition, the Executive shall receive paid time off for Company holidays which are set annually and in accordance with Company policy.</w:t>
      </w:r>
    </w:p>
    <w:p>
      <w:pPr>
        <w:spacing w:after="0" w:line="176" w:lineRule="exact"/>
        <w:rPr>
          <w:rFonts w:ascii="Times New Roman" w:cs="Times New Roman" w:eastAsia="Times New Roman" w:hAnsi="Times New Roman"/>
          <w:sz w:val="22"/>
          <w:szCs w:val="22"/>
          <w:color w:val="231F20"/>
        </w:rPr>
      </w:pPr>
    </w:p>
    <w:p>
      <w:pPr>
        <w:ind w:left="300" w:right="439" w:firstLine="640"/>
        <w:spacing w:after="0" w:line="236" w:lineRule="auto"/>
        <w:tabs>
          <w:tab w:leader="none" w:pos="1284" w:val="left"/>
        </w:tabs>
        <w:numPr>
          <w:ilvl w:val="0"/>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Benefits</w:t>
      </w:r>
      <w:r>
        <w:rPr>
          <w:rFonts w:ascii="Times New Roman" w:cs="Times New Roman" w:eastAsia="Times New Roman" w:hAnsi="Times New Roman"/>
          <w:sz w:val="22"/>
          <w:szCs w:val="22"/>
          <w:color w:val="231F20"/>
        </w:rPr>
        <w:t>. Subject to eligibility requirements and the Company’s polices, the</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Executive shall have the right, on the same 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 Benefits are subject to change at any time in the Company’s sole discretion.</w:t>
      </w:r>
    </w:p>
    <w:p>
      <w:pPr>
        <w:spacing w:after="0" w:line="175" w:lineRule="exact"/>
        <w:rPr>
          <w:rFonts w:ascii="Times New Roman" w:cs="Times New Roman" w:eastAsia="Times New Roman" w:hAnsi="Times New Roman"/>
          <w:sz w:val="22"/>
          <w:szCs w:val="22"/>
          <w:color w:val="231F20"/>
        </w:rPr>
      </w:pPr>
    </w:p>
    <w:p>
      <w:pPr>
        <w:ind w:left="300" w:right="1199" w:firstLine="640"/>
        <w:spacing w:after="0" w:line="262" w:lineRule="auto"/>
        <w:tabs>
          <w:tab w:leader="none" w:pos="1250" w:val="left"/>
        </w:tabs>
        <w:numPr>
          <w:ilvl w:val="0"/>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Withholdings</w:t>
      </w:r>
      <w:r>
        <w:rPr>
          <w:rFonts w:ascii="Times New Roman" w:cs="Times New Roman" w:eastAsia="Times New Roman" w:hAnsi="Times New Roman"/>
          <w:sz w:val="22"/>
          <w:szCs w:val="22"/>
          <w:color w:val="231F20"/>
        </w:rPr>
        <w:t>. All compensation payable to the Executive shall be subject to</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applicable taxes and withholdings.</w:t>
      </w:r>
    </w:p>
    <w:p>
      <w:pPr>
        <w:spacing w:after="0" w:line="150" w:lineRule="exact"/>
        <w:rPr>
          <w:sz w:val="20"/>
          <w:szCs w:val="20"/>
          <w:color w:val="auto"/>
        </w:rPr>
      </w:pPr>
    </w:p>
    <w:p>
      <w:pPr>
        <w:ind w:left="300" w:right="439"/>
        <w:spacing w:after="0" w:line="246" w:lineRule="auto"/>
        <w:rPr>
          <w:sz w:val="20"/>
          <w:szCs w:val="20"/>
          <w:color w:val="auto"/>
        </w:rPr>
      </w:pPr>
      <w:r>
        <w:rPr>
          <w:rFonts w:ascii="Times New Roman" w:cs="Times New Roman" w:eastAsia="Times New Roman" w:hAnsi="Times New Roman"/>
          <w:sz w:val="22"/>
          <w:szCs w:val="22"/>
          <w:color w:val="231F20"/>
        </w:rPr>
        <w:t>5.</w:t>
      </w:r>
      <w:r>
        <w:rPr>
          <w:rFonts w:ascii="Times New Roman" w:cs="Times New Roman" w:eastAsia="Times New Roman" w:hAnsi="Times New Roman"/>
          <w:sz w:val="22"/>
          <w:szCs w:val="22"/>
          <w:i w:val="1"/>
          <w:iCs w:val="1"/>
          <w:color w:val="231F20"/>
        </w:rPr>
        <w:t>Expenses</w:t>
      </w:r>
      <w:r>
        <w:rPr>
          <w:rFonts w:ascii="Times New Roman" w:cs="Times New Roman" w:eastAsia="Times New Roman" w:hAnsi="Times New Roman"/>
          <w:sz w:val="22"/>
          <w:szCs w:val="22"/>
          <w:color w:val="231F20"/>
        </w:rPr>
        <w:t xml:space="preserve">. The Executive will be reimbursed for the Executive’s actual, necessary and reasonable business expense pursuant to Company policy, subject to the provisions of Section 3 of </w:t>
      </w:r>
      <w:r>
        <w:rPr>
          <w:rFonts w:ascii="Times New Roman" w:cs="Times New Roman" w:eastAsia="Times New Roman" w:hAnsi="Times New Roman"/>
          <w:sz w:val="22"/>
          <w:szCs w:val="22"/>
          <w:u w:val="single" w:color="auto"/>
          <w:color w:val="231F20"/>
        </w:rPr>
        <w:t>Exhibit A</w:t>
      </w:r>
      <w:r>
        <w:rPr>
          <w:rFonts w:ascii="Times New Roman" w:cs="Times New Roman" w:eastAsia="Times New Roman" w:hAnsi="Times New Roman"/>
          <w:sz w:val="22"/>
          <w:szCs w:val="22"/>
          <w:color w:val="231F20"/>
        </w:rPr>
        <w:t xml:space="preserve"> attached hereto.</w:t>
      </w:r>
    </w:p>
    <w:p>
      <w:pPr>
        <w:spacing w:after="0" w:line="167" w:lineRule="exact"/>
        <w:rPr>
          <w:sz w:val="20"/>
          <w:szCs w:val="20"/>
          <w:color w:val="auto"/>
        </w:rPr>
      </w:pPr>
    </w:p>
    <w:p>
      <w:pPr>
        <w:ind w:left="300" w:right="1099"/>
        <w:spacing w:after="0" w:line="262" w:lineRule="auto"/>
        <w:rPr>
          <w:sz w:val="20"/>
          <w:szCs w:val="20"/>
          <w:color w:val="auto"/>
        </w:rPr>
      </w:pPr>
      <w:r>
        <w:rPr>
          <w:rFonts w:ascii="Times New Roman" w:cs="Times New Roman" w:eastAsia="Times New Roman" w:hAnsi="Times New Roman"/>
          <w:sz w:val="22"/>
          <w:szCs w:val="22"/>
          <w:color w:val="231F20"/>
        </w:rPr>
        <w:t>6.</w:t>
      </w:r>
      <w:r>
        <w:rPr>
          <w:rFonts w:ascii="Times New Roman" w:cs="Times New Roman" w:eastAsia="Times New Roman" w:hAnsi="Times New Roman"/>
          <w:sz w:val="22"/>
          <w:szCs w:val="22"/>
          <w:i w:val="1"/>
          <w:iCs w:val="1"/>
          <w:color w:val="231F20"/>
        </w:rPr>
        <w:t>Employment Termination</w:t>
      </w:r>
      <w:r>
        <w:rPr>
          <w:rFonts w:ascii="Times New Roman" w:cs="Times New Roman" w:eastAsia="Times New Roman" w:hAnsi="Times New Roman"/>
          <w:sz w:val="22"/>
          <w:szCs w:val="22"/>
          <w:color w:val="231F20"/>
        </w:rPr>
        <w:t>. This Agreement and the employment of the Executive shall terminate upon the occurrence of any of the following:</w:t>
      </w:r>
    </w:p>
    <w:p>
      <w:pPr>
        <w:spacing w:after="0" w:line="154" w:lineRule="exact"/>
        <w:rPr>
          <w:sz w:val="20"/>
          <w:szCs w:val="20"/>
          <w:color w:val="auto"/>
        </w:rPr>
      </w:pPr>
    </w:p>
    <w:p>
      <w:pPr>
        <w:ind w:left="300" w:right="379" w:firstLine="640"/>
        <w:spacing w:after="0" w:line="235" w:lineRule="auto"/>
        <w:tabs>
          <w:tab w:leader="none" w:pos="1282" w:val="left"/>
        </w:tabs>
        <w:numPr>
          <w:ilvl w:val="0"/>
          <w:numId w:val="13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Upon the death of the Executive or at the election of the Company due to the Executive’s “Disability”.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during any twelve-month period. The Company shall determine in good faith and in its sole discretion whether the Executive is unable to perform the services provided for herein.</w:t>
      </w:r>
    </w:p>
    <w:p>
      <w:pPr>
        <w:spacing w:after="0" w:line="210" w:lineRule="exact"/>
        <w:rPr>
          <w:rFonts w:ascii="Times New Roman" w:cs="Times New Roman" w:eastAsia="Times New Roman" w:hAnsi="Times New Roman"/>
          <w:sz w:val="22"/>
          <w:szCs w:val="22"/>
          <w:color w:val="231F20"/>
        </w:rPr>
      </w:pPr>
    </w:p>
    <w:p>
      <w:pPr>
        <w:ind w:left="300" w:right="799" w:firstLine="640"/>
        <w:spacing w:after="0" w:line="239" w:lineRule="auto"/>
        <w:tabs>
          <w:tab w:leader="none" w:pos="1276" w:val="left"/>
        </w:tabs>
        <w:numPr>
          <w:ilvl w:val="0"/>
          <w:numId w:val="13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At the election of the Company, with or without “Cause” (as defined below), immediately upon written notice by the Company to the Executive. As used in this Agreement, “Cause” shall mean a finding by the Company’s Chief Executive Officer or the Board that the Executive:</w:t>
      </w:r>
    </w:p>
    <w:p>
      <w:pPr>
        <w:spacing w:after="0" w:line="180" w:lineRule="exact"/>
        <w:rPr>
          <w:sz w:val="20"/>
          <w:szCs w:val="20"/>
          <w:color w:val="auto"/>
        </w:rPr>
      </w:pPr>
    </w:p>
    <w:p>
      <w:pPr>
        <w:ind w:left="1560" w:right="379" w:hanging="620"/>
        <w:spacing w:after="0" w:line="244" w:lineRule="auto"/>
        <w:tabs>
          <w:tab w:leader="none" w:pos="1560"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performed the Executive’s duties, in the good faith opinion of the Company’s Chief Executive Officer or the Board, in a grossly negligent or reckless manner or with willful malfeasance;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603250</wp:posOffset>
            </wp:positionV>
            <wp:extent cx="70377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5" w:name="page216"/>
    <w:bookmarkEnd w:id="215"/>
    <w:p>
      <w:pPr>
        <w:ind w:left="1580" w:hanging="640"/>
        <w:spacing w:after="0"/>
        <w:tabs>
          <w:tab w:leader="none" w:pos="1580" w:val="left"/>
        </w:tabs>
        <w:numPr>
          <w:ilvl w:val="0"/>
          <w:numId w:val="133"/>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exhibited habitual drunkenness or engaged in substance abuse;</w:t>
      </w:r>
    </w:p>
    <w:p>
      <w:pPr>
        <w:spacing w:after="0" w:line="206" w:lineRule="exact"/>
        <w:rPr>
          <w:rFonts w:ascii="Times New Roman" w:cs="Times New Roman" w:eastAsia="Times New Roman" w:hAnsi="Times New Roman"/>
          <w:sz w:val="22"/>
          <w:szCs w:val="22"/>
          <w:color w:val="231F20"/>
        </w:rPr>
      </w:pPr>
    </w:p>
    <w:p>
      <w:pPr>
        <w:ind w:left="1540" w:right="559" w:hanging="600"/>
        <w:spacing w:after="0" w:line="236" w:lineRule="auto"/>
        <w:tabs>
          <w:tab w:leader="none" w:pos="1540" w:val="left"/>
        </w:tabs>
        <w:numPr>
          <w:ilvl w:val="0"/>
          <w:numId w:val="133"/>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committed any (A) material violation of any state or federal law relating to the workplace environment (including, without limitation, laws relating to sexual harassment or age, sex or other prohibited discrimination) or (B) material violation of any material written Company policy which remains uncured for seven (7) days following written notice setting forth in reasonable detail of such material violation by the Company to Executive;</w:t>
      </w:r>
    </w:p>
    <w:p>
      <w:pPr>
        <w:spacing w:after="0" w:line="181" w:lineRule="exact"/>
        <w:rPr>
          <w:rFonts w:ascii="Times New Roman" w:cs="Times New Roman" w:eastAsia="Times New Roman" w:hAnsi="Times New Roman"/>
          <w:sz w:val="22"/>
          <w:szCs w:val="22"/>
          <w:color w:val="231F20"/>
        </w:rPr>
      </w:pPr>
    </w:p>
    <w:p>
      <w:pPr>
        <w:ind w:left="1560" w:right="399" w:hanging="620"/>
        <w:spacing w:after="0" w:line="234" w:lineRule="auto"/>
        <w:tabs>
          <w:tab w:leader="none" w:pos="1560" w:val="left"/>
        </w:tabs>
        <w:numPr>
          <w:ilvl w:val="0"/>
          <w:numId w:val="133"/>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willfully failed or refused to perform in the usual manner at the usual time those duties which the Executive regularly and routinely performed in connection with the business of the Company or such other lawful duties reasonably related to the capacity in which the Executive is employed hereunder which may be assigned to the Executive by the Company’s Chief Executive Officer or the Board, which failure or refusal continues for a period of more than seven (7) days after written notice thereof has been provided to the Executive by the Company’s Chief Executive Officer or the Board, such notice to set forth in reasonable detail the nature of such failure or refusal;</w:t>
      </w:r>
    </w:p>
    <w:p>
      <w:pPr>
        <w:spacing w:after="0" w:line="196" w:lineRule="exact"/>
        <w:rPr>
          <w:rFonts w:ascii="Times New Roman" w:cs="Times New Roman" w:eastAsia="Times New Roman" w:hAnsi="Times New Roman"/>
          <w:sz w:val="22"/>
          <w:szCs w:val="22"/>
          <w:color w:val="231F20"/>
        </w:rPr>
      </w:pPr>
    </w:p>
    <w:p>
      <w:pPr>
        <w:ind w:left="1540" w:right="619" w:hanging="600"/>
        <w:spacing w:after="0" w:line="244" w:lineRule="auto"/>
        <w:tabs>
          <w:tab w:leader="none" w:pos="1540" w:val="left"/>
        </w:tabs>
        <w:numPr>
          <w:ilvl w:val="0"/>
          <w:numId w:val="133"/>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performed any material action when specifically and reasonably instructed in writing (email being sufficient) not to do so by the Company’s Chief Executive Officer or the Board;</w:t>
      </w:r>
    </w:p>
    <w:p>
      <w:pPr>
        <w:spacing w:after="0" w:line="173" w:lineRule="exact"/>
        <w:rPr>
          <w:rFonts w:ascii="Times New Roman" w:cs="Times New Roman" w:eastAsia="Times New Roman" w:hAnsi="Times New Roman"/>
          <w:sz w:val="22"/>
          <w:szCs w:val="22"/>
          <w:color w:val="231F20"/>
        </w:rPr>
      </w:pPr>
    </w:p>
    <w:p>
      <w:pPr>
        <w:ind w:left="1540" w:right="559" w:hanging="600"/>
        <w:spacing w:after="0" w:line="239" w:lineRule="auto"/>
        <w:tabs>
          <w:tab w:leader="none" w:pos="1540" w:val="left"/>
        </w:tabs>
        <w:numPr>
          <w:ilvl w:val="0"/>
          <w:numId w:val="133"/>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committed any fraud or used or appropriated for the Executive’s personal use or benefit any funds, properties or opportunities of the Company not authorized by the Company’s Chief Executive Officer or the Board to be so used or appropriated;</w:t>
      </w:r>
    </w:p>
    <w:p>
      <w:pPr>
        <w:spacing w:after="0" w:line="180" w:lineRule="exact"/>
        <w:rPr>
          <w:rFonts w:ascii="Times New Roman" w:cs="Times New Roman" w:eastAsia="Times New Roman" w:hAnsi="Times New Roman"/>
          <w:sz w:val="22"/>
          <w:szCs w:val="22"/>
          <w:color w:val="231F20"/>
        </w:rPr>
      </w:pPr>
    </w:p>
    <w:p>
      <w:pPr>
        <w:ind w:left="1520" w:right="819" w:hanging="580"/>
        <w:spacing w:after="0" w:line="261" w:lineRule="auto"/>
        <w:tabs>
          <w:tab w:leader="none" w:pos="1520" w:val="left"/>
        </w:tabs>
        <w:numPr>
          <w:ilvl w:val="0"/>
          <w:numId w:val="133"/>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breached the terms of (A) the Invention, Nondisclosure and Nonsolicitation Agreement, (B) the Non-Competition Agreement, (C) or any other restrictive covenant or confidentiality agreement between Executive and Company; or</w:t>
      </w:r>
    </w:p>
    <w:p>
      <w:pPr>
        <w:spacing w:after="0" w:line="157" w:lineRule="exact"/>
        <w:rPr>
          <w:sz w:val="20"/>
          <w:szCs w:val="20"/>
          <w:color w:val="auto"/>
        </w:rPr>
      </w:pPr>
    </w:p>
    <w:p>
      <w:pPr>
        <w:ind w:left="1580" w:right="659" w:hanging="640"/>
        <w:spacing w:after="0" w:line="258" w:lineRule="auto"/>
        <w:tabs>
          <w:tab w:leader="none" w:pos="1364" w:val="left"/>
        </w:tabs>
        <w:numPr>
          <w:ilvl w:val="0"/>
          <w:numId w:val="13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was convicted of, or pled guilty or “no contest” to, any felony or any other crime related to the Executive’s employment or involving moral turpitude.</w:t>
      </w:r>
    </w:p>
    <w:p>
      <w:pPr>
        <w:spacing w:after="0" w:line="158" w:lineRule="exact"/>
        <w:rPr>
          <w:sz w:val="20"/>
          <w:szCs w:val="20"/>
          <w:color w:val="auto"/>
        </w:rPr>
      </w:pPr>
    </w:p>
    <w:p>
      <w:pPr>
        <w:ind w:left="300" w:right="439" w:firstLine="692"/>
        <w:spacing w:after="0" w:line="239" w:lineRule="auto"/>
        <w:tabs>
          <w:tab w:leader="none" w:pos="1283" w:val="left"/>
        </w:tabs>
        <w:numPr>
          <w:ilvl w:val="1"/>
          <w:numId w:val="13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7" w:lineRule="exact"/>
        <w:rPr>
          <w:rFonts w:ascii="Times New Roman" w:cs="Times New Roman" w:eastAsia="Times New Roman" w:hAnsi="Times New Roman"/>
          <w:sz w:val="22"/>
          <w:szCs w:val="22"/>
          <w:color w:val="231F20"/>
        </w:rPr>
      </w:pPr>
    </w:p>
    <w:p>
      <w:pPr>
        <w:ind w:left="1580" w:right="319" w:hanging="640"/>
        <w:spacing w:after="0" w:line="258" w:lineRule="auto"/>
        <w:tabs>
          <w:tab w:leader="none" w:pos="1580" w:val="left"/>
        </w:tabs>
        <w:numPr>
          <w:ilvl w:val="0"/>
          <w:numId w:val="13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material diminution in the nature or scope of Executive’s duties, responsibilities, or authority;</w:t>
      </w:r>
    </w:p>
    <w:p>
      <w:pPr>
        <w:spacing w:after="0" w:line="158" w:lineRule="exact"/>
        <w:rPr>
          <w:rFonts w:ascii="Times New Roman" w:cs="Times New Roman" w:eastAsia="Times New Roman" w:hAnsi="Times New Roman"/>
          <w:sz w:val="22"/>
          <w:szCs w:val="22"/>
          <w:color w:val="231F20"/>
        </w:rPr>
      </w:pPr>
    </w:p>
    <w:p>
      <w:pPr>
        <w:ind w:left="1560" w:right="439" w:hanging="620"/>
        <w:spacing w:after="0" w:line="255" w:lineRule="auto"/>
        <w:tabs>
          <w:tab w:leader="none" w:pos="1560" w:val="left"/>
        </w:tabs>
        <w:numPr>
          <w:ilvl w:val="0"/>
          <w:numId w:val="136"/>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any reduction in the Executive’s base compensation or target bonus percentage, other than a reduction of not more than 3% to the Executive’s base compensation that affects all senior executives of the Company or reductions in base compensation that are the result of the annual number of regular payroll cycles;</w:t>
      </w:r>
    </w:p>
    <w:p>
      <w:pPr>
        <w:spacing w:after="0" w:line="161" w:lineRule="exact"/>
        <w:rPr>
          <w:rFonts w:ascii="Times New Roman" w:cs="Times New Roman" w:eastAsia="Times New Roman" w:hAnsi="Times New Roman"/>
          <w:sz w:val="21"/>
          <w:szCs w:val="21"/>
          <w:color w:val="231F20"/>
        </w:rPr>
      </w:pPr>
    </w:p>
    <w:p>
      <w:pPr>
        <w:ind w:left="1580" w:right="519" w:hanging="638"/>
        <w:spacing w:after="0" w:line="282" w:lineRule="auto"/>
        <w:tabs>
          <w:tab w:leader="none" w:pos="1582" w:val="left"/>
        </w:tabs>
        <w:numPr>
          <w:ilvl w:val="0"/>
          <w:numId w:val="136"/>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the Company’s requiring Executive to relocate Executive’s primary office more than fifty (50) miles from the Executive’s then-current primary office; or</w:t>
      </w:r>
    </w:p>
    <w:p>
      <w:pPr>
        <w:spacing w:after="0" w:line="134" w:lineRule="exact"/>
        <w:rPr>
          <w:rFonts w:ascii="Times New Roman" w:cs="Times New Roman" w:eastAsia="Times New Roman" w:hAnsi="Times New Roman"/>
          <w:sz w:val="21"/>
          <w:szCs w:val="21"/>
          <w:color w:val="231F20"/>
        </w:rPr>
      </w:pPr>
    </w:p>
    <w:p>
      <w:pPr>
        <w:ind w:left="1500" w:hanging="560"/>
        <w:spacing w:after="0"/>
        <w:tabs>
          <w:tab w:leader="none" w:pos="1500" w:val="left"/>
        </w:tabs>
        <w:numPr>
          <w:ilvl w:val="0"/>
          <w:numId w:val="13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any material breach of this Agreement (or any other agreement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624205</wp:posOffset>
            </wp:positionV>
            <wp:extent cx="703770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16" w:name="page217"/>
    <w:bookmarkEnd w:id="216"/>
    <w:p>
      <w:pPr>
        <w:ind w:left="1500" w:right="1179"/>
        <w:spacing w:after="0" w:line="258" w:lineRule="auto"/>
        <w:rPr>
          <w:sz w:val="20"/>
          <w:szCs w:val="20"/>
          <w:color w:val="auto"/>
        </w:rPr>
      </w:pPr>
      <w:r>
        <w:rPr>
          <w:rFonts w:ascii="Times New Roman" w:cs="Times New Roman" w:eastAsia="Times New Roman" w:hAnsi="Times New Roman"/>
          <w:sz w:val="22"/>
          <w:szCs w:val="22"/>
          <w:color w:val="231F20"/>
        </w:rPr>
        <w:t>Executive and Company) by the Company not otherwise covered by this paragraph;</w:t>
      </w:r>
    </w:p>
    <w:p>
      <w:pPr>
        <w:spacing w:after="0" w:line="158"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21"/>
          <w:szCs w:val="21"/>
          <w:color w:val="231F20"/>
        </w:rPr>
        <w:t>provided, however, that in each case, the Company shall have a period of not less than thirty (30) days to cure any act constituting Good Reason following Executive’s delivery to the Company of written notice (email being sufficient) within sixty (60) days of the action or omission constituting Good Reason and that the Executive actually terminates employment within thirty</w:t>
      </w:r>
    </w:p>
    <w:p>
      <w:pPr>
        <w:spacing w:after="0" w:line="3" w:lineRule="exact"/>
        <w:rPr>
          <w:sz w:val="20"/>
          <w:szCs w:val="20"/>
          <w:color w:val="auto"/>
        </w:rPr>
      </w:pPr>
    </w:p>
    <w:p>
      <w:pPr>
        <w:ind w:left="300" w:right="3079" w:hanging="8"/>
        <w:spacing w:after="0" w:line="422" w:lineRule="auto"/>
        <w:tabs>
          <w:tab w:leader="none" w:pos="714" w:val="left"/>
        </w:tabs>
        <w:numPr>
          <w:ilvl w:val="0"/>
          <w:numId w:val="13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days following the expiration of the Company’s cure period. 7. </w:t>
      </w:r>
      <w:r>
        <w:rPr>
          <w:rFonts w:ascii="Times New Roman" w:cs="Times New Roman" w:eastAsia="Times New Roman" w:hAnsi="Times New Roman"/>
          <w:sz w:val="22"/>
          <w:szCs w:val="22"/>
          <w:i w:val="1"/>
          <w:iCs w:val="1"/>
          <w:color w:val="231F20"/>
        </w:rPr>
        <w:t>Effect of Termination</w:t>
      </w:r>
      <w:r>
        <w:rPr>
          <w:rFonts w:ascii="Times New Roman" w:cs="Times New Roman" w:eastAsia="Times New Roman" w:hAnsi="Times New Roman"/>
          <w:sz w:val="22"/>
          <w:szCs w:val="22"/>
          <w:color w:val="231F20"/>
        </w:rPr>
        <w:t>.</w:t>
      </w:r>
    </w:p>
    <w:p>
      <w:pPr>
        <w:ind w:left="300" w:right="319" w:firstLine="640"/>
        <w:spacing w:after="0" w:line="232" w:lineRule="auto"/>
        <w:tabs>
          <w:tab w:leader="none" w:pos="1285" w:val="left"/>
        </w:tabs>
        <w:numPr>
          <w:ilvl w:val="1"/>
          <w:numId w:val="13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All Terminations Other Than by the Company Without Cause or by the Executive With Good Reason</w:t>
      </w:r>
      <w:r>
        <w:rPr>
          <w:rFonts w:ascii="Times New Roman" w:cs="Times New Roman" w:eastAsia="Times New Roman" w:hAnsi="Times New Roman"/>
          <w:sz w:val="22"/>
          <w:szCs w:val="22"/>
          <w:color w:val="231F20"/>
        </w:rPr>
        <w:t>. If the Executive’s employment is terminated under any circumstances other</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(iii) accrued but unused vacation time earned through the date of termination and (iv)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88" w:lineRule="exact"/>
        <w:rPr>
          <w:rFonts w:ascii="Times New Roman" w:cs="Times New Roman" w:eastAsia="Times New Roman" w:hAnsi="Times New Roman"/>
          <w:sz w:val="22"/>
          <w:szCs w:val="22"/>
          <w:color w:val="231F20"/>
        </w:rPr>
      </w:pPr>
    </w:p>
    <w:p>
      <w:pPr>
        <w:ind w:left="1260" w:hanging="320"/>
        <w:spacing w:after="0"/>
        <w:tabs>
          <w:tab w:leader="none" w:pos="1260" w:val="left"/>
        </w:tabs>
        <w:numPr>
          <w:ilvl w:val="1"/>
          <w:numId w:val="13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Termination by the Company Without Cause or by the Executive With Good</w:t>
      </w:r>
    </w:p>
    <w:p>
      <w:pPr>
        <w:spacing w:after="0" w:line="18" w:lineRule="exact"/>
        <w:rPr>
          <w:sz w:val="20"/>
          <w:szCs w:val="20"/>
          <w:color w:val="auto"/>
        </w:rPr>
      </w:pPr>
    </w:p>
    <w:p>
      <w:pPr>
        <w:ind w:left="300" w:right="839"/>
        <w:spacing w:after="0" w:line="233" w:lineRule="auto"/>
        <w:rPr>
          <w:sz w:val="20"/>
          <w:szCs w:val="20"/>
          <w:color w:val="auto"/>
        </w:rPr>
      </w:pPr>
      <w:r>
        <w:rPr>
          <w:rFonts w:ascii="Times New Roman" w:cs="Times New Roman" w:eastAsia="Times New Roman" w:hAnsi="Times New Roman"/>
          <w:sz w:val="22"/>
          <w:szCs w:val="22"/>
          <w:i w:val="1"/>
          <w:iCs w:val="1"/>
          <w:color w:val="231F20"/>
        </w:rPr>
        <w:t xml:space="preserve">Reason Prior to or More Than Twelve Months Following a Change in Control. </w:t>
      </w:r>
      <w:r>
        <w:rPr>
          <w:rFonts w:ascii="Times New Roman" w:cs="Times New Roman" w:eastAsia="Times New Roman" w:hAnsi="Times New Roman"/>
          <w:sz w:val="22"/>
          <w:szCs w:val="22"/>
          <w:color w:val="231F20"/>
        </w:rPr>
        <w:t>If the</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Executive’s employment is terminated by the Company without Cause pursuant to Section 6(b) or by the Executive with Good Reason pursuant to Section 6(c) (in either case, a “Qualifying Termination”) prior to or more than twelve (12) months following a Change in Control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right="359"/>
        <w:spacing w:after="0" w:line="233" w:lineRule="auto"/>
        <w:rPr>
          <w:sz w:val="20"/>
          <w:szCs w:val="20"/>
          <w:color w:val="auto"/>
        </w:rPr>
      </w:pPr>
      <w:r>
        <w:rPr>
          <w:rFonts w:ascii="Times New Roman" w:cs="Times New Roman" w:eastAsia="Times New Roman" w:hAnsi="Times New Roman"/>
          <w:sz w:val="22"/>
          <w:szCs w:val="22"/>
          <w:color w:val="231F20"/>
        </w:rPr>
        <w:t xml:space="preserve">defined below), the Executive shall be entitled to the Accrued Obligations. In addition, and subject to </w:t>
      </w:r>
      <w:r>
        <w:rPr>
          <w:rFonts w:ascii="Times New Roman" w:cs="Times New Roman" w:eastAsia="Times New Roman" w:hAnsi="Times New Roman"/>
          <w:sz w:val="22"/>
          <w:szCs w:val="22"/>
          <w:u w:val="single" w:color="auto"/>
          <w:color w:val="231F20"/>
        </w:rPr>
        <w:t>Exhibit A</w:t>
      </w:r>
      <w:r>
        <w:rPr>
          <w:rFonts w:ascii="Times New Roman" w:cs="Times New Roman" w:eastAsia="Times New Roman" w:hAnsi="Times New Roman"/>
          <w:sz w:val="22"/>
          <w:szCs w:val="22"/>
          <w:color w:val="231F20"/>
        </w:rPr>
        <w:t xml:space="preserve"> and the conditions of Section 7(d),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3" w:lineRule="exact"/>
        <w:rPr>
          <w:sz w:val="20"/>
          <w:szCs w:val="20"/>
          <w:color w:val="auto"/>
        </w:rPr>
      </w:pPr>
    </w:p>
    <w:p>
      <w:pPr>
        <w:ind w:left="1280" w:hanging="340"/>
        <w:spacing w:after="0"/>
        <w:tabs>
          <w:tab w:leader="none" w:pos="1280" w:val="left"/>
        </w:tabs>
        <w:numPr>
          <w:ilvl w:val="0"/>
          <w:numId w:val="13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Termination by the Company Without Cause or by the Executive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17" w:name="page218"/>
    <w:bookmarkEnd w:id="217"/>
    <w:p>
      <w:pPr>
        <w:ind w:left="300" w:right="379"/>
        <w:spacing w:after="0" w:line="239" w:lineRule="auto"/>
        <w:rPr>
          <w:sz w:val="20"/>
          <w:szCs w:val="20"/>
          <w:color w:val="auto"/>
        </w:rPr>
      </w:pPr>
      <w:r>
        <w:rPr>
          <w:rFonts w:ascii="Times New Roman" w:cs="Times New Roman" w:eastAsia="Times New Roman" w:hAnsi="Times New Roman"/>
          <w:sz w:val="22"/>
          <w:szCs w:val="22"/>
          <w:i w:val="1"/>
          <w:iCs w:val="1"/>
          <w:color w:val="231F20"/>
        </w:rPr>
        <w:t xml:space="preserve">Within Twelve Months Following a Change in Control. </w:t>
      </w:r>
      <w:r>
        <w:rPr>
          <w:rFonts w:ascii="Times New Roman" w:cs="Times New Roman" w:eastAsia="Times New Roman" w:hAnsi="Times New Roman"/>
          <w:sz w:val="22"/>
          <w:szCs w:val="22"/>
          <w:color w:val="231F20"/>
        </w:rPr>
        <w:t>If a Qualifying Termination occurs</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 xml:space="preserve">within twelve (12) months following a Change in Control, then the Executive shall be entitled to the Accrued Obligations. In addition, and subject to </w:t>
      </w:r>
      <w:r>
        <w:rPr>
          <w:rFonts w:ascii="Times New Roman" w:cs="Times New Roman" w:eastAsia="Times New Roman" w:hAnsi="Times New Roman"/>
          <w:sz w:val="22"/>
          <w:szCs w:val="22"/>
          <w:u w:val="single" w:color="auto"/>
          <w:color w:val="231F20"/>
        </w:rPr>
        <w:t>Exhibit A</w:t>
      </w:r>
      <w:r>
        <w:rPr>
          <w:rFonts w:ascii="Times New Roman" w:cs="Times New Roman" w:eastAsia="Times New Roman" w:hAnsi="Times New Roman"/>
          <w:sz w:val="22"/>
          <w:szCs w:val="22"/>
          <w:color w:val="231F20"/>
        </w:rPr>
        <w:t xml:space="preserve"> and the conditions of Section</w:t>
      </w:r>
    </w:p>
    <w:p>
      <w:pPr>
        <w:spacing w:after="0" w:line="1" w:lineRule="exact"/>
        <w:rPr>
          <w:sz w:val="20"/>
          <w:szCs w:val="20"/>
          <w:color w:val="auto"/>
        </w:rPr>
      </w:pPr>
    </w:p>
    <w:p>
      <w:pPr>
        <w:ind w:left="300" w:right="379"/>
        <w:spacing w:after="0" w:line="242" w:lineRule="auto"/>
        <w:rPr>
          <w:sz w:val="20"/>
          <w:szCs w:val="20"/>
          <w:color w:val="auto"/>
        </w:rPr>
      </w:pPr>
      <w:r>
        <w:rPr>
          <w:rFonts w:ascii="Times New Roman" w:cs="Times New Roman" w:eastAsia="Times New Roman" w:hAnsi="Times New Roman"/>
          <w:sz w:val="21"/>
          <w:szCs w:val="21"/>
          <w:color w:val="231F20"/>
        </w:rPr>
        <w:t>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the Executive’s Target Bonus immediately prior to the Change in Control, if higher (for the avoidance of doubt, the minimum amount paid pursuant to this Section shall equal 40% of Executive’s Base Salary immediately prior to the termination of the Agreement pursuant to this Section),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 unvested time-based equity awards shall vest and become fully exercisable or non-forfeitable as of the termination date (collectively, the “Change in Control Severance Benefits”).</w:t>
      </w:r>
    </w:p>
    <w:p>
      <w:pPr>
        <w:spacing w:after="0" w:line="180" w:lineRule="exact"/>
        <w:rPr>
          <w:sz w:val="20"/>
          <w:szCs w:val="20"/>
          <w:color w:val="auto"/>
        </w:rPr>
      </w:pPr>
    </w:p>
    <w:p>
      <w:pPr>
        <w:ind w:left="300" w:right="339" w:firstLine="640"/>
        <w:spacing w:after="0" w:line="233" w:lineRule="auto"/>
        <w:tabs>
          <w:tab w:leader="none" w:pos="1283" w:val="left"/>
        </w:tabs>
        <w:numPr>
          <w:ilvl w:val="0"/>
          <w:numId w:val="13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i w:val="1"/>
          <w:iCs w:val="1"/>
          <w:color w:val="231F20"/>
        </w:rPr>
        <w:t>Severance and Release of Claims Agreement</w:t>
      </w:r>
      <w:r>
        <w:rPr>
          <w:rFonts w:ascii="Times New Roman" w:cs="Times New Roman" w:eastAsia="Times New Roman" w:hAnsi="Times New Roman"/>
          <w:sz w:val="22"/>
          <w:szCs w:val="22"/>
          <w:color w:val="231F20"/>
        </w:rPr>
        <w:t>. As a condition of the Executive’s</w:t>
      </w:r>
      <w:r>
        <w:rPr>
          <w:rFonts w:ascii="Times New Roman" w:cs="Times New Roman" w:eastAsia="Times New Roman" w:hAnsi="Times New Roman"/>
          <w:sz w:val="22"/>
          <w:szCs w:val="22"/>
          <w:i w:val="1"/>
          <w:iCs w:val="1"/>
          <w:color w:val="231F20"/>
        </w:rPr>
        <w:t xml:space="preserve"> </w:t>
      </w:r>
      <w:r>
        <w:rPr>
          <w:rFonts w:ascii="Times New Roman" w:cs="Times New Roman" w:eastAsia="Times New Roman" w:hAnsi="Times New Roman"/>
          <w:sz w:val="22"/>
          <w:szCs w:val="22"/>
          <w:color w:val="231F20"/>
        </w:rPr>
        <w:t xml:space="preserve">receipt of the Severance Benefits or the Change in Control Severance Benefits, as applicable, the Executive must execute and deliver to the Company a severance and release of claims agreement in substantially the form attached hereto as </w:t>
      </w:r>
      <w:r>
        <w:rPr>
          <w:rFonts w:ascii="Times New Roman" w:cs="Times New Roman" w:eastAsia="Times New Roman" w:hAnsi="Times New Roman"/>
          <w:sz w:val="22"/>
          <w:szCs w:val="22"/>
          <w:u w:val="single" w:color="auto"/>
          <w:color w:val="231F20"/>
        </w:rPr>
        <w:t>Exhibit D</w:t>
      </w:r>
      <w:r>
        <w:rPr>
          <w:rFonts w:ascii="Times New Roman" w:cs="Times New Roman" w:eastAsia="Times New Roman" w:hAnsi="Times New Roman"/>
          <w:sz w:val="22"/>
          <w:szCs w:val="22"/>
          <w:color w:val="231F20"/>
        </w:rPr>
        <w:t xml:space="preserve">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w:t>
      </w:r>
    </w:p>
    <w:p>
      <w:pPr>
        <w:spacing w:after="0" w:line="179" w:lineRule="exact"/>
        <w:rPr>
          <w:rFonts w:ascii="Times New Roman" w:cs="Times New Roman" w:eastAsia="Times New Roman" w:hAnsi="Times New Roman"/>
          <w:sz w:val="22"/>
          <w:szCs w:val="22"/>
          <w:color w:val="231F20"/>
        </w:rPr>
      </w:pPr>
    </w:p>
    <w:p>
      <w:pPr>
        <w:ind w:left="300" w:right="359" w:firstLine="640"/>
        <w:spacing w:after="0" w:line="244" w:lineRule="auto"/>
        <w:tabs>
          <w:tab w:leader="none" w:pos="1284" w:val="left"/>
        </w:tabs>
        <w:numPr>
          <w:ilvl w:val="0"/>
          <w:numId w:val="139"/>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i w:val="1"/>
          <w:iCs w:val="1"/>
          <w:color w:val="231F20"/>
        </w:rPr>
        <w:t>Change in Control Definition</w:t>
      </w:r>
      <w:r>
        <w:rPr>
          <w:rFonts w:ascii="Times New Roman" w:cs="Times New Roman" w:eastAsia="Times New Roman" w:hAnsi="Times New Roman"/>
          <w:sz w:val="21"/>
          <w:szCs w:val="21"/>
          <w:color w:val="231F20"/>
        </w:rPr>
        <w:t>. For purposes of this Agreement, “Change in Control”</w:t>
      </w:r>
      <w:r>
        <w:rPr>
          <w:rFonts w:ascii="Times New Roman" w:cs="Times New Roman" w:eastAsia="Times New Roman" w:hAnsi="Times New Roman"/>
          <w:sz w:val="21"/>
          <w:szCs w:val="21"/>
          <w:i w:val="1"/>
          <w:iCs w:val="1"/>
          <w:color w:val="231F20"/>
        </w:rPr>
        <w:t xml:space="preserve"> </w:t>
      </w:r>
      <w:r>
        <w:rPr>
          <w:rFonts w:ascii="Times New Roman" w:cs="Times New Roman" w:eastAsia="Times New Roman" w:hAnsi="Times New Roman"/>
          <w:sz w:val="21"/>
          <w:szCs w:val="21"/>
          <w:color w:val="231F20"/>
        </w:rPr>
        <w:t>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607695</wp:posOffset>
            </wp:positionV>
            <wp:extent cx="703770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43" w:right="1440" w:bottom="1440" w:gutter="0" w:footer="0" w:header="0"/>
        </w:sectPr>
      </w:pPr>
    </w:p>
    <w:bookmarkStart w:id="218" w:name="page219"/>
    <w:bookmarkEnd w:id="218"/>
    <w:p>
      <w:pPr>
        <w:ind w:left="300" w:right="319"/>
        <w:spacing w:after="0" w:line="242" w:lineRule="auto"/>
        <w:rPr>
          <w:sz w:val="20"/>
          <w:szCs w:val="20"/>
          <w:color w:val="auto"/>
        </w:rPr>
      </w:pPr>
      <w:r>
        <w:rPr>
          <w:rFonts w:ascii="Times New Roman" w:cs="Times New Roman" w:eastAsia="Times New Roman" w:hAnsi="Times New Roman"/>
          <w:sz w:val="21"/>
          <w:szCs w:val="21"/>
          <w:color w:val="231F20"/>
        </w:rPr>
        <w:t>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w:t>
      </w:r>
    </w:p>
    <w:p>
      <w:pPr>
        <w:spacing w:after="0" w:line="25" w:lineRule="exact"/>
        <w:rPr>
          <w:sz w:val="20"/>
          <w:szCs w:val="20"/>
          <w:color w:val="auto"/>
        </w:rPr>
      </w:pPr>
    </w:p>
    <w:p>
      <w:pPr>
        <w:ind w:left="300" w:right="319" w:hanging="8"/>
        <w:spacing w:after="0" w:line="232" w:lineRule="auto"/>
        <w:tabs>
          <w:tab w:leader="none" w:pos="606" w:val="left"/>
        </w:tabs>
        <w:numPr>
          <w:ilvl w:val="0"/>
          <w:numId w:val="14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177" w:lineRule="exact"/>
        <w:rPr>
          <w:sz w:val="20"/>
          <w:szCs w:val="20"/>
          <w:color w:val="auto"/>
        </w:rPr>
      </w:pPr>
    </w:p>
    <w:p>
      <w:pPr>
        <w:ind w:left="300" w:right="839"/>
        <w:spacing w:after="0" w:line="263" w:lineRule="auto"/>
        <w:rPr>
          <w:sz w:val="20"/>
          <w:szCs w:val="20"/>
          <w:color w:val="auto"/>
        </w:rPr>
      </w:pPr>
      <w:r>
        <w:rPr>
          <w:rFonts w:ascii="Times New Roman" w:cs="Times New Roman" w:eastAsia="Times New Roman" w:hAnsi="Times New Roman"/>
          <w:sz w:val="21"/>
          <w:szCs w:val="21"/>
          <w:color w:val="231F20"/>
        </w:rPr>
        <w:t>8.</w:t>
      </w:r>
      <w:r>
        <w:rPr>
          <w:rFonts w:ascii="Times New Roman" w:cs="Times New Roman" w:eastAsia="Times New Roman" w:hAnsi="Times New Roman"/>
          <w:sz w:val="21"/>
          <w:szCs w:val="21"/>
          <w:i w:val="1"/>
          <w:iCs w:val="1"/>
          <w:color w:val="231F20"/>
        </w:rPr>
        <w:t>Modified Section 280G Cutback</w:t>
      </w:r>
      <w:r>
        <w:rPr>
          <w:rFonts w:ascii="Times New Roman" w:cs="Times New Roman" w:eastAsia="Times New Roman" w:hAnsi="Times New Roman"/>
          <w:sz w:val="21"/>
          <w:szCs w:val="21"/>
          <w:color w:val="231F20"/>
        </w:rPr>
        <w:t>. Notwithstanding any other provision of this Agreement, except as set forth in Section 8(b), in the event that the Company undergoes a “Change in Ownership or Control” (as defined below), the following provisions shall apply:</w:t>
      </w:r>
    </w:p>
    <w:p>
      <w:pPr>
        <w:spacing w:after="0" w:line="155" w:lineRule="exact"/>
        <w:rPr>
          <w:sz w:val="20"/>
          <w:szCs w:val="20"/>
          <w:color w:val="auto"/>
        </w:rPr>
      </w:pPr>
    </w:p>
    <w:p>
      <w:pPr>
        <w:ind w:left="300" w:right="359" w:firstLine="640"/>
        <w:spacing w:after="0" w:line="235" w:lineRule="auto"/>
        <w:tabs>
          <w:tab w:leader="none" w:pos="1284" w:val="left"/>
        </w:tabs>
        <w:numPr>
          <w:ilvl w:val="0"/>
          <w:numId w:val="14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Company shall not be obligated to provide to the Executive any portion of any “Contingent Compensation Payments” (as defined below) that the Executive would otherwise be entitled to receive to the extent necessary to eliminate any “excess parachute payments” (as defined in Section 280G(b)(1) of the Code) for the Executive. For purposes of this Section 8,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78" w:lineRule="exact"/>
        <w:rPr>
          <w:rFonts w:ascii="Times New Roman" w:cs="Times New Roman" w:eastAsia="Times New Roman" w:hAnsi="Times New Roman"/>
          <w:sz w:val="22"/>
          <w:szCs w:val="22"/>
          <w:color w:val="231F20"/>
        </w:rPr>
      </w:pPr>
    </w:p>
    <w:p>
      <w:pPr>
        <w:ind w:left="300" w:right="359" w:firstLine="640"/>
        <w:spacing w:after="0" w:line="251" w:lineRule="auto"/>
        <w:tabs>
          <w:tab w:leader="none" w:pos="1284" w:val="left"/>
        </w:tabs>
        <w:numPr>
          <w:ilvl w:val="0"/>
          <w:numId w:val="141"/>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Notwithstanding the provisions of Section 8(a),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the Executive if the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600075</wp:posOffset>
            </wp:positionV>
            <wp:extent cx="703770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19" w:name="page220"/>
    <w:bookmarkEnd w:id="219"/>
    <w:p>
      <w:pPr>
        <w:ind w:left="300" w:right="319"/>
        <w:spacing w:after="0" w:line="234" w:lineRule="auto"/>
        <w:rPr>
          <w:sz w:val="20"/>
          <w:szCs w:val="20"/>
          <w:color w:val="auto"/>
        </w:rPr>
      </w:pPr>
      <w:r>
        <w:rPr>
          <w:rFonts w:ascii="Times New Roman" w:cs="Times New Roman" w:eastAsia="Times New Roman" w:hAnsi="Times New Roman"/>
          <w:sz w:val="22"/>
          <w:szCs w:val="22"/>
          <w:color w:val="231F20"/>
        </w:rPr>
        <w:t>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8(b) shall be referred to as a “Section 8(b)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79" w:lineRule="exact"/>
        <w:rPr>
          <w:sz w:val="20"/>
          <w:szCs w:val="20"/>
          <w:color w:val="auto"/>
        </w:rPr>
      </w:pPr>
    </w:p>
    <w:p>
      <w:pPr>
        <w:ind w:left="300" w:right="1279" w:firstLine="640"/>
        <w:spacing w:after="0" w:line="258" w:lineRule="auto"/>
        <w:tabs>
          <w:tab w:leader="none" w:pos="1281" w:val="left"/>
        </w:tabs>
        <w:numPr>
          <w:ilvl w:val="0"/>
          <w:numId w:val="14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For purposes of this Section 8 the following terms shall have the following respective meanings:</w:t>
      </w:r>
    </w:p>
    <w:p>
      <w:pPr>
        <w:spacing w:after="0" w:line="158" w:lineRule="exact"/>
        <w:rPr>
          <w:sz w:val="20"/>
          <w:szCs w:val="20"/>
          <w:color w:val="auto"/>
        </w:rPr>
      </w:pPr>
    </w:p>
    <w:p>
      <w:pPr>
        <w:ind w:left="940" w:right="339" w:firstLine="648"/>
        <w:spacing w:after="0" w:line="244" w:lineRule="auto"/>
        <w:rPr>
          <w:sz w:val="20"/>
          <w:szCs w:val="20"/>
          <w:color w:val="auto"/>
        </w:rPr>
      </w:pPr>
      <w:r>
        <w:rPr>
          <w:rFonts w:ascii="Times New Roman" w:cs="Times New Roman" w:eastAsia="Times New Roman" w:hAnsi="Times New Roman"/>
          <w:sz w:val="22"/>
          <w:szCs w:val="22"/>
          <w:color w:val="231F20"/>
        </w:rPr>
        <w:t>(i)“Change in Ownership or Control” shall mean a change in the ownership or effective control of the Company or in the ownership of a substantial portion of the assets of the Company determined in accordance with Section 280G(b)(2) of the Code.</w:t>
      </w:r>
    </w:p>
    <w:p>
      <w:pPr>
        <w:spacing w:after="0" w:line="173" w:lineRule="exact"/>
        <w:rPr>
          <w:sz w:val="20"/>
          <w:szCs w:val="20"/>
          <w:color w:val="auto"/>
        </w:rPr>
      </w:pPr>
    </w:p>
    <w:p>
      <w:pPr>
        <w:ind w:left="940" w:right="499" w:firstLine="648"/>
        <w:spacing w:after="0" w:line="251" w:lineRule="auto"/>
        <w:rPr>
          <w:sz w:val="20"/>
          <w:szCs w:val="20"/>
          <w:color w:val="auto"/>
        </w:rPr>
      </w:pPr>
      <w:r>
        <w:rPr>
          <w:rFonts w:ascii="Times New Roman" w:cs="Times New Roman" w:eastAsia="Times New Roman" w:hAnsi="Times New Roman"/>
          <w:sz w:val="21"/>
          <w:szCs w:val="21"/>
          <w:color w:val="231F20"/>
        </w:rPr>
        <w:t>(ii)“Contingent Compensation Payment”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 (A)(i) of the Code) on a Change in Ownership or Control of the Company.</w:t>
      </w:r>
    </w:p>
    <w:p>
      <w:pPr>
        <w:spacing w:after="0" w:line="195" w:lineRule="exact"/>
        <w:rPr>
          <w:sz w:val="20"/>
          <w:szCs w:val="20"/>
          <w:color w:val="auto"/>
        </w:rPr>
      </w:pPr>
    </w:p>
    <w:p>
      <w:pPr>
        <w:ind w:left="300" w:right="359" w:firstLine="640"/>
        <w:spacing w:after="0" w:line="244" w:lineRule="auto"/>
        <w:tabs>
          <w:tab w:leader="none" w:pos="1283" w:val="left"/>
        </w:tabs>
        <w:numPr>
          <w:ilvl w:val="1"/>
          <w:numId w:val="143"/>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8(d). Within thirty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(1) which Potential Payments constitute Contingent Compensation Payments,</w:t>
      </w:r>
    </w:p>
    <w:p>
      <w:pPr>
        <w:spacing w:after="0" w:line="3" w:lineRule="exact"/>
        <w:rPr>
          <w:rFonts w:ascii="Times New Roman" w:cs="Times New Roman" w:eastAsia="Times New Roman" w:hAnsi="Times New Roman"/>
          <w:sz w:val="21"/>
          <w:szCs w:val="21"/>
          <w:color w:val="231F20"/>
        </w:rPr>
      </w:pPr>
    </w:p>
    <w:p>
      <w:pPr>
        <w:ind w:left="600" w:hanging="308"/>
        <w:spacing w:after="0"/>
        <w:tabs>
          <w:tab w:leader="none" w:pos="600" w:val="left"/>
        </w:tabs>
        <w:numPr>
          <w:ilvl w:val="0"/>
          <w:numId w:val="144"/>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the Eliminated Amount and (3) whether the Section 8(b) Override is applicable. Within thirty</w:t>
      </w:r>
    </w:p>
    <w:p>
      <w:pPr>
        <w:spacing w:after="0" w:line="1" w:lineRule="exact"/>
        <w:rPr>
          <w:rFonts w:ascii="Times New Roman" w:cs="Times New Roman" w:eastAsia="Times New Roman" w:hAnsi="Times New Roman"/>
          <w:sz w:val="21"/>
          <w:szCs w:val="21"/>
          <w:color w:val="231F20"/>
        </w:rPr>
      </w:pPr>
    </w:p>
    <w:p>
      <w:pPr>
        <w:ind w:left="300" w:right="359" w:hanging="8"/>
        <w:spacing w:after="0" w:line="242" w:lineRule="auto"/>
        <w:tabs>
          <w:tab w:leader="none" w:pos="714" w:val="left"/>
        </w:tabs>
        <w:numPr>
          <w:ilvl w:val="0"/>
          <w:numId w:val="145"/>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days after delivery of such notice to the Executive, the Executive shall deliver a response to the Company (the “Executive Response”) stating either (A) that the Executive agrees with the Company’s determination pursuant to the preceding sentence or (B) that the Executive disagrees with such determination, in which case the Executive shall set forth (x) which Potential Payments should be characterized as Contingent Compensation Payments, (y) the Eliminated Amount, and (z) whether the Section 8(b)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 with the Company’s determination, then, for a period of sixty (60) days following delivery of the Executive Response, the Executive and the Company shall use good faith efforts to resolve such dispute. If such dispute is not resolved within such 60-day period, such dispute shall be settled exclusively by arbitration in Charlestown, Massachusetts, in accordance with the rules of the American Arbitration Association then in effect. Judgment may be entered on the arbitrator’s award in any court having jurisdiction. The Company shall, within three (3) business days following delivery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609600</wp:posOffset>
            </wp:positionV>
            <wp:extent cx="70377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220" w:name="page221"/>
    <w:bookmarkEnd w:id="220"/>
    <w:p>
      <w:pPr>
        <w:ind w:left="300" w:right="339"/>
        <w:spacing w:after="0" w:line="236" w:lineRule="auto"/>
        <w:rPr>
          <w:sz w:val="20"/>
          <w:szCs w:val="20"/>
          <w:color w:val="auto"/>
        </w:rPr>
      </w:pPr>
      <w:r>
        <w:rPr>
          <w:rFonts w:ascii="Times New Roman" w:cs="Times New Roman" w:eastAsia="Times New Roman" w:hAnsi="Times New Roman"/>
          <w:sz w:val="22"/>
          <w:szCs w:val="22"/>
          <w:color w:val="231F20"/>
        </w:rPr>
        <w:t>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w:t>
      </w:r>
    </w:p>
    <w:p>
      <w:pPr>
        <w:spacing w:after="0" w:line="195" w:lineRule="exact"/>
        <w:rPr>
          <w:sz w:val="20"/>
          <w:szCs w:val="20"/>
          <w:color w:val="auto"/>
        </w:rPr>
      </w:pPr>
    </w:p>
    <w:p>
      <w:pPr>
        <w:ind w:left="300" w:right="299" w:firstLine="640"/>
        <w:spacing w:after="0" w:line="245" w:lineRule="auto"/>
        <w:tabs>
          <w:tab w:leader="none" w:pos="1285" w:val="left"/>
        </w:tabs>
        <w:numPr>
          <w:ilvl w:val="0"/>
          <w:numId w:val="146"/>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w:t>
      </w:r>
    </w:p>
    <w:p>
      <w:pPr>
        <w:spacing w:after="0" w:line="201" w:lineRule="exact"/>
        <w:rPr>
          <w:sz w:val="20"/>
          <w:szCs w:val="20"/>
          <w:color w:val="auto"/>
        </w:rPr>
      </w:pPr>
    </w:p>
    <w:p>
      <w:pPr>
        <w:ind w:left="300" w:right="359"/>
        <w:spacing w:after="0" w:line="234" w:lineRule="auto"/>
        <w:rPr>
          <w:sz w:val="20"/>
          <w:szCs w:val="20"/>
          <w:color w:val="auto"/>
        </w:rPr>
      </w:pPr>
      <w:r>
        <w:rPr>
          <w:rFonts w:ascii="Times New Roman" w:cs="Times New Roman" w:eastAsia="Times New Roman" w:hAnsi="Times New Roman"/>
          <w:sz w:val="22"/>
          <w:szCs w:val="22"/>
          <w:color w:val="231F20"/>
        </w:rPr>
        <w:t>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 Q/A-24(b) or (c)).</w:t>
      </w:r>
    </w:p>
    <w:p>
      <w:pPr>
        <w:spacing w:after="0" w:line="183" w:lineRule="exact"/>
        <w:rPr>
          <w:sz w:val="20"/>
          <w:szCs w:val="20"/>
          <w:color w:val="auto"/>
        </w:rPr>
      </w:pPr>
    </w:p>
    <w:p>
      <w:pPr>
        <w:ind w:left="300" w:right="559" w:firstLine="640"/>
        <w:spacing w:after="0" w:line="244" w:lineRule="auto"/>
        <w:tabs>
          <w:tab w:leader="none" w:pos="1275" w:val="left"/>
        </w:tabs>
        <w:numPr>
          <w:ilvl w:val="0"/>
          <w:numId w:val="14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provisions of this Section 8 are intended to apply to any and all payments or benefits available to the Executive under this Agreement or any other agreement or plan under which the Executive receives Contingent Compensation Payments.</w:t>
      </w:r>
    </w:p>
    <w:p>
      <w:pPr>
        <w:spacing w:after="0" w:line="169" w:lineRule="exact"/>
        <w:rPr>
          <w:sz w:val="20"/>
          <w:szCs w:val="20"/>
          <w:color w:val="auto"/>
        </w:rPr>
      </w:pPr>
    </w:p>
    <w:p>
      <w:pPr>
        <w:ind w:left="300" w:right="319"/>
        <w:spacing w:after="0" w:line="236" w:lineRule="auto"/>
        <w:rPr>
          <w:sz w:val="20"/>
          <w:szCs w:val="20"/>
          <w:color w:val="auto"/>
        </w:rPr>
      </w:pPr>
      <w:r>
        <w:rPr>
          <w:rFonts w:ascii="Times New Roman" w:cs="Times New Roman" w:eastAsia="Times New Roman" w:hAnsi="Times New Roman"/>
          <w:sz w:val="22"/>
          <w:szCs w:val="22"/>
          <w:color w:val="231F20"/>
        </w:rPr>
        <w:t>9.</w:t>
      </w:r>
      <w:r>
        <w:rPr>
          <w:rFonts w:ascii="Times New Roman" w:cs="Times New Roman" w:eastAsia="Times New Roman" w:hAnsi="Times New Roman"/>
          <w:sz w:val="22"/>
          <w:szCs w:val="22"/>
          <w:i w:val="1"/>
          <w:iCs w:val="1"/>
          <w:color w:val="231F20"/>
        </w:rPr>
        <w:t>Restrictive Covenants Agreements</w:t>
      </w:r>
      <w:r>
        <w:rPr>
          <w:rFonts w:ascii="Times New Roman" w:cs="Times New Roman" w:eastAsia="Times New Roman" w:hAnsi="Times New Roman"/>
          <w:sz w:val="22"/>
          <w:szCs w:val="22"/>
          <w:color w:val="231F20"/>
        </w:rPr>
        <w:t xml:space="preserve">. As a condition of the Executive’s employment, the Executive shall execute and comply with the terms of the Invention, Nondisclosure and Nonsolicitation Agreement attached hereto as </w:t>
      </w:r>
      <w:r>
        <w:rPr>
          <w:rFonts w:ascii="Times New Roman" w:cs="Times New Roman" w:eastAsia="Times New Roman" w:hAnsi="Times New Roman"/>
          <w:sz w:val="22"/>
          <w:szCs w:val="22"/>
          <w:u w:val="single" w:color="auto"/>
          <w:color w:val="231F20"/>
        </w:rPr>
        <w:t>Exhibit B</w:t>
      </w:r>
      <w:r>
        <w:rPr>
          <w:rFonts w:ascii="Times New Roman" w:cs="Times New Roman" w:eastAsia="Times New Roman" w:hAnsi="Times New Roman"/>
          <w:sz w:val="22"/>
          <w:szCs w:val="22"/>
          <w:color w:val="231F20"/>
        </w:rPr>
        <w:t xml:space="preserve">. The Executive also will be required, following the Executive’s commencement of employment and as a condition of the Executive’s receipt of the equity grant set forth in Section 4(c) above, to enter into the Company’s standard form of Noncompetition Agreement, a copy of which form is attached hereto as </w:t>
      </w:r>
      <w:r>
        <w:rPr>
          <w:rFonts w:ascii="Times New Roman" w:cs="Times New Roman" w:eastAsia="Times New Roman" w:hAnsi="Times New Roman"/>
          <w:sz w:val="22"/>
          <w:szCs w:val="22"/>
          <w:u w:val="single" w:color="auto"/>
          <w:color w:val="231F20"/>
        </w:rPr>
        <w:t>Exhibit C</w:t>
      </w:r>
      <w:r>
        <w:rPr>
          <w:rFonts w:ascii="Times New Roman" w:cs="Times New Roman" w:eastAsia="Times New Roman" w:hAnsi="Times New Roman"/>
          <w:sz w:val="22"/>
          <w:szCs w:val="22"/>
          <w:color w:val="231F20"/>
        </w:rPr>
        <w:t xml:space="preserve"> for the Executive’s review.</w:t>
      </w:r>
    </w:p>
    <w:p>
      <w:pPr>
        <w:spacing w:after="0" w:line="176" w:lineRule="exact"/>
        <w:rPr>
          <w:sz w:val="20"/>
          <w:szCs w:val="20"/>
          <w:color w:val="auto"/>
        </w:rPr>
      </w:pPr>
    </w:p>
    <w:p>
      <w:pPr>
        <w:ind w:left="300" w:right="519"/>
        <w:spacing w:after="0" w:line="238" w:lineRule="auto"/>
        <w:rPr>
          <w:sz w:val="20"/>
          <w:szCs w:val="20"/>
          <w:color w:val="auto"/>
        </w:rPr>
      </w:pPr>
      <w:r>
        <w:rPr>
          <w:rFonts w:ascii="Times New Roman" w:cs="Times New Roman" w:eastAsia="Times New Roman" w:hAnsi="Times New Roman"/>
          <w:sz w:val="22"/>
          <w:szCs w:val="22"/>
          <w:color w:val="231F20"/>
        </w:rPr>
        <w:t>10.</w:t>
      </w:r>
      <w:r>
        <w:rPr>
          <w:rFonts w:ascii="Times New Roman" w:cs="Times New Roman" w:eastAsia="Times New Roman" w:hAnsi="Times New Roman"/>
          <w:sz w:val="22"/>
          <w:szCs w:val="22"/>
          <w:i w:val="1"/>
          <w:iCs w:val="1"/>
          <w:color w:val="231F20"/>
        </w:rPr>
        <w:t>Absence of Restrictions</w:t>
      </w:r>
      <w:r>
        <w:rPr>
          <w:rFonts w:ascii="Times New Roman" w:cs="Times New Roman" w:eastAsia="Times New Roman" w:hAnsi="Times New Roman"/>
          <w:sz w:val="22"/>
          <w:szCs w:val="22"/>
          <w:color w:val="231F20"/>
        </w:rPr>
        <w:t>. The Executive represents and warrants that the Executive is not bound by any employment 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77" w:lineRule="exact"/>
        <w:rPr>
          <w:sz w:val="20"/>
          <w:szCs w:val="20"/>
          <w:color w:val="auto"/>
        </w:rPr>
      </w:pPr>
    </w:p>
    <w:p>
      <w:pPr>
        <w:ind w:left="300" w:right="519"/>
        <w:spacing w:after="0" w:line="238" w:lineRule="auto"/>
        <w:rPr>
          <w:sz w:val="20"/>
          <w:szCs w:val="20"/>
          <w:color w:val="auto"/>
        </w:rPr>
      </w:pPr>
      <w:r>
        <w:rPr>
          <w:rFonts w:ascii="Times New Roman" w:cs="Times New Roman" w:eastAsia="Times New Roman" w:hAnsi="Times New Roman"/>
          <w:sz w:val="22"/>
          <w:szCs w:val="22"/>
          <w:color w:val="231F20"/>
        </w:rPr>
        <w:t>11.</w:t>
      </w:r>
      <w:r>
        <w:rPr>
          <w:rFonts w:ascii="Times New Roman" w:cs="Times New Roman" w:eastAsia="Times New Roman" w:hAnsi="Times New Roman"/>
          <w:sz w:val="22"/>
          <w:szCs w:val="22"/>
          <w:i w:val="1"/>
          <w:iCs w:val="1"/>
          <w:color w:val="231F20"/>
        </w:rPr>
        <w:t>Notice</w:t>
      </w:r>
      <w:r>
        <w:rPr>
          <w:rFonts w:ascii="Times New Roman" w:cs="Times New Roman" w:eastAsia="Times New Roman" w:hAnsi="Times New Roman"/>
          <w:sz w:val="22"/>
          <w:szCs w:val="22"/>
          <w:color w:val="231F20"/>
        </w:rPr>
        <w:t>. Any notice delivered under this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608330</wp:posOffset>
            </wp:positionV>
            <wp:extent cx="703770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1" w:name="page222"/>
    <w:bookmarkEnd w:id="221"/>
    <w:p>
      <w:pPr>
        <w:ind w:left="940"/>
        <w:spacing w:after="0"/>
        <w:rPr>
          <w:sz w:val="20"/>
          <w:szCs w:val="20"/>
          <w:color w:val="auto"/>
        </w:rPr>
      </w:pPr>
      <w:r>
        <w:rPr>
          <w:rFonts w:ascii="Times New Roman" w:cs="Times New Roman" w:eastAsia="Times New Roman" w:hAnsi="Times New Roman"/>
          <w:sz w:val="22"/>
          <w:szCs w:val="22"/>
          <w:color w:val="231F20"/>
        </w:rPr>
        <w:t>To Executive:</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231F20"/>
        </w:rPr>
        <w:t>At the address set forth in the Executive’s personnel file</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231F20"/>
        </w:rPr>
        <w:t>To Company:</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231F20"/>
        </w:rPr>
        <w:t>Solid Biosciences Inc.</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231F20"/>
        </w:rPr>
        <w:t>500 Rutherford Avenue</w:t>
      </w:r>
    </w:p>
    <w:p>
      <w:pPr>
        <w:ind w:left="940"/>
        <w:spacing w:after="0" w:line="230" w:lineRule="auto"/>
        <w:rPr>
          <w:sz w:val="20"/>
          <w:szCs w:val="20"/>
          <w:color w:val="auto"/>
        </w:rPr>
      </w:pPr>
      <w:r>
        <w:rPr>
          <w:rFonts w:ascii="Times New Roman" w:cs="Times New Roman" w:eastAsia="Times New Roman" w:hAnsi="Times New Roman"/>
          <w:sz w:val="22"/>
          <w:szCs w:val="22"/>
          <w:color w:val="231F20"/>
        </w:rPr>
        <w:t>Third Floor</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231F20"/>
        </w:rPr>
        <w:t>Charlestown, MA 02129</w:t>
      </w:r>
    </w:p>
    <w:p>
      <w:pPr>
        <w:spacing w:after="0" w:line="20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22"/>
          <w:szCs w:val="22"/>
          <w:color w:val="231F20"/>
        </w:rPr>
        <w:t>Either Party may change the address to which notices are to be delivered by giving notice of such change to the other Party in the manner set forth in this Section 11.</w:t>
      </w:r>
    </w:p>
    <w:p>
      <w:pPr>
        <w:spacing w:after="0" w:line="181" w:lineRule="exact"/>
        <w:rPr>
          <w:sz w:val="20"/>
          <w:szCs w:val="20"/>
          <w:color w:val="auto"/>
        </w:rPr>
      </w:pPr>
    </w:p>
    <w:p>
      <w:pPr>
        <w:ind w:left="300" w:right="319"/>
        <w:spacing w:after="0" w:line="235" w:lineRule="auto"/>
        <w:rPr>
          <w:sz w:val="20"/>
          <w:szCs w:val="20"/>
          <w:color w:val="auto"/>
        </w:rPr>
      </w:pPr>
      <w:r>
        <w:rPr>
          <w:rFonts w:ascii="Times New Roman" w:cs="Times New Roman" w:eastAsia="Times New Roman" w:hAnsi="Times New Roman"/>
          <w:sz w:val="22"/>
          <w:szCs w:val="22"/>
          <w:color w:val="231F20"/>
        </w:rPr>
        <w:t>12.</w:t>
      </w:r>
      <w:r>
        <w:rPr>
          <w:rFonts w:ascii="Times New Roman" w:cs="Times New Roman" w:eastAsia="Times New Roman" w:hAnsi="Times New Roman"/>
          <w:sz w:val="22"/>
          <w:szCs w:val="22"/>
          <w:i w:val="1"/>
          <w:iCs w:val="1"/>
          <w:color w:val="231F20"/>
        </w:rPr>
        <w:t>Applicable Law; Jury Trial Waiver</w:t>
      </w:r>
      <w:r>
        <w:rPr>
          <w:rFonts w:ascii="Times New Roman" w:cs="Times New Roman" w:eastAsia="Times New Roman" w:hAnsi="Times New Roman"/>
          <w:sz w:val="22"/>
          <w:szCs w:val="22"/>
          <w:color w:val="231F20"/>
        </w:rPr>
        <w:t>. This Agreement shall be governed by and construed in accordance with the laws of the State of Delaware (without reference to the conflict of laws provisions thereof). Any action, suit or other legal proceeding arising under or relating to any provision of this Agreement shall be commenced only in a court of the State of Delaware (or, if appropriate, a federal court located within the State of Delaware),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78" w:lineRule="exact"/>
        <w:rPr>
          <w:sz w:val="20"/>
          <w:szCs w:val="20"/>
          <w:color w:val="auto"/>
        </w:rPr>
      </w:pPr>
    </w:p>
    <w:p>
      <w:pPr>
        <w:ind w:left="300" w:right="559"/>
        <w:spacing w:after="0" w:line="238" w:lineRule="auto"/>
        <w:rPr>
          <w:sz w:val="20"/>
          <w:szCs w:val="20"/>
          <w:color w:val="auto"/>
        </w:rPr>
      </w:pPr>
      <w:r>
        <w:rPr>
          <w:rFonts w:ascii="Times New Roman" w:cs="Times New Roman" w:eastAsia="Times New Roman" w:hAnsi="Times New Roman"/>
          <w:sz w:val="22"/>
          <w:szCs w:val="22"/>
          <w:color w:val="231F20"/>
        </w:rPr>
        <w:t>13.</w:t>
      </w:r>
      <w:r>
        <w:rPr>
          <w:rFonts w:ascii="Times New Roman" w:cs="Times New Roman" w:eastAsia="Times New Roman" w:hAnsi="Times New Roman"/>
          <w:sz w:val="22"/>
          <w:szCs w:val="22"/>
          <w:i w:val="1"/>
          <w:iCs w:val="1"/>
          <w:color w:val="231F20"/>
        </w:rPr>
        <w:t>Successors and Assigns</w:t>
      </w:r>
      <w:r>
        <w:rPr>
          <w:rFonts w:ascii="Times New Roman" w:cs="Times New Roman" w:eastAsia="Times New Roman" w:hAnsi="Times New Roman"/>
          <w:sz w:val="22"/>
          <w:szCs w:val="22"/>
          <w:color w:val="231F20"/>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77" w:lineRule="exact"/>
        <w:rPr>
          <w:sz w:val="20"/>
          <w:szCs w:val="20"/>
          <w:color w:val="auto"/>
        </w:rPr>
      </w:pPr>
    </w:p>
    <w:p>
      <w:pPr>
        <w:ind w:left="300" w:right="519"/>
        <w:spacing w:after="0" w:line="241" w:lineRule="auto"/>
        <w:rPr>
          <w:sz w:val="20"/>
          <w:szCs w:val="20"/>
          <w:color w:val="auto"/>
        </w:rPr>
      </w:pPr>
      <w:r>
        <w:rPr>
          <w:rFonts w:ascii="Times New Roman" w:cs="Times New Roman" w:eastAsia="Times New Roman" w:hAnsi="Times New Roman"/>
          <w:sz w:val="22"/>
          <w:szCs w:val="22"/>
          <w:color w:val="231F20"/>
        </w:rPr>
        <w:t>14.</w:t>
      </w:r>
      <w:r>
        <w:rPr>
          <w:rFonts w:ascii="Times New Roman" w:cs="Times New Roman" w:eastAsia="Times New Roman" w:hAnsi="Times New Roman"/>
          <w:sz w:val="22"/>
          <w:szCs w:val="22"/>
          <w:i w:val="1"/>
          <w:iCs w:val="1"/>
          <w:color w:val="231F20"/>
        </w:rPr>
        <w:t>At-Will Employment</w:t>
      </w:r>
      <w:r>
        <w:rPr>
          <w:rFonts w:ascii="Times New Roman" w:cs="Times New Roman" w:eastAsia="Times New Roman" w:hAnsi="Times New Roman"/>
          <w:sz w:val="22"/>
          <w:szCs w:val="22"/>
          <w:color w:val="231F20"/>
        </w:rPr>
        <w:t>. During the Term of Employment, the Executive will continue to be an at-will employee of the Company, which means that, notwithstanding any other provision set forth herein, the employment relationship can be terminated by either Party for any reason, at any time, with or without prior notice and with or without Cause.</w:t>
      </w:r>
    </w:p>
    <w:p>
      <w:pPr>
        <w:spacing w:after="0" w:line="172" w:lineRule="exact"/>
        <w:rPr>
          <w:sz w:val="20"/>
          <w:szCs w:val="20"/>
          <w:color w:val="auto"/>
        </w:rPr>
      </w:pPr>
    </w:p>
    <w:p>
      <w:pPr>
        <w:ind w:left="300" w:right="459"/>
        <w:spacing w:after="0" w:line="238" w:lineRule="auto"/>
        <w:rPr>
          <w:sz w:val="20"/>
          <w:szCs w:val="20"/>
          <w:color w:val="auto"/>
        </w:rPr>
      </w:pPr>
      <w:r>
        <w:rPr>
          <w:rFonts w:ascii="Times New Roman" w:cs="Times New Roman" w:eastAsia="Times New Roman" w:hAnsi="Times New Roman"/>
          <w:sz w:val="22"/>
          <w:szCs w:val="22"/>
          <w:color w:val="231F20"/>
        </w:rPr>
        <w:t>15.</w:t>
      </w:r>
      <w:r>
        <w:rPr>
          <w:rFonts w:ascii="Times New Roman" w:cs="Times New Roman" w:eastAsia="Times New Roman" w:hAnsi="Times New Roman"/>
          <w:sz w:val="22"/>
          <w:szCs w:val="22"/>
          <w:i w:val="1"/>
          <w:iCs w:val="1"/>
          <w:color w:val="231F20"/>
        </w:rPr>
        <w:t>Acknowledgment</w:t>
      </w:r>
      <w:r>
        <w:rPr>
          <w:rFonts w:ascii="Times New Roman" w:cs="Times New Roman" w:eastAsia="Times New Roman" w:hAnsi="Times New Roman"/>
          <w:sz w:val="22"/>
          <w:szCs w:val="22"/>
          <w:color w:val="231F20"/>
        </w:rPr>
        <w:t>. The Executive states and represents that the Executive has had an opportunity to fully 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77" w:lineRule="exact"/>
        <w:rPr>
          <w:sz w:val="20"/>
          <w:szCs w:val="20"/>
          <w:color w:val="auto"/>
        </w:rPr>
      </w:pPr>
    </w:p>
    <w:p>
      <w:pPr>
        <w:ind w:left="300" w:right="399"/>
        <w:spacing w:after="0" w:line="237" w:lineRule="auto"/>
        <w:rPr>
          <w:sz w:val="20"/>
          <w:szCs w:val="20"/>
          <w:color w:val="auto"/>
        </w:rPr>
      </w:pPr>
      <w:r>
        <w:rPr>
          <w:rFonts w:ascii="Times New Roman" w:cs="Times New Roman" w:eastAsia="Times New Roman" w:hAnsi="Times New Roman"/>
          <w:sz w:val="22"/>
          <w:szCs w:val="22"/>
          <w:color w:val="231F20"/>
        </w:rPr>
        <w:t>16.</w:t>
      </w:r>
      <w:r>
        <w:rPr>
          <w:rFonts w:ascii="Times New Roman" w:cs="Times New Roman" w:eastAsia="Times New Roman" w:hAnsi="Times New Roman"/>
          <w:sz w:val="22"/>
          <w:szCs w:val="22"/>
          <w:i w:val="1"/>
          <w:iCs w:val="1"/>
          <w:color w:val="231F20"/>
        </w:rPr>
        <w:t>No Oral Modification, Waiver, Cancellation or Discharge</w:t>
      </w:r>
      <w:r>
        <w:rPr>
          <w:rFonts w:ascii="Times New Roman" w:cs="Times New Roman" w:eastAsia="Times New Roman" w:hAnsi="Times New Roman"/>
          <w:sz w:val="22"/>
          <w:szCs w:val="22"/>
          <w:color w:val="231F20"/>
        </w:rPr>
        <w:t>. This Agreement may be amended or modified only by a 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5" w:lineRule="exact"/>
        <w:rPr>
          <w:sz w:val="20"/>
          <w:szCs w:val="20"/>
          <w:color w:val="auto"/>
        </w:rPr>
      </w:pPr>
    </w:p>
    <w:p>
      <w:pPr>
        <w:jc w:val="both"/>
        <w:ind w:left="300" w:right="439"/>
        <w:spacing w:after="0" w:line="238" w:lineRule="auto"/>
        <w:rPr>
          <w:sz w:val="20"/>
          <w:szCs w:val="20"/>
          <w:color w:val="auto"/>
        </w:rPr>
      </w:pPr>
      <w:r>
        <w:rPr>
          <w:rFonts w:ascii="Times New Roman" w:cs="Times New Roman" w:eastAsia="Times New Roman" w:hAnsi="Times New Roman"/>
          <w:sz w:val="22"/>
          <w:szCs w:val="22"/>
          <w:color w:val="231F20"/>
        </w:rPr>
        <w:t>17.</w:t>
      </w:r>
      <w:r>
        <w:rPr>
          <w:rFonts w:ascii="Times New Roman" w:cs="Times New Roman" w:eastAsia="Times New Roman" w:hAnsi="Times New Roman"/>
          <w:sz w:val="22"/>
          <w:szCs w:val="22"/>
          <w:i w:val="1"/>
          <w:iCs w:val="1"/>
          <w:color w:val="231F20"/>
        </w:rPr>
        <w:t>Captions and Pronouns</w:t>
      </w:r>
      <w:r>
        <w:rPr>
          <w:rFonts w:ascii="Times New Roman" w:cs="Times New Roman" w:eastAsia="Times New Roman" w:hAnsi="Times New Roman"/>
          <w:sz w:val="22"/>
          <w:szCs w:val="22"/>
          <w:color w:val="231F20"/>
        </w:rPr>
        <w:t>. The captions of the sections of this Agreement are for convenience of reference 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608330</wp:posOffset>
            </wp:positionV>
            <wp:extent cx="703770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22" w:name="page223"/>
    <w:bookmarkEnd w:id="222"/>
    <w:p>
      <w:pPr>
        <w:ind w:left="300" w:right="299"/>
        <w:spacing w:after="0" w:line="238" w:lineRule="auto"/>
        <w:rPr>
          <w:sz w:val="20"/>
          <w:szCs w:val="20"/>
          <w:color w:val="auto"/>
        </w:rPr>
      </w:pPr>
      <w:r>
        <w:rPr>
          <w:rFonts w:ascii="Times New Roman" w:cs="Times New Roman" w:eastAsia="Times New Roman" w:hAnsi="Times New Roman"/>
          <w:sz w:val="22"/>
          <w:szCs w:val="22"/>
          <w:color w:val="231F20"/>
        </w:rPr>
        <w:t>18.</w:t>
      </w:r>
      <w:r>
        <w:rPr>
          <w:rFonts w:ascii="Times New Roman" w:cs="Times New Roman" w:eastAsia="Times New Roman" w:hAnsi="Times New Roman"/>
          <w:sz w:val="22"/>
          <w:szCs w:val="22"/>
          <w:i w:val="1"/>
          <w:iCs w:val="1"/>
          <w:color w:val="231F20"/>
        </w:rPr>
        <w:t>Interpretation</w:t>
      </w:r>
      <w:r>
        <w:rPr>
          <w:rFonts w:ascii="Times New Roman" w:cs="Times New Roman" w:eastAsia="Times New Roman" w:hAnsi="Times New Roman"/>
          <w:sz w:val="22"/>
          <w:szCs w:val="22"/>
          <w:color w:val="231F20"/>
        </w:rPr>
        <w:t>. The Parties agree that this Agreement will be construed without regard to any presumption or 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204" w:lineRule="exact"/>
        <w:rPr>
          <w:sz w:val="20"/>
          <w:szCs w:val="20"/>
          <w:color w:val="auto"/>
        </w:rPr>
      </w:pPr>
    </w:p>
    <w:p>
      <w:pPr>
        <w:ind w:left="300" w:right="419"/>
        <w:spacing w:after="0" w:line="234" w:lineRule="auto"/>
        <w:rPr>
          <w:sz w:val="20"/>
          <w:szCs w:val="20"/>
          <w:color w:val="auto"/>
        </w:rPr>
      </w:pPr>
      <w:r>
        <w:rPr>
          <w:rFonts w:ascii="Times New Roman" w:cs="Times New Roman" w:eastAsia="Times New Roman" w:hAnsi="Times New Roman"/>
          <w:sz w:val="22"/>
          <w:szCs w:val="22"/>
          <w:color w:val="231F20"/>
        </w:rPr>
        <w:t>19.</w:t>
      </w:r>
      <w:r>
        <w:rPr>
          <w:rFonts w:ascii="Times New Roman" w:cs="Times New Roman" w:eastAsia="Times New Roman" w:hAnsi="Times New Roman"/>
          <w:sz w:val="22"/>
          <w:szCs w:val="22"/>
          <w:i w:val="1"/>
          <w:iCs w:val="1"/>
          <w:color w:val="231F20"/>
        </w:rPr>
        <w:t>Severability</w:t>
      </w:r>
      <w:r>
        <w:rPr>
          <w:rFonts w:ascii="Times New Roman" w:cs="Times New Roman" w:eastAsia="Times New Roman" w:hAnsi="Times New Roman"/>
          <w:sz w:val="22"/>
          <w:szCs w:val="22"/>
          <w:color w:val="231F20"/>
        </w:rPr>
        <w:t>. Each provision of this Agreement must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9" w:lineRule="exact"/>
        <w:rPr>
          <w:sz w:val="20"/>
          <w:szCs w:val="20"/>
          <w:color w:val="auto"/>
        </w:rPr>
      </w:pPr>
    </w:p>
    <w:p>
      <w:pPr>
        <w:ind w:left="300" w:right="519"/>
        <w:spacing w:after="0" w:line="246" w:lineRule="auto"/>
        <w:rPr>
          <w:sz w:val="20"/>
          <w:szCs w:val="20"/>
          <w:color w:val="auto"/>
        </w:rPr>
      </w:pPr>
      <w:r>
        <w:rPr>
          <w:rFonts w:ascii="Times New Roman" w:cs="Times New Roman" w:eastAsia="Times New Roman" w:hAnsi="Times New Roman"/>
          <w:sz w:val="22"/>
          <w:szCs w:val="22"/>
          <w:color w:val="231F20"/>
        </w:rPr>
        <w:t>20.</w:t>
      </w:r>
      <w:r>
        <w:rPr>
          <w:rFonts w:ascii="Times New Roman" w:cs="Times New Roman" w:eastAsia="Times New Roman" w:hAnsi="Times New Roman"/>
          <w:sz w:val="22"/>
          <w:szCs w:val="22"/>
          <w:i w:val="1"/>
          <w:iCs w:val="1"/>
          <w:color w:val="231F20"/>
        </w:rPr>
        <w:t>Entire Agreement</w:t>
      </w:r>
      <w:r>
        <w:rPr>
          <w:rFonts w:ascii="Times New Roman" w:cs="Times New Roman" w:eastAsia="Times New Roman" w:hAnsi="Times New Roman"/>
          <w:sz w:val="22"/>
          <w:szCs w:val="22"/>
          <w:color w:val="231F20"/>
        </w:rPr>
        <w:t>. This Agreement constitutes the entire agreement between the Parties and supersedes all prior agreements and understandings, whether written or oral, relating to the subject matter of this Agreement.</w:t>
      </w:r>
    </w:p>
    <w:p>
      <w:pPr>
        <w:spacing w:after="0" w:line="167" w:lineRule="exact"/>
        <w:rPr>
          <w:sz w:val="20"/>
          <w:szCs w:val="20"/>
          <w:color w:val="auto"/>
        </w:rPr>
      </w:pPr>
    </w:p>
    <w:p>
      <w:pPr>
        <w:ind w:left="300" w:right="599"/>
        <w:spacing w:after="0" w:line="241" w:lineRule="auto"/>
        <w:rPr>
          <w:sz w:val="20"/>
          <w:szCs w:val="20"/>
          <w:color w:val="auto"/>
        </w:rPr>
      </w:pPr>
      <w:r>
        <w:rPr>
          <w:rFonts w:ascii="Times New Roman" w:cs="Times New Roman" w:eastAsia="Times New Roman" w:hAnsi="Times New Roman"/>
          <w:sz w:val="22"/>
          <w:szCs w:val="22"/>
          <w:color w:val="231F20"/>
        </w:rPr>
        <w:t>21.</w:t>
      </w:r>
      <w:r>
        <w:rPr>
          <w:rFonts w:ascii="Times New Roman" w:cs="Times New Roman" w:eastAsia="Times New Roman" w:hAnsi="Times New Roman"/>
          <w:sz w:val="22"/>
          <w:szCs w:val="22"/>
          <w:i w:val="1"/>
          <w:iCs w:val="1"/>
          <w:color w:val="231F20"/>
        </w:rPr>
        <w:t>Legal Fees</w:t>
      </w:r>
      <w:r>
        <w:rPr>
          <w:rFonts w:ascii="Times New Roman" w:cs="Times New Roman" w:eastAsia="Times New Roman" w:hAnsi="Times New Roman"/>
          <w:sz w:val="22"/>
          <w:szCs w:val="22"/>
          <w:color w:val="231F20"/>
        </w:rPr>
        <w:t>. The Company will reimburse the Executive, or pay directly on the Executive’s behalf, for the reasonable and documented attorneys’ fees the Executive incurs in connection with the review and negotiation of this Agreement and any related agreements between the parties, up to a maximum of $5,000.00.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915670</wp:posOffset>
            </wp:positionV>
            <wp:extent cx="703770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43" w:right="1440" w:bottom="1440" w:gutter="0" w:footer="0" w:header="0"/>
        </w:sectPr>
      </w:pPr>
    </w:p>
    <w:bookmarkStart w:id="223" w:name="page224"/>
    <w:bookmarkEnd w:id="223"/>
    <w:p>
      <w:pPr>
        <w:ind w:left="920"/>
        <w:spacing w:after="0"/>
        <w:rPr>
          <w:sz w:val="20"/>
          <w:szCs w:val="20"/>
          <w:color w:val="auto"/>
        </w:rPr>
      </w:pPr>
      <w:r>
        <w:rPr>
          <w:rFonts w:ascii="Times New Roman" w:cs="Times New Roman" w:eastAsia="Times New Roman" w:hAnsi="Times New Roman"/>
          <w:sz w:val="22"/>
          <w:szCs w:val="22"/>
          <w:color w:val="231F20"/>
        </w:rPr>
        <w:t>_________________</w:t>
      </w:r>
    </w:p>
    <w:p>
      <w:pPr>
        <w:spacing w:after="0" w:line="355"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22"/>
          <w:szCs w:val="22"/>
          <w:color w:val="231F20"/>
        </w:rPr>
        <w:t>IN WITNESS WHEREOF, the Parties hereto have executed this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231F20"/>
        </w:rPr>
        <w:t>SOLID BIOSCIENCES INC.</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231F20"/>
        </w:rPr>
        <w:t>By: /s/ Bo Cumbo</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231F20"/>
        </w:rPr>
        <w:t>Name: Bo Cumbo</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231F20"/>
        </w:rPr>
        <w:t>Title: Chief Executive Officer</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231F20"/>
        </w:rPr>
        <w:t>Executive</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231F20"/>
        </w:rPr>
        <w:t>/s/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6480810</wp:posOffset>
            </wp:positionV>
            <wp:extent cx="703770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4" w:name="page225"/>
    <w:bookmarkEnd w:id="224"/>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Payments Subject to Section 409A</w:t>
      </w:r>
    </w:p>
    <w:p>
      <w:pPr>
        <w:spacing w:after="0" w:line="197" w:lineRule="exact"/>
        <w:rPr>
          <w:sz w:val="20"/>
          <w:szCs w:val="20"/>
          <w:color w:val="auto"/>
        </w:rPr>
      </w:pPr>
    </w:p>
    <w:p>
      <w:pPr>
        <w:ind w:left="300" w:right="879" w:firstLine="640"/>
        <w:spacing w:after="0" w:line="251" w:lineRule="auto"/>
        <w:tabs>
          <w:tab w:leader="none" w:pos="1265" w:val="left"/>
        </w:tabs>
        <w:numPr>
          <w:ilvl w:val="0"/>
          <w:numId w:val="14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95" w:lineRule="exact"/>
        <w:rPr>
          <w:sz w:val="20"/>
          <w:szCs w:val="20"/>
          <w:color w:val="auto"/>
        </w:rPr>
      </w:pPr>
    </w:p>
    <w:p>
      <w:pPr>
        <w:ind w:left="940" w:right="619" w:firstLine="648"/>
        <w:spacing w:after="0" w:line="238" w:lineRule="auto"/>
        <w:rPr>
          <w:sz w:val="20"/>
          <w:szCs w:val="20"/>
          <w:color w:val="auto"/>
        </w:rPr>
      </w:pPr>
      <w:r>
        <w:rPr>
          <w:rFonts w:ascii="Times New Roman" w:cs="Times New Roman" w:eastAsia="Times New Roman" w:hAnsi="Times New Roman"/>
          <w:sz w:val="22"/>
          <w:szCs w:val="22"/>
          <w:color w:val="231F20"/>
        </w:rPr>
        <w:t>(a)It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04" w:lineRule="exact"/>
        <w:rPr>
          <w:sz w:val="20"/>
          <w:szCs w:val="20"/>
          <w:color w:val="auto"/>
        </w:rPr>
      </w:pPr>
    </w:p>
    <w:p>
      <w:pPr>
        <w:ind w:left="940" w:right="559" w:firstLine="648"/>
        <w:spacing w:after="0" w:line="239" w:lineRule="auto"/>
        <w:rPr>
          <w:sz w:val="20"/>
          <w:szCs w:val="20"/>
          <w:color w:val="auto"/>
        </w:rPr>
      </w:pPr>
      <w:r>
        <w:rPr>
          <w:rFonts w:ascii="Times New Roman" w:cs="Times New Roman" w:eastAsia="Times New Roman" w:hAnsi="Times New Roman"/>
          <w:sz w:val="22"/>
          <w:szCs w:val="22"/>
          <w:color w:val="231F20"/>
        </w:rPr>
        <w:t>(b)If,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07" w:lineRule="exact"/>
        <w:rPr>
          <w:sz w:val="20"/>
          <w:szCs w:val="20"/>
          <w:color w:val="auto"/>
        </w:rPr>
      </w:pPr>
    </w:p>
    <w:p>
      <w:pPr>
        <w:ind w:left="940" w:right="959" w:firstLine="648"/>
        <w:spacing w:after="0" w:line="244" w:lineRule="auto"/>
        <w:rPr>
          <w:sz w:val="20"/>
          <w:szCs w:val="20"/>
          <w:color w:val="auto"/>
        </w:rPr>
      </w:pPr>
      <w:r>
        <w:rPr>
          <w:rFonts w:ascii="Times New Roman" w:cs="Times New Roman" w:eastAsia="Times New Roman" w:hAnsi="Times New Roman"/>
          <w:sz w:val="22"/>
          <w:szCs w:val="22"/>
          <w:color w:val="231F20"/>
        </w:rPr>
        <w:t>(c)If, as of the date of the Executive’s “separation from service” from the Company, the Executive is a “specified employee” (within the meaning of Section 409A), then:</w:t>
      </w:r>
    </w:p>
    <w:p>
      <w:pPr>
        <w:spacing w:after="0" w:line="200" w:lineRule="exact"/>
        <w:rPr>
          <w:sz w:val="20"/>
          <w:szCs w:val="20"/>
          <w:color w:val="auto"/>
        </w:rPr>
      </w:pPr>
    </w:p>
    <w:p>
      <w:pPr>
        <w:ind w:left="1960" w:right="379" w:hanging="502"/>
        <w:spacing w:after="0" w:line="235" w:lineRule="auto"/>
        <w:tabs>
          <w:tab w:leader="none" w:pos="1960" w:val="left"/>
        </w:tabs>
        <w:numPr>
          <w:ilvl w:val="0"/>
          <w:numId w:val="14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05" w:lineRule="exact"/>
        <w:rPr>
          <w:rFonts w:ascii="Times New Roman" w:cs="Times New Roman" w:eastAsia="Times New Roman" w:hAnsi="Times New Roman"/>
          <w:sz w:val="22"/>
          <w:szCs w:val="22"/>
          <w:color w:val="231F20"/>
        </w:rPr>
      </w:pPr>
    </w:p>
    <w:p>
      <w:pPr>
        <w:ind w:left="1960" w:right="359" w:hanging="566"/>
        <w:spacing w:after="0" w:line="244" w:lineRule="auto"/>
        <w:tabs>
          <w:tab w:leader="none" w:pos="1960" w:val="left"/>
        </w:tabs>
        <w:numPr>
          <w:ilvl w:val="0"/>
          <w:numId w:val="149"/>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746760</wp:posOffset>
            </wp:positionV>
            <wp:extent cx="703770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5" w:name="page226"/>
    <w:bookmarkEnd w:id="225"/>
    <w:p>
      <w:pPr>
        <w:ind w:left="2000" w:right="499"/>
        <w:spacing w:after="0" w:line="249" w:lineRule="auto"/>
        <w:rPr>
          <w:sz w:val="20"/>
          <w:szCs w:val="20"/>
          <w:color w:val="auto"/>
        </w:rPr>
      </w:pPr>
      <w:r>
        <w:rPr>
          <w:rFonts w:ascii="Times New Roman" w:cs="Times New Roman" w:eastAsia="Times New Roman" w:hAnsi="Times New Roman"/>
          <w:sz w:val="21"/>
          <w:szCs w:val="21"/>
          <w:color w:val="231F20"/>
        </w:rPr>
        <w:t>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211" w:lineRule="exact"/>
        <w:rPr>
          <w:sz w:val="20"/>
          <w:szCs w:val="20"/>
          <w:color w:val="auto"/>
        </w:rPr>
      </w:pPr>
    </w:p>
    <w:p>
      <w:pPr>
        <w:ind w:left="300" w:right="299" w:firstLine="640"/>
        <w:spacing w:after="0" w:line="238" w:lineRule="auto"/>
        <w:tabs>
          <w:tab w:leader="none" w:pos="1285" w:val="left"/>
        </w:tabs>
        <w:numPr>
          <w:ilvl w:val="0"/>
          <w:numId w:val="1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3" w:lineRule="exact"/>
        <w:rPr>
          <w:rFonts w:ascii="Times New Roman" w:cs="Times New Roman" w:eastAsia="Times New Roman" w:hAnsi="Times New Roman"/>
          <w:sz w:val="22"/>
          <w:szCs w:val="22"/>
          <w:color w:val="231F20"/>
        </w:rPr>
      </w:pPr>
    </w:p>
    <w:p>
      <w:pPr>
        <w:ind w:left="300" w:right="379" w:firstLine="640"/>
        <w:spacing w:after="0" w:line="234" w:lineRule="auto"/>
        <w:tabs>
          <w:tab w:leader="none" w:pos="1282" w:val="left"/>
        </w:tabs>
        <w:numPr>
          <w:ilvl w:val="0"/>
          <w:numId w:val="1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206" w:lineRule="exact"/>
        <w:rPr>
          <w:rFonts w:ascii="Times New Roman" w:cs="Times New Roman" w:eastAsia="Times New Roman" w:hAnsi="Times New Roman"/>
          <w:sz w:val="22"/>
          <w:szCs w:val="22"/>
          <w:color w:val="231F20"/>
        </w:rPr>
      </w:pPr>
    </w:p>
    <w:p>
      <w:pPr>
        <w:ind w:left="300" w:right="479" w:firstLine="640"/>
        <w:spacing w:after="0" w:line="239" w:lineRule="auto"/>
        <w:tabs>
          <w:tab w:leader="none" w:pos="1277" w:val="left"/>
        </w:tabs>
        <w:numPr>
          <w:ilvl w:val="0"/>
          <w:numId w:val="1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207" w:lineRule="exact"/>
        <w:rPr>
          <w:rFonts w:ascii="Times New Roman" w:cs="Times New Roman" w:eastAsia="Times New Roman" w:hAnsi="Times New Roman"/>
          <w:sz w:val="22"/>
          <w:szCs w:val="22"/>
          <w:color w:val="231F20"/>
        </w:rPr>
      </w:pPr>
    </w:p>
    <w:p>
      <w:pPr>
        <w:ind w:left="300" w:right="679" w:firstLine="640"/>
        <w:spacing w:after="0" w:line="258" w:lineRule="auto"/>
        <w:tabs>
          <w:tab w:leader="none" w:pos="1283" w:val="left"/>
        </w:tabs>
        <w:numPr>
          <w:ilvl w:val="0"/>
          <w:numId w:val="1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Agreement is intended to comply with, or be exempt from, Section 409A and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761365</wp:posOffset>
            </wp:positionV>
            <wp:extent cx="703770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6" w:name="page227"/>
    <w:bookmarkEnd w:id="226"/>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EXHIBIT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Invention, Nondisclosure and Nonsolicitation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231F20"/>
        </w:rPr>
        <w:t>EXHIBIT B – INVENTION, NONDISCLOSURE AND NONSOLICITATION AGREEMENT</w:t>
      </w:r>
    </w:p>
    <w:p>
      <w:pPr>
        <w:spacing w:after="0" w:line="204" w:lineRule="exact"/>
        <w:rPr>
          <w:sz w:val="20"/>
          <w:szCs w:val="20"/>
          <w:color w:val="auto"/>
        </w:rPr>
      </w:pPr>
    </w:p>
    <w:p>
      <w:pPr>
        <w:ind w:left="460" w:right="719" w:firstLine="648"/>
        <w:spacing w:after="0" w:line="241" w:lineRule="auto"/>
        <w:rPr>
          <w:sz w:val="20"/>
          <w:szCs w:val="20"/>
          <w:color w:val="auto"/>
        </w:rPr>
      </w:pPr>
      <w:r>
        <w:rPr>
          <w:rFonts w:ascii="Arial" w:cs="Arial" w:eastAsia="Arial" w:hAnsi="Arial"/>
          <w:sz w:val="20"/>
          <w:szCs w:val="20"/>
          <w:color w:val="231F20"/>
        </w:rPr>
        <w:t>This Invention, Nondisclosure and Nonsolicitation Agreement (this “Agreement”) is made by and between Solid Biosciences Inc., a Delaware corporation (together with its subsidiaries, the “Company”), and Kevin Tan (the “Employee”).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20"/>
          <w:szCs w:val="20"/>
          <w:color w:val="231F20"/>
        </w:rPr>
        <w:t>In consideration of the employment or continued employment of the Employee by the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20"/>
          <w:szCs w:val="20"/>
          <w:color w:val="231F20"/>
        </w:rPr>
        <w:t>Company, the Employee and the Company agree as follows:</w:t>
      </w:r>
    </w:p>
    <w:p>
      <w:pPr>
        <w:spacing w:after="0" w:line="157" w:lineRule="exact"/>
        <w:rPr>
          <w:sz w:val="20"/>
          <w:szCs w:val="20"/>
          <w:color w:val="auto"/>
        </w:rPr>
      </w:pPr>
    </w:p>
    <w:p>
      <w:pPr>
        <w:ind w:left="1100" w:hanging="640"/>
        <w:spacing w:after="0"/>
        <w:tabs>
          <w:tab w:leader="none" w:pos="1100" w:val="left"/>
        </w:tabs>
        <w:numPr>
          <w:ilvl w:val="0"/>
          <w:numId w:val="151"/>
        </w:numPr>
        <w:rPr>
          <w:rFonts w:ascii="Calibri" w:cs="Calibri" w:eastAsia="Calibri" w:hAnsi="Calibri"/>
          <w:sz w:val="20"/>
          <w:szCs w:val="20"/>
          <w:color w:val="231F20"/>
        </w:rPr>
      </w:pPr>
      <w:r>
        <w:rPr>
          <w:rFonts w:ascii="Arial" w:cs="Arial" w:eastAsia="Arial" w:hAnsi="Arial"/>
          <w:sz w:val="20"/>
          <w:szCs w:val="20"/>
          <w:u w:val="single" w:color="auto"/>
          <w:color w:val="231F20"/>
        </w:rPr>
        <w:t>Condition of Employment.</w:t>
      </w:r>
    </w:p>
    <w:p>
      <w:pPr>
        <w:spacing w:after="0" w:line="228" w:lineRule="exact"/>
        <w:rPr>
          <w:sz w:val="20"/>
          <w:szCs w:val="20"/>
          <w:color w:val="auto"/>
        </w:rPr>
      </w:pPr>
    </w:p>
    <w:p>
      <w:pPr>
        <w:ind w:left="460" w:right="339" w:firstLine="647"/>
        <w:spacing w:after="0" w:line="248" w:lineRule="auto"/>
        <w:rPr>
          <w:sz w:val="20"/>
          <w:szCs w:val="20"/>
          <w:color w:val="auto"/>
        </w:rPr>
      </w:pPr>
      <w:r>
        <w:rPr>
          <w:rFonts w:ascii="Arial" w:cs="Arial" w:eastAsia="Arial" w:hAnsi="Arial"/>
          <w:sz w:val="19"/>
          <w:szCs w:val="19"/>
          <w:color w:val="231F20"/>
        </w:rPr>
        <w:t>The Employee acknowledges that the Employee’s employment and/or the continuance of that employment with the Company is contingent upon the Employee’s agreement to sign and adhere to the provisions of this Agreement. The Employee further acknowledges that the nature of the Company’s business is such that protection of its proprietary and confidential information is critical to the survival and success of the Company’s business.</w:t>
      </w:r>
    </w:p>
    <w:p>
      <w:pPr>
        <w:spacing w:after="0" w:line="127" w:lineRule="exact"/>
        <w:rPr>
          <w:sz w:val="20"/>
          <w:szCs w:val="20"/>
          <w:color w:val="auto"/>
        </w:rPr>
      </w:pPr>
    </w:p>
    <w:p>
      <w:pPr>
        <w:ind w:left="1100" w:hanging="652"/>
        <w:spacing w:after="0"/>
        <w:tabs>
          <w:tab w:leader="none" w:pos="1100" w:val="left"/>
        </w:tabs>
        <w:numPr>
          <w:ilvl w:val="0"/>
          <w:numId w:val="152"/>
        </w:numPr>
        <w:rPr>
          <w:rFonts w:ascii="Calibri" w:cs="Calibri" w:eastAsia="Calibri" w:hAnsi="Calibri"/>
          <w:sz w:val="20"/>
          <w:szCs w:val="20"/>
          <w:color w:val="231F20"/>
        </w:rPr>
      </w:pPr>
      <w:r>
        <w:rPr>
          <w:rFonts w:ascii="Arial" w:cs="Arial" w:eastAsia="Arial" w:hAnsi="Arial"/>
          <w:sz w:val="20"/>
          <w:szCs w:val="20"/>
          <w:u w:val="single" w:color="auto"/>
          <w:color w:val="231F20"/>
        </w:rPr>
        <w:t>Proprietary and Confidential Information.</w:t>
      </w:r>
    </w:p>
    <w:p>
      <w:pPr>
        <w:spacing w:after="0" w:line="228"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(a)</w:t>
      </w:r>
      <w:r>
        <w:rPr>
          <w:rFonts w:ascii="Arial" w:cs="Arial" w:eastAsia="Arial" w:hAnsi="Arial"/>
          <w:sz w:val="20"/>
          <w:szCs w:val="20"/>
          <w:color w:val="231F20"/>
        </w:rPr>
        <w:t>The Employee agrees that all information and know-how, whether or not in writing,</w:t>
      </w:r>
    </w:p>
    <w:p>
      <w:pPr>
        <w:spacing w:after="0" w:line="17" w:lineRule="exact"/>
        <w:rPr>
          <w:sz w:val="20"/>
          <w:szCs w:val="20"/>
          <w:color w:val="auto"/>
        </w:rPr>
      </w:pPr>
    </w:p>
    <w:p>
      <w:pPr>
        <w:ind w:left="460" w:right="359"/>
        <w:spacing w:after="0"/>
        <w:rPr>
          <w:sz w:val="20"/>
          <w:szCs w:val="20"/>
          <w:color w:val="auto"/>
        </w:rPr>
      </w:pPr>
      <w:r>
        <w:rPr>
          <w:rFonts w:ascii="Arial" w:cs="Arial" w:eastAsia="Arial" w:hAnsi="Arial"/>
          <w:sz w:val="19"/>
          <w:szCs w:val="19"/>
          <w:color w:val="231F20"/>
        </w:rPr>
        <w:t>of a private, secret or confidential nature concerning the Company’s business or financial affairs (collectively, “Proprietary Information”), whether disclosed to or otherwise learned by the Employee prior to or following the date of this Agreement, is and shall be the exclusive property of the Company. By way of illustration, but not limitation, Proprietary Information may include discoveries, ideas, inventions, products, product improvements, product enhancements, processes, methods, techniques, formulas, compositions, compounds, negotiation strategies and positions, projects, developments, plans (including business and marketing plans), research data, clinical data, financial data (including sales costs, profits, pricing methods), personnel data obtained pursuant to the Employee’s duties and responsibilities, computer programs (including software used pursuant to a license agreement), customer, prospect and supplier lists, and contacts at or knowledge of customers or prospective customers of the Company. Except as otherwise permitted by Section 5 below, the Employee has not and will not disclose any Proprietary Information to any person or entity other than employees of the Company or use the same for any purposes (other than in the performance of the Employee’s duties as an employee of the Company) without written approval by an officer of the Company, either during or after the Employee’s employment with the Company, unless and until such Proprietary Information has become public knowledge without fault by the Employee. While employed by the Company, the Employee has used and will use the Employee's reasonable best efforts to prevent unauthorized publication or disclosure of any of the Company’s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730885</wp:posOffset>
            </wp:positionV>
            <wp:extent cx="70377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7" w:name="page228"/>
    <w:bookmarkEnd w:id="227"/>
    <w:p>
      <w:pPr>
        <w:jc w:val="center"/>
        <w:ind w:right="-80"/>
        <w:spacing w:after="0"/>
        <w:rPr>
          <w:sz w:val="20"/>
          <w:szCs w:val="20"/>
          <w:color w:val="auto"/>
        </w:rPr>
      </w:pPr>
      <w:r>
        <w:rPr>
          <w:rFonts w:ascii="Calibri" w:cs="Calibri" w:eastAsia="Calibri" w:hAnsi="Calibri"/>
          <w:sz w:val="20"/>
          <w:szCs w:val="20"/>
          <w:color w:val="231F20"/>
        </w:rPr>
        <w:t>(b)</w:t>
      </w:r>
      <w:r>
        <w:rPr>
          <w:rFonts w:ascii="Arial" w:cs="Arial" w:eastAsia="Arial" w:hAnsi="Arial"/>
          <w:sz w:val="20"/>
          <w:szCs w:val="20"/>
          <w:color w:val="231F20"/>
        </w:rPr>
        <w:t>The Employee agrees that all files, documents, letters, memoranda, reports,</w:t>
      </w:r>
    </w:p>
    <w:p>
      <w:pPr>
        <w:spacing w:after="0" w:line="17" w:lineRule="exact"/>
        <w:rPr>
          <w:sz w:val="20"/>
          <w:szCs w:val="20"/>
          <w:color w:val="auto"/>
        </w:rPr>
      </w:pPr>
    </w:p>
    <w:p>
      <w:pPr>
        <w:ind w:left="460" w:right="319"/>
        <w:spacing w:after="0" w:line="228" w:lineRule="auto"/>
        <w:rPr>
          <w:sz w:val="20"/>
          <w:szCs w:val="20"/>
          <w:color w:val="auto"/>
        </w:rPr>
      </w:pPr>
      <w:r>
        <w:rPr>
          <w:rFonts w:ascii="Arial" w:cs="Arial" w:eastAsia="Arial" w:hAnsi="Arial"/>
          <w:sz w:val="20"/>
          <w:szCs w:val="20"/>
          <w:color w:val="231F20"/>
        </w:rPr>
        <w:t>records, data, sketches, drawings, models, laboratory notebooks, program listings, computer equipment or devices, computer programs or other written, photographic, or other tangible or intangible material containing Proprietary Information, whether created by the Employee or others, which have come and which come into the Employee’s custody or possession, shall be and are the exclusive property of the Company and have been and will be used by the Employee only in the performance of the Employee’s duties for the Company and have not and shall not be copied or removed from the Company’s premises except in the pursuit of the business of the Company. All such materials or copies thereof and all tangible property of the Company (including, without limitation, computers, cellular telephones, credit cards, keys, access cards and the like) in the custody or possession of the Employee shall be delivered to the Company, upon the earlier of (i) a request by the Company or (ii) termination of the Employee’s employment for any reason. After such delivery, the Employee shall not retain any such materials or copies thereof or any such tangible property.</w:t>
      </w:r>
    </w:p>
    <w:p>
      <w:pPr>
        <w:spacing w:after="0" w:line="139"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(c)</w:t>
      </w:r>
      <w:r>
        <w:rPr>
          <w:rFonts w:ascii="Arial" w:cs="Arial" w:eastAsia="Arial" w:hAnsi="Arial"/>
          <w:sz w:val="20"/>
          <w:szCs w:val="20"/>
          <w:color w:val="231F20"/>
        </w:rPr>
        <w:t>The Employee agrees that the Employee’s obligation not to disclose or to use</w:t>
      </w:r>
    </w:p>
    <w:p>
      <w:pPr>
        <w:spacing w:after="0" w:line="17" w:lineRule="exact"/>
        <w:rPr>
          <w:sz w:val="20"/>
          <w:szCs w:val="20"/>
          <w:color w:val="auto"/>
        </w:rPr>
      </w:pPr>
    </w:p>
    <w:p>
      <w:pPr>
        <w:ind w:left="460" w:right="499"/>
        <w:spacing w:after="0" w:line="232" w:lineRule="auto"/>
        <w:rPr>
          <w:sz w:val="20"/>
          <w:szCs w:val="20"/>
          <w:color w:val="auto"/>
        </w:rPr>
      </w:pPr>
      <w:r>
        <w:rPr>
          <w:rFonts w:ascii="Arial" w:cs="Arial" w:eastAsia="Arial" w:hAnsi="Arial"/>
          <w:sz w:val="20"/>
          <w:szCs w:val="20"/>
          <w:color w:val="231F20"/>
        </w:rPr>
        <w:t>information and materials of the types set forth in Sections 2(a) and 2(b) above, and the Employee’s obligation to return materials and tangible property, set forth in Section 2(b) above, also extends to such types of information, materials and tangible property of customers of the Company or suppliers to the Company or other third parties who may have disclosed or entrusted the same to the Company or to the Employee in the course of the Company’s business.</w:t>
      </w:r>
    </w:p>
    <w:p>
      <w:pPr>
        <w:spacing w:after="0" w:line="147" w:lineRule="exact"/>
        <w:rPr>
          <w:sz w:val="20"/>
          <w:szCs w:val="20"/>
          <w:color w:val="auto"/>
        </w:rPr>
      </w:pPr>
    </w:p>
    <w:p>
      <w:pPr>
        <w:ind w:left="1100" w:hanging="652"/>
        <w:spacing w:after="0"/>
        <w:tabs>
          <w:tab w:leader="none" w:pos="1100" w:val="left"/>
        </w:tabs>
        <w:numPr>
          <w:ilvl w:val="0"/>
          <w:numId w:val="153"/>
        </w:numPr>
        <w:rPr>
          <w:rFonts w:ascii="Calibri" w:cs="Calibri" w:eastAsia="Calibri" w:hAnsi="Calibri"/>
          <w:sz w:val="20"/>
          <w:szCs w:val="20"/>
          <w:color w:val="231F20"/>
        </w:rPr>
      </w:pPr>
      <w:r>
        <w:rPr>
          <w:rFonts w:ascii="Arial" w:cs="Arial" w:eastAsia="Arial" w:hAnsi="Arial"/>
          <w:sz w:val="20"/>
          <w:szCs w:val="20"/>
          <w:u w:val="single" w:color="auto"/>
          <w:color w:val="231F20"/>
        </w:rPr>
        <w:t>Developments.</w:t>
      </w:r>
    </w:p>
    <w:p>
      <w:pPr>
        <w:spacing w:after="0" w:line="228"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(a)</w:t>
      </w:r>
      <w:r>
        <w:rPr>
          <w:rFonts w:ascii="Arial" w:cs="Arial" w:eastAsia="Arial" w:hAnsi="Arial"/>
          <w:sz w:val="20"/>
          <w:szCs w:val="20"/>
          <w:color w:val="231F20"/>
        </w:rPr>
        <w:t>The Employee has attached hereto, as</w:t>
      </w:r>
      <w:r>
        <w:rPr>
          <w:rFonts w:ascii="Calibri" w:cs="Calibri" w:eastAsia="Calibri" w:hAnsi="Calibri"/>
          <w:sz w:val="20"/>
          <w:szCs w:val="20"/>
          <w:color w:val="231F20"/>
        </w:rPr>
        <w:t xml:space="preserve"> </w:t>
      </w:r>
      <w:r>
        <w:rPr>
          <w:rFonts w:ascii="Arial" w:cs="Arial" w:eastAsia="Arial" w:hAnsi="Arial"/>
          <w:sz w:val="20"/>
          <w:szCs w:val="20"/>
          <w:u w:val="single" w:color="auto"/>
          <w:color w:val="231F20"/>
        </w:rPr>
        <w:t>Schedule 1</w:t>
      </w:r>
      <w:r>
        <w:rPr>
          <w:rFonts w:ascii="Arial" w:cs="Arial" w:eastAsia="Arial" w:hAnsi="Arial"/>
          <w:sz w:val="20"/>
          <w:szCs w:val="20"/>
          <w:color w:val="231F20"/>
        </w:rPr>
        <w:t>, a list describing all discoveries,</w:t>
      </w:r>
    </w:p>
    <w:p>
      <w:pPr>
        <w:spacing w:after="0" w:line="17" w:lineRule="exact"/>
        <w:rPr>
          <w:sz w:val="20"/>
          <w:szCs w:val="20"/>
          <w:color w:val="auto"/>
        </w:rPr>
      </w:pPr>
    </w:p>
    <w:p>
      <w:pPr>
        <w:ind w:left="460" w:right="339"/>
        <w:spacing w:after="0" w:line="228" w:lineRule="auto"/>
        <w:rPr>
          <w:sz w:val="20"/>
          <w:szCs w:val="20"/>
          <w:color w:val="auto"/>
        </w:rPr>
      </w:pPr>
      <w:r>
        <w:rPr>
          <w:rFonts w:ascii="Arial" w:cs="Arial" w:eastAsia="Arial" w:hAnsi="Arial"/>
          <w:sz w:val="20"/>
          <w:szCs w:val="20"/>
          <w:color w:val="231F20"/>
        </w:rPr>
        <w:t>ideas, inventions, improvements, enhancements, processes, methods, techniques, developments, software, and works of authorship, whether patentable or not, which were created, made, conceived or reduced to practice by the Employee prior to the Employee’s employment by the Company and which are owned by the Employee, which relate directly or indirectly to the current or anticipated future business of the Company, and which are not assigned to the Company hereunder (collectively, “Prior Developments”); or, if no such list is attached, the Employee represents that there are no Prior Developments. The Employee agrees not to incorporate any Prior Developments into any Company product, material, process or service without prior written consent of an officer of the Company. If the Employee has incorporated or does incorporate any Prior Development into any Company product, material, process or service, the Employee hereby grants to the Company a nonexclusive, worldwide, perpetual, transferable, irrevocable, royalty-free, fully-paid right and license to make, have made, use, offer for sale, sell, import, reproduce, modify, prepare derivative works, display, perform, transmit, distribute and otherwise exploit such Prior Development and to practice any method related thereto.</w:t>
      </w:r>
    </w:p>
    <w:p>
      <w:pPr>
        <w:spacing w:after="0" w:line="390"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(b)</w:t>
      </w:r>
      <w:r>
        <w:rPr>
          <w:rFonts w:ascii="Arial" w:cs="Arial" w:eastAsia="Arial" w:hAnsi="Arial"/>
          <w:sz w:val="20"/>
          <w:szCs w:val="20"/>
          <w:color w:val="231F20"/>
        </w:rPr>
        <w:t>The Employee has made and will make full and prompt disclosure to the Company</w:t>
      </w:r>
    </w:p>
    <w:p>
      <w:pPr>
        <w:spacing w:after="0" w:line="17" w:lineRule="exact"/>
        <w:rPr>
          <w:sz w:val="20"/>
          <w:szCs w:val="20"/>
          <w:color w:val="auto"/>
        </w:rPr>
      </w:pPr>
    </w:p>
    <w:p>
      <w:pPr>
        <w:ind w:left="460" w:right="319"/>
        <w:spacing w:after="0" w:line="231" w:lineRule="auto"/>
        <w:rPr>
          <w:sz w:val="20"/>
          <w:szCs w:val="20"/>
          <w:color w:val="auto"/>
        </w:rPr>
      </w:pPr>
      <w:r>
        <w:rPr>
          <w:rFonts w:ascii="Arial" w:cs="Arial" w:eastAsia="Arial" w:hAnsi="Arial"/>
          <w:sz w:val="20"/>
          <w:szCs w:val="20"/>
          <w:color w:val="231F20"/>
        </w:rPr>
        <w:t>of all discoveries, ideas, inventions, improvements, enhancements, processes, methods, techniques, developments, software, and works of authorship, whether patentable or not, which have been or are created, made, conceived or reduced to practice by the Employee or under the Employee’s direction or jointly with others during the Employee’s employment by the Company, whether or not during normal working hours or on the premises of the Company (all of which are collectively referred to in this Agreement as “Developments”). The Employee acknowledges that each original work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600075</wp:posOffset>
            </wp:positionV>
            <wp:extent cx="703770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969" w:right="1440" w:bottom="1440" w:gutter="0" w:footer="0" w:header="0"/>
        </w:sectPr>
      </w:pPr>
    </w:p>
    <w:bookmarkStart w:id="228" w:name="page229"/>
    <w:bookmarkEnd w:id="228"/>
    <w:p>
      <w:pPr>
        <w:ind w:left="460" w:right="319"/>
        <w:spacing w:after="0"/>
        <w:rPr>
          <w:sz w:val="20"/>
          <w:szCs w:val="20"/>
          <w:color w:val="auto"/>
        </w:rPr>
      </w:pPr>
      <w:r>
        <w:rPr>
          <w:rFonts w:ascii="Arial" w:cs="Arial" w:eastAsia="Arial" w:hAnsi="Arial"/>
          <w:sz w:val="19"/>
          <w:szCs w:val="19"/>
          <w:color w:val="231F20"/>
        </w:rPr>
        <w:t xml:space="preserve">authorship which has been or is made by the Employee (solely or jointly with others) within the scope of and during the period of the Employee’s employment with the Company and which is protectable by copyright is a “work made for hire,” as that term is defined in the United States Copyright Act. The Employee agrees to assign and does hereby assign to the Company (or any person or entity designated by the Company) all the Employee’s right, title and interest in and to all Developments (other than Prior Developments listed on </w:t>
      </w:r>
      <w:r>
        <w:rPr>
          <w:rFonts w:ascii="Arial" w:cs="Arial" w:eastAsia="Arial" w:hAnsi="Arial"/>
          <w:sz w:val="19"/>
          <w:szCs w:val="19"/>
          <w:u w:val="single" w:color="auto"/>
          <w:color w:val="231F20"/>
        </w:rPr>
        <w:t>Schedule 1</w:t>
      </w:r>
      <w:r>
        <w:rPr>
          <w:rFonts w:ascii="Arial" w:cs="Arial" w:eastAsia="Arial" w:hAnsi="Arial"/>
          <w:sz w:val="19"/>
          <w:szCs w:val="19"/>
          <w:color w:val="231F20"/>
        </w:rPr>
        <w:t>, if any) and all related patents, patent applications, copyrights and copyright applications. However, this Section 3(b) shall not apply to Developments which do not relate to the business or research and development conducted or planned to be conducted by the Company at the time such Development is created, made, conceived or reduced to practice and which are made and conceived by the Employee not during normal working hours, not on the Company’s premises and not using the Company’s tools, devices, equipment or Proprietary Information. The Employee understands that, to the extent this Agreement shall be construed in accordance with the laws of any state which precludes a requirement in an employee agreement to assign certain classes of inventions made by an employee, this Section 3(b) shall be interpreted not to apply to any invention which a court rules and/or the Company agrees falls within such classes. The Employee also hereby waives all claims to moral rights in any Developments.</w:t>
      </w:r>
    </w:p>
    <w:p>
      <w:pPr>
        <w:spacing w:after="0" w:line="147"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(c)</w:t>
      </w:r>
      <w:r>
        <w:rPr>
          <w:rFonts w:ascii="Arial" w:cs="Arial" w:eastAsia="Arial" w:hAnsi="Arial"/>
          <w:sz w:val="20"/>
          <w:szCs w:val="20"/>
          <w:color w:val="231F20"/>
        </w:rPr>
        <w:t>The Employee agrees to cooperate fully with the Company, both during and after</w:t>
      </w:r>
    </w:p>
    <w:p>
      <w:pPr>
        <w:spacing w:after="0" w:line="17" w:lineRule="exact"/>
        <w:rPr>
          <w:sz w:val="20"/>
          <w:szCs w:val="20"/>
          <w:color w:val="auto"/>
        </w:rPr>
      </w:pPr>
    </w:p>
    <w:p>
      <w:pPr>
        <w:ind w:left="460" w:right="379"/>
        <w:spacing w:after="0" w:line="228" w:lineRule="auto"/>
        <w:rPr>
          <w:sz w:val="20"/>
          <w:szCs w:val="20"/>
          <w:color w:val="auto"/>
        </w:rPr>
      </w:pPr>
      <w:r>
        <w:rPr>
          <w:rFonts w:ascii="Arial" w:cs="Arial" w:eastAsia="Arial" w:hAnsi="Arial"/>
          <w:sz w:val="20"/>
          <w:szCs w:val="20"/>
          <w:color w:val="231F20"/>
        </w:rPr>
        <w:t>the Employee’s employment with the Company, with respect to the procurement, maintenance and enforcement of copyrights, patents and other intellectual property rights (both in the United States and foreign countries) relating to Developments. The Employee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Development. The Employee further agrees that if the Company is unable, after reasonable effort, to secure the signature of the Employee on any such papers, any executive officer of the Company shall be entitled to execute any such papers as the agent and the attorney-in-fact of the Employee, and the Employee hereby irrevocably designates and appoints each executive officer of the Company as the Employee’s agent and attorney-in-fact to execute any such papers on the Employee’s behalf, and to take any and all actions as the Company may deem necessary or desirable in order to protect its rights and interests in any Development, under the conditions described in this sentence.</w:t>
      </w:r>
    </w:p>
    <w:p>
      <w:pPr>
        <w:spacing w:after="0" w:line="393" w:lineRule="exact"/>
        <w:rPr>
          <w:sz w:val="20"/>
          <w:szCs w:val="20"/>
          <w:color w:val="auto"/>
        </w:rPr>
      </w:pPr>
    </w:p>
    <w:p>
      <w:pPr>
        <w:ind w:left="1100" w:hanging="652"/>
        <w:spacing w:after="0"/>
        <w:tabs>
          <w:tab w:leader="none" w:pos="1100" w:val="left"/>
        </w:tabs>
        <w:numPr>
          <w:ilvl w:val="0"/>
          <w:numId w:val="154"/>
        </w:numPr>
        <w:rPr>
          <w:rFonts w:ascii="Calibri" w:cs="Calibri" w:eastAsia="Calibri" w:hAnsi="Calibri"/>
          <w:sz w:val="20"/>
          <w:szCs w:val="20"/>
          <w:color w:val="231F20"/>
        </w:rPr>
      </w:pPr>
      <w:r>
        <w:rPr>
          <w:rFonts w:ascii="Arial" w:cs="Arial" w:eastAsia="Arial" w:hAnsi="Arial"/>
          <w:sz w:val="20"/>
          <w:szCs w:val="20"/>
          <w:u w:val="single" w:color="auto"/>
          <w:color w:val="231F20"/>
        </w:rPr>
        <w:t>Obligations to Third Parties.</w:t>
      </w:r>
    </w:p>
    <w:p>
      <w:pPr>
        <w:spacing w:after="0" w:line="228" w:lineRule="exact"/>
        <w:rPr>
          <w:sz w:val="20"/>
          <w:szCs w:val="20"/>
          <w:color w:val="auto"/>
        </w:rPr>
      </w:pPr>
    </w:p>
    <w:p>
      <w:pPr>
        <w:ind w:left="460" w:right="379" w:firstLine="648"/>
        <w:spacing w:after="0" w:line="229" w:lineRule="auto"/>
        <w:rPr>
          <w:sz w:val="20"/>
          <w:szCs w:val="20"/>
          <w:color w:val="auto"/>
        </w:rPr>
      </w:pPr>
      <w:r>
        <w:rPr>
          <w:rFonts w:ascii="Arial" w:cs="Arial" w:eastAsia="Arial" w:hAnsi="Arial"/>
          <w:sz w:val="20"/>
          <w:szCs w:val="20"/>
          <w:color w:val="231F20"/>
        </w:rPr>
        <w:t xml:space="preserve">The Employee represents that, except as the Employee has disclosed in writing to the Company on </w:t>
      </w:r>
      <w:r>
        <w:rPr>
          <w:rFonts w:ascii="Arial" w:cs="Arial" w:eastAsia="Arial" w:hAnsi="Arial"/>
          <w:sz w:val="20"/>
          <w:szCs w:val="20"/>
          <w:u w:val="single" w:color="auto"/>
          <w:color w:val="231F20"/>
        </w:rPr>
        <w:t>Schedule 1</w:t>
      </w:r>
      <w:r>
        <w:rPr>
          <w:rFonts w:ascii="Arial" w:cs="Arial" w:eastAsia="Arial" w:hAnsi="Arial"/>
          <w:sz w:val="20"/>
          <w:szCs w:val="20"/>
          <w:color w:val="231F20"/>
        </w:rPr>
        <w:t xml:space="preserve"> attached hereto, the Employee is not bound by the terms of any agreement with any previous employer or other party to refrain from using or disclosing any trade secret or confidential or proprietary information in the course of the Employee’s employment with the Company, to refrain from competing, directly or indirectly, with the business of such previous employer or any other party or to refrain from soliciting employees, customers or suppliers of such previous employer or other party. The Employee further represents that the Employee’s performance of all the terms of this Agreement and the performance of the Employee’s duties as an employee of the Company do not and will not conflict with or breach any agreement with any prior employer or other party (including, without limitation, any nondisclosure or noncompetition agreement), and that the Employee will not disclose to the Company or induce the Company to use any confidential or proprietary information or material belonging to any previous employer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598170</wp:posOffset>
            </wp:positionV>
            <wp:extent cx="703770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229" w:name="page230"/>
    <w:bookmarkEnd w:id="229"/>
    <w:p>
      <w:pPr>
        <w:ind w:left="1100" w:hanging="652"/>
        <w:spacing w:after="0"/>
        <w:tabs>
          <w:tab w:leader="none" w:pos="1100" w:val="left"/>
        </w:tabs>
        <w:numPr>
          <w:ilvl w:val="0"/>
          <w:numId w:val="155"/>
        </w:numPr>
        <w:rPr>
          <w:rFonts w:ascii="Calibri" w:cs="Calibri" w:eastAsia="Calibri" w:hAnsi="Calibri"/>
          <w:sz w:val="20"/>
          <w:szCs w:val="20"/>
          <w:color w:val="231F20"/>
        </w:rPr>
      </w:pPr>
      <w:r>
        <w:rPr>
          <w:rFonts w:ascii="Arial" w:cs="Arial" w:eastAsia="Arial" w:hAnsi="Arial"/>
          <w:sz w:val="20"/>
          <w:szCs w:val="20"/>
          <w:u w:val="single" w:color="auto"/>
          <w:color w:val="231F20"/>
        </w:rPr>
        <w:t>Scope of Disclosure Restrictions.</w:t>
      </w:r>
    </w:p>
    <w:p>
      <w:pPr>
        <w:spacing w:after="0" w:line="228" w:lineRule="exact"/>
        <w:rPr>
          <w:sz w:val="20"/>
          <w:szCs w:val="20"/>
          <w:color w:val="auto"/>
        </w:rPr>
      </w:pPr>
    </w:p>
    <w:p>
      <w:pPr>
        <w:ind w:left="460" w:right="339" w:firstLine="647"/>
        <w:spacing w:after="0" w:line="228" w:lineRule="auto"/>
        <w:rPr>
          <w:sz w:val="20"/>
          <w:szCs w:val="20"/>
          <w:color w:val="auto"/>
        </w:rPr>
      </w:pPr>
      <w:r>
        <w:rPr>
          <w:rFonts w:ascii="Arial" w:cs="Arial" w:eastAsia="Arial" w:hAnsi="Arial"/>
          <w:sz w:val="20"/>
          <w:szCs w:val="20"/>
          <w:color w:val="231F20"/>
        </w:rPr>
        <w:t>Nothing in this Agreement prohibits the Employee from communicating with government agencies about possible violations of federal, state, or local laws or otherwise providing information to government agencies, filing a complaint with government agencies, or participating in government agency investigations or proceedings. The Employee is not required to notify the Company of any such communications; provided, however, that nothing herein authorizes the disclosure of information the Employee obtained through a communication that was subject to the attorney-client privilege. Further, notwithstanding the Employee’s confidentiality and nondisclosure obligations, the Employee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31" w:lineRule="exact"/>
        <w:rPr>
          <w:sz w:val="20"/>
          <w:szCs w:val="20"/>
          <w:color w:val="auto"/>
        </w:rPr>
      </w:pPr>
    </w:p>
    <w:p>
      <w:pPr>
        <w:ind w:left="1100" w:hanging="652"/>
        <w:spacing w:after="0"/>
        <w:tabs>
          <w:tab w:leader="none" w:pos="1100" w:val="left"/>
        </w:tabs>
        <w:numPr>
          <w:ilvl w:val="0"/>
          <w:numId w:val="156"/>
        </w:numPr>
        <w:rPr>
          <w:rFonts w:ascii="Calibri" w:cs="Calibri" w:eastAsia="Calibri" w:hAnsi="Calibri"/>
          <w:sz w:val="20"/>
          <w:szCs w:val="20"/>
          <w:color w:val="231F20"/>
        </w:rPr>
      </w:pPr>
      <w:r>
        <w:rPr>
          <w:rFonts w:ascii="Arial" w:cs="Arial" w:eastAsia="Arial" w:hAnsi="Arial"/>
          <w:sz w:val="20"/>
          <w:szCs w:val="20"/>
          <w:u w:val="single" w:color="auto"/>
          <w:color w:val="231F20"/>
        </w:rPr>
        <w:t>United States Government Obligations.</w:t>
      </w:r>
    </w:p>
    <w:p>
      <w:pPr>
        <w:spacing w:after="0" w:line="228" w:lineRule="exact"/>
        <w:rPr>
          <w:sz w:val="20"/>
          <w:szCs w:val="20"/>
          <w:color w:val="auto"/>
        </w:rPr>
      </w:pPr>
    </w:p>
    <w:p>
      <w:pPr>
        <w:ind w:left="460" w:right="619" w:firstLine="647"/>
        <w:spacing w:after="0" w:line="237" w:lineRule="auto"/>
        <w:rPr>
          <w:sz w:val="20"/>
          <w:szCs w:val="20"/>
          <w:color w:val="auto"/>
        </w:rPr>
      </w:pPr>
      <w:r>
        <w:rPr>
          <w:rFonts w:ascii="Arial" w:cs="Arial" w:eastAsia="Arial" w:hAnsi="Arial"/>
          <w:sz w:val="20"/>
          <w:szCs w:val="20"/>
          <w:color w:val="231F20"/>
        </w:rPr>
        <w:t>The Employee acknowledges that the Company from time to time may have agreements with other persons or with the United States Government, or agencies thereof, which impose obligations or restrictions on the Company regarding inventions made during the course of work under such</w:t>
      </w:r>
    </w:p>
    <w:p>
      <w:pPr>
        <w:spacing w:after="0" w:line="200" w:lineRule="exact"/>
        <w:rPr>
          <w:sz w:val="20"/>
          <w:szCs w:val="20"/>
          <w:color w:val="auto"/>
        </w:rPr>
      </w:pPr>
    </w:p>
    <w:p>
      <w:pPr>
        <w:spacing w:after="0" w:line="201" w:lineRule="exact"/>
        <w:rPr>
          <w:sz w:val="20"/>
          <w:szCs w:val="20"/>
          <w:color w:val="auto"/>
        </w:rPr>
      </w:pPr>
    </w:p>
    <w:p>
      <w:pPr>
        <w:ind w:left="460" w:right="459"/>
        <w:spacing w:after="0" w:line="237" w:lineRule="auto"/>
        <w:rPr>
          <w:sz w:val="20"/>
          <w:szCs w:val="20"/>
          <w:color w:val="auto"/>
        </w:rPr>
      </w:pPr>
      <w:r>
        <w:rPr>
          <w:rFonts w:ascii="Arial" w:cs="Arial" w:eastAsia="Arial" w:hAnsi="Arial"/>
          <w:sz w:val="20"/>
          <w:szCs w:val="20"/>
          <w:color w:val="231F20"/>
        </w:rPr>
        <w:t>agreements or regarding the confidential nature of such work. The Employee agrees to be bound by all such obligations and restrictions which are made known to the Employee and to take all action necessary to discharge the obligations of the Company under such agreements.</w:t>
      </w:r>
    </w:p>
    <w:p>
      <w:pPr>
        <w:spacing w:after="0" w:line="131" w:lineRule="exact"/>
        <w:rPr>
          <w:sz w:val="20"/>
          <w:szCs w:val="20"/>
          <w:color w:val="auto"/>
        </w:rPr>
      </w:pPr>
    </w:p>
    <w:p>
      <w:pPr>
        <w:ind w:left="840" w:hanging="380"/>
        <w:spacing w:after="0"/>
        <w:tabs>
          <w:tab w:leader="none" w:pos="840" w:val="left"/>
        </w:tabs>
        <w:numPr>
          <w:ilvl w:val="0"/>
          <w:numId w:val="157"/>
        </w:numPr>
        <w:rPr>
          <w:rFonts w:ascii="Calibri" w:cs="Calibri" w:eastAsia="Calibri" w:hAnsi="Calibri"/>
          <w:sz w:val="19"/>
          <w:szCs w:val="19"/>
          <w:color w:val="231F20"/>
        </w:rPr>
      </w:pPr>
      <w:r>
        <w:rPr>
          <w:rFonts w:ascii="Arial" w:cs="Arial" w:eastAsia="Arial" w:hAnsi="Arial"/>
          <w:sz w:val="19"/>
          <w:szCs w:val="19"/>
          <w:u w:val="single" w:color="auto"/>
          <w:color w:val="231F20"/>
        </w:rPr>
        <w:t>Customer Nonsolicitation.</w:t>
      </w:r>
      <w:r>
        <w:rPr>
          <w:rFonts w:ascii="Arial" w:cs="Arial" w:eastAsia="Arial" w:hAnsi="Arial"/>
          <w:sz w:val="19"/>
          <w:szCs w:val="19"/>
          <w:color w:val="231F20"/>
        </w:rPr>
        <w:t xml:space="preserve"> The Employee agrees that during the period of the Employee’s</w:t>
      </w:r>
    </w:p>
    <w:p>
      <w:pPr>
        <w:spacing w:after="0" w:line="29" w:lineRule="exact"/>
        <w:rPr>
          <w:sz w:val="20"/>
          <w:szCs w:val="20"/>
          <w:color w:val="auto"/>
        </w:rPr>
      </w:pPr>
    </w:p>
    <w:p>
      <w:pPr>
        <w:ind w:left="460" w:right="359"/>
        <w:spacing w:after="0" w:line="228" w:lineRule="auto"/>
        <w:rPr>
          <w:sz w:val="20"/>
          <w:szCs w:val="20"/>
          <w:color w:val="auto"/>
        </w:rPr>
      </w:pPr>
      <w:r>
        <w:rPr>
          <w:rFonts w:ascii="Arial" w:cs="Arial" w:eastAsia="Arial" w:hAnsi="Arial"/>
          <w:sz w:val="20"/>
          <w:szCs w:val="20"/>
          <w:color w:val="231F20"/>
        </w:rPr>
        <w:t>employment and the one year period following the termination thereof, regardless of the reason for such termination, the Employee will not, directly or indirectly, whether as an owner, partner, officer, director, employee, consultant, investor, lender or otherwise, contact, solicit, divert, do business with, take away, or attempt to contact, solicit, divert, do business with, or take away, any clients, customers, or accounts, or prospective clients, customers, or accounts, of the Company, or any of the Company’s business with such clients, customers, or accounts. As used in this section, the term “client,” “customer,” or “account” shall include: (i) any person or entity that is a client, customer or account of the Company on the date of this Agreement or becomes a client, customer or account of the Company during the period of the Employee’s employment with the Company or the one year period thereafter; (ii) any person or entity that was a client, customer or account of the Company at any time during the two year period preceding the date of termination of the Employee’s employment; and (iii) any prospective client, customer or account to whom the Company has made a presentation (or similar offering of services) within a period of two years preceding the date of termination of the Employee’s employment.</w:t>
      </w:r>
    </w:p>
    <w:p>
      <w:pPr>
        <w:spacing w:after="0" w:line="147" w:lineRule="exact"/>
        <w:rPr>
          <w:sz w:val="20"/>
          <w:szCs w:val="20"/>
          <w:color w:val="auto"/>
        </w:rPr>
      </w:pPr>
    </w:p>
    <w:p>
      <w:pPr>
        <w:ind w:left="840" w:hanging="380"/>
        <w:spacing w:after="0"/>
        <w:tabs>
          <w:tab w:leader="none" w:pos="840" w:val="left"/>
        </w:tabs>
        <w:numPr>
          <w:ilvl w:val="0"/>
          <w:numId w:val="158"/>
        </w:numPr>
        <w:rPr>
          <w:rFonts w:ascii="Calibri" w:cs="Calibri" w:eastAsia="Calibri" w:hAnsi="Calibri"/>
          <w:sz w:val="20"/>
          <w:szCs w:val="20"/>
          <w:color w:val="231F20"/>
        </w:rPr>
      </w:pPr>
      <w:r>
        <w:rPr>
          <w:rFonts w:ascii="Arial" w:cs="Arial" w:eastAsia="Arial" w:hAnsi="Arial"/>
          <w:sz w:val="20"/>
          <w:szCs w:val="20"/>
          <w:u w:val="single" w:color="auto"/>
          <w:color w:val="231F20"/>
        </w:rPr>
        <w:t>Nonsolicitation of Employees and Consultants.</w:t>
      </w:r>
      <w:r>
        <w:rPr>
          <w:rFonts w:ascii="Arial" w:cs="Arial" w:eastAsia="Arial" w:hAnsi="Arial"/>
          <w:sz w:val="20"/>
          <w:szCs w:val="20"/>
          <w:color w:val="231F20"/>
        </w:rPr>
        <w:t xml:space="preserve"> The Employee agrees that during the</w:t>
      </w:r>
    </w:p>
    <w:p>
      <w:pPr>
        <w:spacing w:after="0" w:line="17" w:lineRule="exact"/>
        <w:rPr>
          <w:sz w:val="20"/>
          <w:szCs w:val="20"/>
          <w:color w:val="auto"/>
        </w:rPr>
      </w:pPr>
    </w:p>
    <w:p>
      <w:pPr>
        <w:ind w:left="460" w:right="919"/>
        <w:spacing w:after="0" w:line="253" w:lineRule="auto"/>
        <w:rPr>
          <w:sz w:val="20"/>
          <w:szCs w:val="20"/>
          <w:color w:val="auto"/>
        </w:rPr>
      </w:pPr>
      <w:r>
        <w:rPr>
          <w:rFonts w:ascii="Arial" w:cs="Arial" w:eastAsia="Arial" w:hAnsi="Arial"/>
          <w:sz w:val="20"/>
          <w:szCs w:val="20"/>
          <w:color w:val="231F20"/>
        </w:rPr>
        <w:t>period of the Employee’s employment and the one year period following the termination thereof, regardless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590550</wp:posOffset>
            </wp:positionV>
            <wp:extent cx="703770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12" w:right="1440" w:bottom="1440" w:gutter="0" w:footer="0" w:header="0"/>
        </w:sectPr>
      </w:pPr>
    </w:p>
    <w:bookmarkStart w:id="230" w:name="page231"/>
    <w:bookmarkEnd w:id="230"/>
    <w:p>
      <w:pPr>
        <w:ind w:left="460" w:right="539" w:firstLine="373"/>
        <w:spacing w:after="0" w:line="233" w:lineRule="auto"/>
        <w:rPr>
          <w:sz w:val="20"/>
          <w:szCs w:val="20"/>
          <w:color w:val="auto"/>
        </w:rPr>
      </w:pPr>
      <w:r>
        <w:rPr>
          <w:rFonts w:ascii="Arial" w:cs="Arial" w:eastAsia="Arial" w:hAnsi="Arial"/>
          <w:sz w:val="20"/>
          <w:szCs w:val="20"/>
          <w:color w:val="231F20"/>
        </w:rPr>
        <w:t>reason for such termination, the Employee will not, directly or indirectly, whether as an owner, partner, officer, director, employee, consultant, investor, lender or otherwise, seek to solicit or induce any Company employee or consultant, or any such person whose employment or consultancy with the Company has terminated within six months prior to or after the Employee’s termination from the Company, to leave his or her employment or consultancy with the Company, or assist in the recruitment or hiring of any such person.</w:t>
      </w:r>
    </w:p>
    <w:p>
      <w:pPr>
        <w:spacing w:after="0" w:line="132" w:lineRule="exact"/>
        <w:rPr>
          <w:sz w:val="20"/>
          <w:szCs w:val="20"/>
          <w:color w:val="auto"/>
        </w:rPr>
      </w:pPr>
    </w:p>
    <w:p>
      <w:pPr>
        <w:ind w:left="840" w:hanging="380"/>
        <w:spacing w:after="0"/>
        <w:tabs>
          <w:tab w:leader="none" w:pos="840" w:val="left"/>
        </w:tabs>
        <w:numPr>
          <w:ilvl w:val="0"/>
          <w:numId w:val="159"/>
        </w:numPr>
        <w:rPr>
          <w:rFonts w:ascii="Calibri" w:cs="Calibri" w:eastAsia="Calibri" w:hAnsi="Calibri"/>
          <w:sz w:val="20"/>
          <w:szCs w:val="20"/>
          <w:color w:val="231F20"/>
        </w:rPr>
      </w:pPr>
      <w:r>
        <w:rPr>
          <w:rFonts w:ascii="Arial" w:cs="Arial" w:eastAsia="Arial" w:hAnsi="Arial"/>
          <w:sz w:val="20"/>
          <w:szCs w:val="20"/>
          <w:u w:val="single" w:color="auto"/>
          <w:color w:val="231F20"/>
        </w:rPr>
        <w:t>Nondisparagement.</w:t>
      </w:r>
      <w:r>
        <w:rPr>
          <w:rFonts w:ascii="Arial" w:cs="Arial" w:eastAsia="Arial" w:hAnsi="Arial"/>
          <w:sz w:val="20"/>
          <w:szCs w:val="20"/>
          <w:color w:val="231F20"/>
        </w:rPr>
        <w:t xml:space="preserve"> The Employee agrees that he or she shall not at any time, whether</w:t>
      </w:r>
    </w:p>
    <w:p>
      <w:pPr>
        <w:spacing w:after="0" w:line="17" w:lineRule="exact"/>
        <w:rPr>
          <w:sz w:val="20"/>
          <w:szCs w:val="20"/>
          <w:color w:val="auto"/>
        </w:rPr>
      </w:pPr>
    </w:p>
    <w:p>
      <w:pPr>
        <w:ind w:left="460" w:right="399"/>
        <w:spacing w:after="0" w:line="245" w:lineRule="auto"/>
        <w:rPr>
          <w:sz w:val="20"/>
          <w:szCs w:val="20"/>
          <w:color w:val="auto"/>
        </w:rPr>
      </w:pPr>
      <w:r>
        <w:rPr>
          <w:rFonts w:ascii="Arial" w:cs="Arial" w:eastAsia="Arial" w:hAnsi="Arial"/>
          <w:sz w:val="19"/>
          <w:szCs w:val="19"/>
          <w:color w:val="231F20"/>
        </w:rPr>
        <w:t>during or after the termination of his or her employment, regardless of the reason for such termination, make to any person or entity (including via social media) disparaging comments relating to the Company’s services and products. Notwithstanding the foregoing, nothing in this Agreement precludes Employee from (i) making any report or disclosure to a government agency to the extent required or protected by statute, regulation or other applicable law; or (ii) testifying truthfully in any legal proceedings to the extent compelled by a valid subpoena.</w:t>
      </w:r>
    </w:p>
    <w:p>
      <w:pPr>
        <w:spacing w:after="0" w:line="399" w:lineRule="exact"/>
        <w:rPr>
          <w:sz w:val="20"/>
          <w:szCs w:val="20"/>
          <w:color w:val="auto"/>
        </w:rPr>
      </w:pPr>
    </w:p>
    <w:p>
      <w:pPr>
        <w:ind w:left="1100" w:hanging="652"/>
        <w:spacing w:after="0"/>
        <w:tabs>
          <w:tab w:leader="none" w:pos="1100" w:val="left"/>
        </w:tabs>
        <w:numPr>
          <w:ilvl w:val="0"/>
          <w:numId w:val="160"/>
        </w:numPr>
        <w:rPr>
          <w:rFonts w:ascii="Calibri" w:cs="Calibri" w:eastAsia="Calibri" w:hAnsi="Calibri"/>
          <w:sz w:val="20"/>
          <w:szCs w:val="20"/>
          <w:color w:val="231F20"/>
        </w:rPr>
      </w:pPr>
      <w:r>
        <w:rPr>
          <w:rFonts w:ascii="Arial" w:cs="Arial" w:eastAsia="Arial" w:hAnsi="Arial"/>
          <w:sz w:val="20"/>
          <w:szCs w:val="20"/>
          <w:u w:val="single" w:color="auto"/>
          <w:color w:val="231F20"/>
        </w:rPr>
        <w:t>Miscellaneous.</w:t>
      </w:r>
    </w:p>
    <w:p>
      <w:pPr>
        <w:spacing w:after="0" w:line="228" w:lineRule="exact"/>
        <w:rPr>
          <w:sz w:val="20"/>
          <w:szCs w:val="20"/>
          <w:color w:val="auto"/>
        </w:rPr>
      </w:pPr>
    </w:p>
    <w:p>
      <w:pPr>
        <w:ind w:left="1100"/>
        <w:spacing w:after="0"/>
        <w:rPr>
          <w:sz w:val="20"/>
          <w:szCs w:val="20"/>
          <w:color w:val="auto"/>
        </w:rPr>
      </w:pPr>
      <w:r>
        <w:rPr>
          <w:rFonts w:ascii="Calibri" w:cs="Calibri" w:eastAsia="Calibri" w:hAnsi="Calibri"/>
          <w:sz w:val="19"/>
          <w:szCs w:val="19"/>
          <w:color w:val="231F20"/>
        </w:rPr>
        <w:t>(a)</w:t>
      </w:r>
      <w:r>
        <w:rPr>
          <w:rFonts w:ascii="Arial" w:cs="Arial" w:eastAsia="Arial" w:hAnsi="Arial"/>
          <w:sz w:val="19"/>
          <w:szCs w:val="19"/>
          <w:u w:val="single" w:color="auto"/>
          <w:color w:val="231F20"/>
        </w:rPr>
        <w:t>Equitable Remedies</w:t>
      </w:r>
      <w:r>
        <w:rPr>
          <w:rFonts w:ascii="Arial" w:cs="Arial" w:eastAsia="Arial" w:hAnsi="Arial"/>
          <w:sz w:val="19"/>
          <w:szCs w:val="19"/>
          <w:color w:val="231F20"/>
        </w:rPr>
        <w:t>. The Employee acknowledges that the restrictions contained in</w:t>
      </w:r>
    </w:p>
    <w:p>
      <w:pPr>
        <w:spacing w:after="0" w:line="29" w:lineRule="exact"/>
        <w:rPr>
          <w:sz w:val="20"/>
          <w:szCs w:val="20"/>
          <w:color w:val="auto"/>
        </w:rPr>
      </w:pPr>
    </w:p>
    <w:p>
      <w:pPr>
        <w:ind w:left="460" w:right="399"/>
        <w:spacing w:after="0" w:line="242" w:lineRule="auto"/>
        <w:rPr>
          <w:sz w:val="20"/>
          <w:szCs w:val="20"/>
          <w:color w:val="auto"/>
        </w:rPr>
      </w:pPr>
      <w:r>
        <w:rPr>
          <w:rFonts w:ascii="Arial" w:cs="Arial" w:eastAsia="Arial" w:hAnsi="Arial"/>
          <w:sz w:val="19"/>
          <w:szCs w:val="19"/>
          <w:color w:val="231F20"/>
        </w:rPr>
        <w:t>this Agreement are necessary for the protection of the business and goodwill of the Company and are considered by the Employee to be reasonable for such purpose. The Employee agrees that any breach or threatened breach of this Agreement may result in the Company incurring substantial and irrevocable damage which is difficult to measure. Therefore, in the event of any such breach or threatened breach, the Employee agrees that the Company, in addition to such other remedies which may be available, shall have the right to seek an injunction from a court restraining such a breach or threatened breach without posting a bond and the right to specific performance of the provisions of this Agreement and the Employee hereby waives the adequacy of a remedy at law as a defense to such relief.</w:t>
      </w:r>
    </w:p>
    <w:p>
      <w:pPr>
        <w:spacing w:after="0" w:line="132"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(b)</w:t>
      </w:r>
      <w:r>
        <w:rPr>
          <w:rFonts w:ascii="Arial" w:cs="Arial" w:eastAsia="Arial" w:hAnsi="Arial"/>
          <w:sz w:val="20"/>
          <w:szCs w:val="20"/>
          <w:u w:val="single" w:color="auto"/>
          <w:color w:val="231F20"/>
        </w:rPr>
        <w:t>Disclosure of this Agreement</w:t>
      </w:r>
      <w:r>
        <w:rPr>
          <w:rFonts w:ascii="Arial" w:cs="Arial" w:eastAsia="Arial" w:hAnsi="Arial"/>
          <w:sz w:val="20"/>
          <w:szCs w:val="20"/>
          <w:color w:val="231F20"/>
        </w:rPr>
        <w:t>. The Employee hereby authorizes the Company to</w:t>
      </w:r>
    </w:p>
    <w:p>
      <w:pPr>
        <w:spacing w:after="0" w:line="17" w:lineRule="exact"/>
        <w:rPr>
          <w:sz w:val="20"/>
          <w:szCs w:val="20"/>
          <w:color w:val="auto"/>
        </w:rPr>
      </w:pPr>
    </w:p>
    <w:p>
      <w:pPr>
        <w:ind w:left="460" w:right="459"/>
        <w:spacing w:after="0" w:line="258" w:lineRule="auto"/>
        <w:rPr>
          <w:sz w:val="20"/>
          <w:szCs w:val="20"/>
          <w:color w:val="auto"/>
        </w:rPr>
      </w:pPr>
      <w:r>
        <w:rPr>
          <w:rFonts w:ascii="Arial" w:cs="Arial" w:eastAsia="Arial" w:hAnsi="Arial"/>
          <w:sz w:val="19"/>
          <w:szCs w:val="19"/>
          <w:color w:val="231F20"/>
        </w:rPr>
        <w:t>notify others, including but not limited to customers of the Company and any of the Employee’s future employers or prospective business associates, of the terms and existence of this Agreement and the Employee’s continuing obligations to the Company hereunder.</w:t>
      </w:r>
    </w:p>
    <w:p>
      <w:pPr>
        <w:spacing w:after="0" w:line="114"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(c)</w:t>
      </w:r>
      <w:r>
        <w:rPr>
          <w:rFonts w:ascii="Arial" w:cs="Arial" w:eastAsia="Arial" w:hAnsi="Arial"/>
          <w:sz w:val="20"/>
          <w:szCs w:val="20"/>
          <w:u w:val="single" w:color="auto"/>
          <w:color w:val="231F20"/>
        </w:rPr>
        <w:t>Not Employment Contract</w:t>
      </w:r>
      <w:r>
        <w:rPr>
          <w:rFonts w:ascii="Arial" w:cs="Arial" w:eastAsia="Arial" w:hAnsi="Arial"/>
          <w:sz w:val="20"/>
          <w:szCs w:val="20"/>
          <w:color w:val="231F20"/>
        </w:rPr>
        <w:t>. The Employee acknowledges that this Agreement</w:t>
      </w:r>
    </w:p>
    <w:p>
      <w:pPr>
        <w:spacing w:after="0" w:line="17" w:lineRule="exact"/>
        <w:rPr>
          <w:sz w:val="20"/>
          <w:szCs w:val="20"/>
          <w:color w:val="auto"/>
        </w:rPr>
      </w:pPr>
    </w:p>
    <w:p>
      <w:pPr>
        <w:ind w:left="460" w:right="839"/>
        <w:spacing w:after="0" w:line="239" w:lineRule="auto"/>
        <w:rPr>
          <w:sz w:val="20"/>
          <w:szCs w:val="20"/>
          <w:color w:val="auto"/>
        </w:rPr>
      </w:pPr>
      <w:r>
        <w:rPr>
          <w:rFonts w:ascii="Arial" w:cs="Arial" w:eastAsia="Arial" w:hAnsi="Arial"/>
          <w:sz w:val="20"/>
          <w:szCs w:val="20"/>
          <w:color w:val="231F20"/>
        </w:rPr>
        <w:t>does not constitute a contract of employment, does not imply that the Company will continue the Employee’s employment for any period of time and does not change the at-will nature of the Employee’s employment.</w:t>
      </w:r>
    </w:p>
    <w:p>
      <w:pPr>
        <w:spacing w:after="0" w:line="145"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(d)</w:t>
      </w:r>
      <w:r>
        <w:rPr>
          <w:rFonts w:ascii="Arial" w:cs="Arial" w:eastAsia="Arial" w:hAnsi="Arial"/>
          <w:sz w:val="20"/>
          <w:szCs w:val="20"/>
          <w:u w:val="single" w:color="auto"/>
          <w:color w:val="231F20"/>
        </w:rPr>
        <w:t>Successors and Assigns</w:t>
      </w:r>
      <w:r>
        <w:rPr>
          <w:rFonts w:ascii="Arial" w:cs="Arial" w:eastAsia="Arial" w:hAnsi="Arial"/>
          <w:sz w:val="20"/>
          <w:szCs w:val="20"/>
          <w:color w:val="231F20"/>
        </w:rPr>
        <w:t>. This Agreement shall be binding upon and inure to the</w:t>
      </w:r>
    </w:p>
    <w:p>
      <w:pPr>
        <w:spacing w:after="0" w:line="17" w:lineRule="exact"/>
        <w:rPr>
          <w:sz w:val="20"/>
          <w:szCs w:val="20"/>
          <w:color w:val="auto"/>
        </w:rPr>
      </w:pPr>
    </w:p>
    <w:p>
      <w:pPr>
        <w:ind w:left="460" w:right="439"/>
        <w:spacing w:after="0" w:line="244" w:lineRule="auto"/>
        <w:rPr>
          <w:sz w:val="20"/>
          <w:szCs w:val="20"/>
          <w:color w:val="auto"/>
        </w:rPr>
      </w:pPr>
      <w:r>
        <w:rPr>
          <w:rFonts w:ascii="Arial" w:cs="Arial" w:eastAsia="Arial" w:hAnsi="Arial"/>
          <w:sz w:val="19"/>
          <w:szCs w:val="19"/>
          <w:color w:val="231F20"/>
        </w:rPr>
        <w:t>benefit of both parties and their respective successors and assigns, including any corporation with which, or into which, the Company may be merged or which may succeed to the Company’s assets or business, provided, however, that the obligations of the Employee are personal and shall not be assigned by the Employee. The Employee expressly consents to be bound by the provisions of this Agreement for the benefit of the Company or any subsidiary or affiliate thereof to whose employ the Employee may be transferred without the necessity that this Agreement be re-signed at the time of such transfer.</w:t>
      </w:r>
    </w:p>
    <w:p>
      <w:pPr>
        <w:spacing w:after="0" w:line="128" w:lineRule="exact"/>
        <w:rPr>
          <w:sz w:val="20"/>
          <w:szCs w:val="20"/>
          <w:color w:val="auto"/>
        </w:rPr>
      </w:pPr>
    </w:p>
    <w:p>
      <w:pPr>
        <w:ind w:left="1100"/>
        <w:spacing w:after="0"/>
        <w:rPr>
          <w:sz w:val="20"/>
          <w:szCs w:val="20"/>
          <w:color w:val="auto"/>
        </w:rPr>
      </w:pPr>
      <w:r>
        <w:rPr>
          <w:rFonts w:ascii="Calibri" w:cs="Calibri" w:eastAsia="Calibri" w:hAnsi="Calibri"/>
          <w:sz w:val="20"/>
          <w:szCs w:val="20"/>
          <w:color w:val="231F20"/>
        </w:rPr>
        <w:t>(e)</w:t>
      </w:r>
      <w:r>
        <w:rPr>
          <w:rFonts w:ascii="Arial" w:cs="Arial" w:eastAsia="Arial" w:hAnsi="Arial"/>
          <w:sz w:val="20"/>
          <w:szCs w:val="20"/>
          <w:u w:val="single" w:color="auto"/>
          <w:color w:val="231F20"/>
        </w:rPr>
        <w:t>Severability</w:t>
      </w:r>
      <w:r>
        <w:rPr>
          <w:rFonts w:ascii="Arial" w:cs="Arial" w:eastAsia="Arial" w:hAnsi="Arial"/>
          <w:sz w:val="20"/>
          <w:szCs w:val="20"/>
          <w:color w:val="231F20"/>
        </w:rPr>
        <w:t>. In case any provision of this Agreement shall be invalid, illegal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634365</wp:posOffset>
            </wp:positionV>
            <wp:extent cx="703770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12" w:right="1440" w:bottom="1440" w:gutter="0" w:footer="0" w:header="0"/>
        </w:sectPr>
      </w:pPr>
    </w:p>
    <w:bookmarkStart w:id="231" w:name="page232"/>
    <w:bookmarkEnd w:id="231"/>
    <w:p>
      <w:pPr>
        <w:ind w:left="500" w:right="359"/>
        <w:spacing w:after="0" w:line="231" w:lineRule="auto"/>
        <w:rPr>
          <w:sz w:val="20"/>
          <w:szCs w:val="20"/>
          <w:color w:val="auto"/>
        </w:rPr>
      </w:pPr>
      <w:r>
        <w:rPr>
          <w:rFonts w:ascii="Arial" w:cs="Arial" w:eastAsia="Arial" w:hAnsi="Arial"/>
          <w:sz w:val="20"/>
          <w:szCs w:val="20"/>
          <w:color w:val="231F20"/>
        </w:rPr>
        <w:t>otherwise unenforceable, the validity, legality and enforceability of the remaining provisions shall in no way be affected or impaired thereby. If one or more provisions of this Agreement shall for any reason be held to be excessively broad as to scope, activity, subject or otherwise so as to be unenforceable at law, such provision or provision shall be construed by the appropriate judicial body by limiting or reducing it or them, so as to be enforceable to the maximum extent compatible with the applicable law as it shall then appear. The language of all parts of this Agreement shall in all cases be construed as a whole according to its fair meaning and not strictly for or against either of the parties.</w:t>
      </w:r>
    </w:p>
    <w:p>
      <w:pPr>
        <w:spacing w:after="0" w:line="389" w:lineRule="exact"/>
        <w:rPr>
          <w:sz w:val="20"/>
          <w:szCs w:val="20"/>
          <w:color w:val="auto"/>
        </w:rPr>
      </w:pPr>
    </w:p>
    <w:p>
      <w:pPr>
        <w:ind w:left="1140"/>
        <w:spacing w:after="0"/>
        <w:rPr>
          <w:sz w:val="20"/>
          <w:szCs w:val="20"/>
          <w:color w:val="auto"/>
        </w:rPr>
      </w:pPr>
      <w:r>
        <w:rPr>
          <w:rFonts w:ascii="Calibri" w:cs="Calibri" w:eastAsia="Calibri" w:hAnsi="Calibri"/>
          <w:sz w:val="20"/>
          <w:szCs w:val="20"/>
          <w:color w:val="231F20"/>
        </w:rPr>
        <w:t>(f)</w:t>
      </w:r>
      <w:r>
        <w:rPr>
          <w:rFonts w:ascii="Arial" w:cs="Arial" w:eastAsia="Arial" w:hAnsi="Arial"/>
          <w:sz w:val="20"/>
          <w:szCs w:val="20"/>
          <w:u w:val="single" w:color="auto"/>
          <w:color w:val="231F20"/>
        </w:rPr>
        <w:t>Waivers</w:t>
      </w:r>
      <w:r>
        <w:rPr>
          <w:rFonts w:ascii="Arial" w:cs="Arial" w:eastAsia="Arial" w:hAnsi="Arial"/>
          <w:sz w:val="20"/>
          <w:szCs w:val="20"/>
          <w:color w:val="231F20"/>
        </w:rPr>
        <w:t>. No delay or omission by the Company in exercising any right under this</w:t>
      </w:r>
    </w:p>
    <w:p>
      <w:pPr>
        <w:spacing w:after="0" w:line="17" w:lineRule="exact"/>
        <w:rPr>
          <w:sz w:val="20"/>
          <w:szCs w:val="20"/>
          <w:color w:val="auto"/>
        </w:rPr>
      </w:pPr>
    </w:p>
    <w:p>
      <w:pPr>
        <w:jc w:val="both"/>
        <w:ind w:left="500" w:right="359"/>
        <w:spacing w:after="0" w:line="239" w:lineRule="auto"/>
        <w:rPr>
          <w:sz w:val="20"/>
          <w:szCs w:val="20"/>
          <w:color w:val="auto"/>
        </w:rPr>
      </w:pPr>
      <w:r>
        <w:rPr>
          <w:rFonts w:ascii="Arial" w:cs="Arial" w:eastAsia="Arial" w:hAnsi="Arial"/>
          <w:sz w:val="20"/>
          <w:szCs w:val="20"/>
          <w:color w:val="231F20"/>
        </w:rPr>
        <w:t>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45" w:lineRule="exact"/>
        <w:rPr>
          <w:sz w:val="20"/>
          <w:szCs w:val="20"/>
          <w:color w:val="auto"/>
        </w:rPr>
      </w:pPr>
    </w:p>
    <w:p>
      <w:pPr>
        <w:ind w:left="1140"/>
        <w:spacing w:after="0"/>
        <w:rPr>
          <w:sz w:val="20"/>
          <w:szCs w:val="20"/>
          <w:color w:val="auto"/>
        </w:rPr>
      </w:pPr>
      <w:r>
        <w:rPr>
          <w:rFonts w:ascii="Calibri" w:cs="Calibri" w:eastAsia="Calibri" w:hAnsi="Calibri"/>
          <w:sz w:val="19"/>
          <w:szCs w:val="19"/>
          <w:color w:val="231F20"/>
        </w:rPr>
        <w:t>(g)</w:t>
      </w:r>
      <w:r>
        <w:rPr>
          <w:rFonts w:ascii="Arial" w:cs="Arial" w:eastAsia="Arial" w:hAnsi="Arial"/>
          <w:sz w:val="19"/>
          <w:szCs w:val="19"/>
          <w:u w:val="single" w:color="auto"/>
          <w:color w:val="231F20"/>
        </w:rPr>
        <w:t>Governing Law</w:t>
      </w:r>
      <w:r>
        <w:rPr>
          <w:rFonts w:ascii="Arial" w:cs="Arial" w:eastAsia="Arial" w:hAnsi="Arial"/>
          <w:sz w:val="19"/>
          <w:szCs w:val="19"/>
          <w:color w:val="231F20"/>
        </w:rPr>
        <w:t>. This Agreement shall be governed by and construed in accordance</w:t>
      </w:r>
    </w:p>
    <w:p>
      <w:pPr>
        <w:spacing w:after="0" w:line="29" w:lineRule="exact"/>
        <w:rPr>
          <w:sz w:val="20"/>
          <w:szCs w:val="20"/>
          <w:color w:val="auto"/>
        </w:rPr>
      </w:pPr>
    </w:p>
    <w:p>
      <w:pPr>
        <w:ind w:left="500" w:right="359"/>
        <w:spacing w:after="0" w:line="230" w:lineRule="auto"/>
        <w:rPr>
          <w:sz w:val="20"/>
          <w:szCs w:val="20"/>
          <w:color w:val="auto"/>
        </w:rPr>
      </w:pPr>
      <w:r>
        <w:rPr>
          <w:rFonts w:ascii="Arial" w:cs="Arial" w:eastAsia="Arial" w:hAnsi="Arial"/>
          <w:sz w:val="20"/>
          <w:szCs w:val="20"/>
          <w:color w:val="231F20"/>
        </w:rPr>
        <w:t>with the laws of the Commonwealth of Massachusetts (without reference to the conflicts of laws provisions thereof). Any action, suit, or other legal proceeding which is commenced to resolve any matter arising under or relating to any provision of this Agreement shall be commenced only in a court of the Commonwealth of Massachusetts (or, if appropriate, a federal court located within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36" w:lineRule="exact"/>
        <w:rPr>
          <w:sz w:val="20"/>
          <w:szCs w:val="20"/>
          <w:color w:val="auto"/>
        </w:rPr>
      </w:pPr>
    </w:p>
    <w:p>
      <w:pPr>
        <w:ind w:left="1140"/>
        <w:spacing w:after="0"/>
        <w:rPr>
          <w:sz w:val="20"/>
          <w:szCs w:val="20"/>
          <w:color w:val="auto"/>
        </w:rPr>
      </w:pPr>
      <w:r>
        <w:rPr>
          <w:rFonts w:ascii="Calibri" w:cs="Calibri" w:eastAsia="Calibri" w:hAnsi="Calibri"/>
          <w:sz w:val="20"/>
          <w:szCs w:val="20"/>
          <w:color w:val="231F20"/>
        </w:rPr>
        <w:t>(h)</w:t>
      </w:r>
      <w:r>
        <w:rPr>
          <w:rFonts w:ascii="Arial" w:cs="Arial" w:eastAsia="Arial" w:hAnsi="Arial"/>
          <w:sz w:val="20"/>
          <w:szCs w:val="20"/>
          <w:u w:val="single" w:color="auto"/>
          <w:color w:val="231F20"/>
        </w:rPr>
        <w:t>Entire Agreement; Amendment</w:t>
      </w:r>
      <w:r>
        <w:rPr>
          <w:rFonts w:ascii="Arial" w:cs="Arial" w:eastAsia="Arial" w:hAnsi="Arial"/>
          <w:sz w:val="20"/>
          <w:szCs w:val="20"/>
          <w:color w:val="231F20"/>
        </w:rPr>
        <w:t>. This Agreement supersedes all prior agreements,</w:t>
      </w:r>
    </w:p>
    <w:p>
      <w:pPr>
        <w:spacing w:after="0" w:line="17" w:lineRule="exact"/>
        <w:rPr>
          <w:sz w:val="20"/>
          <w:szCs w:val="20"/>
          <w:color w:val="auto"/>
        </w:rPr>
      </w:pPr>
    </w:p>
    <w:p>
      <w:pPr>
        <w:ind w:left="500" w:right="439"/>
        <w:spacing w:after="0" w:line="247" w:lineRule="auto"/>
        <w:rPr>
          <w:sz w:val="20"/>
          <w:szCs w:val="20"/>
          <w:color w:val="auto"/>
        </w:rPr>
      </w:pPr>
      <w:r>
        <w:rPr>
          <w:rFonts w:ascii="Arial" w:cs="Arial" w:eastAsia="Arial" w:hAnsi="Arial"/>
          <w:sz w:val="19"/>
          <w:szCs w:val="19"/>
          <w:color w:val="231F20"/>
        </w:rPr>
        <w:t>written or oral, between the Employee and the Company relating to the subject matter of this Agreement. This Agreement may not be modified, changed or discharged in whole or in part, except by an agreement in writing signed by the Employee and the Company. The Employee agrees that any change or changes in the Employee’s duties, salary or compensation after the signing of this Agreement shall not affect the validity or scope of this Agreement.</w:t>
      </w:r>
    </w:p>
    <w:p>
      <w:pPr>
        <w:spacing w:after="0" w:line="127" w:lineRule="exact"/>
        <w:rPr>
          <w:sz w:val="20"/>
          <w:szCs w:val="20"/>
          <w:color w:val="auto"/>
        </w:rPr>
      </w:pPr>
    </w:p>
    <w:p>
      <w:pPr>
        <w:ind w:left="1140"/>
        <w:spacing w:after="0"/>
        <w:rPr>
          <w:sz w:val="20"/>
          <w:szCs w:val="20"/>
          <w:color w:val="auto"/>
        </w:rPr>
      </w:pPr>
      <w:r>
        <w:rPr>
          <w:rFonts w:ascii="Calibri" w:cs="Calibri" w:eastAsia="Calibri" w:hAnsi="Calibri"/>
          <w:sz w:val="20"/>
          <w:szCs w:val="20"/>
          <w:color w:val="231F20"/>
        </w:rPr>
        <w:t>(i)</w:t>
      </w:r>
      <w:r>
        <w:rPr>
          <w:rFonts w:ascii="Arial" w:cs="Arial" w:eastAsia="Arial" w:hAnsi="Arial"/>
          <w:sz w:val="20"/>
          <w:szCs w:val="20"/>
          <w:u w:val="single" w:color="auto"/>
          <w:color w:val="231F20"/>
        </w:rPr>
        <w:t>Captions</w:t>
      </w:r>
      <w:r>
        <w:rPr>
          <w:rFonts w:ascii="Arial" w:cs="Arial" w:eastAsia="Arial" w:hAnsi="Arial"/>
          <w:sz w:val="20"/>
          <w:szCs w:val="20"/>
          <w:color w:val="231F20"/>
        </w:rPr>
        <w:t>. The captions of the sections of this Agreement are for convenience</w:t>
      </w:r>
    </w:p>
    <w:p>
      <w:pPr>
        <w:spacing w:after="0" w:line="17" w:lineRule="exact"/>
        <w:rPr>
          <w:sz w:val="20"/>
          <w:szCs w:val="20"/>
          <w:color w:val="auto"/>
        </w:rPr>
      </w:pPr>
    </w:p>
    <w:p>
      <w:pPr>
        <w:ind w:left="500" w:right="839"/>
        <w:spacing w:after="0" w:line="253" w:lineRule="auto"/>
        <w:rPr>
          <w:sz w:val="20"/>
          <w:szCs w:val="20"/>
          <w:color w:val="auto"/>
        </w:rPr>
      </w:pPr>
      <w:r>
        <w:rPr>
          <w:rFonts w:ascii="Arial" w:cs="Arial" w:eastAsia="Arial" w:hAnsi="Arial"/>
          <w:sz w:val="20"/>
          <w:szCs w:val="20"/>
          <w:color w:val="231F20"/>
        </w:rPr>
        <w:t>of reference only and in no way define, limit or affect the scope or substance of any section of this Agreement.</w:t>
      </w:r>
    </w:p>
    <w:p>
      <w:pPr>
        <w:spacing w:after="0" w:line="132" w:lineRule="exact"/>
        <w:rPr>
          <w:sz w:val="20"/>
          <w:szCs w:val="20"/>
          <w:color w:val="auto"/>
        </w:rPr>
      </w:pPr>
    </w:p>
    <w:p>
      <w:pPr>
        <w:jc w:val="both"/>
        <w:ind w:left="500" w:right="679"/>
        <w:spacing w:after="0" w:line="241" w:lineRule="auto"/>
        <w:rPr>
          <w:sz w:val="20"/>
          <w:szCs w:val="20"/>
          <w:color w:val="auto"/>
        </w:rPr>
      </w:pPr>
      <w:r>
        <w:rPr>
          <w:rFonts w:ascii="Arial" w:cs="Arial" w:eastAsia="Arial" w:hAnsi="Arial"/>
          <w:sz w:val="20"/>
          <w:szCs w:val="20"/>
          <w:color w:val="231F20"/>
        </w:rPr>
        <w:t>The employee acknowledges that he/she has carefully read this Agreement, understands and agrees to all of the provisions in this Agreement, and hereby executes this Agreement under seal.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231F20"/>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0"/>
        <w:spacing w:after="0"/>
        <w:rPr>
          <w:sz w:val="20"/>
          <w:szCs w:val="20"/>
          <w:color w:val="auto"/>
        </w:rPr>
      </w:pPr>
      <w:r>
        <w:rPr>
          <w:rFonts w:ascii="Arial" w:cs="Arial" w:eastAsia="Arial" w:hAnsi="Arial"/>
          <w:sz w:val="20"/>
          <w:szCs w:val="20"/>
          <w:color w:val="231F20"/>
        </w:rPr>
        <w:t>By: /s/ Alexander Cumbo</w:t>
      </w:r>
    </w:p>
    <w:p>
      <w:pPr>
        <w:ind w:left="560"/>
        <w:spacing w:after="0" w:line="229" w:lineRule="auto"/>
        <w:rPr>
          <w:sz w:val="20"/>
          <w:szCs w:val="20"/>
          <w:color w:val="auto"/>
        </w:rPr>
      </w:pPr>
      <w:r>
        <w:rPr>
          <w:rFonts w:ascii="Arial" w:cs="Arial" w:eastAsia="Arial" w:hAnsi="Arial"/>
          <w:sz w:val="20"/>
          <w:szCs w:val="20"/>
          <w:color w:val="231F20"/>
        </w:rPr>
        <w:t>Alexander Cumbo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0"/>
          <w:szCs w:val="20"/>
          <w:color w:val="231F20"/>
        </w:rPr>
        <w:t>President and Chief Executive Officer</w:t>
      </w:r>
    </w:p>
    <w:p>
      <w:pPr>
        <w:spacing w:after="0" w:line="346"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Employee:</w:t>
      </w:r>
    </w:p>
    <w:p>
      <w:pPr>
        <w:ind w:left="500"/>
        <w:spacing w:after="0" w:line="229" w:lineRule="auto"/>
        <w:tabs>
          <w:tab w:leader="none" w:pos="1840" w:val="left"/>
        </w:tabs>
        <w:rPr>
          <w:sz w:val="20"/>
          <w:szCs w:val="20"/>
          <w:color w:val="auto"/>
        </w:rPr>
      </w:pPr>
      <w:r>
        <w:rPr>
          <w:rFonts w:ascii="Arial" w:cs="Arial" w:eastAsia="Arial" w:hAnsi="Arial"/>
          <w:sz w:val="20"/>
          <w:szCs w:val="20"/>
          <w:color w:val="231F20"/>
        </w:rPr>
        <w:t>/s/ Kevin Tan</w:t>
        <w:tab/>
        <w:t>1/9/2023</w:t>
      </w:r>
    </w:p>
    <w:p>
      <w:pPr>
        <w:spacing w:after="0" w:line="1"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20"/>
          <w:szCs w:val="20"/>
          <w:color w:val="231F20"/>
        </w:rPr>
        <w:t>Name</w:t>
      </w:r>
      <w:r>
        <w:rPr>
          <w:sz w:val="20"/>
          <w:szCs w:val="20"/>
          <w:color w:val="auto"/>
        </w:rPr>
        <w:tab/>
      </w:r>
      <w:r>
        <w:rPr>
          <w:rFonts w:ascii="Arial" w:cs="Arial" w:eastAsia="Arial" w:hAnsi="Arial"/>
          <w:sz w:val="20"/>
          <w:szCs w:val="20"/>
          <w:color w:val="231F2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606425</wp:posOffset>
            </wp:positionV>
            <wp:extent cx="703770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712" w:right="1440" w:bottom="1440" w:gutter="0" w:footer="0" w:header="0"/>
        </w:sectPr>
      </w:pPr>
    </w:p>
    <w:bookmarkStart w:id="232" w:name="page233"/>
    <w:bookmarkEnd w:id="232"/>
    <w:p>
      <w:pPr>
        <w:jc w:val="center"/>
        <w:ind w:right="-179"/>
        <w:spacing w:after="0"/>
        <w:rPr>
          <w:sz w:val="20"/>
          <w:szCs w:val="20"/>
          <w:color w:val="auto"/>
        </w:rPr>
      </w:pPr>
      <w:r>
        <w:rPr>
          <w:rFonts w:ascii="Arial" w:cs="Arial" w:eastAsia="Arial" w:hAnsi="Arial"/>
          <w:sz w:val="20"/>
          <w:szCs w:val="20"/>
          <w:b w:val="1"/>
          <w:bCs w:val="1"/>
          <w:color w:val="231F20"/>
        </w:rPr>
        <w:t>SCHEDULE 1</w:t>
      </w:r>
    </w:p>
    <w:p>
      <w:pPr>
        <w:spacing w:after="0" w:line="204" w:lineRule="exact"/>
        <w:rPr>
          <w:sz w:val="20"/>
          <w:szCs w:val="20"/>
          <w:color w:val="auto"/>
        </w:rPr>
      </w:pPr>
    </w:p>
    <w:p>
      <w:pPr>
        <w:ind w:left="1480" w:right="1700"/>
        <w:spacing w:after="0" w:line="257" w:lineRule="auto"/>
        <w:rPr>
          <w:sz w:val="20"/>
          <w:szCs w:val="20"/>
          <w:color w:val="auto"/>
        </w:rPr>
      </w:pPr>
      <w:r>
        <w:rPr>
          <w:rFonts w:ascii="Arial" w:cs="Arial" w:eastAsia="Arial" w:hAnsi="Arial"/>
          <w:sz w:val="20"/>
          <w:szCs w:val="20"/>
          <w:color w:val="231F20"/>
        </w:rPr>
        <w:t>List of prior developments and original works of authorship excluded under Section 3(a) or conflicting agreements disclosed under Section 4.</w:t>
      </w:r>
    </w:p>
    <w:p>
      <w:pPr>
        <w:spacing w:after="0" w:line="196" w:lineRule="exact"/>
        <w:rPr>
          <w:sz w:val="20"/>
          <w:szCs w:val="20"/>
          <w:color w:val="auto"/>
        </w:rPr>
      </w:pPr>
    </w:p>
    <w:p>
      <w:pPr>
        <w:ind w:left="1480"/>
        <w:spacing w:after="0"/>
        <w:tabs>
          <w:tab w:leader="none" w:pos="2780" w:val="left"/>
        </w:tabs>
        <w:rPr>
          <w:sz w:val="20"/>
          <w:szCs w:val="20"/>
          <w:color w:val="auto"/>
        </w:rPr>
      </w:pPr>
      <w:r>
        <w:rPr>
          <w:rFonts w:ascii="Arial" w:cs="Arial" w:eastAsia="Arial" w:hAnsi="Arial"/>
          <w:sz w:val="20"/>
          <w:szCs w:val="20"/>
          <w:color w:val="231F20"/>
        </w:rPr>
        <w:t>Title Date</w:t>
      </w:r>
      <w:r>
        <w:rPr>
          <w:sz w:val="20"/>
          <w:szCs w:val="20"/>
          <w:color w:val="auto"/>
        </w:rPr>
        <w:tab/>
      </w:r>
      <w:r>
        <w:rPr>
          <w:rFonts w:ascii="Arial" w:cs="Arial" w:eastAsia="Arial" w:hAnsi="Arial"/>
          <w:sz w:val="19"/>
          <w:szCs w:val="19"/>
          <w:color w:val="231F20"/>
        </w:rPr>
        <w:t>Identifying Number or Brief Description</w:t>
      </w:r>
    </w:p>
    <w:p>
      <w:pPr>
        <w:spacing w:after="0" w:line="202" w:lineRule="exact"/>
        <w:rPr>
          <w:sz w:val="20"/>
          <w:szCs w:val="20"/>
          <w:color w:val="auto"/>
        </w:rPr>
      </w:pPr>
    </w:p>
    <w:p>
      <w:pPr>
        <w:ind w:left="1480" w:right="1460"/>
        <w:spacing w:after="0" w:line="241" w:lineRule="auto"/>
        <w:rPr>
          <w:sz w:val="20"/>
          <w:szCs w:val="20"/>
          <w:color w:val="auto"/>
        </w:rPr>
      </w:pPr>
      <w:r>
        <w:rPr>
          <w:rFonts w:ascii="Arial" w:cs="Arial" w:eastAsia="Arial" w:hAnsi="Arial"/>
          <w:sz w:val="20"/>
          <w:szCs w:val="20"/>
          <w:color w:val="231F20"/>
        </w:rPr>
        <w:t>Separation Agreement and Release dated November 23, 2022 between Employee and Selecta Biosciences, Inc. containing non-solicitation and confidentiality terms similar to those set forth in this Agreement.</w:t>
      </w:r>
    </w:p>
    <w:p>
      <w:pPr>
        <w:spacing w:after="0" w:line="131" w:lineRule="exact"/>
        <w:rPr>
          <w:sz w:val="20"/>
          <w:szCs w:val="20"/>
          <w:color w:val="auto"/>
        </w:rPr>
      </w:pPr>
    </w:p>
    <w:p>
      <w:pPr>
        <w:ind w:left="1480" w:right="1760"/>
        <w:spacing w:after="0" w:line="241" w:lineRule="auto"/>
        <w:rPr>
          <w:sz w:val="20"/>
          <w:szCs w:val="20"/>
          <w:color w:val="auto"/>
        </w:rPr>
      </w:pPr>
      <w:r>
        <w:rPr>
          <w:rFonts w:ascii="Arial" w:cs="Arial" w:eastAsia="Arial" w:hAnsi="Arial"/>
          <w:sz w:val="20"/>
          <w:szCs w:val="20"/>
          <w:color w:val="231F20"/>
        </w:rPr>
        <w:t>Employment Agreement and Restrictive Covenant Agreement each dated September 20, 2021 between Employee and Selecta Biosciences, Inc. containing non-solicitation and confidentiality terms similar to those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80" w:right="1340"/>
        <w:spacing w:after="0" w:line="241" w:lineRule="auto"/>
        <w:rPr>
          <w:sz w:val="20"/>
          <w:szCs w:val="20"/>
          <w:color w:val="auto"/>
        </w:rPr>
      </w:pPr>
      <w:r>
        <w:rPr>
          <w:rFonts w:ascii="Arial" w:cs="Arial" w:eastAsia="Arial" w:hAnsi="Arial"/>
          <w:sz w:val="20"/>
          <w:szCs w:val="20"/>
          <w:color w:val="231F20"/>
        </w:rPr>
        <w:t>Except as indicated above on this Schedule 1, I have no Prior Developments to disclose pursuant to Section 3(a) of this Agreement and no agreements to disclose pursuant to Section 4 of this Agreement.</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20" w:type="dxa"/>
            <w:vAlign w:val="bottom"/>
          </w:tcPr>
          <w:p>
            <w:pPr>
              <w:ind w:left="1480"/>
              <w:spacing w:after="0"/>
              <w:rPr>
                <w:sz w:val="20"/>
                <w:szCs w:val="20"/>
                <w:color w:val="auto"/>
              </w:rPr>
            </w:pPr>
            <w:r>
              <w:rPr>
                <w:rFonts w:ascii="Arial" w:cs="Arial" w:eastAsia="Arial" w:hAnsi="Arial"/>
                <w:sz w:val="20"/>
                <w:szCs w:val="20"/>
                <w:color w:val="231F20"/>
              </w:rPr>
              <w:t>Employee:</w:t>
            </w:r>
          </w:p>
        </w:tc>
        <w:tc>
          <w:tcPr>
            <w:tcW w:w="8120" w:type="dxa"/>
            <w:vAlign w:val="bottom"/>
          </w:tcPr>
          <w:p>
            <w:pPr>
              <w:spacing w:after="0"/>
              <w:rPr>
                <w:sz w:val="22"/>
                <w:szCs w:val="22"/>
                <w:color w:val="auto"/>
              </w:rPr>
            </w:pPr>
          </w:p>
        </w:tc>
      </w:tr>
      <w:tr>
        <w:trPr>
          <w:trHeight w:val="387"/>
        </w:trPr>
        <w:tc>
          <w:tcPr>
            <w:tcW w:w="2920" w:type="dxa"/>
            <w:vAlign w:val="bottom"/>
          </w:tcPr>
          <w:p>
            <w:pPr>
              <w:ind w:left="1600"/>
              <w:spacing w:after="0"/>
              <w:rPr>
                <w:sz w:val="20"/>
                <w:szCs w:val="20"/>
                <w:color w:val="auto"/>
              </w:rPr>
            </w:pPr>
            <w:r>
              <w:rPr>
                <w:rFonts w:ascii="Arial" w:cs="Arial" w:eastAsia="Arial" w:hAnsi="Arial"/>
                <w:sz w:val="20"/>
                <w:szCs w:val="20"/>
                <w:color w:val="231F20"/>
              </w:rPr>
              <w:t>/s/ Kevin Tan</w:t>
            </w:r>
          </w:p>
        </w:tc>
        <w:tc>
          <w:tcPr>
            <w:tcW w:w="8120" w:type="dxa"/>
            <w:vAlign w:val="bottom"/>
          </w:tcPr>
          <w:p>
            <w:pPr>
              <w:jc w:val="right"/>
              <w:ind w:right="6821"/>
              <w:spacing w:after="0"/>
              <w:rPr>
                <w:sz w:val="20"/>
                <w:szCs w:val="20"/>
                <w:color w:val="auto"/>
              </w:rPr>
            </w:pPr>
            <w:r>
              <w:rPr>
                <w:rFonts w:ascii="Arial" w:cs="Arial" w:eastAsia="Arial" w:hAnsi="Arial"/>
                <w:sz w:val="20"/>
                <w:szCs w:val="20"/>
                <w:color w:val="231F20"/>
              </w:rPr>
              <w:t>1/9/2023</w:t>
            </w:r>
          </w:p>
        </w:tc>
      </w:tr>
      <w:tr>
        <w:trPr>
          <w:trHeight w:val="261"/>
        </w:trPr>
        <w:tc>
          <w:tcPr>
            <w:tcW w:w="2920" w:type="dxa"/>
            <w:vAlign w:val="bottom"/>
          </w:tcPr>
          <w:p>
            <w:pPr>
              <w:ind w:left="1600"/>
              <w:spacing w:after="0"/>
              <w:rPr>
                <w:sz w:val="20"/>
                <w:szCs w:val="20"/>
                <w:color w:val="auto"/>
              </w:rPr>
            </w:pPr>
            <w:r>
              <w:rPr>
                <w:rFonts w:ascii="Arial" w:cs="Arial" w:eastAsia="Arial" w:hAnsi="Arial"/>
                <w:sz w:val="20"/>
                <w:szCs w:val="20"/>
                <w:color w:val="231F20"/>
              </w:rPr>
              <w:t>Name</w:t>
            </w:r>
          </w:p>
        </w:tc>
        <w:tc>
          <w:tcPr>
            <w:tcW w:w="8120" w:type="dxa"/>
            <w:vAlign w:val="bottom"/>
          </w:tcPr>
          <w:p>
            <w:pPr>
              <w:jc w:val="right"/>
              <w:ind w:right="7421"/>
              <w:spacing w:after="0"/>
              <w:rPr>
                <w:sz w:val="20"/>
                <w:szCs w:val="20"/>
                <w:color w:val="auto"/>
              </w:rPr>
            </w:pPr>
            <w:r>
              <w:rPr>
                <w:rFonts w:ascii="Arial" w:cs="Arial" w:eastAsia="Arial" w:hAnsi="Arial"/>
                <w:sz w:val="20"/>
                <w:szCs w:val="20"/>
                <w:color w:val="231F20"/>
              </w:rPr>
              <w:t>Date</w:t>
            </w:r>
          </w:p>
        </w:tc>
      </w:tr>
      <w:tr>
        <w:trPr>
          <w:trHeight w:val="1401"/>
        </w:trPr>
        <w:tc>
          <w:tcPr>
            <w:tcW w:w="292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67" w:right="439" w:bottom="1440" w:gutter="0" w:footer="0" w:header="0"/>
        </w:sectPr>
      </w:pPr>
    </w:p>
    <w:bookmarkStart w:id="233" w:name="page234"/>
    <w:bookmarkEnd w:id="233"/>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Form of Noncompetition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EXHIBIT C - NONCOMPETITION AGREEMENT</w:t>
      </w:r>
    </w:p>
    <w:p>
      <w:pPr>
        <w:spacing w:after="0" w:line="220" w:lineRule="exact"/>
        <w:rPr>
          <w:sz w:val="20"/>
          <w:szCs w:val="20"/>
          <w:color w:val="auto"/>
        </w:rPr>
      </w:pPr>
    </w:p>
    <w:p>
      <w:pPr>
        <w:jc w:val="both"/>
        <w:ind w:left="300" w:right="579" w:firstLine="647"/>
        <w:spacing w:after="0" w:line="254" w:lineRule="auto"/>
        <w:rPr>
          <w:sz w:val="20"/>
          <w:szCs w:val="20"/>
          <w:color w:val="auto"/>
        </w:rPr>
      </w:pPr>
      <w:r>
        <w:rPr>
          <w:rFonts w:ascii="Times New Roman" w:cs="Times New Roman" w:eastAsia="Times New Roman" w:hAnsi="Times New Roman"/>
          <w:sz w:val="20"/>
          <w:szCs w:val="20"/>
          <w:color w:val="231F20"/>
        </w:rPr>
        <w:t>This Noncompetition Agreement (the “Agreement”) is made between Solid Biosciences Inc., a Delaware corporation (including its subsidiaries, the “Company”), and the undersigned employee (the “Employee”).</w:t>
      </w:r>
    </w:p>
    <w:p>
      <w:pPr>
        <w:spacing w:after="0" w:line="174" w:lineRule="exact"/>
        <w:rPr>
          <w:sz w:val="20"/>
          <w:szCs w:val="20"/>
          <w:color w:val="auto"/>
        </w:rPr>
      </w:pPr>
    </w:p>
    <w:p>
      <w:pPr>
        <w:ind w:left="300" w:right="439" w:firstLine="647"/>
        <w:spacing w:after="0" w:line="269" w:lineRule="auto"/>
        <w:rPr>
          <w:sz w:val="20"/>
          <w:szCs w:val="20"/>
          <w:color w:val="auto"/>
        </w:rPr>
      </w:pPr>
      <w:r>
        <w:rPr>
          <w:rFonts w:ascii="Times New Roman" w:cs="Times New Roman" w:eastAsia="Times New Roman" w:hAnsi="Times New Roman"/>
          <w:sz w:val="20"/>
          <w:szCs w:val="20"/>
          <w:color w:val="231F20"/>
        </w:rPr>
        <w:t>For good consideration, including, with respect to the noncompetition restrictions, the additional consideration set forth in Section 1(c), the Employee and the Company agree as follows:</w:t>
      </w:r>
    </w:p>
    <w:p>
      <w:pPr>
        <w:spacing w:after="0" w:line="173" w:lineRule="exact"/>
        <w:rPr>
          <w:sz w:val="20"/>
          <w:szCs w:val="20"/>
          <w:color w:val="auto"/>
        </w:rPr>
      </w:pPr>
    </w:p>
    <w:p>
      <w:pPr>
        <w:ind w:left="940" w:hanging="648"/>
        <w:spacing w:after="0"/>
        <w:tabs>
          <w:tab w:leader="none" w:pos="940" w:val="left"/>
        </w:tabs>
        <w:numPr>
          <w:ilvl w:val="0"/>
          <w:numId w:val="161"/>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color w:val="231F20"/>
        </w:rPr>
        <w:t>Noncompetition.</w:t>
      </w:r>
    </w:p>
    <w:p>
      <w:pPr>
        <w:spacing w:after="0" w:line="188" w:lineRule="exact"/>
        <w:rPr>
          <w:sz w:val="20"/>
          <w:szCs w:val="20"/>
          <w:color w:val="auto"/>
        </w:rPr>
      </w:pPr>
    </w:p>
    <w:p>
      <w:pPr>
        <w:jc w:val="both"/>
        <w:ind w:left="300" w:right="299" w:firstLine="1296"/>
        <w:spacing w:after="0" w:line="254" w:lineRule="auto"/>
        <w:rPr>
          <w:sz w:val="20"/>
          <w:szCs w:val="20"/>
          <w:color w:val="auto"/>
        </w:rPr>
      </w:pPr>
      <w:r>
        <w:rPr>
          <w:rFonts w:ascii="Times New Roman" w:cs="Times New Roman" w:eastAsia="Times New Roman" w:hAnsi="Times New Roman"/>
          <w:sz w:val="22"/>
          <w:szCs w:val="22"/>
          <w:color w:val="231F20"/>
        </w:rPr>
        <w:t>(a)</w:t>
      </w:r>
      <w:r>
        <w:rPr>
          <w:rFonts w:ascii="Times New Roman" w:cs="Times New Roman" w:eastAsia="Times New Roman" w:hAnsi="Times New Roman"/>
          <w:sz w:val="19"/>
          <w:szCs w:val="19"/>
          <w:color w:val="231F20"/>
        </w:rPr>
        <w:t>During the Restricted Period (as defined below), the Employee will not, in the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Applicable Territory (as defined below), directly or indirectly, whether as an owner, partner, officer, director, employee, consultant, investor, lender or otherwise, except as the passive holder of not more than 1% of the outstanding stock of a publicly-held company, engage or assist others in engaging in any business or enterprise that is competitive with the Company’s business, including but not limited to any business or enterprise that develops, manufactures, researches, markets, licenses, sells or provides any product or service that competes with any product or service developed, researched, manufactured, marketed, licensed, sold or provided, or planned to be developed, manufactured, researched, marketed, licensed, sold or provided by the Company (a “Competitive Company”), if the Employee would be performing a job or job duties or services for the Competitive Company that are the same as or substantially similar to the job or job duties or services that the Employee performed for the Company at any time during the last two years of the Employee’s employment.</w:t>
      </w:r>
    </w:p>
    <w:p>
      <w:pPr>
        <w:spacing w:after="0" w:line="200" w:lineRule="exact"/>
        <w:rPr>
          <w:sz w:val="20"/>
          <w:szCs w:val="20"/>
          <w:color w:val="auto"/>
        </w:rPr>
      </w:pPr>
    </w:p>
    <w:p>
      <w:pPr>
        <w:spacing w:after="0" w:line="208" w:lineRule="exact"/>
        <w:rPr>
          <w:sz w:val="20"/>
          <w:szCs w:val="20"/>
          <w:color w:val="auto"/>
        </w:rPr>
      </w:pPr>
    </w:p>
    <w:p>
      <w:pPr>
        <w:ind w:left="2240" w:hanging="652"/>
        <w:spacing w:after="0"/>
        <w:tabs>
          <w:tab w:leader="none" w:pos="2240" w:val="left"/>
        </w:tabs>
        <w:numPr>
          <w:ilvl w:val="0"/>
          <w:numId w:val="162"/>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color w:val="231F20"/>
        </w:rPr>
        <w:t>Certain Definitions. Solely for purposes of this Section 1:</w:t>
      </w:r>
    </w:p>
    <w:p>
      <w:pPr>
        <w:spacing w:after="0" w:line="192" w:lineRule="exact"/>
        <w:rPr>
          <w:rFonts w:ascii="Times New Roman" w:cs="Times New Roman" w:eastAsia="Times New Roman" w:hAnsi="Times New Roman"/>
          <w:sz w:val="22"/>
          <w:szCs w:val="22"/>
          <w:color w:val="231F20"/>
        </w:rPr>
      </w:pPr>
    </w:p>
    <w:p>
      <w:pPr>
        <w:jc w:val="both"/>
        <w:ind w:left="940" w:right="299" w:firstLine="1192"/>
        <w:spacing w:after="0" w:line="244" w:lineRule="auto"/>
        <w:tabs>
          <w:tab w:leader="none" w:pos="2593" w:val="left"/>
        </w:tabs>
        <w:numPr>
          <w:ilvl w:val="1"/>
          <w:numId w:val="1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“Restricted Period” shall include the duration of the Employee’s employment with the Company and the twelve month period thereafter. Notwithstanding the foregoing, the Restricted Period shall end immediately upon the Employee’s last day of employment with the Company if: (x) the Company terminates the Employee’s employment without Cause (as defined below); (y) the Company notifies the Employee in writing that it is waiving the post-employment restrictions set forth in this Section or (z) Employee terminates his employment for Good Reason (as such term is defined in the Employment Agreement).</w:t>
      </w:r>
    </w:p>
    <w:p>
      <w:pPr>
        <w:spacing w:after="0" w:line="186" w:lineRule="exact"/>
        <w:rPr>
          <w:sz w:val="20"/>
          <w:szCs w:val="20"/>
          <w:color w:val="auto"/>
        </w:rPr>
      </w:pPr>
    </w:p>
    <w:p>
      <w:pPr>
        <w:jc w:val="both"/>
        <w:ind w:left="940" w:right="299" w:firstLine="1140"/>
        <w:spacing w:after="0" w:line="254" w:lineRule="auto"/>
        <w:rPr>
          <w:sz w:val="20"/>
          <w:szCs w:val="20"/>
          <w:color w:val="auto"/>
        </w:rPr>
      </w:pPr>
      <w:r>
        <w:rPr>
          <w:rFonts w:ascii="Times New Roman" w:cs="Times New Roman" w:eastAsia="Times New Roman" w:hAnsi="Times New Roman"/>
          <w:sz w:val="20"/>
          <w:szCs w:val="20"/>
          <w:color w:val="231F20"/>
        </w:rPr>
        <w:t>ii.“Applicable Territory” shall mean the geographic areas in which the Employee provided services or had a material presence or influence at any time during his/her last two years of employment.</w:t>
      </w:r>
    </w:p>
    <w:p>
      <w:pPr>
        <w:spacing w:after="0" w:line="174" w:lineRule="exact"/>
        <w:rPr>
          <w:sz w:val="20"/>
          <w:szCs w:val="20"/>
          <w:color w:val="auto"/>
        </w:rPr>
      </w:pPr>
    </w:p>
    <w:p>
      <w:pPr>
        <w:ind w:left="1580" w:hanging="537"/>
        <w:spacing w:after="0"/>
        <w:tabs>
          <w:tab w:leader="none" w:pos="1580"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“Cause” shall have the meaning ascribed to such term in the Employment Agreement.</w:t>
      </w:r>
    </w:p>
    <w:p>
      <w:pPr>
        <w:spacing w:after="0" w:line="229" w:lineRule="exact"/>
        <w:rPr>
          <w:rFonts w:ascii="Times New Roman" w:cs="Times New Roman" w:eastAsia="Times New Roman" w:hAnsi="Times New Roman"/>
          <w:sz w:val="20"/>
          <w:szCs w:val="20"/>
          <w:color w:val="231F20"/>
        </w:rPr>
      </w:pPr>
    </w:p>
    <w:p>
      <w:pPr>
        <w:ind w:left="1580" w:right="759" w:hanging="523"/>
        <w:spacing w:after="0" w:line="269" w:lineRule="auto"/>
        <w:tabs>
          <w:tab w:leader="none" w:pos="1580"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“Employment Agreement” shall mean that certain Employment Agreement between Company and the Employee dated effective as of [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1045845</wp:posOffset>
            </wp:positionV>
            <wp:extent cx="703770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-46355</wp:posOffset>
            </wp:positionV>
            <wp:extent cx="6286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9">
                      <a:extLst>
                        <a:ext uri="{28A0092B-C50C-407E-A947-70E740481C1C}"/>
                      </a:extLst>
                    </a:blip>
                    <a:srcRect/>
                    <a:stretch>
                      <a:fillRect/>
                    </a:stretch>
                  </pic:blipFill>
                  <pic:spPr bwMode="auto">
                    <a:xfrm>
                      <a:off x="0" y="0"/>
                      <a:ext cx="6286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4" w:name="page235"/>
    <w:bookmarkEnd w:id="234"/>
    <w:p>
      <w:pPr>
        <w:jc w:val="both"/>
        <w:ind w:left="300" w:right="299" w:firstLine="1296"/>
        <w:spacing w:after="0" w:line="251" w:lineRule="auto"/>
        <w:rPr>
          <w:sz w:val="20"/>
          <w:szCs w:val="20"/>
          <w:color w:val="auto"/>
        </w:rPr>
      </w:pPr>
      <w:r>
        <w:rPr>
          <w:rFonts w:ascii="Times New Roman" w:cs="Times New Roman" w:eastAsia="Times New Roman" w:hAnsi="Times New Roman"/>
          <w:sz w:val="22"/>
          <w:szCs w:val="22"/>
          <w:color w:val="231F20"/>
        </w:rPr>
        <w:t>(c)</w:t>
      </w:r>
      <w:r>
        <w:rPr>
          <w:rFonts w:ascii="Times New Roman" w:cs="Times New Roman" w:eastAsia="Times New Roman" w:hAnsi="Times New Roman"/>
          <w:sz w:val="19"/>
          <w:szCs w:val="19"/>
          <w:u w:val="single" w:color="auto"/>
          <w:color w:val="231F20"/>
        </w:rPr>
        <w:t>Additional Consideration for Noncompetition Restrictions</w:t>
      </w:r>
      <w:r>
        <w:rPr>
          <w:rFonts w:ascii="Times New Roman" w:cs="Times New Roman" w:eastAsia="Times New Roman" w:hAnsi="Times New Roman"/>
          <w:sz w:val="19"/>
          <w:szCs w:val="19"/>
          <w:color w:val="231F20"/>
        </w:rPr>
        <w:t>. In exchange for the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Employee’s compliance with the restrictions set forth in this Section 1, the Company will grant the Employee an equity award, as is more fully set forth in Section 4(c) of the Employment Agreement, and, further, during the post-employment portion of the Restricted Period, the Company will pay the Employee one thousand dollars ($1,000) per month (the “Noncompete Consideration”). The Noncompete Consideration will be paid ratably in accordance with the Company’s regular payroll practices, commencing with the first payroll cycle beginning after the Employee’s separation date, except as may otherwise be required by Section 3(h) below. The Employee understands and agrees that the Company may discontinue or otherwise not provide the Noncompete Consideration (i) if the Restricted Period expires upon the termination of the employment relationship pursuant to the last sentence of Section 1(b) (i), (ii) if the Employee breaches this Agreement, or (iii) during any portion of the Restricted Period that has been extended in accordance with Section 1(b)(i); provided, however, that with respect to (ii) or (iii), any such cessation shall not excuse the Employee’s compliance with his/her obligations under this Section 1 or otherwise in this Agreement. The Employee understands and agrees that the above-stated consideration has been mutually agreed upon by the Company and the Employee, is fair and reasonable, and is sufficient consideration in exchange for the restrictions set forth in this Section 1.</w:t>
      </w:r>
    </w:p>
    <w:p>
      <w:pPr>
        <w:spacing w:after="0" w:line="160" w:lineRule="exact"/>
        <w:rPr>
          <w:sz w:val="20"/>
          <w:szCs w:val="20"/>
          <w:color w:val="auto"/>
        </w:rPr>
      </w:pPr>
    </w:p>
    <w:p>
      <w:pPr>
        <w:jc w:val="both"/>
        <w:ind w:left="300" w:right="299"/>
        <w:spacing w:after="0" w:line="250" w:lineRule="auto"/>
        <w:rPr>
          <w:sz w:val="20"/>
          <w:szCs w:val="20"/>
          <w:color w:val="auto"/>
        </w:rPr>
      </w:pPr>
      <w:r>
        <w:rPr>
          <w:rFonts w:ascii="Times New Roman" w:cs="Times New Roman" w:eastAsia="Times New Roman" w:hAnsi="Times New Roman"/>
          <w:sz w:val="22"/>
          <w:szCs w:val="22"/>
          <w:color w:val="231F20"/>
        </w:rPr>
        <w:t>2.</w:t>
      </w:r>
      <w:r>
        <w:rPr>
          <w:rFonts w:ascii="Times New Roman" w:cs="Times New Roman" w:eastAsia="Times New Roman" w:hAnsi="Times New Roman"/>
          <w:sz w:val="19"/>
          <w:szCs w:val="19"/>
          <w:u w:val="single" w:color="auto"/>
          <w:color w:val="231F20"/>
        </w:rPr>
        <w:t>Notice of New Business Activities</w:t>
      </w:r>
      <w:r>
        <w:rPr>
          <w:rFonts w:ascii="Times New Roman" w:cs="Times New Roman" w:eastAsia="Times New Roman" w:hAnsi="Times New Roman"/>
          <w:sz w:val="19"/>
          <w:szCs w:val="19"/>
          <w:color w:val="231F20"/>
        </w:rPr>
        <w:t>. The Employee agrees that during any period of time when the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Employee is subject to restrictions pursuant to Section 1, the Employee will notify any prospective employer or business associate of the terms and existence of this Agreement and the Employee’s continuing obligations to the Company hereunder. The Employee further agrees, during such period, to give notice to the Company of each new business activity the Employee plans to undertake, at least ten business days prior to beginning any such activity that could reasonably be viewed to be in conflict with the Employee’s obligations under this Agreement. The notice shall state the name and address of the individual, corporation, association or other entity or organization (“Entity”) for whom such activity is undertaken and the name of the Employee’s business relationship or position with the Entity. The Employee also agrees to provide the Company with other pertinent information concerning such business activity as the Company may reasonably request in order to determine the Employee’s continued compliance with his/her obligations under this Agreement.</w:t>
      </w:r>
    </w:p>
    <w:p>
      <w:pPr>
        <w:spacing w:after="0" w:line="200" w:lineRule="exact"/>
        <w:rPr>
          <w:sz w:val="20"/>
          <w:szCs w:val="20"/>
          <w:color w:val="auto"/>
        </w:rPr>
      </w:pPr>
    </w:p>
    <w:p>
      <w:pPr>
        <w:spacing w:after="0" w:line="226" w:lineRule="exact"/>
        <w:rPr>
          <w:sz w:val="20"/>
          <w:szCs w:val="20"/>
          <w:color w:val="auto"/>
        </w:rPr>
      </w:pPr>
    </w:p>
    <w:p>
      <w:pPr>
        <w:ind w:left="940" w:hanging="648"/>
        <w:spacing w:after="0"/>
        <w:tabs>
          <w:tab w:leader="none" w:pos="940" w:val="left"/>
        </w:tabs>
        <w:numPr>
          <w:ilvl w:val="0"/>
          <w:numId w:val="164"/>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u w:val="single" w:color="auto"/>
          <w:color w:val="231F20"/>
        </w:rPr>
        <w:t>Miscellaneous</w:t>
      </w:r>
      <w:r>
        <w:rPr>
          <w:rFonts w:ascii="Times New Roman" w:cs="Times New Roman" w:eastAsia="Times New Roman" w:hAnsi="Times New Roman"/>
          <w:sz w:val="20"/>
          <w:szCs w:val="20"/>
          <w:color w:val="231F20"/>
        </w:rPr>
        <w:t>.</w:t>
      </w:r>
    </w:p>
    <w:p>
      <w:pPr>
        <w:spacing w:after="0" w:line="206" w:lineRule="exact"/>
        <w:rPr>
          <w:rFonts w:ascii="Times New Roman" w:cs="Times New Roman" w:eastAsia="Times New Roman" w:hAnsi="Times New Roman"/>
          <w:sz w:val="22"/>
          <w:szCs w:val="22"/>
          <w:color w:val="231F20"/>
        </w:rPr>
      </w:pPr>
    </w:p>
    <w:p>
      <w:pPr>
        <w:jc w:val="both"/>
        <w:ind w:left="300" w:right="299" w:firstLine="1612"/>
        <w:spacing w:after="0"/>
        <w:tabs>
          <w:tab w:leader="none" w:pos="2170" w:val="left"/>
        </w:tabs>
        <w:numPr>
          <w:ilvl w:val="1"/>
          <w:numId w:val="164"/>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u w:val="single" w:color="auto"/>
          <w:color w:val="231F20"/>
        </w:rPr>
        <w:t>Equitable Remedies</w:t>
      </w:r>
      <w:r>
        <w:rPr>
          <w:rFonts w:ascii="Times New Roman" w:cs="Times New Roman" w:eastAsia="Times New Roman" w:hAnsi="Times New Roman"/>
          <w:sz w:val="20"/>
          <w:szCs w:val="20"/>
          <w:color w:val="231F20"/>
        </w:rPr>
        <w:t>. The Employee acknowledges that the restrictions contained in this Agreement are necessary for the protection of the business and goodwill of the Company and are considered by the Employee to be reasonable for such purpose. The Employee agrees that any breach or threatened breach of this Agreement may result in the Company incurring substantial and irrevocable damage which is difficult to measure. Therefore, in the event of any such breach or threatened breach, the Employee agrees that the Company, in addition to any and all other remedies which may be available, shall have the right to seek an injunction from a court restraining such a breach or threatened breach without posting a bond and the right to specific performance of the provisions of this Agreement and the Employee hereby waives the adequacy of a remedy at law as a defense to such relief.</w:t>
      </w:r>
    </w:p>
    <w:p>
      <w:pPr>
        <w:spacing w:after="0" w:line="184" w:lineRule="exact"/>
        <w:rPr>
          <w:sz w:val="20"/>
          <w:szCs w:val="20"/>
          <w:color w:val="auto"/>
        </w:rPr>
      </w:pPr>
    </w:p>
    <w:p>
      <w:pPr>
        <w:jc w:val="both"/>
        <w:ind w:left="300" w:right="319" w:firstLine="1296"/>
        <w:spacing w:after="0" w:line="245" w:lineRule="auto"/>
        <w:rPr>
          <w:sz w:val="20"/>
          <w:szCs w:val="20"/>
          <w:color w:val="auto"/>
        </w:rPr>
      </w:pPr>
      <w:r>
        <w:rPr>
          <w:rFonts w:ascii="Times New Roman" w:cs="Times New Roman" w:eastAsia="Times New Roman" w:hAnsi="Times New Roman"/>
          <w:sz w:val="22"/>
          <w:szCs w:val="22"/>
          <w:color w:val="231F20"/>
        </w:rPr>
        <w:t>(b)</w:t>
      </w:r>
      <w:r>
        <w:rPr>
          <w:rFonts w:ascii="Times New Roman" w:cs="Times New Roman" w:eastAsia="Times New Roman" w:hAnsi="Times New Roman"/>
          <w:sz w:val="19"/>
          <w:szCs w:val="19"/>
          <w:u w:val="single" w:color="auto"/>
          <w:color w:val="231F20"/>
        </w:rPr>
        <w:t>Not Employment Contract</w:t>
      </w:r>
      <w:r>
        <w:rPr>
          <w:rFonts w:ascii="Times New Roman" w:cs="Times New Roman" w:eastAsia="Times New Roman" w:hAnsi="Times New Roman"/>
          <w:sz w:val="19"/>
          <w:szCs w:val="19"/>
          <w:color w:val="231F20"/>
        </w:rPr>
        <w:t>. The Employee acknowledges that this Agreement does not</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constitute a contract of employment, does not imply that the Company will continue his/her employment for any period of time, and does not change the at-will nature of his/her employment.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300" w:right="299" w:firstLine="1296"/>
        <w:spacing w:after="0" w:line="254" w:lineRule="auto"/>
        <w:rPr>
          <w:sz w:val="20"/>
          <w:szCs w:val="20"/>
          <w:color w:val="auto"/>
        </w:rPr>
      </w:pPr>
      <w:r>
        <w:rPr>
          <w:rFonts w:ascii="Times New Roman" w:cs="Times New Roman" w:eastAsia="Times New Roman" w:hAnsi="Times New Roman"/>
          <w:sz w:val="22"/>
          <w:szCs w:val="22"/>
          <w:color w:val="231F20"/>
        </w:rPr>
        <w:t>(c)</w:t>
      </w:r>
      <w:r>
        <w:rPr>
          <w:rFonts w:ascii="Times New Roman" w:cs="Times New Roman" w:eastAsia="Times New Roman" w:hAnsi="Times New Roman"/>
          <w:sz w:val="19"/>
          <w:szCs w:val="19"/>
          <w:u w:val="single" w:color="auto"/>
          <w:color w:val="231F20"/>
        </w:rPr>
        <w:t>Acknowledgments</w:t>
      </w:r>
      <w:r>
        <w:rPr>
          <w:rFonts w:ascii="Times New Roman" w:cs="Times New Roman" w:eastAsia="Times New Roman" w:hAnsi="Times New Roman"/>
          <w:sz w:val="19"/>
          <w:szCs w:val="19"/>
          <w:color w:val="231F20"/>
        </w:rPr>
        <w:t>. The Company hereby advises the Employee and the Employee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hereby acknowledges that he or she has the right to consult with counsel prior to signing this Agreement. The Employee further acknowledges that this Agreement is supported by fair and reasonable consideration independent from the Employee’s continued employment, that the Employee has been provided at least ten</w:t>
      </w:r>
    </w:p>
    <w:p>
      <w:pPr>
        <w:spacing w:after="0" w:line="226" w:lineRule="exact"/>
        <w:rPr>
          <w:sz w:val="20"/>
          <w:szCs w:val="20"/>
          <w:color w:val="auto"/>
        </w:rPr>
      </w:pPr>
    </w:p>
    <w:p>
      <w:pPr>
        <w:jc w:val="both"/>
        <w:ind w:left="300" w:right="299" w:hanging="8"/>
        <w:spacing w:after="0" w:line="242" w:lineRule="auto"/>
        <w:tabs>
          <w:tab w:leader="none" w:pos="717" w:val="left"/>
        </w:tabs>
        <w:numPr>
          <w:ilvl w:val="0"/>
          <w:numId w:val="1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business days to review this Agreement, and that this Agreement shall not take effect until the eleventh (11th) business day following the date on which the Company provided it to the Employee for review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608965</wp:posOffset>
            </wp:positionV>
            <wp:extent cx="703770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235" w:name="page236"/>
    <w:bookmarkEnd w:id="235"/>
    <w:p>
      <w:pPr>
        <w:jc w:val="both"/>
        <w:ind w:left="300" w:right="299" w:firstLine="1296"/>
        <w:spacing w:after="0" w:line="255" w:lineRule="auto"/>
        <w:rPr>
          <w:sz w:val="20"/>
          <w:szCs w:val="20"/>
          <w:color w:val="auto"/>
        </w:rPr>
      </w:pPr>
      <w:r>
        <w:rPr>
          <w:rFonts w:ascii="Times New Roman" w:cs="Times New Roman" w:eastAsia="Times New Roman" w:hAnsi="Times New Roman"/>
          <w:sz w:val="22"/>
          <w:szCs w:val="22"/>
          <w:color w:val="231F20"/>
        </w:rPr>
        <w:t>(d)</w:t>
      </w:r>
      <w:r>
        <w:rPr>
          <w:rFonts w:ascii="Times New Roman" w:cs="Times New Roman" w:eastAsia="Times New Roman" w:hAnsi="Times New Roman"/>
          <w:sz w:val="19"/>
          <w:szCs w:val="19"/>
          <w:u w:val="single" w:color="auto"/>
          <w:color w:val="231F20"/>
        </w:rPr>
        <w:t>Successors and Assigns</w:t>
      </w:r>
      <w:r>
        <w:rPr>
          <w:rFonts w:ascii="Times New Roman" w:cs="Times New Roman" w:eastAsia="Times New Roman" w:hAnsi="Times New Roman"/>
          <w:sz w:val="19"/>
          <w:szCs w:val="19"/>
          <w:color w:val="231F20"/>
        </w:rPr>
        <w:t>. This Agreement shall be binding upon and inure to the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benefit of both parties and their respective successors and assigns, including any corporation with which, or into which, the Company may be merged or which may succeed to the Company’s assets or business, provided, however, that the obligations of the Employee are personal and shall not be assigned by him or her. The Employee expressly consents to be bound by the provisions of this Agreement for the benefit of the Company or any subsidiary or affiliate thereof to whose employ the Employee may be transferred without the necessity that this Agreement be re-signed at the time of such transfer.</w:t>
      </w:r>
    </w:p>
    <w:p>
      <w:pPr>
        <w:spacing w:after="0" w:line="174" w:lineRule="exact"/>
        <w:rPr>
          <w:sz w:val="20"/>
          <w:szCs w:val="20"/>
          <w:color w:val="auto"/>
        </w:rPr>
      </w:pPr>
    </w:p>
    <w:p>
      <w:pPr>
        <w:jc w:val="both"/>
        <w:ind w:left="300" w:right="299" w:firstLine="1296"/>
        <w:spacing w:after="0" w:line="256" w:lineRule="auto"/>
        <w:rPr>
          <w:sz w:val="20"/>
          <w:szCs w:val="20"/>
          <w:color w:val="auto"/>
        </w:rPr>
      </w:pPr>
      <w:r>
        <w:rPr>
          <w:rFonts w:ascii="Times New Roman" w:cs="Times New Roman" w:eastAsia="Times New Roman" w:hAnsi="Times New Roman"/>
          <w:sz w:val="22"/>
          <w:szCs w:val="22"/>
          <w:color w:val="231F20"/>
        </w:rPr>
        <w:t>(e)</w:t>
      </w:r>
      <w:r>
        <w:rPr>
          <w:rFonts w:ascii="Times New Roman" w:cs="Times New Roman" w:eastAsia="Times New Roman" w:hAnsi="Times New Roman"/>
          <w:sz w:val="19"/>
          <w:szCs w:val="19"/>
          <w:u w:val="single" w:color="auto"/>
          <w:color w:val="231F20"/>
        </w:rPr>
        <w:t>Interpretation</w:t>
      </w:r>
      <w:r>
        <w:rPr>
          <w:rFonts w:ascii="Times New Roman" w:cs="Times New Roman" w:eastAsia="Times New Roman" w:hAnsi="Times New Roman"/>
          <w:sz w:val="19"/>
          <w:szCs w:val="19"/>
          <w:color w:val="231F20"/>
        </w:rPr>
        <w:t>. If any restriction or definition set forth in this Agreement is found by</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any court of competent jurisdiction to be unenforceable because it extends for too long a period of time or over too great a range of conduct, activities, or geographic area, it shall be interpreted to extend only over the maximum period of time, range of conduct, activities or geographic area as to which it may be enforceable.</w:t>
      </w:r>
    </w:p>
    <w:p>
      <w:pPr>
        <w:spacing w:after="0" w:line="200" w:lineRule="exact"/>
        <w:rPr>
          <w:sz w:val="20"/>
          <w:szCs w:val="20"/>
          <w:color w:val="auto"/>
        </w:rPr>
      </w:pPr>
    </w:p>
    <w:p>
      <w:pPr>
        <w:spacing w:after="0" w:line="222" w:lineRule="exact"/>
        <w:rPr>
          <w:sz w:val="20"/>
          <w:szCs w:val="20"/>
          <w:color w:val="auto"/>
        </w:rPr>
      </w:pPr>
    </w:p>
    <w:p>
      <w:pPr>
        <w:jc w:val="both"/>
        <w:ind w:left="300" w:right="299" w:firstLine="1296"/>
        <w:spacing w:after="0" w:line="245" w:lineRule="auto"/>
        <w:rPr>
          <w:sz w:val="20"/>
          <w:szCs w:val="20"/>
          <w:color w:val="auto"/>
        </w:rPr>
      </w:pPr>
      <w:r>
        <w:rPr>
          <w:rFonts w:ascii="Times New Roman" w:cs="Times New Roman" w:eastAsia="Times New Roman" w:hAnsi="Times New Roman"/>
          <w:sz w:val="22"/>
          <w:szCs w:val="22"/>
          <w:color w:val="231F20"/>
        </w:rPr>
        <w:t>(f)</w:t>
      </w:r>
      <w:r>
        <w:rPr>
          <w:rFonts w:ascii="Times New Roman" w:cs="Times New Roman" w:eastAsia="Times New Roman" w:hAnsi="Times New Roman"/>
          <w:sz w:val="19"/>
          <w:szCs w:val="19"/>
          <w:u w:val="single" w:color="auto"/>
          <w:color w:val="231F20"/>
        </w:rPr>
        <w:t>Severability</w:t>
      </w:r>
      <w:r>
        <w:rPr>
          <w:rFonts w:ascii="Times New Roman" w:cs="Times New Roman" w:eastAsia="Times New Roman" w:hAnsi="Times New Roman"/>
          <w:sz w:val="19"/>
          <w:szCs w:val="19"/>
          <w:color w:val="231F20"/>
        </w:rPr>
        <w:t>. If any provision of this Agreement shall be invalid, illegal or otherwise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unenforceable, and cannot be reformed to make it enforceable, the validity, legality and enforceability of the remaining provisions of this Agreement shall in no way be affected or impaired thereby.</w:t>
      </w:r>
    </w:p>
    <w:p>
      <w:pPr>
        <w:spacing w:after="0" w:line="178" w:lineRule="exact"/>
        <w:rPr>
          <w:sz w:val="20"/>
          <w:szCs w:val="20"/>
          <w:color w:val="auto"/>
        </w:rPr>
      </w:pPr>
    </w:p>
    <w:p>
      <w:pPr>
        <w:jc w:val="both"/>
        <w:ind w:left="300" w:right="299" w:firstLine="1296"/>
        <w:spacing w:after="0" w:line="247" w:lineRule="auto"/>
        <w:rPr>
          <w:sz w:val="20"/>
          <w:szCs w:val="20"/>
          <w:color w:val="auto"/>
        </w:rPr>
      </w:pPr>
      <w:r>
        <w:rPr>
          <w:rFonts w:ascii="Times New Roman" w:cs="Times New Roman" w:eastAsia="Times New Roman" w:hAnsi="Times New Roman"/>
          <w:sz w:val="22"/>
          <w:szCs w:val="22"/>
          <w:color w:val="231F20"/>
        </w:rPr>
        <w:t>(g)</w:t>
      </w:r>
      <w:r>
        <w:rPr>
          <w:rFonts w:ascii="Times New Roman" w:cs="Times New Roman" w:eastAsia="Times New Roman" w:hAnsi="Times New Roman"/>
          <w:sz w:val="19"/>
          <w:szCs w:val="19"/>
          <w:u w:val="single" w:color="auto"/>
          <w:color w:val="231F20"/>
        </w:rPr>
        <w:t>Waivers</w:t>
      </w:r>
      <w:r>
        <w:rPr>
          <w:rFonts w:ascii="Times New Roman" w:cs="Times New Roman" w:eastAsia="Times New Roman" w:hAnsi="Times New Roman"/>
          <w:sz w:val="19"/>
          <w:szCs w:val="19"/>
          <w:color w:val="231F20"/>
        </w:rPr>
        <w:t>. No delay or omission by the Company in exercising any right under this</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91" w:lineRule="exact"/>
        <w:rPr>
          <w:sz w:val="20"/>
          <w:szCs w:val="20"/>
          <w:color w:val="auto"/>
        </w:rPr>
      </w:pPr>
    </w:p>
    <w:p>
      <w:pPr>
        <w:jc w:val="both"/>
        <w:ind w:left="300" w:right="299" w:firstLine="1296"/>
        <w:spacing w:after="0" w:line="253" w:lineRule="auto"/>
        <w:rPr>
          <w:sz w:val="20"/>
          <w:szCs w:val="20"/>
          <w:color w:val="auto"/>
        </w:rPr>
      </w:pPr>
      <w:r>
        <w:rPr>
          <w:rFonts w:ascii="Times New Roman" w:cs="Times New Roman" w:eastAsia="Times New Roman" w:hAnsi="Times New Roman"/>
          <w:sz w:val="22"/>
          <w:szCs w:val="22"/>
          <w:color w:val="231F20"/>
        </w:rPr>
        <w:t>(h)</w:t>
      </w:r>
      <w:r>
        <w:rPr>
          <w:rFonts w:ascii="Times New Roman" w:cs="Times New Roman" w:eastAsia="Times New Roman" w:hAnsi="Times New Roman"/>
          <w:sz w:val="19"/>
          <w:szCs w:val="19"/>
          <w:u w:val="single" w:color="auto"/>
          <w:color w:val="231F20"/>
        </w:rPr>
        <w:t>Tax Withholding; Section 409A</w:t>
      </w:r>
      <w:r>
        <w:rPr>
          <w:rFonts w:ascii="Times New Roman" w:cs="Times New Roman" w:eastAsia="Times New Roman" w:hAnsi="Times New Roman"/>
          <w:sz w:val="19"/>
          <w:szCs w:val="19"/>
          <w:color w:val="231F20"/>
        </w:rPr>
        <w:t>. Any compensatory payments under or referred to in</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this Agreement will be subject to all required tax and other withholdings. This Agreement is intended to comply with or be exempt from the provisions of Section 409A of the Internal Revenue Code of 1986, as amended (“Section 409A”) and the Agreement will, to the extent practicable, be construed in accordance therewith. Terms defined in this Agreement will have the meanings given such terms under Section 409A if and to the extent required to comply with Section 409A and a termination of employment will mean a “separation from service” as defined in Section 409A. For purposes of this Agreement, each amount to be paid or benefit to be provided, including a series of installment payments, will be construed as a separate identified payment for purposes of Section 409A. If and to the extent any portion of any payment, compensation or other benefit provided to the Employee in connection with his/her separation from service (as defined in Section 409A) is determined to constitute “nonqualified deferred compensation” within the meaning of Section 409A and the Employee is a specified employee as defined in Section 409A(a)(2)(B)(i) of the Code, as determined by the Company in accordance with its procedures, by which determination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231F20"/>
        </w:rPr>
        <w:t>Employee hereby agrees that he/she is bound, such portion of the payment, compensation or other benefit will not be paid before the earlier of (i) the day that is six months plus one day after the date of separation from service (as determined under Section 409A) or (ii) the tenth day after the date of his/her death (as applicable, the “New Payment Date”). The aggregate of any payments that otherwise would have been paid to the Employee during the period between the date of separation from service and the New Payment Date will be paid to the Employee in a lump sum in the first payroll period beginning after such New Payment Date (or, with respect to payment after death, as soon as reasonably practicable and within the time limits permitted by Section 409A), and any remaining payments will be paid on their original schedule. In any event, the Company makes no representations or warranty and will have no liability to the Employee or any other person if any provisions of or payments under this Agreement are determined to constitute deferred compensation subject to Section 409A but not to satisfy the conditions of that section</w:t>
      </w:r>
    </w:p>
    <w:p>
      <w:pPr>
        <w:spacing w:after="0" w:line="183" w:lineRule="exact"/>
        <w:rPr>
          <w:sz w:val="20"/>
          <w:szCs w:val="20"/>
          <w:color w:val="auto"/>
        </w:rPr>
      </w:pPr>
    </w:p>
    <w:p>
      <w:pPr>
        <w:jc w:val="both"/>
        <w:ind w:left="300" w:right="299" w:firstLine="1296"/>
        <w:spacing w:after="0" w:line="247" w:lineRule="auto"/>
        <w:rPr>
          <w:sz w:val="20"/>
          <w:szCs w:val="20"/>
          <w:color w:val="auto"/>
        </w:rPr>
      </w:pPr>
      <w:r>
        <w:rPr>
          <w:rFonts w:ascii="Times New Roman" w:cs="Times New Roman" w:eastAsia="Times New Roman" w:hAnsi="Times New Roman"/>
          <w:sz w:val="22"/>
          <w:szCs w:val="22"/>
          <w:color w:val="231F20"/>
        </w:rPr>
        <w:t>(i)</w:t>
      </w:r>
      <w:r>
        <w:rPr>
          <w:rFonts w:ascii="Times New Roman" w:cs="Times New Roman" w:eastAsia="Times New Roman" w:hAnsi="Times New Roman"/>
          <w:sz w:val="19"/>
          <w:szCs w:val="19"/>
          <w:u w:val="single" w:color="auto"/>
          <w:color w:val="231F20"/>
        </w:rPr>
        <w:t>Governing Law and Consent To Jurisdiction</w:t>
      </w:r>
      <w:r>
        <w:rPr>
          <w:rFonts w:ascii="Times New Roman" w:cs="Times New Roman" w:eastAsia="Times New Roman" w:hAnsi="Times New Roman"/>
          <w:sz w:val="19"/>
          <w:szCs w:val="19"/>
          <w:color w:val="231F20"/>
        </w:rPr>
        <w:t>. This Agreement shall be governed by and</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construed in accordance with the laws of the Commonwealth of Massachusetts (without reference to the conflicts of laws provisions thereof). Any action, suit, or other legal proceeding which is commenced to resolve any matter arising under or relating to any provision of this Agreement shall be commenced only in a court in Suffolk County, Massachusetts (or, if appropriate, a federal court located within Massachusetts), and the Company and the Employee each consents to the jurisdiction of such courts. The Company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757555</wp:posOffset>
            </wp:positionV>
            <wp:extent cx="703770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36" w:name="page237"/>
    <w:bookmarkEnd w:id="236"/>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231F20"/>
        </w:rPr>
        <w:t>Employee each hereby irrevocably waives any right to a trial by jury in any action, suit or other legal proceeding arising under or relating to any provision of this Agreement.</w:t>
      </w:r>
    </w:p>
    <w:p>
      <w:pPr>
        <w:spacing w:after="0" w:line="155" w:lineRule="exact"/>
        <w:rPr>
          <w:sz w:val="20"/>
          <w:szCs w:val="20"/>
          <w:color w:val="auto"/>
        </w:rPr>
      </w:pPr>
    </w:p>
    <w:p>
      <w:pPr>
        <w:jc w:val="both"/>
        <w:ind w:left="300" w:right="299" w:firstLine="1296"/>
        <w:spacing w:after="0" w:line="256" w:lineRule="auto"/>
        <w:rPr>
          <w:sz w:val="20"/>
          <w:szCs w:val="20"/>
          <w:color w:val="auto"/>
        </w:rPr>
      </w:pPr>
      <w:r>
        <w:rPr>
          <w:rFonts w:ascii="Times New Roman" w:cs="Times New Roman" w:eastAsia="Times New Roman" w:hAnsi="Times New Roman"/>
          <w:sz w:val="22"/>
          <w:szCs w:val="22"/>
          <w:color w:val="231F20"/>
        </w:rPr>
        <w:t>(j)</w:t>
      </w:r>
      <w:r>
        <w:rPr>
          <w:rFonts w:ascii="Times New Roman" w:cs="Times New Roman" w:eastAsia="Times New Roman" w:hAnsi="Times New Roman"/>
          <w:sz w:val="19"/>
          <w:szCs w:val="19"/>
          <w:u w:val="single" w:color="auto"/>
          <w:color w:val="231F20"/>
        </w:rPr>
        <w:t>Entire Agreement; Amendment</w:t>
      </w:r>
      <w:r>
        <w:rPr>
          <w:rFonts w:ascii="Times New Roman" w:cs="Times New Roman" w:eastAsia="Times New Roman" w:hAnsi="Times New Roman"/>
          <w:sz w:val="19"/>
          <w:szCs w:val="19"/>
          <w:color w:val="231F20"/>
        </w:rPr>
        <w:t>. This Agreement supersedes all prior agreements,</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written or oral, between the Employee and the Company relating to the subject matter of this Agreement. This Agreement may not be modified, changed or discharged in whole or in part, except by an agreement in writing signed by the Employee and the Company. The Employee agrees that any change or changes in his/her duties, authority, title, reporting relationship, territory, salary or compensation after the signing of this Agreement shall not affect the validity or scope of this Agreement.</w:t>
      </w:r>
    </w:p>
    <w:p>
      <w:pPr>
        <w:spacing w:after="0" w:line="171" w:lineRule="exact"/>
        <w:rPr>
          <w:sz w:val="20"/>
          <w:szCs w:val="20"/>
          <w:color w:val="auto"/>
        </w:rPr>
      </w:pPr>
    </w:p>
    <w:p>
      <w:pPr>
        <w:jc w:val="both"/>
        <w:ind w:left="300" w:right="299" w:firstLine="1296"/>
        <w:spacing w:after="0" w:line="260" w:lineRule="auto"/>
        <w:rPr>
          <w:sz w:val="20"/>
          <w:szCs w:val="20"/>
          <w:color w:val="auto"/>
        </w:rPr>
      </w:pPr>
      <w:r>
        <w:rPr>
          <w:rFonts w:ascii="Times New Roman" w:cs="Times New Roman" w:eastAsia="Times New Roman" w:hAnsi="Times New Roman"/>
          <w:sz w:val="22"/>
          <w:szCs w:val="22"/>
          <w:color w:val="231F20"/>
        </w:rPr>
        <w:t>(k)</w:t>
      </w:r>
      <w:r>
        <w:rPr>
          <w:rFonts w:ascii="Times New Roman" w:cs="Times New Roman" w:eastAsia="Times New Roman" w:hAnsi="Times New Roman"/>
          <w:sz w:val="19"/>
          <w:szCs w:val="19"/>
          <w:u w:val="single" w:color="auto"/>
          <w:color w:val="231F20"/>
        </w:rPr>
        <w:t>Captions</w:t>
      </w:r>
      <w:r>
        <w:rPr>
          <w:rFonts w:ascii="Times New Roman" w:cs="Times New Roman" w:eastAsia="Times New Roman" w:hAnsi="Times New Roman"/>
          <w:sz w:val="19"/>
          <w:szCs w:val="19"/>
          <w:color w:val="231F20"/>
        </w:rPr>
        <w:t>. The captions of the sections of this Agreement are for convenience of</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19"/>
          <w:szCs w:val="19"/>
          <w:color w:val="231F20"/>
        </w:rPr>
        <w:t>reference only and in no way define, limit or affect the scope or substance of any section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right="479"/>
        <w:spacing w:after="0" w:line="269" w:lineRule="auto"/>
        <w:rPr>
          <w:sz w:val="20"/>
          <w:szCs w:val="20"/>
          <w:color w:val="auto"/>
        </w:rPr>
      </w:pPr>
      <w:r>
        <w:rPr>
          <w:rFonts w:ascii="Times New Roman" w:cs="Times New Roman" w:eastAsia="Times New Roman" w:hAnsi="Times New Roman"/>
          <w:sz w:val="20"/>
          <w:szCs w:val="20"/>
          <w:color w:val="231F20"/>
        </w:rPr>
        <w:t>The employee acknowledges that he/she has carefully read this agreement, understands and agrees to all of the provisions in this agreement, and hereby executes this agreement under seal.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By: AlexanderCumbo</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231F20"/>
        </w:rPr>
        <w:t>President and Chief Executive Officer</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20"/>
          <w:szCs w:val="20"/>
          <w:color w:val="231F20"/>
        </w:rPr>
        <w:t>[Name]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1193165</wp:posOffset>
            </wp:positionV>
            <wp:extent cx="703770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EXHIBIT 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Form of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EXHIBIT D TO EMPLOYMENT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231F20"/>
        </w:rPr>
        <w:t>VIA HAND DELIVERY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231F20"/>
        </w:rPr>
        <w:t>[Insert Date]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Kevin Tan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231F20"/>
        </w:rPr>
        <w:t>[Insert Employee Address]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Dear Kevin Tan:</w:t>
      </w:r>
    </w:p>
    <w:p>
      <w:pPr>
        <w:spacing w:after="0" w:line="212" w:lineRule="exact"/>
        <w:rPr>
          <w:sz w:val="20"/>
          <w:szCs w:val="20"/>
          <w:color w:val="auto"/>
        </w:rPr>
      </w:pPr>
    </w:p>
    <w:p>
      <w:pPr>
        <w:ind w:left="300" w:right="339" w:firstLine="647"/>
        <w:spacing w:after="0" w:line="233" w:lineRule="auto"/>
        <w:rPr>
          <w:sz w:val="20"/>
          <w:szCs w:val="20"/>
          <w:color w:val="auto"/>
        </w:rPr>
      </w:pPr>
      <w:r>
        <w:rPr>
          <w:rFonts w:ascii="Times New Roman" w:cs="Times New Roman" w:eastAsia="Times New Roman" w:hAnsi="Times New Roman"/>
          <w:sz w:val="20"/>
          <w:szCs w:val="20"/>
          <w:color w:val="231F20"/>
        </w:rPr>
        <w:t>As we discussed, your employment with Solid Biosciences Inc. (the “Company”) [</w:t>
      </w:r>
      <w:r>
        <w:rPr>
          <w:rFonts w:ascii="Times New Roman" w:cs="Times New Roman" w:eastAsia="Times New Roman" w:hAnsi="Times New Roman"/>
          <w:sz w:val="20"/>
          <w:szCs w:val="20"/>
          <w:b w:val="1"/>
          <w:bCs w:val="1"/>
          <w:color w:val="231F20"/>
        </w:rPr>
        <w:t>is ending</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color w:val="231F20"/>
        </w:rPr>
        <w:t>has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color w:val="231F20"/>
        </w:rPr>
        <w:t>ended</w:t>
      </w:r>
      <w:r>
        <w:rPr>
          <w:rFonts w:ascii="Times New Roman" w:cs="Times New Roman" w:eastAsia="Times New Roman" w:hAnsi="Times New Roman"/>
          <w:sz w:val="20"/>
          <w:szCs w:val="20"/>
          <w:color w:val="231F20"/>
        </w:rPr>
        <w:t>] effective</w:t>
      </w:r>
      <w:r>
        <w:rPr>
          <w:rFonts w:ascii="Times New Roman" w:cs="Times New Roman" w:eastAsia="Times New Roman" w:hAnsi="Times New Roman"/>
          <w:sz w:val="20"/>
          <w:szCs w:val="20"/>
          <w:b w:val="1"/>
          <w:bCs w:val="1"/>
          <w:color w:val="231F20"/>
        </w:rPr>
        <w:t xml:space="preserve"> [insert Separation Date] </w:t>
      </w:r>
      <w:r>
        <w:rPr>
          <w:rFonts w:ascii="Times New Roman" w:cs="Times New Roman" w:eastAsia="Times New Roman" w:hAnsi="Times New Roman"/>
          <w:sz w:val="20"/>
          <w:szCs w:val="20"/>
          <w:color w:val="231F20"/>
        </w:rPr>
        <w:t>(the “Separation Date”). As we also discussed, you will be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eligible to receive the severance benefits described in </w:t>
      </w:r>
      <w:r>
        <w:rPr>
          <w:rFonts w:ascii="Times New Roman" w:cs="Times New Roman" w:eastAsia="Times New Roman" w:hAnsi="Times New Roman"/>
          <w:sz w:val="20"/>
          <w:szCs w:val="20"/>
          <w:b w:val="1"/>
          <w:bCs w:val="1"/>
          <w:color w:val="231F20"/>
        </w:rPr>
        <w:t>[Section 7(b) or 7(c)]</w:t>
      </w:r>
      <w:r>
        <w:rPr>
          <w:rFonts w:ascii="Times New Roman" w:cs="Times New Roman" w:eastAsia="Times New Roman" w:hAnsi="Times New Roman"/>
          <w:sz w:val="20"/>
          <w:szCs w:val="20"/>
          <w:color w:val="231F20"/>
        </w:rPr>
        <w:t xml:space="preserve"> of the Employment Agreement dated [</w:t>
      </w:r>
      <w:r>
        <w:rPr>
          <w:rFonts w:ascii="Times New Roman" w:cs="Times New Roman" w:eastAsia="Times New Roman" w:hAnsi="Times New Roman"/>
          <w:sz w:val="20"/>
          <w:szCs w:val="20"/>
          <w:b w:val="1"/>
          <w:bCs w:val="1"/>
          <w:color w:val="231F20"/>
        </w:rPr>
        <w:t>insert date</w:t>
      </w:r>
      <w:r>
        <w:rPr>
          <w:rFonts w:ascii="Times New Roman" w:cs="Times New Roman" w:eastAsia="Times New Roman" w:hAnsi="Times New Roman"/>
          <w:sz w:val="20"/>
          <w:szCs w:val="20"/>
          <w:color w:val="231F20"/>
        </w:rPr>
        <w:t xml:space="preserve">] between you and the Company to which this letter agreement is attached as Exhibit D (the “Employment Agreement”), and referenced in paragraph 1 below, if you sign and return this letter agreement to me on or before </w:t>
      </w:r>
      <w:r>
        <w:rPr>
          <w:rFonts w:ascii="Times New Roman" w:cs="Times New Roman" w:eastAsia="Times New Roman" w:hAnsi="Times New Roman"/>
          <w:sz w:val="20"/>
          <w:szCs w:val="20"/>
          <w:b w:val="1"/>
          <w:bCs w:val="1"/>
          <w:color w:val="231F20"/>
        </w:rPr>
        <w:t>[insert return date</w:t>
      </w:r>
      <w:r>
        <w:rPr>
          <w:rFonts w:ascii="Times New Roman" w:cs="Times New Roman" w:eastAsia="Times New Roman" w:hAnsi="Times New Roman"/>
          <w:sz w:val="26"/>
          <w:szCs w:val="26"/>
          <w:b w:val="1"/>
          <w:bCs w:val="1"/>
          <w:color w:val="231F20"/>
          <w:vertAlign w:val="superscript"/>
        </w:rPr>
        <w:t>2</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but no earlier than the Separation Date, and do not revoke your agreement (as described below). By signing and returning this letter agreement and not revoking your acceptance, you will be entering into a binding agreement with the Company and will be agreeing to the terms and conditions set forth in the numbered paragraphs below, including the release of claims set forth in paragraph 2. Therefore, you are advised to consult with an attorney before signing this letter agreement and you have been given at least </w:t>
      </w:r>
      <w:r>
        <w:rPr>
          <w:rFonts w:ascii="Times New Roman" w:cs="Times New Roman" w:eastAsia="Times New Roman" w:hAnsi="Times New Roman"/>
          <w:sz w:val="20"/>
          <w:szCs w:val="20"/>
          <w:b w:val="1"/>
          <w:bCs w:val="1"/>
          <w:color w:val="231F20"/>
        </w:rPr>
        <w:t>[twenty-one (21)][forty-five (45)</w:t>
      </w:r>
      <w:r>
        <w:rPr>
          <w:rFonts w:ascii="Times New Roman" w:cs="Times New Roman" w:eastAsia="Times New Roman" w:hAnsi="Times New Roman"/>
          <w:sz w:val="26"/>
          <w:szCs w:val="26"/>
          <w:b w:val="1"/>
          <w:bCs w:val="1"/>
          <w:color w:val="231F20"/>
          <w:vertAlign w:val="superscript"/>
        </w:rPr>
        <w:t>3</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days to do so. If you sign this letter agreement, you may change your mind and revoke your agreement during the seven</w:t>
      </w:r>
    </w:p>
    <w:p>
      <w:pPr>
        <w:ind w:left="300" w:right="499" w:hanging="8"/>
        <w:spacing w:after="0" w:line="242" w:lineRule="auto"/>
        <w:tabs>
          <w:tab w:leader="none" w:pos="580" w:val="left"/>
        </w:tabs>
        <w:numPr>
          <w:ilvl w:val="0"/>
          <w:numId w:val="1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business day period after you have signed it (the “Revocation Period”) by notifying me in writing. If you do not so revoke, this letter agreement will become a binding agreement between you and the Company upon the expiration of the Revocation Period.</w:t>
      </w:r>
    </w:p>
    <w:p>
      <w:pPr>
        <w:spacing w:after="0" w:line="187" w:lineRule="exact"/>
        <w:rPr>
          <w:sz w:val="20"/>
          <w:szCs w:val="20"/>
          <w:color w:val="auto"/>
        </w:rPr>
      </w:pPr>
    </w:p>
    <w:p>
      <w:pPr>
        <w:ind w:left="300" w:right="319" w:firstLine="647"/>
        <w:spacing w:after="0" w:line="269" w:lineRule="auto"/>
        <w:rPr>
          <w:sz w:val="20"/>
          <w:szCs w:val="20"/>
          <w:color w:val="auto"/>
        </w:rPr>
      </w:pPr>
      <w:r>
        <w:rPr>
          <w:rFonts w:ascii="Times New Roman" w:cs="Times New Roman" w:eastAsia="Times New Roman" w:hAnsi="Times New Roman"/>
          <w:sz w:val="20"/>
          <w:szCs w:val="20"/>
          <w:color w:val="231F20"/>
        </w:rPr>
        <w:t>Although your receipt of the severance benefits is expressly conditioned on your entering into this letter agreement, the following will apply regardless of whether or not you do so:</w:t>
      </w:r>
    </w:p>
    <w:p>
      <w:pPr>
        <w:spacing w:after="0" w:line="159" w:lineRule="exact"/>
        <w:rPr>
          <w:sz w:val="20"/>
          <w:szCs w:val="20"/>
          <w:color w:val="auto"/>
        </w:rPr>
      </w:pPr>
    </w:p>
    <w:p>
      <w:pPr>
        <w:ind w:left="1560" w:right="739" w:hanging="296"/>
        <w:spacing w:after="0" w:line="274" w:lineRule="auto"/>
        <w:tabs>
          <w:tab w:leader="none" w:pos="1560" w:val="left"/>
        </w:tabs>
        <w:numPr>
          <w:ilvl w:val="0"/>
          <w:numId w:val="1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the Separation Date, all salary payments from the Company will cease and any benefits you had as of the Separation Date under Company-provided benefit plans, programs, or practices will terminate, except as required by federal or state law.</w:t>
      </w:r>
    </w:p>
    <w:p>
      <w:pPr>
        <w:spacing w:after="0" w:line="156" w:lineRule="exact"/>
        <w:rPr>
          <w:rFonts w:ascii="Times New Roman" w:cs="Times New Roman" w:eastAsia="Times New Roman" w:hAnsi="Times New Roman"/>
          <w:sz w:val="19"/>
          <w:szCs w:val="19"/>
          <w:color w:val="231F20"/>
        </w:rPr>
      </w:pPr>
    </w:p>
    <w:p>
      <w:pPr>
        <w:ind w:left="1560" w:right="699" w:hanging="296"/>
        <w:spacing w:after="0" w:line="269" w:lineRule="auto"/>
        <w:tabs>
          <w:tab w:leader="none" w:pos="1560" w:val="left"/>
        </w:tabs>
        <w:numPr>
          <w:ilvl w:val="0"/>
          <w:numId w:val="1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You will receive payment for your final wages and any unused vacation time accrued through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1731645</wp:posOffset>
            </wp:positionV>
            <wp:extent cx="703770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8" w:name="page239"/>
    <w:bookmarkEnd w:id="238"/>
    <w:p>
      <w:pPr>
        <w:jc w:val="both"/>
        <w:ind w:left="1560" w:right="779" w:hanging="296"/>
        <w:spacing w:after="0" w:line="254" w:lineRule="auto"/>
        <w:tabs>
          <w:tab w:leader="none" w:pos="1560" w:val="left"/>
        </w:tabs>
        <w:numPr>
          <w:ilvl w:val="0"/>
          <w:numId w:val="1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You may, if eligible and at your own cost, elect to continue receiving group medical insurance pursuant to the “COBRA” law. Please consult the COBRA materials to be provided under separate cover for details regarding these benefits.</w:t>
      </w:r>
    </w:p>
    <w:p>
      <w:pPr>
        <w:spacing w:after="0" w:line="174" w:lineRule="exact"/>
        <w:rPr>
          <w:rFonts w:ascii="Times New Roman" w:cs="Times New Roman" w:eastAsia="Times New Roman" w:hAnsi="Times New Roman"/>
          <w:sz w:val="20"/>
          <w:szCs w:val="20"/>
          <w:color w:val="231F20"/>
        </w:rPr>
      </w:pPr>
    </w:p>
    <w:p>
      <w:pPr>
        <w:ind w:left="1580" w:right="379" w:hanging="316"/>
        <w:spacing w:after="0" w:line="243" w:lineRule="auto"/>
        <w:tabs>
          <w:tab w:leader="none" w:pos="1580" w:val="left"/>
        </w:tabs>
        <w:numPr>
          <w:ilvl w:val="0"/>
          <w:numId w:val="1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You are obligated to keep confidential and not to use or disclose any and all non-public information concerning the Company that you acquired during the course of your employment with the Company, including any non-public information concerning the Company’s business affairs, business prospects, and financial condition, except as otherwise permitted by paragraph 8 below. Further, you remain subject to your continuing obligations to the Company as set forth in the Invention, Nondisclosure and Nonsolicitation Agreement and Noncompetition Agreement attached to the Employment Agreement as Exhibits B and C (the “Restrictive Covenants Agreements”), which remain in full force and effect.</w:t>
      </w:r>
    </w:p>
    <w:p>
      <w:pPr>
        <w:spacing w:after="0" w:line="185" w:lineRule="exact"/>
        <w:rPr>
          <w:rFonts w:ascii="Times New Roman" w:cs="Times New Roman" w:eastAsia="Times New Roman" w:hAnsi="Times New Roman"/>
          <w:sz w:val="20"/>
          <w:szCs w:val="20"/>
          <w:color w:val="231F20"/>
        </w:rPr>
      </w:pPr>
    </w:p>
    <w:p>
      <w:pPr>
        <w:ind w:left="1580" w:hanging="316"/>
        <w:spacing w:after="0"/>
        <w:tabs>
          <w:tab w:leader="none" w:pos="1580" w:val="left"/>
        </w:tabs>
        <w:numPr>
          <w:ilvl w:val="0"/>
          <w:numId w:val="1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You must return to the Company no later than the Separation Date all Company property.</w:t>
      </w:r>
    </w:p>
    <w:p>
      <w:pPr>
        <w:spacing w:after="0" w:line="227" w:lineRule="exact"/>
        <w:rPr>
          <w:sz w:val="20"/>
          <w:szCs w:val="20"/>
          <w:color w:val="auto"/>
        </w:rPr>
      </w:pPr>
    </w:p>
    <w:p>
      <w:pPr>
        <w:ind w:left="300" w:right="719" w:firstLine="647"/>
        <w:spacing w:after="0" w:line="269" w:lineRule="auto"/>
        <w:rPr>
          <w:sz w:val="20"/>
          <w:szCs w:val="20"/>
          <w:color w:val="auto"/>
        </w:rPr>
      </w:pPr>
      <w:r>
        <w:rPr>
          <w:rFonts w:ascii="Times New Roman" w:cs="Times New Roman" w:eastAsia="Times New Roman" w:hAnsi="Times New Roman"/>
          <w:sz w:val="20"/>
          <w:szCs w:val="20"/>
          <w:color w:val="231F20"/>
        </w:rPr>
        <w:t>If you elect to timely sign and return this letter agreement and do not revoke your acceptance within the Revocation Period, the following terms and conditions will also apply:</w:t>
      </w:r>
    </w:p>
    <w:p>
      <w:pPr>
        <w:spacing w:after="0" w:line="169" w:lineRule="exact"/>
        <w:rPr>
          <w:sz w:val="20"/>
          <w:szCs w:val="20"/>
          <w:color w:val="auto"/>
        </w:rPr>
      </w:pPr>
    </w:p>
    <w:p>
      <w:pPr>
        <w:jc w:val="both"/>
        <w:ind w:left="940" w:right="539"/>
        <w:spacing w:after="0" w:line="244" w:lineRule="auto"/>
        <w:tabs>
          <w:tab w:leader="none" w:pos="1275" w:val="left"/>
        </w:tabs>
        <w:numPr>
          <w:ilvl w:val="0"/>
          <w:numId w:val="169"/>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Severance Benefits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Company will provide you with the pay and benefits set forth in</w:t>
      </w:r>
      <w:r>
        <w:rPr>
          <w:rFonts w:ascii="Times New Roman" w:cs="Times New Roman" w:eastAsia="Times New Roman" w:hAnsi="Times New Roman"/>
          <w:sz w:val="20"/>
          <w:szCs w:val="20"/>
          <w:b w:val="1"/>
          <w:bCs w:val="1"/>
          <w:color w:val="231F20"/>
        </w:rPr>
        <w:t xml:space="preserve"> [Section 7(b) or 7(c)] </w:t>
      </w:r>
      <w:r>
        <w:rPr>
          <w:rFonts w:ascii="Times New Roman" w:cs="Times New Roman" w:eastAsia="Times New Roman" w:hAnsi="Times New Roman"/>
          <w:sz w:val="20"/>
          <w:szCs w:val="20"/>
          <w:color w:val="231F20"/>
        </w:rPr>
        <w:t>of the Employment Agreement (the “severance benefits”), in accordance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 and subject to the terms thereof.</w:t>
      </w:r>
    </w:p>
    <w:p>
      <w:pPr>
        <w:spacing w:after="0" w:line="184" w:lineRule="exact"/>
        <w:rPr>
          <w:sz w:val="20"/>
          <w:szCs w:val="20"/>
          <w:color w:val="auto"/>
        </w:rPr>
      </w:pPr>
    </w:p>
    <w:p>
      <w:pPr>
        <w:ind w:left="940" w:right="919" w:firstLine="648"/>
        <w:spacing w:after="0" w:line="254" w:lineRule="auto"/>
        <w:rPr>
          <w:sz w:val="20"/>
          <w:szCs w:val="20"/>
          <w:color w:val="auto"/>
        </w:rPr>
      </w:pPr>
      <w:r>
        <w:rPr>
          <w:rFonts w:ascii="Times New Roman" w:cs="Times New Roman" w:eastAsia="Times New Roman" w:hAnsi="Times New Roman"/>
          <w:sz w:val="20"/>
          <w:szCs w:val="20"/>
          <w:color w:val="231F20"/>
        </w:rPr>
        <w:t>You will not be eligible for, nor shall you have a right to receive, any payments or benefits from the Company following the Separation Date other than as set forth in this paragraph.</w:t>
      </w:r>
    </w:p>
    <w:p>
      <w:pPr>
        <w:spacing w:after="0" w:line="184" w:lineRule="exact"/>
        <w:rPr>
          <w:sz w:val="20"/>
          <w:szCs w:val="20"/>
          <w:color w:val="auto"/>
        </w:rPr>
      </w:pPr>
    </w:p>
    <w:p>
      <w:pPr>
        <w:ind w:left="940" w:right="339"/>
        <w:spacing w:after="0" w:line="252" w:lineRule="auto"/>
        <w:tabs>
          <w:tab w:leader="none" w:pos="1275" w:val="left"/>
        </w:tabs>
        <w:numPr>
          <w:ilvl w:val="0"/>
          <w:numId w:val="170"/>
        </w:numPr>
        <w:rPr>
          <w:rFonts w:ascii="Times New Roman" w:cs="Times New Roman" w:eastAsia="Times New Roman" w:hAnsi="Times New Roman"/>
          <w:sz w:val="21"/>
          <w:szCs w:val="21"/>
          <w:color w:val="231F20"/>
        </w:rPr>
      </w:pPr>
      <w:r>
        <w:rPr>
          <w:rFonts w:ascii="Times New Roman" w:cs="Times New Roman" w:eastAsia="Times New Roman" w:hAnsi="Times New Roman"/>
          <w:sz w:val="19"/>
          <w:szCs w:val="19"/>
          <w:b w:val="1"/>
          <w:bCs w:val="1"/>
          <w:u w:val="single" w:color="auto"/>
          <w:color w:val="231F20"/>
        </w:rPr>
        <w:t>Release of Claims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In consideration of the severance benefits, which you acknowledge you</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xml:space="preserve">would not otherwise be entitled to receive, you hereby fully, forever, irrevocably and unconditionally release, remise and discharge the Company, its past and present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whether known or unknown, including, but not limited to, any and all claims arising out of or relating to your employment with or separation from, and/or ownership of securities of the Company, including, but not limited to, all claims under Title VII of the Civil Rights Act of 1964, 42 U.S.C. § 2000e </w:t>
      </w:r>
      <w:r>
        <w:rPr>
          <w:rFonts w:ascii="Times New Roman" w:cs="Times New Roman" w:eastAsia="Times New Roman" w:hAnsi="Times New Roman"/>
          <w:sz w:val="19"/>
          <w:szCs w:val="19"/>
          <w:u w:val="single" w:color="auto"/>
          <w:color w:val="231F20"/>
        </w:rPr>
        <w:t>et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seq.</w:t>
      </w:r>
      <w:r>
        <w:rPr>
          <w:rFonts w:ascii="Times New Roman" w:cs="Times New Roman" w:eastAsia="Times New Roman" w:hAnsi="Times New Roman"/>
          <w:sz w:val="19"/>
          <w:szCs w:val="19"/>
          <w:color w:val="231F20"/>
        </w:rPr>
        <w:t xml:space="preserve">, the Americans With Disabilities Act of 1990, 42 U.S.C. § 12101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the Age Discrimination in Employment Act, 29 U.S.C. § 621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the Genetic Information Nondiscrimination Act of 2008, 42 U.S.C. § 2000ff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the Family and Medical Leave Act,</w:t>
      </w:r>
    </w:p>
    <w:p>
      <w:pPr>
        <w:spacing w:after="0" w:line="232" w:lineRule="exact"/>
        <w:rPr>
          <w:rFonts w:ascii="Times New Roman" w:cs="Times New Roman" w:eastAsia="Times New Roman" w:hAnsi="Times New Roman"/>
          <w:sz w:val="21"/>
          <w:szCs w:val="21"/>
          <w:color w:val="231F20"/>
        </w:rPr>
      </w:pPr>
    </w:p>
    <w:p>
      <w:pPr>
        <w:ind w:left="940" w:right="359"/>
        <w:spacing w:after="0" w:line="255" w:lineRule="auto"/>
        <w:tabs>
          <w:tab w:leader="none" w:pos="1187"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U.S.C. § 2601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the Worker Adjustment and Retraining Notification Act (“WARN”), 29 U.S.C. § 2101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the Rehabilitation Act of 1973, 29 U.S.C. § 701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Executive Order 11246, Executive Order 11141, the Fair Credit Reporting Act, 15 U.S.C. § 1681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and the Employee Retirement Income Security Act of 1974 (“ERISA”), 29 U.S.C. § 1001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all as amended; all claims arising out of the Massachusetts Fair Employment Practices Act, Mass. Gen. Laws ch. 151B, § 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the Massachusetts Civil Rights Act, Mass. Gen. Laws ch. 12, §§ 11H and 11I, the Massachusetts Equal Rights Act, Mass. Gen. Laws. ch. 93, § 102, Mass. Gen.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231F20"/>
        </w:rPr>
        <w:t>ch. 214, § 1C (Massachusetts right to be free from sexual harassment law), the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39" w:name="page240"/>
    <w:bookmarkEnd w:id="239"/>
    <w:p>
      <w:pPr>
        <w:ind w:left="940" w:right="319"/>
        <w:spacing w:after="0" w:line="253" w:lineRule="auto"/>
        <w:rPr>
          <w:sz w:val="20"/>
          <w:szCs w:val="20"/>
          <w:color w:val="auto"/>
        </w:rPr>
      </w:pPr>
      <w:r>
        <w:rPr>
          <w:rFonts w:ascii="Times New Roman" w:cs="Times New Roman" w:eastAsia="Times New Roman" w:hAnsi="Times New Roman"/>
          <w:sz w:val="19"/>
          <w:szCs w:val="19"/>
          <w:color w:val="231F20"/>
        </w:rPr>
        <w:t xml:space="preserve">Labor and Industries Act, Mass. Gen. Laws ch. 149, § 1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xml:space="preserve">, Mass. Gen. Laws ch. 214, § 1B (Massachusetts right of privacy law), the Massachusetts Parental Leave Act, Mass. Gen. Laws ch. 149, § 105D, and the Massachusetts Small Necessities Leave Act, Mass. Gen. Laws ch. 149, § 52D, all as amended; all rights and claims under the Massachusetts Wage Act, Mass. Gen. Laws ch. 149, § 148 </w:t>
      </w:r>
      <w:r>
        <w:rPr>
          <w:rFonts w:ascii="Times New Roman" w:cs="Times New Roman" w:eastAsia="Times New Roman" w:hAnsi="Times New Roman"/>
          <w:sz w:val="19"/>
          <w:szCs w:val="19"/>
          <w:u w:val="single" w:color="auto"/>
          <w:color w:val="231F20"/>
        </w:rPr>
        <w:t>et seq.</w:t>
      </w:r>
      <w:r>
        <w:rPr>
          <w:rFonts w:ascii="Times New Roman" w:cs="Times New Roman" w:eastAsia="Times New Roman" w:hAnsi="Times New Roman"/>
          <w:sz w:val="19"/>
          <w:szCs w:val="19"/>
          <w:color w:val="231F20"/>
        </w:rPr>
        <w:t>, as amended (Massachusetts law regarding payment of wages and overtime), including any rights or claims thereunder to unpaid wages, including overtime, bonuses, commissions, and accrued, unused vacation time;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non-vested ownership interest in the Company,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 or local statute or ordinance not expressly referenced above; provided, however, that this release of claims shall not (i)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claim, charge, investigation, or proceeding, and you further waive any rights or claims to any payment, benefit, attorneys’ fees or other remedial relief in connection with any such claim, charge, investigation or proceeding), (ii) deprive you of your rights with respect to any vested rights under any employee benefit plan or policy, stock plan or deferred compensation arrangement, or any health care continuation to the extent required by applicable law; (iii) deprive you of any rights you may have to be indemnified by the Company as provided in any agreement between the Company and you or pursuant to the Company’s Certificate of Incorporation or by-laws. Notwithstanding anything to the contrary in this Agreement, it is understood and agreed by the parties that the claims released pursuant to this Section are not intended to and do not release, restrict, or impair any claim arising out of the Company’s breach of this Agreement and any and all agreements contemplated or executed in connection herewith.</w:t>
      </w:r>
    </w:p>
    <w:p>
      <w:pPr>
        <w:spacing w:after="0" w:line="200" w:lineRule="exact"/>
        <w:rPr>
          <w:sz w:val="20"/>
          <w:szCs w:val="20"/>
          <w:color w:val="auto"/>
        </w:rPr>
      </w:pPr>
    </w:p>
    <w:p>
      <w:pPr>
        <w:spacing w:after="0" w:line="232" w:lineRule="exact"/>
        <w:rPr>
          <w:sz w:val="20"/>
          <w:szCs w:val="20"/>
          <w:color w:val="auto"/>
        </w:rPr>
      </w:pPr>
    </w:p>
    <w:p>
      <w:pPr>
        <w:ind w:left="940" w:right="339"/>
        <w:spacing w:after="0" w:line="253" w:lineRule="auto"/>
        <w:tabs>
          <w:tab w:leader="none" w:pos="1275" w:val="left"/>
        </w:tabs>
        <w:numPr>
          <w:ilvl w:val="0"/>
          <w:numId w:val="172"/>
        </w:numPr>
        <w:rPr>
          <w:rFonts w:ascii="Times New Roman" w:cs="Times New Roman" w:eastAsia="Times New Roman" w:hAnsi="Times New Roman"/>
          <w:sz w:val="21"/>
          <w:szCs w:val="21"/>
          <w:color w:val="231F20"/>
        </w:rPr>
      </w:pPr>
      <w:r>
        <w:rPr>
          <w:rFonts w:ascii="Times New Roman" w:cs="Times New Roman" w:eastAsia="Times New Roman" w:hAnsi="Times New Roman"/>
          <w:sz w:val="19"/>
          <w:szCs w:val="19"/>
          <w:b w:val="1"/>
          <w:bCs w:val="1"/>
          <w:u w:val="single" w:color="auto"/>
          <w:color w:val="231F20"/>
        </w:rPr>
        <w:t>Continuing Obligations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You acknowledge and reaffirm your obligation, except as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xml:space="preserve">otherwise permitted by paragraph 8 below, to keep confidential and not to use or disclose any and all non-public information concerning the Company acquired by you during the course of your employment with the Company, including, but not limited to, any non-public information concerning the Company’s business, operations, products, programs, affairs, performance, personnel, technology, science, intellectual property, plans, strategies, approaches, prospects, financial condition or development related matters. You also acknowledge all of your continuing obligations pursuant to the Restrictive Covenant Agreements you executed in connection with your employment, which survive your separation from employment with the Company and shall remain in full force and effect. [In addition, as an express condition of your receipt of the severance benefits, you agree that, for a period of one (1) year following the Separation Date, you will not, in the Applicable Territory (as defined in the Noncompetition Agreement dated </w:t>
      </w:r>
      <w:r>
        <w:rPr>
          <w:rFonts w:ascii="Times New Roman" w:cs="Times New Roman" w:eastAsia="Times New Roman" w:hAnsi="Times New Roman"/>
          <w:sz w:val="19"/>
          <w:szCs w:val="19"/>
          <w:b w:val="1"/>
          <w:bCs w:val="1"/>
          <w:color w:val="231F20"/>
        </w:rPr>
        <w:t>[insert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b w:val="1"/>
          <w:bCs w:val="1"/>
          <w:color w:val="231F20"/>
        </w:rPr>
        <w:t>date]</w:t>
      </w:r>
      <w:r>
        <w:rPr>
          <w:rFonts w:ascii="Times New Roman" w:cs="Times New Roman" w:eastAsia="Times New Roman" w:hAnsi="Times New Roman"/>
          <w:sz w:val="19"/>
          <w:szCs w:val="19"/>
          <w:color w:val="231F20"/>
        </w:rPr>
        <w:t>), directly or indirectly, whether as an owner, partner, officer, director, employee,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consultant, investor, lender or otherwise, except as the passive holder of not more than 1% of the outstanding stock of a publicly-held company, engage or assist others in engaging in any business or enterprise that is competitive with the Company’s business, including but not limited to any Competitive Company (as defined in the Noncompetition Agreement), if you would be performing a job or job duties or services for the Competitive Company that are the same as or substantially similar to the job or job duties or services that you performed for the Company at any time during the last two (2) years of your employment. If any restriction set forth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40" w:right="339"/>
        <w:spacing w:after="0" w:line="274" w:lineRule="auto"/>
        <w:rPr>
          <w:sz w:val="20"/>
          <w:szCs w:val="20"/>
          <w:color w:val="auto"/>
        </w:rPr>
      </w:pPr>
      <w:r>
        <w:rPr>
          <w:rFonts w:ascii="Times New Roman" w:cs="Times New Roman" w:eastAsia="Times New Roman" w:hAnsi="Times New Roman"/>
          <w:sz w:val="19"/>
          <w:szCs w:val="19"/>
          <w:color w:val="231F20"/>
        </w:rPr>
        <w:t>paragraph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589915</wp:posOffset>
            </wp:positionV>
            <wp:extent cx="703770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240" w:name="page241"/>
    <w:bookmarkEnd w:id="240"/>
    <w:p>
      <w:pPr>
        <w:ind w:left="940" w:right="419"/>
        <w:spacing w:after="0" w:line="267" w:lineRule="auto"/>
        <w:rPr>
          <w:sz w:val="20"/>
          <w:szCs w:val="20"/>
          <w:color w:val="auto"/>
        </w:rPr>
      </w:pPr>
      <w:r>
        <w:rPr>
          <w:rFonts w:ascii="Times New Roman" w:cs="Times New Roman" w:eastAsia="Times New Roman" w:hAnsi="Times New Roman"/>
          <w:sz w:val="20"/>
          <w:szCs w:val="20"/>
          <w:color w:val="231F20"/>
        </w:rPr>
        <w:t>geographic area as to which it may be enforceable. If you violate the non-competition provisions set forth in this paragraph, you shall continue to be bound by such restrictions until a period of one (1) year has expired without any violation of such provisions.]</w:t>
      </w:r>
      <w:r>
        <w:rPr>
          <w:rFonts w:ascii="Times New Roman" w:cs="Times New Roman" w:eastAsia="Times New Roman" w:hAnsi="Times New Roman"/>
          <w:sz w:val="26"/>
          <w:szCs w:val="26"/>
          <w:color w:val="231F20"/>
          <w:vertAlign w:val="superscript"/>
        </w:rPr>
        <w:t>4</w:t>
      </w:r>
    </w:p>
    <w:p>
      <w:pPr>
        <w:spacing w:after="0" w:line="70" w:lineRule="exact"/>
        <w:rPr>
          <w:sz w:val="20"/>
          <w:szCs w:val="20"/>
          <w:color w:val="auto"/>
        </w:rPr>
      </w:pPr>
    </w:p>
    <w:p>
      <w:pPr>
        <w:ind w:left="940" w:right="319"/>
        <w:spacing w:after="0"/>
        <w:tabs>
          <w:tab w:leader="none" w:pos="1276" w:val="left"/>
        </w:tabs>
        <w:numPr>
          <w:ilvl w:val="0"/>
          <w:numId w:val="173"/>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Non-Disparagement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You understand and agree that, to the extent permitted by law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except as otherwise permitted by paragraph 8 below, you will not, in 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employee, board member, consultant, client or customer of the Company, regarding the Company or its affiliates or any of their respective officers, directors, managers or employees, or regarding the Company’s business affairs, business prospects, or financial condition. The Company agrees that the Board of Directors and senior management of the Company shall refrain from making any false, disparaging, derogatory or defamatory statements, online (including, without limitation, on any social media, networking, or employer review site) or otherwise, to any person or entity, regarding you.</w:t>
      </w:r>
    </w:p>
    <w:p>
      <w:pPr>
        <w:spacing w:after="0" w:line="200" w:lineRule="exact"/>
        <w:rPr>
          <w:rFonts w:ascii="Times New Roman" w:cs="Times New Roman" w:eastAsia="Times New Roman" w:hAnsi="Times New Roman"/>
          <w:sz w:val="22"/>
          <w:szCs w:val="22"/>
          <w:color w:val="231F20"/>
        </w:rPr>
      </w:pPr>
    </w:p>
    <w:p>
      <w:pPr>
        <w:ind w:left="940" w:right="339"/>
        <w:spacing w:after="0" w:line="253" w:lineRule="auto"/>
        <w:tabs>
          <w:tab w:leader="none" w:pos="1275" w:val="left"/>
        </w:tabs>
        <w:numPr>
          <w:ilvl w:val="0"/>
          <w:numId w:val="173"/>
        </w:numPr>
        <w:rPr>
          <w:rFonts w:ascii="Times New Roman" w:cs="Times New Roman" w:eastAsia="Times New Roman" w:hAnsi="Times New Roman"/>
          <w:sz w:val="21"/>
          <w:szCs w:val="21"/>
          <w:color w:val="231F20"/>
        </w:rPr>
      </w:pPr>
      <w:r>
        <w:rPr>
          <w:rFonts w:ascii="Times New Roman" w:cs="Times New Roman" w:eastAsia="Times New Roman" w:hAnsi="Times New Roman"/>
          <w:sz w:val="19"/>
          <w:szCs w:val="19"/>
          <w:b w:val="1"/>
          <w:bCs w:val="1"/>
          <w:u w:val="single" w:color="auto"/>
          <w:color w:val="231F20"/>
        </w:rPr>
        <w:t>Return of Company Property</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You confirm that you have returned to the Company all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keys, files, records (and copies thereof), equipment (including, but not limited to, computer hardware, software, printers, flash drives and other storage devices, wireless handheld devices, cellular phones, tablets, etc.), Company identification, and any other Company owned property in your possession or control, and that you have left intact, and have otherwise not destroyed, deleted, or made inaccessible to the Company, all electronic Company documents, including, but not limited to, those that you developed or helped to develop during your employment, and that you have not (a) retained any copies in any form or media; (b) maintained access to any copies in any form, media, or location; (c) stored any copies in any physical or electronic locations that are not readily accessible or not known to the Company or that remain accessible to you; or (d) sent, given, or made accessible any copies to any persons or entities that the Company has not authorized to receive such electronic or hard copies. You further confirm that you have cancelled all accounts for your benefit, if any, in the Company’s name, including but not limited to, credit cards, telephone charge cards, cellular phone accounts, and computer accounts.</w:t>
      </w:r>
    </w:p>
    <w:p>
      <w:pPr>
        <w:spacing w:after="0" w:line="200" w:lineRule="exact"/>
        <w:rPr>
          <w:rFonts w:ascii="Times New Roman" w:cs="Times New Roman" w:eastAsia="Times New Roman" w:hAnsi="Times New Roman"/>
          <w:sz w:val="21"/>
          <w:szCs w:val="21"/>
          <w:color w:val="231F20"/>
        </w:rPr>
      </w:pPr>
    </w:p>
    <w:p>
      <w:pPr>
        <w:spacing w:after="0" w:line="200" w:lineRule="exact"/>
        <w:rPr>
          <w:rFonts w:ascii="Times New Roman" w:cs="Times New Roman" w:eastAsia="Times New Roman" w:hAnsi="Times New Roman"/>
          <w:sz w:val="21"/>
          <w:szCs w:val="21"/>
          <w:color w:val="231F20"/>
        </w:rPr>
      </w:pPr>
    </w:p>
    <w:p>
      <w:pPr>
        <w:spacing w:after="0" w:line="239" w:lineRule="exact"/>
        <w:rPr>
          <w:rFonts w:ascii="Times New Roman" w:cs="Times New Roman" w:eastAsia="Times New Roman" w:hAnsi="Times New Roman"/>
          <w:sz w:val="21"/>
          <w:szCs w:val="21"/>
          <w:color w:val="231F20"/>
        </w:rPr>
      </w:pPr>
    </w:p>
    <w:p>
      <w:pPr>
        <w:ind w:left="940" w:right="379"/>
        <w:spacing w:after="0" w:line="241" w:lineRule="auto"/>
        <w:tabs>
          <w:tab w:leader="none" w:pos="1275" w:val="left"/>
        </w:tabs>
        <w:numPr>
          <w:ilvl w:val="0"/>
          <w:numId w:val="173"/>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Business Expenses and Final Compensation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You acknowledge that you have been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reimbursed by the Company for all business expenses incurred in conjunction with the performance of your employment and that no other reimbursements are owed to you. You further acknowledge that you have received payment in full for all services rendered in conjunction with your employment by the Company, including payment for all wages, bonuses, and accrued, unused vacation time, and that no other compensation, benefit or consideration is owed to you except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40" w:right="439"/>
        <w:spacing w:after="0" w:line="241" w:lineRule="auto"/>
        <w:tabs>
          <w:tab w:leader="none" w:pos="1272" w:val="left"/>
        </w:tabs>
        <w:numPr>
          <w:ilvl w:val="0"/>
          <w:numId w:val="174"/>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Confidentiality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You understand and agree that, to the extent permitted by law and except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 otherwise permitted by paragraph 8 below, the terms and contents of this letter agreement, and the contents of the negotiations and discussions resulting in this letter agreement, shall be maintained as confidential by you and your agents and representatives and shall not be disclosed except as otherwise agreed to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241" w:name="page242"/>
    <w:bookmarkEnd w:id="241"/>
    <w:p>
      <w:pPr>
        <w:ind w:left="940" w:right="319"/>
        <w:spacing w:after="0"/>
        <w:tabs>
          <w:tab w:leader="none" w:pos="1276" w:val="left"/>
        </w:tabs>
        <w:numPr>
          <w:ilvl w:val="0"/>
          <w:numId w:val="175"/>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Scope of Disclosure Restrictions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You understand that nothing in this letter agreement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elsewhere prohibits you from filing a charge or complaint with the Securities and Exchange Commission or any other federal, state, or local governmental regulatory or law enforcement agency (“Government Agencies”). You further understand that nothing in this letter agreement or elsewhere limits your ability to, without notice or approval from the Company, communicate with any Government Agencies or otherwise participate in or fully cooperate with any investigation or proceeding that may be conducted by any Government Agency, including providing documents or other information to a Government Agency, nor does it limit your right to participate in the Securities and Exchange Commission’s whistleblower program.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96" w:lineRule="exact"/>
        <w:rPr>
          <w:rFonts w:ascii="Times New Roman" w:cs="Times New Roman" w:eastAsia="Times New Roman" w:hAnsi="Times New Roman"/>
          <w:sz w:val="22"/>
          <w:szCs w:val="22"/>
          <w:color w:val="231F20"/>
        </w:rPr>
      </w:pPr>
    </w:p>
    <w:p>
      <w:pPr>
        <w:ind w:left="940" w:right="339"/>
        <w:spacing w:after="0"/>
        <w:tabs>
          <w:tab w:leader="none" w:pos="1275" w:val="left"/>
        </w:tabs>
        <w:numPr>
          <w:ilvl w:val="0"/>
          <w:numId w:val="175"/>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Cooperation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You agree that, to the extent permitted by law, you shall cooperate fully with</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Company in the investigation, 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Your full cooperation in connection with such claims or actions shall include, but not be limited to, being available to meet with the Company’s counsel, at reasonable times and locations designated by the Company, to investigate or prepare the Company’s claims or defenses, to prepare for trial or discovery or an administrative hearing, mediation, arbitration or other proceeding, to provide any relevant information in your possession, and to act as a witness when requested by the Company. You further agree that, to the extent permitted by law, you will notify the Company promptly in the event that you are served with a subpoena (other than a subpoena issued by a government agency), or in the event that you are asked to provide a third party (other than a government agency) with information concerning any actual or potential complaint or claim against the Company.</w:t>
      </w:r>
    </w:p>
    <w:p>
      <w:pPr>
        <w:spacing w:after="0" w:line="200" w:lineRule="exact"/>
        <w:rPr>
          <w:rFonts w:ascii="Times New Roman" w:cs="Times New Roman" w:eastAsia="Times New Roman" w:hAnsi="Times New Roman"/>
          <w:sz w:val="22"/>
          <w:szCs w:val="22"/>
          <w:color w:val="231F20"/>
        </w:rPr>
      </w:pPr>
    </w:p>
    <w:p>
      <w:pPr>
        <w:spacing w:after="0" w:line="200" w:lineRule="exact"/>
        <w:rPr>
          <w:rFonts w:ascii="Times New Roman" w:cs="Times New Roman" w:eastAsia="Times New Roman" w:hAnsi="Times New Roman"/>
          <w:sz w:val="22"/>
          <w:szCs w:val="22"/>
          <w:color w:val="231F20"/>
        </w:rPr>
      </w:pPr>
    </w:p>
    <w:p>
      <w:pPr>
        <w:spacing w:after="0" w:line="244" w:lineRule="exact"/>
        <w:rPr>
          <w:rFonts w:ascii="Times New Roman" w:cs="Times New Roman" w:eastAsia="Times New Roman" w:hAnsi="Times New Roman"/>
          <w:sz w:val="22"/>
          <w:szCs w:val="22"/>
          <w:color w:val="231F20"/>
        </w:rPr>
      </w:pPr>
    </w:p>
    <w:p>
      <w:pPr>
        <w:ind w:left="940" w:right="319"/>
        <w:spacing w:after="0" w:line="256" w:lineRule="auto"/>
        <w:tabs>
          <w:tab w:leader="none" w:pos="1276" w:val="left"/>
        </w:tabs>
        <w:numPr>
          <w:ilvl w:val="0"/>
          <w:numId w:val="175"/>
        </w:numPr>
        <w:rPr>
          <w:rFonts w:ascii="Times New Roman" w:cs="Times New Roman" w:eastAsia="Times New Roman" w:hAnsi="Times New Roman"/>
          <w:sz w:val="21"/>
          <w:szCs w:val="21"/>
          <w:color w:val="231F20"/>
        </w:rPr>
      </w:pPr>
      <w:r>
        <w:rPr>
          <w:rFonts w:ascii="Times New Roman" w:cs="Times New Roman" w:eastAsia="Times New Roman" w:hAnsi="Times New Roman"/>
          <w:sz w:val="19"/>
          <w:szCs w:val="19"/>
          <w:b w:val="1"/>
          <w:bCs w:val="1"/>
          <w:u w:val="single" w:color="auto"/>
          <w:color w:val="231F20"/>
        </w:rPr>
        <w:t>Amendment and Waiver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This letter agreement shall be binding upon the parties and may</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right="619"/>
        <w:spacing w:after="0" w:line="295" w:lineRule="auto"/>
        <w:rPr>
          <w:sz w:val="20"/>
          <w:szCs w:val="20"/>
          <w:color w:val="auto"/>
        </w:rPr>
      </w:pPr>
      <w:r>
        <w:rPr>
          <w:rFonts w:ascii="Times New Roman" w:cs="Times New Roman" w:eastAsia="Times New Roman" w:hAnsi="Times New Roman"/>
          <w:sz w:val="19"/>
          <w:szCs w:val="19"/>
          <w:color w:val="231F20"/>
        </w:rPr>
        <w:t>A waiver or consent given by the Company on any one occasion shall be effective only in that instance and shall not be construed as a bar to or waiver of any right on any other occasion.</w:t>
      </w:r>
    </w:p>
    <w:p>
      <w:pPr>
        <w:spacing w:after="0" w:line="147" w:lineRule="exact"/>
        <w:rPr>
          <w:sz w:val="20"/>
          <w:szCs w:val="20"/>
          <w:color w:val="auto"/>
        </w:rPr>
      </w:pPr>
    </w:p>
    <w:p>
      <w:pPr>
        <w:ind w:left="940" w:right="359"/>
        <w:spacing w:after="0" w:line="242" w:lineRule="auto"/>
        <w:tabs>
          <w:tab w:leader="none" w:pos="1273" w:val="left"/>
        </w:tabs>
        <w:numPr>
          <w:ilvl w:val="0"/>
          <w:numId w:val="176"/>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Validity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Should any provision of this letter agreement be declared or be determined by 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court of competent jurisdiction to be illegal or invalid, the validity of the remaining parts, terms or provisions shall not be affected thereby and said illegal or invalid part, term or provision shall be deemed not to be a part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609600</wp:posOffset>
            </wp:positionV>
            <wp:extent cx="703770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242" w:name="page243"/>
    <w:bookmarkEnd w:id="242"/>
    <w:p>
      <w:pPr>
        <w:ind w:left="940" w:right="539"/>
        <w:spacing w:after="0" w:line="244" w:lineRule="auto"/>
        <w:tabs>
          <w:tab w:leader="none" w:pos="1269" w:val="left"/>
        </w:tabs>
        <w:numPr>
          <w:ilvl w:val="0"/>
          <w:numId w:val="177"/>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Nature of Agreement</w:t>
      </w:r>
      <w:r>
        <w:rPr>
          <w:rFonts w:ascii="Times New Roman" w:cs="Times New Roman" w:eastAsia="Times New Roman" w:hAnsi="Times New Roman"/>
          <w:sz w:val="20"/>
          <w:szCs w:val="20"/>
          <w:b w:val="1"/>
          <w:bCs w:val="1"/>
          <w:color w:val="231F20"/>
        </w:rPr>
        <w:t xml:space="preserve"> – </w:t>
      </w:r>
      <w:r>
        <w:rPr>
          <w:rFonts w:ascii="Times New Roman" w:cs="Times New Roman" w:eastAsia="Times New Roman" w:hAnsi="Times New Roman"/>
          <w:sz w:val="20"/>
          <w:szCs w:val="20"/>
          <w:color w:val="231F20"/>
        </w:rPr>
        <w:t>You understand and agree that this letter agreement is a severance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agreement and does not constitute an admission of liability or wrongdoing on the part of the Company.</w:t>
      </w:r>
    </w:p>
    <w:p>
      <w:pPr>
        <w:spacing w:after="0" w:line="193" w:lineRule="exact"/>
        <w:rPr>
          <w:rFonts w:ascii="Times New Roman" w:cs="Times New Roman" w:eastAsia="Times New Roman" w:hAnsi="Times New Roman"/>
          <w:sz w:val="22"/>
          <w:szCs w:val="22"/>
          <w:color w:val="231F20"/>
        </w:rPr>
      </w:pPr>
    </w:p>
    <w:p>
      <w:pPr>
        <w:ind w:left="1280" w:hanging="340"/>
        <w:spacing w:after="0"/>
        <w:tabs>
          <w:tab w:leader="none" w:pos="1280" w:val="left"/>
        </w:tabs>
        <w:numPr>
          <w:ilvl w:val="0"/>
          <w:numId w:val="177"/>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Acknowledgments</w:t>
      </w:r>
      <w:r>
        <w:rPr>
          <w:rFonts w:ascii="Times New Roman" w:cs="Times New Roman" w:eastAsia="Times New Roman" w:hAnsi="Times New Roman"/>
          <w:sz w:val="20"/>
          <w:szCs w:val="20"/>
          <w:b w:val="1"/>
          <w:bCs w:val="1"/>
          <w:color w:val="231F20"/>
        </w:rPr>
        <w:t xml:space="preserve"> – </w:t>
      </w:r>
      <w:r>
        <w:rPr>
          <w:rFonts w:ascii="Times New Roman" w:cs="Times New Roman" w:eastAsia="Times New Roman" w:hAnsi="Times New Roman"/>
          <w:sz w:val="20"/>
          <w:szCs w:val="20"/>
          <w:color w:val="231F20"/>
        </w:rPr>
        <w:t>You acknowledge that you have been given at least</w:t>
      </w:r>
      <w:r>
        <w:rPr>
          <w:rFonts w:ascii="Times New Roman" w:cs="Times New Roman" w:eastAsia="Times New Roman" w:hAnsi="Times New Roman"/>
          <w:sz w:val="20"/>
          <w:szCs w:val="20"/>
          <w:b w:val="1"/>
          <w:bCs w:val="1"/>
          <w:color w:val="231F20"/>
        </w:rPr>
        <w:t xml:space="preserve"> [twenty-one</w:t>
      </w:r>
    </w:p>
    <w:p>
      <w:pPr>
        <w:spacing w:after="0" w:line="15" w:lineRule="exact"/>
        <w:rPr>
          <w:rFonts w:ascii="Times New Roman" w:cs="Times New Roman" w:eastAsia="Times New Roman" w:hAnsi="Times New Roman"/>
          <w:sz w:val="22"/>
          <w:szCs w:val="22"/>
          <w:color w:val="231F20"/>
        </w:rPr>
      </w:pPr>
    </w:p>
    <w:p>
      <w:pPr>
        <w:ind w:left="940" w:right="419"/>
        <w:spacing w:after="0" w:line="234" w:lineRule="auto"/>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color w:val="231F20"/>
        </w:rPr>
        <w:t>(21)/forty-five (45)</w:t>
      </w:r>
      <w:r>
        <w:rPr>
          <w:rFonts w:ascii="Times New Roman" w:cs="Times New Roman" w:eastAsia="Times New Roman" w:hAnsi="Times New Roman"/>
          <w:sz w:val="20"/>
          <w:szCs w:val="20"/>
          <w:color w:val="231F20"/>
        </w:rPr>
        <w:t>]</w:t>
      </w:r>
      <w:r>
        <w:rPr>
          <w:rFonts w:ascii="Times New Roman" w:cs="Times New Roman" w:eastAsia="Times New Roman" w:hAnsi="Times New Roman"/>
          <w:sz w:val="26"/>
          <w:szCs w:val="26"/>
          <w:b w:val="1"/>
          <w:bCs w:val="1"/>
          <w:color w:val="231F20"/>
          <w:vertAlign w:val="superscript"/>
        </w:rPr>
        <w:t>5</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days to consider this letter agreement, and that the Company is hereby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advising you to consult with an attorney of your own choosing prior to signing this letter agreement. You understand that you may revoke this letter agreement for a period of seven (7) business days after you sign this letter agreement by notifying me in writing, and the letter agreement shall not be effective or enforceable until the expiration of this seven (7) business day revocation period. You understand and agree that by entering into this letter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spacing w:after="0" w:line="193" w:lineRule="exact"/>
        <w:rPr>
          <w:rFonts w:ascii="Times New Roman" w:cs="Times New Roman" w:eastAsia="Times New Roman" w:hAnsi="Times New Roman"/>
          <w:sz w:val="22"/>
          <w:szCs w:val="22"/>
          <w:color w:val="231F20"/>
        </w:rPr>
      </w:pPr>
    </w:p>
    <w:p>
      <w:pPr>
        <w:ind w:left="940" w:right="499"/>
        <w:spacing w:after="0" w:line="248" w:lineRule="auto"/>
        <w:tabs>
          <w:tab w:leader="none" w:pos="1268" w:val="left"/>
        </w:tabs>
        <w:numPr>
          <w:ilvl w:val="0"/>
          <w:numId w:val="17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b w:val="1"/>
          <w:bCs w:val="1"/>
          <w:color w:val="231F20"/>
        </w:rPr>
        <w:t>[</w:t>
      </w:r>
      <w:r>
        <w:rPr>
          <w:rFonts w:ascii="Times New Roman" w:cs="Times New Roman" w:eastAsia="Times New Roman" w:hAnsi="Times New Roman"/>
          <w:sz w:val="19"/>
          <w:szCs w:val="19"/>
          <w:b w:val="1"/>
          <w:bCs w:val="1"/>
          <w:color w:val="231F20"/>
        </w:rPr>
        <w:t>Eligibility for Severance Program</w:t>
      </w:r>
      <w:r>
        <w:rPr>
          <w:rFonts w:ascii="Times New Roman" w:cs="Times New Roman" w:eastAsia="Times New Roman" w:hAnsi="Times New Roman"/>
          <w:sz w:val="26"/>
          <w:szCs w:val="26"/>
          <w:b w:val="1"/>
          <w:bCs w:val="1"/>
          <w:color w:val="231F20"/>
          <w:vertAlign w:val="superscript"/>
        </w:rPr>
        <w:t>6</w:t>
      </w:r>
      <w:r>
        <w:rPr>
          <w:rFonts w:ascii="Times New Roman" w:cs="Times New Roman" w:eastAsia="Times New Roman" w:hAnsi="Times New Roman"/>
          <w:sz w:val="22"/>
          <w:szCs w:val="22"/>
          <w:b w:val="1"/>
          <w:bCs w:val="1"/>
          <w:color w:val="231F20"/>
        </w:rPr>
        <w:t xml:space="preserve"> </w:t>
      </w:r>
      <w:r>
        <w:rPr>
          <w:rFonts w:ascii="Times New Roman" w:cs="Times New Roman" w:eastAsia="Times New Roman" w:hAnsi="Times New Roman"/>
          <w:sz w:val="19"/>
          <w:szCs w:val="19"/>
          <w:b w:val="1"/>
          <w:bCs w:val="1"/>
          <w:color w:val="231F20"/>
        </w:rPr>
        <w:t>– Attached to this letter agreement as Attachment</w:t>
      </w:r>
      <w:r>
        <w:rPr>
          <w:rFonts w:ascii="Times New Roman" w:cs="Times New Roman" w:eastAsia="Times New Roman" w:hAnsi="Times New Roman"/>
          <w:sz w:val="22"/>
          <w:szCs w:val="22"/>
          <w:b w:val="1"/>
          <w:bCs w:val="1"/>
          <w:color w:val="231F20"/>
        </w:rPr>
        <w:t xml:space="preserve"> </w:t>
      </w:r>
      <w:r>
        <w:rPr>
          <w:rFonts w:ascii="Times New Roman" w:cs="Times New Roman" w:eastAsia="Times New Roman" w:hAnsi="Times New Roman"/>
          <w:sz w:val="19"/>
          <w:szCs w:val="19"/>
          <w:b w:val="1"/>
          <w:bCs w:val="1"/>
          <w:color w:val="231F20"/>
        </w:rPr>
        <w:t>A is a description of (i) any class, unit or group of individuals covered by the program of severance benefits which the Company has offered to you, and any applicable time limits regarding such severance benefit program; and (ii) the job titles and ages of all individuals eligible or selected for such severance benefit program, and the job titles and ages of all individuals in the same job classification or organizational unit who are not eligible or who were not selected for such severance benefit program.]</w:t>
      </w:r>
    </w:p>
    <w:p>
      <w:pPr>
        <w:spacing w:after="0" w:line="177" w:lineRule="exact"/>
        <w:rPr>
          <w:rFonts w:ascii="Times New Roman" w:cs="Times New Roman" w:eastAsia="Times New Roman" w:hAnsi="Times New Roman"/>
          <w:sz w:val="22"/>
          <w:szCs w:val="22"/>
          <w:color w:val="231F20"/>
        </w:rPr>
      </w:pPr>
    </w:p>
    <w:p>
      <w:pPr>
        <w:ind w:left="940" w:right="559"/>
        <w:spacing w:after="0" w:line="241" w:lineRule="auto"/>
        <w:tabs>
          <w:tab w:leader="none" w:pos="1267" w:val="left"/>
        </w:tabs>
        <w:numPr>
          <w:ilvl w:val="0"/>
          <w:numId w:val="177"/>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Voluntary Assent</w:t>
      </w:r>
      <w:r>
        <w:rPr>
          <w:rFonts w:ascii="Times New Roman" w:cs="Times New Roman" w:eastAsia="Times New Roman" w:hAnsi="Times New Roman"/>
          <w:sz w:val="20"/>
          <w:szCs w:val="20"/>
          <w:b w:val="1"/>
          <w:bCs w:val="1"/>
          <w:color w:val="231F20"/>
        </w:rPr>
        <w:t xml:space="preserve"> – </w:t>
      </w:r>
      <w:r>
        <w:rPr>
          <w:rFonts w:ascii="Times New Roman" w:cs="Times New Roman" w:eastAsia="Times New Roman" w:hAnsi="Times New Roman"/>
          <w:sz w:val="20"/>
          <w:szCs w:val="20"/>
          <w:color w:val="231F20"/>
        </w:rPr>
        <w:t>You affirm that no other promises or agreements of any kind have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been made to or with you by any person or entity whatsoever to cause you to sign this letter agreement, and that you fully understand the meaning and intent of this letter agreement. You further state and represent that you have carefully read this letter agreement, understand the contents herein, freely and voluntarily assent to all of the terms and conditions hereof, and sign your name of your own free act.</w:t>
      </w:r>
    </w:p>
    <w:p>
      <w:pPr>
        <w:spacing w:after="0" w:line="197" w:lineRule="exact"/>
        <w:rPr>
          <w:rFonts w:ascii="Times New Roman" w:cs="Times New Roman" w:eastAsia="Times New Roman" w:hAnsi="Times New Roman"/>
          <w:sz w:val="22"/>
          <w:szCs w:val="22"/>
          <w:color w:val="231F20"/>
        </w:rPr>
      </w:pPr>
    </w:p>
    <w:p>
      <w:pPr>
        <w:ind w:left="940" w:right="339"/>
        <w:spacing w:after="0" w:line="254" w:lineRule="auto"/>
        <w:tabs>
          <w:tab w:leader="none" w:pos="1275" w:val="left"/>
        </w:tabs>
        <w:numPr>
          <w:ilvl w:val="0"/>
          <w:numId w:val="177"/>
        </w:numPr>
        <w:rPr>
          <w:rFonts w:ascii="Times New Roman" w:cs="Times New Roman" w:eastAsia="Times New Roman" w:hAnsi="Times New Roman"/>
          <w:sz w:val="21"/>
          <w:szCs w:val="21"/>
          <w:color w:val="231F20"/>
        </w:rPr>
      </w:pPr>
      <w:r>
        <w:rPr>
          <w:rFonts w:ascii="Times New Roman" w:cs="Times New Roman" w:eastAsia="Times New Roman" w:hAnsi="Times New Roman"/>
          <w:sz w:val="19"/>
          <w:szCs w:val="19"/>
          <w:b w:val="1"/>
          <w:bCs w:val="1"/>
          <w:u w:val="single" w:color="auto"/>
          <w:color w:val="231F20"/>
        </w:rPr>
        <w:t>Applicable Law; Equitable Remedies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This letter agreement shall be interpreted and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construed by the laws of the Commonwealth of Massachusetts, without regard to conflict of laws provisions. You hereby irrevocably submit to and acknowledge and recognize the jurisdiction of the courts of the Commonwealth of Massachusetts, or if appropriate, a federal court located in the Commonwealth of Massachusetts (which courts, for purposes of this letter agreement, are the only courts of competent jurisdiction), over any suit, action or other proceeding arising out of, under or in connection with this letter agreement or the subject matter hereof. Further, you acknowledge that the restrictions referenced and contained in paragraph 3 of this letter agreement are necessary for the protection of the business and goodwill of the Company and are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40" w:right="339"/>
        <w:spacing w:after="0" w:line="244" w:lineRule="auto"/>
        <w:rPr>
          <w:sz w:val="20"/>
          <w:szCs w:val="20"/>
          <w:color w:val="auto"/>
        </w:rPr>
      </w:pPr>
      <w:r>
        <w:rPr>
          <w:rFonts w:ascii="Times New Roman" w:cs="Times New Roman" w:eastAsia="Times New Roman" w:hAnsi="Times New Roman"/>
          <w:sz w:val="20"/>
          <w:szCs w:val="20"/>
          <w:color w:val="231F20"/>
        </w:rPr>
        <w:t>by you to be reasonable for such purpose. You agree that any breach or threatened breach of such provisions is likely to cause the Company substantial and irrevocable damage which is difficult to measure. Therefore, in the event of any such breach or threatened breach, you agree that the Company, in addition to such other remedies that may be available, shall have the right to obtain an injunction from a court restraining such a breach or threatened breach without posting a bond, and the right to specific performance of such provisions, and you hereby waive the adequacy of a remedy at law as a defense to such relief.</w:t>
      </w:r>
    </w:p>
    <w:p>
      <w:pPr>
        <w:spacing w:after="0" w:line="195" w:lineRule="exact"/>
        <w:rPr>
          <w:sz w:val="20"/>
          <w:szCs w:val="20"/>
          <w:color w:val="auto"/>
        </w:rPr>
      </w:pPr>
    </w:p>
    <w:p>
      <w:pPr>
        <w:ind w:left="940" w:right="499"/>
        <w:spacing w:after="0" w:line="275" w:lineRule="auto"/>
        <w:tabs>
          <w:tab w:leader="none" w:pos="1268" w:val="left"/>
        </w:tabs>
        <w:numPr>
          <w:ilvl w:val="0"/>
          <w:numId w:val="178"/>
        </w:numPr>
        <w:rPr>
          <w:rFonts w:ascii="Times New Roman" w:cs="Times New Roman" w:eastAsia="Times New Roman" w:hAnsi="Times New Roman"/>
          <w:sz w:val="21"/>
          <w:szCs w:val="21"/>
          <w:color w:val="231F20"/>
        </w:rPr>
      </w:pPr>
      <w:r>
        <w:rPr>
          <w:rFonts w:ascii="Times New Roman" w:cs="Times New Roman" w:eastAsia="Times New Roman" w:hAnsi="Times New Roman"/>
          <w:sz w:val="19"/>
          <w:szCs w:val="19"/>
          <w:b w:val="1"/>
          <w:bCs w:val="1"/>
          <w:u w:val="single" w:color="auto"/>
          <w:color w:val="231F20"/>
        </w:rPr>
        <w:t>Entire Agreement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This letter agreement contains and constitutes the entire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understanding and agreement between the parties hereto with respect to your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586740</wp:posOffset>
            </wp:positionV>
            <wp:extent cx="703770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243" w:name="page244"/>
    <w:bookmarkEnd w:id="243"/>
    <w:p>
      <w:pPr>
        <w:ind w:left="940" w:right="559" w:firstLine="328"/>
        <w:spacing w:after="0" w:line="269" w:lineRule="auto"/>
        <w:rPr>
          <w:sz w:val="20"/>
          <w:szCs w:val="20"/>
          <w:color w:val="auto"/>
        </w:rPr>
      </w:pPr>
      <w:r>
        <w:rPr>
          <w:rFonts w:ascii="Times New Roman" w:cs="Times New Roman" w:eastAsia="Times New Roman" w:hAnsi="Times New Roman"/>
          <w:sz w:val="20"/>
          <w:szCs w:val="20"/>
          <w:color w:val="231F20"/>
        </w:rPr>
        <w:t>and the settlement of claims against the Company and cancels all previous oral and written negotiations, agreements, and commitments in connection therewith.</w:t>
      </w:r>
    </w:p>
    <w:p>
      <w:pPr>
        <w:spacing w:after="0" w:line="169" w:lineRule="exact"/>
        <w:rPr>
          <w:sz w:val="20"/>
          <w:szCs w:val="20"/>
          <w:color w:val="auto"/>
        </w:rPr>
      </w:pPr>
    </w:p>
    <w:p>
      <w:pPr>
        <w:ind w:left="940" w:right="359"/>
        <w:spacing w:after="0" w:line="241" w:lineRule="auto"/>
        <w:tabs>
          <w:tab w:leader="none" w:pos="1273" w:val="left"/>
        </w:tabs>
        <w:numPr>
          <w:ilvl w:val="0"/>
          <w:numId w:val="179"/>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b w:val="1"/>
          <w:bCs w:val="1"/>
          <w:u w:val="single" w:color="auto"/>
          <w:color w:val="231F20"/>
        </w:rPr>
        <w:t>Tax Acknowledgement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In connection with the severance benefits provided to you</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pursuant to this letter agreement, the Company shall withhold and remit to the tax authorities the amounts required under applicable law, and you shall be responsible for all applicable taxes with respect to such severance benefits under applicable law. You acknowledge that you are not relying upon the advice or representation of the Company with respect to the tax treatment of any of the severance benefits.</w:t>
      </w:r>
    </w:p>
    <w:p>
      <w:pPr>
        <w:spacing w:after="0" w:line="175" w:lineRule="exact"/>
        <w:rPr>
          <w:sz w:val="20"/>
          <w:szCs w:val="20"/>
          <w:color w:val="auto"/>
        </w:rPr>
      </w:pPr>
    </w:p>
    <w:p>
      <w:pPr>
        <w:ind w:left="300" w:right="679" w:firstLine="648"/>
        <w:spacing w:after="0" w:line="283" w:lineRule="auto"/>
        <w:rPr>
          <w:sz w:val="20"/>
          <w:szCs w:val="20"/>
          <w:color w:val="auto"/>
        </w:rPr>
      </w:pPr>
      <w:r>
        <w:rPr>
          <w:rFonts w:ascii="Times New Roman" w:cs="Times New Roman" w:eastAsia="Times New Roman" w:hAnsi="Times New Roman"/>
          <w:sz w:val="20"/>
          <w:szCs w:val="20"/>
          <w:color w:val="231F20"/>
        </w:rPr>
        <w:t xml:space="preserve">If you have any questions about the matters covered in this letter agreement, please call me at </w:t>
      </w:r>
      <w:r>
        <w:rPr>
          <w:rFonts w:ascii="Times New Roman" w:cs="Times New Roman" w:eastAsia="Times New Roman" w:hAnsi="Times New Roman"/>
          <w:sz w:val="20"/>
          <w:szCs w:val="20"/>
          <w:b w:val="1"/>
          <w:bCs w:val="1"/>
          <w:color w:val="231F20"/>
        </w:rPr>
        <w:t>[Insert Phone Number]</w:t>
      </w:r>
      <w:r>
        <w:rPr>
          <w:rFonts w:ascii="Times New Roman" w:cs="Times New Roman" w:eastAsia="Times New Roman" w:hAnsi="Times New Roman"/>
          <w:sz w:val="20"/>
          <w:szCs w:val="20"/>
          <w:color w:val="231F20"/>
        </w:rPr>
        <w:t>.</w:t>
      </w:r>
    </w:p>
    <w:p>
      <w:pPr>
        <w:spacing w:after="0" w:line="14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231F20"/>
        </w:rPr>
        <w:t>Very truly yours,</w:t>
      </w: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231F2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-10795</wp:posOffset>
            </wp:positionV>
            <wp:extent cx="2514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231F20"/>
        </w:rPr>
        <w:t>[Insert Name]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231F20"/>
        </w:rPr>
        <w:t>[Insert Title]</w:t>
      </w:r>
    </w:p>
    <w:p>
      <w:pPr>
        <w:ind w:left="300"/>
        <w:spacing w:after="0"/>
        <w:rPr>
          <w:sz w:val="20"/>
          <w:szCs w:val="20"/>
          <w:color w:val="auto"/>
        </w:rPr>
      </w:pPr>
      <w:r>
        <w:rPr>
          <w:rFonts w:ascii="Times New Roman" w:cs="Times New Roman" w:eastAsia="Times New Roman" w:hAnsi="Times New Roman"/>
          <w:sz w:val="20"/>
          <w:szCs w:val="20"/>
          <w:color w:val="231F20"/>
        </w:rPr>
        <w:t xml:space="preserve">I hereby agree to the terms and conditions set forth above. I have been given at least </w:t>
      </w:r>
      <w:r>
        <w:rPr>
          <w:rFonts w:ascii="Times New Roman" w:cs="Times New Roman" w:eastAsia="Times New Roman" w:hAnsi="Times New Roman"/>
          <w:sz w:val="20"/>
          <w:szCs w:val="20"/>
          <w:b w:val="1"/>
          <w:bCs w:val="1"/>
          <w:color w:val="231F20"/>
        </w:rPr>
        <w:t>[twenty-one</w:t>
      </w:r>
    </w:p>
    <w:p>
      <w:pPr>
        <w:spacing w:after="0" w:line="4" w:lineRule="exact"/>
        <w:rPr>
          <w:sz w:val="20"/>
          <w:szCs w:val="20"/>
          <w:color w:val="auto"/>
        </w:rPr>
      </w:pPr>
    </w:p>
    <w:p>
      <w:pPr>
        <w:jc w:val="both"/>
        <w:ind w:left="300" w:right="399"/>
        <w:spacing w:after="0" w:line="222" w:lineRule="auto"/>
        <w:rPr>
          <w:sz w:val="20"/>
          <w:szCs w:val="20"/>
          <w:color w:val="auto"/>
        </w:rPr>
      </w:pPr>
      <w:r>
        <w:rPr>
          <w:rFonts w:ascii="Times New Roman" w:cs="Times New Roman" w:eastAsia="Times New Roman" w:hAnsi="Times New Roman"/>
          <w:sz w:val="20"/>
          <w:szCs w:val="20"/>
          <w:b w:val="1"/>
          <w:bCs w:val="1"/>
          <w:color w:val="231F20"/>
        </w:rPr>
        <w:t>(21)/forty-five (45)]</w:t>
      </w:r>
      <w:r>
        <w:rPr>
          <w:rFonts w:ascii="Times New Roman" w:cs="Times New Roman" w:eastAsia="Times New Roman" w:hAnsi="Times New Roman"/>
          <w:sz w:val="26"/>
          <w:szCs w:val="26"/>
          <w:b w:val="1"/>
          <w:bCs w:val="1"/>
          <w:color w:val="231F20"/>
          <w:vertAlign w:val="superscript"/>
        </w:rPr>
        <w:t>7</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days to consider this letter agreement, and I have chosen to execute this on the date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below. I intend that this letter agreement will become a binding agreement between me and the Company if I do not revoke my acceptance in seven (7)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spacing w:after="0"/>
        <w:tabs>
          <w:tab w:leader="none" w:pos="2900" w:val="left"/>
        </w:tabs>
        <w:rPr>
          <w:sz w:val="20"/>
          <w:szCs w:val="20"/>
          <w:color w:val="auto"/>
        </w:rPr>
      </w:pPr>
      <w:r>
        <w:rPr>
          <w:rFonts w:ascii="Times New Roman" w:cs="Times New Roman" w:eastAsia="Times New Roman" w:hAnsi="Times New Roman"/>
          <w:sz w:val="20"/>
          <w:szCs w:val="20"/>
          <w:b w:val="1"/>
          <w:bCs w:val="1"/>
          <w:color w:val="231F20"/>
        </w:rPr>
        <w:t>Kevin Tan</w:t>
      </w:r>
      <w:r>
        <w:rPr>
          <w:sz w:val="20"/>
          <w:szCs w:val="20"/>
          <w:color w:val="auto"/>
        </w:rPr>
        <w:tab/>
      </w:r>
      <w:r>
        <w:rPr>
          <w:rFonts w:ascii="Times New Roman" w:cs="Times New Roman" w:eastAsia="Times New Roman" w:hAnsi="Times New Roman"/>
          <w:sz w:val="19"/>
          <w:szCs w:val="19"/>
          <w:color w:val="231F20"/>
        </w:rPr>
        <w:t>Date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To be returned in a timely manner as set forth on the first page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1870075</wp:posOffset>
            </wp:positionV>
            <wp:extent cx="703770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EMPLOYMENT AGREEMENT</w:t>
      </w:r>
    </w:p>
    <w:p>
      <w:pPr>
        <w:spacing w:after="0" w:line="200" w:lineRule="exact"/>
        <w:rPr>
          <w:sz w:val="20"/>
          <w:szCs w:val="20"/>
          <w:color w:val="auto"/>
        </w:rPr>
      </w:pPr>
    </w:p>
    <w:p>
      <w:pPr>
        <w:spacing w:after="0" w:line="3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First Amendment to the Employment Agreement (“First Amendment”) effective as of August 14, 2025 (“Effective Date”) is made and entered by and between Solid Biosciences Inc. (the “Company”) and Kevin Tan (the “Executive”) (together, the “Parties”).</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amend that certain Employment Agreement by and between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effective January 9, 2023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set forth herein, the Parties agree as follows:</w:t>
      </w:r>
    </w:p>
    <w:p>
      <w:pPr>
        <w:spacing w:after="0" w:line="139"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7(b) of the Agreement shall be deleted in its entirety and replaced with the following:</w:t>
      </w: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jc w:val="both"/>
        <w:ind w:left="340" w:hanging="8"/>
        <w:spacing w:after="0" w:line="255" w:lineRule="auto"/>
        <w:tabs>
          <w:tab w:leader="none" w:pos="62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the Company Without Cause or by the Executive With Good Reason More than Three (3) Months Prior to or More Than Twelve Months Following a Change in Control</w:t>
      </w:r>
      <w:r>
        <w:rPr>
          <w:rFonts w:ascii="Times New Roman" w:cs="Times New Roman" w:eastAsia="Times New Roman" w:hAnsi="Times New Roman"/>
          <w:sz w:val="19"/>
          <w:szCs w:val="19"/>
          <w:color w:val="auto"/>
        </w:rPr>
        <w:t>. If the Executive’s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employment is terminated by the Company without Cause pursuant to Section 6(b) or by the Executive with Good Reason pursuant to Section 6(c) (in either case, a “Qualifying Termination”) more than three (3) months prior to or more than twelve (12) months following a Change in Control (as defined below), the Executive shall be entitled to the Accrued Obligations. In addition, and subject to Exhibit A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pro-rated for the year in which such Qualifying Termination occurs based on the number of full weeks the Executive has work for the Company in such year through the date of such termination; and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00" w:lineRule="exact"/>
        <w:rPr>
          <w:rFonts w:ascii="Times New Roman" w:cs="Times New Roman" w:eastAsia="Times New Roman" w:hAnsi="Times New Roman"/>
          <w:sz w:val="19"/>
          <w:szCs w:val="19"/>
          <w:color w:val="auto"/>
        </w:rPr>
      </w:pPr>
    </w:p>
    <w:p>
      <w:pPr>
        <w:spacing w:after="0" w:line="220"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7(c) of the Agreement shall be deleted in its entirety and replaced with the following: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7" w:lineRule="exact"/>
        <w:rPr>
          <w:rFonts w:ascii="Times New Roman" w:cs="Times New Roman" w:eastAsia="Times New Roman" w:hAnsi="Times New Roman"/>
          <w:sz w:val="20"/>
          <w:szCs w:val="20"/>
          <w:color w:val="auto"/>
        </w:rPr>
      </w:pPr>
    </w:p>
    <w:p>
      <w:pPr>
        <w:jc w:val="both"/>
        <w:ind w:left="340" w:firstLine="62"/>
        <w:spacing w:after="0" w:line="242" w:lineRule="auto"/>
        <w:tabs>
          <w:tab w:leader="none" w:pos="699"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Termination by the Company Without Cause or by the Executive With Good Reason Within Three (3) Months Prior to or Within Twelve Months Following a Change in Control. </w:t>
      </w:r>
      <w:r>
        <w:rPr>
          <w:rFonts w:ascii="Times New Roman" w:cs="Times New Roman" w:eastAsia="Times New Roman" w:hAnsi="Times New Roman"/>
          <w:sz w:val="20"/>
          <w:szCs w:val="20"/>
          <w:color w:val="auto"/>
        </w:rPr>
        <w:t>If a Qualifying Termination occurs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within three (3) months prior to or within twelve (12) months following a Change in Control, then the Executive shall be entitled to the Accrued Obligations. In addition, and subject to Exhibit A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an amount equal to 100% of the Executive’s Target Bonus for the year in which such Qualifying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704850</wp:posOffset>
            </wp:positionV>
            <wp:extent cx="703770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12" w:right="1419" w:bottom="1440" w:gutter="0" w:footer="0" w:header="0"/>
        </w:sectPr>
      </w:pPr>
    </w:p>
    <w:bookmarkStart w:id="245" w:name="page246"/>
    <w:bookmarkEnd w:id="245"/>
    <w:p>
      <w:pPr>
        <w:jc w:val="both"/>
        <w:ind w:left="332"/>
        <w:spacing w:after="0" w:line="242" w:lineRule="auto"/>
        <w:rPr>
          <w:sz w:val="20"/>
          <w:szCs w:val="20"/>
          <w:color w:val="auto"/>
        </w:rPr>
      </w:pPr>
      <w:r>
        <w:rPr>
          <w:rFonts w:ascii="Times New Roman" w:cs="Times New Roman" w:eastAsia="Times New Roman" w:hAnsi="Times New Roman"/>
          <w:sz w:val="20"/>
          <w:szCs w:val="20"/>
          <w:color w:val="auto"/>
        </w:rPr>
        <w:t>unless the Company’s provision of such COBRA payments will violate the nondiscrimination requirements of applicable law, in which case this benefit will not apply, (iv) provide that the vesting of the Executive’s then-unvested equity awards that vest based solely on the passage of time shall be accelerated, such that all then unvested time-based equity awards shall vest and become fully exercisable or non-forfeitable as of the later of the termination date and the closing of the Change in Control; and (v) if any Executive equity awards are canceled, terminated, or otherwise extinguished in connection with the Change in Control (whether in exchange for cash, securities, or other consideration), and are not assumed or continued by the acquiring or successor entity, then upon the termination of Executive’s employment as described above, Executive shall be entitled to receive a lump-sum cash payment equal to the transaction value of the unvested portion of such awards as if such portion had fully vested immediately prior to the Change in Control (collectively, the “Change in Control Severance Benefits”).</w:t>
      </w:r>
    </w:p>
    <w:p>
      <w:pPr>
        <w:spacing w:after="0" w:line="352" w:lineRule="exact"/>
        <w:rPr>
          <w:sz w:val="20"/>
          <w:szCs w:val="20"/>
          <w:color w:val="auto"/>
        </w:rPr>
      </w:pPr>
    </w:p>
    <w:p>
      <w:pPr>
        <w:ind w:left="332" w:hanging="332"/>
        <w:spacing w:after="0"/>
        <w:tabs>
          <w:tab w:leader="none" w:pos="33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7(d) of the Agreement shall be deleted in its entirety and replaced with the following:</w:t>
      </w:r>
    </w:p>
    <w:p>
      <w:pPr>
        <w:spacing w:after="0" w:line="238" w:lineRule="exact"/>
        <w:rPr>
          <w:rFonts w:ascii="Times New Roman" w:cs="Times New Roman" w:eastAsia="Times New Roman" w:hAnsi="Times New Roman"/>
          <w:sz w:val="20"/>
          <w:szCs w:val="20"/>
          <w:color w:val="auto"/>
        </w:rPr>
      </w:pPr>
    </w:p>
    <w:p>
      <w:pPr>
        <w:jc w:val="both"/>
        <w:ind w:left="332" w:hanging="8"/>
        <w:spacing w:after="0"/>
        <w:tabs>
          <w:tab w:leader="none" w:pos="636"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 and Release of Claims Agreement</w:t>
      </w:r>
      <w:r>
        <w:rPr>
          <w:rFonts w:ascii="Times New Roman" w:cs="Times New Roman" w:eastAsia="Times New Roman" w:hAnsi="Times New Roman"/>
          <w:sz w:val="20"/>
          <w:szCs w:val="20"/>
          <w:color w:val="auto"/>
        </w:rPr>
        <w:t>. As a condition of the Executive’s receipt of the Severance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or the Change in Control 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 reaffirmation of the Executive’s continuing obligations under any existing restrictive covenant agreements, and an agreement not to compete with the Company for twelve (12) months following the Executive’s separation from employment),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For the avoidance of doubt, if the Executive experiences a Qualifying Termination prior to a Change in Control, (i) any then-outstanding and unvested equity awards that vest based solely on the passage of time held by the Executive shall remain outstanding (but any vesting shall be suspended) for up to (but no longer than) three (3) months following the date of termination so that, if it is later determined that such termination occurred during the three (3)-month period prior to the closing of a Change in Control and that the Executive is entitled to Change in Control acceleration and/or Change in Control Severance Benefits rather than Severance Benefits, the vesting of such awards may be accelerated, in accordance with Section 7(c) hereof, immediately prior to the closing of the Change in Control and (ii) any Change in Control Severance Benefits shall be reduced by any Severance Benefits previously paid to you, if it is later determined that the termination occurred during the three (3)-month period prior to the closing of a Change in Control and that you are entitled to Change in Control Severance Benefits rather than Severance Benefits.</w:t>
      </w:r>
    </w:p>
    <w:p>
      <w:pPr>
        <w:spacing w:after="0" w:line="220" w:lineRule="exact"/>
        <w:rPr>
          <w:rFonts w:ascii="Times New Roman" w:cs="Times New Roman" w:eastAsia="Times New Roman" w:hAnsi="Times New Roman"/>
          <w:sz w:val="20"/>
          <w:szCs w:val="20"/>
          <w:color w:val="auto"/>
        </w:rPr>
      </w:pPr>
    </w:p>
    <w:p>
      <w:pPr>
        <w:ind w:left="332" w:hanging="332"/>
        <w:spacing w:after="0" w:line="269" w:lineRule="auto"/>
        <w:tabs>
          <w:tab w:leader="none" w:pos="33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but not defined herein shall have the respective meanings given to them in the Agreement.</w:t>
      </w:r>
    </w:p>
    <w:p>
      <w:pPr>
        <w:spacing w:after="0" w:line="172"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amended herein, all provisions of the Agreement shall remain in full force and effect.</w:t>
      </w:r>
    </w:p>
    <w:p>
      <w:pPr>
        <w:spacing w:after="0" w:line="229" w:lineRule="exact"/>
        <w:rPr>
          <w:rFonts w:ascii="Times New Roman" w:cs="Times New Roman" w:eastAsia="Times New Roman" w:hAnsi="Times New Roman"/>
          <w:sz w:val="20"/>
          <w:szCs w:val="20"/>
          <w:color w:val="auto"/>
        </w:rPr>
      </w:pPr>
    </w:p>
    <w:p>
      <w:pPr>
        <w:jc w:val="both"/>
        <w:ind w:left="332" w:hanging="332"/>
        <w:spacing w:after="0" w:line="254" w:lineRule="auto"/>
        <w:tabs>
          <w:tab w:leader="none" w:pos="33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may be executed in two counterparts, both of which shall constitute one and the same legal instrument, and delivery of an executed copy of this First Amendment by a Party via pdf or other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695325</wp:posOffset>
            </wp:positionV>
            <wp:extent cx="703770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72"/>
          </w:cols>
          <w:pgMar w:left="1408" w:top="738" w:right="1419" w:bottom="1440" w:gutter="0" w:footer="0" w:header="0"/>
        </w:sectPr>
      </w:pPr>
    </w:p>
    <w:bookmarkStart w:id="246" w:name="page247"/>
    <w:bookmarkEnd w:id="246"/>
    <w:p>
      <w:pPr>
        <w:ind w:left="1320" w:right="980"/>
        <w:spacing w:after="0" w:line="269" w:lineRule="auto"/>
        <w:rPr>
          <w:sz w:val="20"/>
          <w:szCs w:val="20"/>
          <w:color w:val="auto"/>
        </w:rPr>
      </w:pPr>
      <w:r>
        <w:rPr>
          <w:rFonts w:ascii="Times New Roman" w:cs="Times New Roman" w:eastAsia="Times New Roman" w:hAnsi="Times New Roman"/>
          <w:sz w:val="20"/>
          <w:szCs w:val="20"/>
          <w:color w:val="auto"/>
        </w:rPr>
        <w:t>transmission shall be as effective as delivery of a manually executed copy of this First Amendment by such Party.</w:t>
      </w:r>
    </w:p>
    <w:p>
      <w:pPr>
        <w:spacing w:after="0" w:line="200" w:lineRule="exact"/>
        <w:rPr>
          <w:sz w:val="20"/>
          <w:szCs w:val="20"/>
          <w:color w:val="auto"/>
        </w:rPr>
      </w:pP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IN WITNESS WHEREOF, the Parties have entered into this First Amendment as of the Effective Date.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00" w:type="dxa"/>
            <w:vAlign w:val="bottom"/>
          </w:tcPr>
          <w:p>
            <w:pPr>
              <w:ind w:left="1160"/>
              <w:spacing w:after="0"/>
              <w:rPr>
                <w:sz w:val="20"/>
                <w:szCs w:val="20"/>
                <w:color w:val="auto"/>
              </w:rPr>
            </w:pPr>
            <w:r>
              <w:rPr>
                <w:rFonts w:ascii="Times New Roman" w:cs="Times New Roman" w:eastAsia="Times New Roman" w:hAnsi="Times New Roman"/>
                <w:sz w:val="20"/>
                <w:szCs w:val="20"/>
                <w:b w:val="1"/>
                <w:bCs w:val="1"/>
                <w:color w:val="auto"/>
              </w:rPr>
              <w:t>Solid Biosciences Inc.</w:t>
            </w:r>
          </w:p>
        </w:tc>
        <w:tc>
          <w:tcPr>
            <w:tcW w:w="6640" w:type="dxa"/>
            <w:vAlign w:val="bottom"/>
          </w:tcPr>
          <w:p>
            <w:pPr>
              <w:ind w:left="1000"/>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756"/>
        </w:trPr>
        <w:tc>
          <w:tcPr>
            <w:tcW w:w="440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By: /s/ Bo Cumbo</w:t>
            </w:r>
          </w:p>
        </w:tc>
        <w:tc>
          <w:tcPr>
            <w:tcW w:w="664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By: /s/ Kevin Tan</w:t>
            </w:r>
          </w:p>
        </w:tc>
      </w:tr>
      <w:tr>
        <w:trPr>
          <w:trHeight w:val="364"/>
        </w:trPr>
        <w:tc>
          <w:tcPr>
            <w:tcW w:w="4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 Bo Cumbo</w:t>
            </w:r>
          </w:p>
        </w:tc>
        <w:tc>
          <w:tcPr>
            <w:tcW w:w="66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Name: Kevin Tan</w:t>
            </w:r>
          </w:p>
        </w:tc>
      </w:tr>
      <w:tr>
        <w:trPr>
          <w:trHeight w:val="378"/>
        </w:trPr>
        <w:tc>
          <w:tcPr>
            <w:tcW w:w="4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Title: President &amp; CEO</w:t>
            </w:r>
          </w:p>
        </w:tc>
        <w:tc>
          <w:tcPr>
            <w:tcW w:w="66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Title: Chief Executive Officer</w:t>
            </w:r>
          </w:p>
        </w:tc>
      </w:tr>
      <w:tr>
        <w:trPr>
          <w:trHeight w:val="378"/>
        </w:trPr>
        <w:tc>
          <w:tcPr>
            <w:tcW w:w="440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Date: 10/28/2025</w:t>
            </w:r>
          </w:p>
        </w:tc>
        <w:tc>
          <w:tcPr>
            <w:tcW w:w="66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Date: 10/28/2025</w:t>
            </w:r>
          </w:p>
        </w:tc>
      </w:tr>
      <w:tr>
        <w:trPr>
          <w:trHeight w:val="2850"/>
        </w:trPr>
        <w:tc>
          <w:tcPr>
            <w:tcW w:w="440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522" w:right="4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7" w:lineRule="exact"/>
        <w:rPr>
          <w:sz w:val="20"/>
          <w:szCs w:val="20"/>
          <w:color w:val="auto"/>
        </w:rPr>
      </w:pPr>
    </w:p>
    <w:p>
      <w:pPr>
        <w:ind w:left="180" w:right="220" w:firstLine="749"/>
        <w:spacing w:after="0" w:line="282" w:lineRule="auto"/>
        <w:rPr>
          <w:sz w:val="20"/>
          <w:szCs w:val="20"/>
          <w:color w:val="auto"/>
        </w:rPr>
      </w:pPr>
      <w:r>
        <w:rPr>
          <w:rFonts w:ascii="Times New Roman" w:cs="Times New Roman" w:eastAsia="Times New Roman" w:hAnsi="Times New Roman"/>
          <w:sz w:val="21"/>
          <w:szCs w:val="21"/>
          <w:color w:val="auto"/>
        </w:rPr>
        <w:t>THIS EMPLOYMENT AGREEMENT (the “Agreement”) is made as of the Effective Date by and between Solid Biosciences Inc. (the “Company”) and Gabriel Brooks (the “Executive”) (together, the “Parties”).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ind w:left="180" w:right="180"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desire to enter into an agreement whereby the Executive will be employed as an employee of the Company on the terms contained in this Agreement, subject to, and contingent and effective upon October 2, 2023 (the “Effective Date”); and</w:t>
      </w:r>
    </w:p>
    <w:p>
      <w:pPr>
        <w:spacing w:after="0" w:line="200" w:lineRule="exact"/>
        <w:rPr>
          <w:sz w:val="20"/>
          <w:szCs w:val="20"/>
          <w:color w:val="auto"/>
        </w:rPr>
      </w:pPr>
    </w:p>
    <w:p>
      <w:pPr>
        <w:ind w:left="180" w:right="180"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has agreed to accept such employment with the Company upon the Effective Date on the terms and conditions set forth in this Agreement.</w:t>
      </w:r>
    </w:p>
    <w:p>
      <w:pPr>
        <w:spacing w:after="0" w:line="185" w:lineRule="exact"/>
        <w:rPr>
          <w:sz w:val="20"/>
          <w:szCs w:val="20"/>
          <w:color w:val="auto"/>
        </w:rPr>
      </w:pPr>
    </w:p>
    <w:p>
      <w:pPr>
        <w:ind w:left="180" w:right="42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of the Parties herein contained, the Parties hereto agree to the following terms, which shall govern the Executive’s employment upon the Effective Date:</w:t>
      </w:r>
    </w:p>
    <w:p>
      <w:pPr>
        <w:spacing w:after="0" w:line="196" w:lineRule="exact"/>
        <w:rPr>
          <w:sz w:val="20"/>
          <w:szCs w:val="20"/>
          <w:color w:val="auto"/>
        </w:rPr>
      </w:pPr>
    </w:p>
    <w:p>
      <w:pPr>
        <w:ind w:left="180" w:right="420" w:hanging="4"/>
        <w:spacing w:after="0" w:line="246" w:lineRule="auto"/>
        <w:tabs>
          <w:tab w:leader="none" w:pos="39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This Agreement shall be effective as of the Effective Date. The Executive’s employment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contained in this Agreement shall commence on the Effective Date and shall continue until such employment relationship is terminated in accordance with Section 6 hereof (the “Term of Employment”).</w:t>
      </w:r>
    </w:p>
    <w:p>
      <w:pPr>
        <w:spacing w:after="0" w:line="194" w:lineRule="exact"/>
        <w:rPr>
          <w:rFonts w:ascii="Times New Roman" w:cs="Times New Roman" w:eastAsia="Times New Roman" w:hAnsi="Times New Roman"/>
          <w:sz w:val="22"/>
          <w:szCs w:val="22"/>
          <w:color w:val="auto"/>
        </w:rPr>
      </w:pPr>
    </w:p>
    <w:p>
      <w:pPr>
        <w:ind w:left="180" w:right="600" w:hanging="4"/>
        <w:spacing w:after="0" w:line="238" w:lineRule="auto"/>
        <w:tabs>
          <w:tab w:leader="none" w:pos="39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Position</w:t>
      </w:r>
      <w:r>
        <w:rPr>
          <w:rFonts w:ascii="Times New Roman" w:cs="Times New Roman" w:eastAsia="Times New Roman" w:hAnsi="Times New Roman"/>
          <w:sz w:val="22"/>
          <w:szCs w:val="22"/>
          <w:color w:val="auto"/>
        </w:rPr>
        <w:t>. During the Term of Employment, the Executive shall serve as the Chief Medical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working out of the Company’s office in Charlestown, Massachusetts, and traveling as reasonably required by the Executive’s job duties. The Company has agreed to permit the Executive to work remotely outside of the United States for up to four (4) weeks annually. The dates shall be mutually agreed upon in advance by the Company and the Executive.</w:t>
      </w:r>
    </w:p>
    <w:p>
      <w:pPr>
        <w:spacing w:after="0" w:line="203" w:lineRule="exact"/>
        <w:rPr>
          <w:rFonts w:ascii="Times New Roman" w:cs="Times New Roman" w:eastAsia="Times New Roman" w:hAnsi="Times New Roman"/>
          <w:sz w:val="22"/>
          <w:szCs w:val="22"/>
          <w:color w:val="auto"/>
        </w:rPr>
      </w:pPr>
    </w:p>
    <w:p>
      <w:pPr>
        <w:ind w:left="180" w:right="260" w:hanging="4"/>
        <w:spacing w:after="0" w:line="233" w:lineRule="auto"/>
        <w:tabs>
          <w:tab w:leader="none" w:pos="39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Scope of Employment</w:t>
      </w:r>
      <w:r>
        <w:rPr>
          <w:rFonts w:ascii="Times New Roman" w:cs="Times New Roman" w:eastAsia="Times New Roman" w:hAnsi="Times New Roman"/>
          <w:sz w:val="22"/>
          <w:szCs w:val="22"/>
          <w:color w:val="auto"/>
        </w:rPr>
        <w:t>. During the Term of Employment, the Executive shall be responsible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of those duties consistent with the Executive’s position as Chief Medical Officer. The Executive shall report to the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up to two other companies will be permitted only with the express approval of the Chief Executive Officer, and membership on boards of directors of community, charitable or industry organizations will be permitted only provided that such activities do not create a conflict of interest or otherwise interfere with the Executive’s performance of the Executive’s duties hereunder, as reasonably determined by the Chief Executive Officer in the Chief Executive Officer’s sole discretion. The Executive agrees to abide by the rules, regulations, instructions, personnel practices, and policies of the Company and any changes therein that may be adopted from time to time by the Company.</w:t>
      </w:r>
    </w:p>
    <w:p>
      <w:pPr>
        <w:spacing w:after="0" w:line="209" w:lineRule="exact"/>
        <w:rPr>
          <w:rFonts w:ascii="Times New Roman" w:cs="Times New Roman" w:eastAsia="Times New Roman" w:hAnsi="Times New Roman"/>
          <w:sz w:val="22"/>
          <w:szCs w:val="22"/>
          <w:color w:val="auto"/>
        </w:rPr>
      </w:pPr>
    </w:p>
    <w:p>
      <w:pPr>
        <w:ind w:left="400" w:hanging="224"/>
        <w:spacing w:after="0"/>
        <w:tabs>
          <w:tab w:leader="none" w:pos="4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As full compensation for all services rendered by the Executive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480695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248" w:name="page249"/>
    <w:bookmarkEnd w:id="248"/>
    <w:p>
      <w:pPr>
        <w:ind w:left="180"/>
        <w:spacing w:after="0"/>
        <w:rPr>
          <w:sz w:val="20"/>
          <w:szCs w:val="20"/>
          <w:color w:val="auto"/>
        </w:rPr>
      </w:pPr>
      <w:r>
        <w:rPr>
          <w:rFonts w:ascii="Times New Roman" w:cs="Times New Roman" w:eastAsia="Times New Roman" w:hAnsi="Times New Roman"/>
          <w:sz w:val="22"/>
          <w:szCs w:val="22"/>
          <w:color w:val="auto"/>
        </w:rPr>
        <w:t>Company and any affiliate thereof during the Term of Employment, the Company will provide to the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Executive the following:</w:t>
      </w: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The Executive shall receive a base salary at the annualized rate of</w:t>
      </w:r>
    </w:p>
    <w:p>
      <w:pPr>
        <w:spacing w:after="0" w:line="18" w:lineRule="exact"/>
        <w:rPr>
          <w:sz w:val="20"/>
          <w:szCs w:val="20"/>
          <w:color w:val="auto"/>
        </w:rPr>
      </w:pPr>
    </w:p>
    <w:p>
      <w:pPr>
        <w:ind w:left="180" w:right="220"/>
        <w:spacing w:after="0" w:line="249" w:lineRule="auto"/>
        <w:rPr>
          <w:sz w:val="20"/>
          <w:szCs w:val="20"/>
          <w:color w:val="auto"/>
        </w:rPr>
      </w:pPr>
      <w:r>
        <w:rPr>
          <w:rFonts w:ascii="Times New Roman" w:cs="Times New Roman" w:eastAsia="Times New Roman" w:hAnsi="Times New Roman"/>
          <w:sz w:val="21"/>
          <w:szCs w:val="21"/>
          <w:color w:val="auto"/>
        </w:rPr>
        <w:t>$450,00.00 (the “Base Salary”). The Executive’s Base Salary shall be paid in equal installments in accordance with the Company’s regularly established payroll procedures. The Executive’s Base Salary will be reviewed from time to time by the Board and is subject to reasonable change in the discretion of the Board.</w:t>
      </w:r>
    </w:p>
    <w:p>
      <w:pPr>
        <w:spacing w:after="0" w:line="192" w:lineRule="exact"/>
        <w:rPr>
          <w:sz w:val="20"/>
          <w:szCs w:val="20"/>
          <w:color w:val="auto"/>
        </w:rPr>
      </w:pPr>
    </w:p>
    <w:p>
      <w:pPr>
        <w:ind w:left="180" w:firstLine="744"/>
        <w:spacing w:after="0" w:line="232" w:lineRule="auto"/>
        <w:tabs>
          <w:tab w:leader="none" w:pos="143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Discretionary Bonus</w:t>
      </w:r>
      <w:r>
        <w:rPr>
          <w:rFonts w:ascii="Times New Roman" w:cs="Times New Roman" w:eastAsia="Times New Roman" w:hAnsi="Times New Roman"/>
          <w:sz w:val="22"/>
          <w:szCs w:val="22"/>
          <w:color w:val="auto"/>
        </w:rPr>
        <w:t>. The Executive will be eligible to earn an annual performance bonus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up to 40% of the Executive’s Base Salary (the “Target Bonus”), based upon the Board’s assessment of the Executive’s performance and the Company’s attainment of written targeted goals as set by the Board in its sole and reasonable discretion. The Board may determine to provide the bonus in the form of cash, equity award(s), or a combination of cash and equity. Within 90 days of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as such bonus also serves as an incentive for the Executive to remain employed by the Company, except as specifically set forth below; provided that if the Company terminates the Executive without Cause or Executive Resigns for Good Reason after January 1 but prior to the payment of any annual bonus that would have been paid under this Section 4(b) for the year prior to the year in which the Executive’s employment is terminated, the Executive shall be entitled to receive, on the payment date, 100% of Executive’s Target Bonus for the year prior to termination had the Executive remained employed on the payment date, less all applicable taxes and withholdings. The Executive’s bonus eligibility will be reviewed from time to time by the Board and is subject to change with advance notice to the Executive in the reasonable discretion of the Board. The Executive is eligible to earn a pro-rated performance bonus for 2023.</w:t>
      </w:r>
    </w:p>
    <w:p>
      <w:pPr>
        <w:spacing w:after="0" w:line="216" w:lineRule="exact"/>
        <w:rPr>
          <w:rFonts w:ascii="Times New Roman" w:cs="Times New Roman" w:eastAsia="Times New Roman" w:hAnsi="Times New Roman"/>
          <w:sz w:val="22"/>
          <w:szCs w:val="22"/>
          <w:color w:val="auto"/>
        </w:rPr>
      </w:pPr>
    </w:p>
    <w:p>
      <w:pPr>
        <w:ind w:left="180" w:right="100" w:firstLine="744"/>
        <w:spacing w:after="0" w:line="241" w:lineRule="auto"/>
        <w:tabs>
          <w:tab w:leader="none" w:pos="142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w:t>
      </w:r>
      <w:r>
        <w:rPr>
          <w:rFonts w:ascii="Times New Roman" w:cs="Times New Roman" w:eastAsia="Times New Roman" w:hAnsi="Times New Roman"/>
          <w:sz w:val="22"/>
          <w:szCs w:val="22"/>
          <w:color w:val="auto"/>
        </w:rPr>
        <w:t>. Subject to approval by the compensation committee of the Board (such approval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not be unreasonably withheld) or a majority of the Company’s Independent Directors as defined in Nasdaq Listing Rule 5605(a)(2), and as a material inducement to the Executive entering into employment with the Company, the Company will grant to the Executive within ninety (90) days of the Effective Date:</w:t>
      </w:r>
    </w:p>
    <w:p>
      <w:pPr>
        <w:spacing w:after="0" w:line="202" w:lineRule="exact"/>
        <w:rPr>
          <w:rFonts w:ascii="Times New Roman" w:cs="Times New Roman" w:eastAsia="Times New Roman" w:hAnsi="Times New Roman"/>
          <w:sz w:val="22"/>
          <w:szCs w:val="22"/>
          <w:color w:val="auto"/>
        </w:rPr>
      </w:pPr>
    </w:p>
    <w:p>
      <w:pPr>
        <w:ind w:left="1660" w:right="60" w:hanging="736"/>
        <w:spacing w:after="0" w:line="230" w:lineRule="auto"/>
        <w:tabs>
          <w:tab w:leader="none" w:pos="16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non-qualified stock option (the “Option”) to purchase 78,000 shares of the Company’s common stock, such Option to (1) have an exercise price per share equal to the fair market value of the Company’s common stock on the date of grant, (2) vest and become exercisable, subject to the Executive’s continued employment on each applicable vesting date unless otherwise stated below, at a rate of 25% of the total shares underlying the Option on the first anniversary of the grant date and, following that, as to an additional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total shares underlying the Option upon the Executive’s completion of each additional month of service over the 36-month period measured from the first anniversary of the grant date, (3) have a term of up to 10 years and (4) have such other terms as are set forth in the applicable Option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600710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192" w:right="519" w:bottom="1440" w:gutter="0" w:footer="0" w:header="0"/>
        </w:sectPr>
      </w:pPr>
    </w:p>
    <w:bookmarkStart w:id="249" w:name="page250"/>
    <w:bookmarkEnd w:id="249"/>
    <w:p>
      <w:pPr>
        <w:ind w:left="1660" w:right="20" w:hanging="736"/>
        <w:spacing w:after="0" w:line="236" w:lineRule="auto"/>
        <w:tabs>
          <w:tab w:leader="none" w:pos="16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39,000 restricted stock units (the “RSUs” and, together with the Option, the “Equity Awards”), which RSUs shall (1) entitle the Executive to receive one share of the Company’s common stock for each RSU that vests, (2) vest and become exercisable, subject to the Executive’s continued employment on each applicable vesting date unless otherwise stated below, at a rate of 25% of the total shares underlying the RSUs on each anniversary of the grant date and (3) have such other terms as are set forth in the applicable RSU agreement.</w:t>
      </w:r>
    </w:p>
    <w:p>
      <w:pPr>
        <w:spacing w:after="0" w:line="208" w:lineRule="exact"/>
        <w:rPr>
          <w:rFonts w:ascii="Times New Roman" w:cs="Times New Roman" w:eastAsia="Times New Roman" w:hAnsi="Times New Roman"/>
          <w:sz w:val="22"/>
          <w:szCs w:val="22"/>
          <w:color w:val="auto"/>
        </w:rPr>
      </w:pPr>
    </w:p>
    <w:p>
      <w:pPr>
        <w:ind w:left="1660" w:right="600" w:hanging="736"/>
        <w:spacing w:after="0" w:line="239" w:lineRule="auto"/>
        <w:tabs>
          <w:tab w:leader="none" w:pos="16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Awards will be granted outside of the Company’s equity incentive plans as “inducement grants” within the meaning of Nasdaq Listing Rule 5635(c)(4). The Equity Awards are subject to adjustment for stock splits, combinations or other changes in capitalization.</w:t>
      </w:r>
    </w:p>
    <w:p>
      <w:pPr>
        <w:spacing w:after="0" w:line="207" w:lineRule="exact"/>
        <w:rPr>
          <w:sz w:val="20"/>
          <w:szCs w:val="20"/>
          <w:color w:val="auto"/>
        </w:rPr>
      </w:pPr>
    </w:p>
    <w:p>
      <w:pPr>
        <w:jc w:val="both"/>
        <w:ind w:left="180" w:right="480" w:firstLine="749"/>
        <w:spacing w:after="0" w:line="282" w:lineRule="auto"/>
        <w:rPr>
          <w:sz w:val="20"/>
          <w:szCs w:val="20"/>
          <w:color w:val="auto"/>
        </w:rPr>
      </w:pPr>
      <w:r>
        <w:rPr>
          <w:rFonts w:ascii="Times New Roman" w:cs="Times New Roman" w:eastAsia="Times New Roman" w:hAnsi="Times New Roman"/>
          <w:sz w:val="21"/>
          <w:szCs w:val="21"/>
          <w:color w:val="auto"/>
        </w:rPr>
        <w:t>In addition, the Executive shall also be eligible to receive additional equity awards, if any, at such times and on such terms and conditions as the Board shall, in its sole and reasonable discretion, determine.</w:t>
      </w:r>
    </w:p>
    <w:p>
      <w:pPr>
        <w:spacing w:after="0" w:line="158" w:lineRule="exact"/>
        <w:rPr>
          <w:sz w:val="20"/>
          <w:szCs w:val="20"/>
          <w:color w:val="auto"/>
        </w:rPr>
      </w:pPr>
    </w:p>
    <w:p>
      <w:pPr>
        <w:ind w:left="180" w:right="100" w:firstLine="744"/>
        <w:spacing w:after="0" w:line="246" w:lineRule="auto"/>
        <w:tabs>
          <w:tab w:leader="none" w:pos="142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Paid Time Off</w:t>
      </w:r>
      <w:r>
        <w:rPr>
          <w:rFonts w:ascii="Times New Roman" w:cs="Times New Roman" w:eastAsia="Times New Roman" w:hAnsi="Times New Roman"/>
          <w:sz w:val="22"/>
          <w:szCs w:val="22"/>
          <w:color w:val="auto"/>
        </w:rPr>
        <w:t>. The Executive shall receive paid vacation time plus sick time, consistent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policies as in effect from time to time. In addition, the Executive shall receive paid time off for Company holidays which are set annually and in accordance with Company policy.</w:t>
      </w:r>
    </w:p>
    <w:p>
      <w:pPr>
        <w:spacing w:after="0" w:line="194" w:lineRule="exact"/>
        <w:rPr>
          <w:rFonts w:ascii="Times New Roman" w:cs="Times New Roman" w:eastAsia="Times New Roman" w:hAnsi="Times New Roman"/>
          <w:sz w:val="22"/>
          <w:szCs w:val="22"/>
          <w:color w:val="auto"/>
        </w:rPr>
      </w:pPr>
    </w:p>
    <w:p>
      <w:pPr>
        <w:ind w:left="180" w:firstLine="744"/>
        <w:spacing w:after="0" w:line="237" w:lineRule="auto"/>
        <w:tabs>
          <w:tab w:leader="none" w:pos="143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Subject to eligibility requirements and the Company’s polices, the Executive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on the same 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 Benefits are subject to change at any time in the Company’s sole and reasonable discretion.</w:t>
      </w:r>
    </w:p>
    <w:p>
      <w:pPr>
        <w:spacing w:after="0" w:line="202" w:lineRule="exact"/>
        <w:rPr>
          <w:rFonts w:ascii="Times New Roman" w:cs="Times New Roman" w:eastAsia="Times New Roman" w:hAnsi="Times New Roman"/>
          <w:sz w:val="22"/>
          <w:szCs w:val="22"/>
          <w:color w:val="auto"/>
        </w:rPr>
      </w:pPr>
    </w:p>
    <w:p>
      <w:pPr>
        <w:ind w:left="1380" w:hanging="456"/>
        <w:spacing w:after="0"/>
        <w:tabs>
          <w:tab w:leader="none" w:pos="13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Withholdings</w:t>
      </w:r>
      <w:r>
        <w:rPr>
          <w:rFonts w:ascii="Times New Roman" w:cs="Times New Roman" w:eastAsia="Times New Roman" w:hAnsi="Times New Roman"/>
          <w:sz w:val="22"/>
          <w:szCs w:val="22"/>
          <w:color w:val="auto"/>
        </w:rPr>
        <w:t>. All compensation payable to the Executive shall be subject to applicable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taxes and withholdings.</w:t>
      </w:r>
    </w:p>
    <w:p>
      <w:pPr>
        <w:spacing w:after="0" w:line="205" w:lineRule="exact"/>
        <w:rPr>
          <w:sz w:val="20"/>
          <w:szCs w:val="20"/>
          <w:color w:val="auto"/>
        </w:rPr>
      </w:pPr>
    </w:p>
    <w:p>
      <w:pPr>
        <w:ind w:left="180" w:right="260" w:hanging="4"/>
        <w:spacing w:after="0" w:line="286" w:lineRule="auto"/>
        <w:tabs>
          <w:tab w:leader="none" w:pos="39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The Executive will be reimbursed for the Executive’s actual, necessary, and reasonable business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expense pursuant to Company policy, subject to the provisions of Section 3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53" w:lineRule="exact"/>
        <w:rPr>
          <w:rFonts w:ascii="Times New Roman" w:cs="Times New Roman" w:eastAsia="Times New Roman" w:hAnsi="Times New Roman"/>
          <w:sz w:val="21"/>
          <w:szCs w:val="21"/>
          <w:color w:val="auto"/>
        </w:rPr>
      </w:pPr>
    </w:p>
    <w:p>
      <w:pPr>
        <w:ind w:left="180" w:right="360" w:hanging="4"/>
        <w:spacing w:after="0" w:line="262" w:lineRule="auto"/>
        <w:tabs>
          <w:tab w:leader="none" w:pos="39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Employment Termination</w:t>
      </w:r>
      <w:r>
        <w:rPr>
          <w:rFonts w:ascii="Times New Roman" w:cs="Times New Roman" w:eastAsia="Times New Roman" w:hAnsi="Times New Roman"/>
          <w:sz w:val="22"/>
          <w:szCs w:val="22"/>
          <w:color w:val="auto"/>
        </w:rPr>
        <w:t>. This Agreement and the employment of the Executive shall terminate upon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of any of the following:</w:t>
      </w:r>
    </w:p>
    <w:p>
      <w:pPr>
        <w:spacing w:after="0" w:line="180" w:lineRule="exact"/>
        <w:rPr>
          <w:rFonts w:ascii="Times New Roman" w:cs="Times New Roman" w:eastAsia="Times New Roman" w:hAnsi="Times New Roman"/>
          <w:sz w:val="22"/>
          <w:szCs w:val="22"/>
          <w:color w:val="auto"/>
        </w:rPr>
      </w:pPr>
    </w:p>
    <w:p>
      <w:pPr>
        <w:ind w:left="180" w:right="440" w:firstLine="744"/>
        <w:spacing w:after="0" w:line="236" w:lineRule="auto"/>
        <w:tabs>
          <w:tab w:leader="none" w:pos="142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death of the Executive or at the election of the Company due to the Executive’s “Disability”.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during any twelve-month period. The Company shall determine in good faith and in its sole and reasonable discretion whether the Executive is unable to perform the services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600075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440" w:top="1192" w:right="579" w:bottom="1440" w:gutter="0" w:footer="0" w:header="0"/>
        </w:sectPr>
      </w:pPr>
    </w:p>
    <w:bookmarkStart w:id="250" w:name="page251"/>
    <w:bookmarkEnd w:id="250"/>
    <w:p>
      <w:pPr>
        <w:jc w:val="both"/>
        <w:ind w:left="180" w:right="260" w:firstLine="744"/>
        <w:spacing w:after="0" w:line="244" w:lineRule="auto"/>
        <w:tabs>
          <w:tab w:leader="none" w:pos="141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Company, with or without “Cause” (as defined below), immediately upon written notice by the Company to the Executive. As used in this Agreement, “Cause” shall mean a finding by the Company’s Chief Executive Officer or the Board that the Executive:</w:t>
      </w:r>
    </w:p>
    <w:p>
      <w:pPr>
        <w:spacing w:after="0" w:line="200" w:lineRule="exact"/>
        <w:rPr>
          <w:sz w:val="20"/>
          <w:szCs w:val="20"/>
          <w:color w:val="auto"/>
        </w:rPr>
      </w:pPr>
    </w:p>
    <w:p>
      <w:pPr>
        <w:ind w:left="1660" w:hanging="736"/>
        <w:spacing w:after="0" w:line="238" w:lineRule="auto"/>
        <w:tabs>
          <w:tab w:leader="none" w:pos="16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the Executive’s duties, in the good faith and reasonable opinion of the Company’s Chief Executive Officer or the Board, in a grossly negligent or reckless manner or with willful malfeasance which conduct continues for a period of more than seven (7) days after written notice thereof has been provided to the Executive by the Company’s Chief Executive Officer or the Board, such notice to set forth in reasonable detail the nature of such conduct;</w:t>
      </w:r>
    </w:p>
    <w:p>
      <w:pPr>
        <w:spacing w:after="0" w:line="203" w:lineRule="exact"/>
        <w:rPr>
          <w:rFonts w:ascii="Times New Roman" w:cs="Times New Roman" w:eastAsia="Times New Roman" w:hAnsi="Times New Roman"/>
          <w:sz w:val="22"/>
          <w:szCs w:val="22"/>
          <w:color w:val="auto"/>
        </w:rPr>
      </w:pPr>
    </w:p>
    <w:p>
      <w:pPr>
        <w:ind w:left="1680" w:hanging="756"/>
        <w:spacing w:after="0"/>
        <w:tabs>
          <w:tab w:leader="none" w:pos="16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exhibited habitual drunkenness or engaged in substance abuse;</w:t>
      </w:r>
    </w:p>
    <w:p>
      <w:pPr>
        <w:spacing w:after="0" w:line="233" w:lineRule="exact"/>
        <w:rPr>
          <w:rFonts w:ascii="Times New Roman" w:cs="Times New Roman" w:eastAsia="Times New Roman" w:hAnsi="Times New Roman"/>
          <w:sz w:val="22"/>
          <w:szCs w:val="22"/>
          <w:color w:val="auto"/>
        </w:rPr>
      </w:pPr>
    </w:p>
    <w:p>
      <w:pPr>
        <w:ind w:left="1620" w:right="560" w:hanging="696"/>
        <w:spacing w:after="0" w:line="239" w:lineRule="auto"/>
        <w:tabs>
          <w:tab w:leader="none" w:pos="16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any material violation of any state or federal law relating to the workplace environment (including, without limitation, laws relating to sexual harassment or age, sex or other prohibited discrimination) or any material violation of any material Company policy;</w:t>
      </w:r>
    </w:p>
    <w:p>
      <w:pPr>
        <w:spacing w:after="0" w:line="207" w:lineRule="exact"/>
        <w:rPr>
          <w:rFonts w:ascii="Times New Roman" w:cs="Times New Roman" w:eastAsia="Times New Roman" w:hAnsi="Times New Roman"/>
          <w:sz w:val="22"/>
          <w:szCs w:val="22"/>
          <w:color w:val="auto"/>
        </w:rPr>
      </w:pPr>
    </w:p>
    <w:p>
      <w:pPr>
        <w:ind w:left="1660" w:right="200" w:hanging="736"/>
        <w:spacing w:after="0" w:line="235" w:lineRule="auto"/>
        <w:tabs>
          <w:tab w:leader="none" w:pos="16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failed or refused to perform in the usual manner at the usual time those duties which the Executive regularly and routinely performed in connection with the business of the Company or such other duties reasonably related to the capacity in which the Executive is employed hereunder which may be assigned to the Executive by the Company’s Chief Executive Officer or the Board, which failure or refusal continues for a period of more than seven (7) days after written notice thereof has been provided to the Executive by the Company’s Chief Executive Officer or the Board, such notice to set forth in reasonable detail the nature of such failure or refusal;</w:t>
      </w:r>
    </w:p>
    <w:p>
      <w:pPr>
        <w:spacing w:after="0" w:line="205" w:lineRule="exact"/>
        <w:rPr>
          <w:rFonts w:ascii="Times New Roman" w:cs="Times New Roman" w:eastAsia="Times New Roman" w:hAnsi="Times New Roman"/>
          <w:sz w:val="22"/>
          <w:szCs w:val="22"/>
          <w:color w:val="auto"/>
        </w:rPr>
      </w:pPr>
    </w:p>
    <w:p>
      <w:pPr>
        <w:ind w:left="1660" w:right="200" w:hanging="736"/>
        <w:spacing w:after="0" w:line="258" w:lineRule="auto"/>
        <w:tabs>
          <w:tab w:leader="none" w:pos="16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any material action when specifically and reasonably instructed not to do so by the Company’s Chief Executive Officer or the Board;</w:t>
      </w:r>
    </w:p>
    <w:p>
      <w:pPr>
        <w:spacing w:after="0" w:line="185" w:lineRule="exact"/>
        <w:rPr>
          <w:rFonts w:ascii="Times New Roman" w:cs="Times New Roman" w:eastAsia="Times New Roman" w:hAnsi="Times New Roman"/>
          <w:sz w:val="22"/>
          <w:szCs w:val="22"/>
          <w:color w:val="auto"/>
        </w:rPr>
      </w:pPr>
    </w:p>
    <w:p>
      <w:pPr>
        <w:ind w:left="1640" w:right="360" w:hanging="716"/>
        <w:spacing w:after="0" w:line="244" w:lineRule="auto"/>
        <w:tabs>
          <w:tab w:leader="none" w:pos="16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any fraud or used or appropriated for the Executive’s personal use or benefit any funds, properties or opportunities of the Company not authorized by the Company’s Chief Executive Officer or the Board to be so used or appropriated; or</w:t>
      </w:r>
    </w:p>
    <w:p>
      <w:pPr>
        <w:spacing w:after="0" w:line="200" w:lineRule="exact"/>
        <w:rPr>
          <w:rFonts w:ascii="Times New Roman" w:cs="Times New Roman" w:eastAsia="Times New Roman" w:hAnsi="Times New Roman"/>
          <w:sz w:val="22"/>
          <w:szCs w:val="22"/>
          <w:color w:val="auto"/>
        </w:rPr>
      </w:pPr>
    </w:p>
    <w:p>
      <w:pPr>
        <w:ind w:left="1640" w:right="120" w:hanging="716"/>
        <w:spacing w:after="0" w:line="258" w:lineRule="auto"/>
        <w:tabs>
          <w:tab w:leader="none" w:pos="16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convicted of, or pled guilty or “no contest” to, any felony or any other crime related to the Executive’s employment or involving moral turpitude;</w:t>
      </w:r>
    </w:p>
    <w:p>
      <w:pPr>
        <w:spacing w:after="0" w:line="185" w:lineRule="exact"/>
        <w:rPr>
          <w:sz w:val="20"/>
          <w:szCs w:val="20"/>
          <w:color w:val="auto"/>
        </w:rPr>
      </w:pPr>
    </w:p>
    <w:p>
      <w:pPr>
        <w:ind w:left="180" w:right="180" w:firstLine="744"/>
        <w:spacing w:after="0" w:line="239" w:lineRule="auto"/>
        <w:tabs>
          <w:tab w:leader="none" w:pos="142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7" w:lineRule="exact"/>
        <w:rPr>
          <w:sz w:val="20"/>
          <w:szCs w:val="20"/>
          <w:color w:val="auto"/>
        </w:rPr>
      </w:pPr>
    </w:p>
    <w:p>
      <w:pPr>
        <w:ind w:left="1660" w:right="600" w:hanging="736"/>
        <w:spacing w:after="0" w:line="258" w:lineRule="auto"/>
        <w:tabs>
          <w:tab w:leader="none" w:pos="16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nature or scope of the Executive’s duties, responsibilities, or authority;</w:t>
      </w:r>
    </w:p>
    <w:p>
      <w:pPr>
        <w:spacing w:after="0" w:line="185" w:lineRule="exact"/>
        <w:rPr>
          <w:rFonts w:ascii="Times New Roman" w:cs="Times New Roman" w:eastAsia="Times New Roman" w:hAnsi="Times New Roman"/>
          <w:sz w:val="22"/>
          <w:szCs w:val="22"/>
          <w:color w:val="auto"/>
        </w:rPr>
      </w:pPr>
    </w:p>
    <w:p>
      <w:pPr>
        <w:ind w:left="1680" w:hanging="756"/>
        <w:spacing w:after="0"/>
        <w:tabs>
          <w:tab w:leader="none" w:pos="16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Executive’s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192" w:right="519" w:bottom="1440" w:gutter="0" w:footer="0" w:header="0"/>
        </w:sectPr>
      </w:pPr>
    </w:p>
    <w:bookmarkStart w:id="251" w:name="page252"/>
    <w:bookmarkEnd w:id="251"/>
    <w:p>
      <w:pPr>
        <w:ind w:left="1640" w:right="300" w:hanging="716"/>
        <w:spacing w:after="0" w:line="258" w:lineRule="auto"/>
        <w:tabs>
          <w:tab w:leader="none" w:pos="16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the Executive to relocate the Executive’s primary office more than fifty (50) miles from the Executive’s then-current primary office;</w:t>
      </w:r>
    </w:p>
    <w:p>
      <w:pPr>
        <w:spacing w:after="0" w:line="185" w:lineRule="exact"/>
        <w:rPr>
          <w:rFonts w:ascii="Times New Roman" w:cs="Times New Roman" w:eastAsia="Times New Roman" w:hAnsi="Times New Roman"/>
          <w:sz w:val="22"/>
          <w:szCs w:val="22"/>
          <w:color w:val="auto"/>
        </w:rPr>
      </w:pPr>
    </w:p>
    <w:p>
      <w:pPr>
        <w:ind w:left="1660" w:right="120" w:hanging="736"/>
        <w:spacing w:after="0" w:line="258" w:lineRule="auto"/>
        <w:tabs>
          <w:tab w:leader="none" w:pos="16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or any other agreement entered into with the Executive by the Company not otherwise covered by this paragraph; or</w:t>
      </w:r>
    </w:p>
    <w:p>
      <w:pPr>
        <w:spacing w:after="0" w:line="185" w:lineRule="exact"/>
        <w:rPr>
          <w:rFonts w:ascii="Times New Roman" w:cs="Times New Roman" w:eastAsia="Times New Roman" w:hAnsi="Times New Roman"/>
          <w:sz w:val="22"/>
          <w:szCs w:val="22"/>
          <w:color w:val="auto"/>
        </w:rPr>
      </w:pPr>
    </w:p>
    <w:p>
      <w:pPr>
        <w:ind w:left="1660" w:right="320" w:hanging="736"/>
        <w:spacing w:after="0" w:line="258" w:lineRule="auto"/>
        <w:tabs>
          <w:tab w:leader="none" w:pos="16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failure of the Chief Executive Officer or the Board of Directors to comply with applicable state and/or federal law.</w:t>
      </w:r>
    </w:p>
    <w:p>
      <w:pPr>
        <w:spacing w:after="0" w:line="185" w:lineRule="exact"/>
        <w:rPr>
          <w:sz w:val="20"/>
          <w:szCs w:val="20"/>
          <w:color w:val="auto"/>
        </w:rPr>
      </w:pPr>
    </w:p>
    <w:p>
      <w:pPr>
        <w:ind w:left="180" w:right="80"/>
        <w:spacing w:after="0" w:line="239" w:lineRule="auto"/>
        <w:rPr>
          <w:sz w:val="20"/>
          <w:szCs w:val="20"/>
          <w:color w:val="auto"/>
        </w:rPr>
      </w:pPr>
      <w:r>
        <w:rPr>
          <w:rFonts w:ascii="Times New Roman" w:cs="Times New Roman" w:eastAsia="Times New Roman" w:hAnsi="Times New Roman"/>
          <w:sz w:val="22"/>
          <w:szCs w:val="22"/>
          <w:color w:val="auto"/>
        </w:rPr>
        <w:t>provided, however, that for sections (i)-(iii), the Company shall have a period of thirty (30) days to cure any act constituting Good Reason following the Executive’s delivery to the Company of written notice of the action or omission constituting Good Reason and that the Executive actually terminates employment within sixty (60) days following the expiration of the Company’s cure period.</w:t>
      </w:r>
    </w:p>
    <w:p>
      <w:pPr>
        <w:spacing w:after="0" w:line="203" w:lineRule="exact"/>
        <w:rPr>
          <w:sz w:val="20"/>
          <w:szCs w:val="20"/>
          <w:color w:val="auto"/>
        </w:rPr>
      </w:pPr>
    </w:p>
    <w:p>
      <w:pPr>
        <w:ind w:left="400" w:hanging="224"/>
        <w:spacing w:after="0"/>
        <w:tabs>
          <w:tab w:leader="none" w:pos="4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80" w:firstLine="744"/>
        <w:spacing w:after="0" w:line="233" w:lineRule="auto"/>
        <w:tabs>
          <w:tab w:leader="none" w:pos="1431"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 Terminations Other Than by the Company Without Cause or by the Executive With Good Reason</w:t>
      </w:r>
      <w:r>
        <w:rPr>
          <w:rFonts w:ascii="Times New Roman" w:cs="Times New Roman" w:eastAsia="Times New Roman" w:hAnsi="Times New Roman"/>
          <w:sz w:val="22"/>
          <w:szCs w:val="22"/>
          <w:color w:val="auto"/>
        </w:rPr>
        <w:t>. If the Executive’s employment is terminated under any circumstances other than a Qualifying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204" w:lineRule="exact"/>
        <w:rPr>
          <w:rFonts w:ascii="Times New Roman" w:cs="Times New Roman" w:eastAsia="Times New Roman" w:hAnsi="Times New Roman"/>
          <w:sz w:val="22"/>
          <w:szCs w:val="22"/>
          <w:color w:val="auto"/>
        </w:rPr>
      </w:pPr>
    </w:p>
    <w:p>
      <w:pPr>
        <w:ind w:left="180" w:right="160" w:firstLine="744"/>
        <w:spacing w:after="0" w:line="245" w:lineRule="auto"/>
        <w:tabs>
          <w:tab w:leader="none" w:pos="1419"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Termination by the Company Without Cause or by the Executive With Good Reason Prior to or More Than Eighteen Months Following a Change in Control. </w:t>
      </w:r>
      <w:r>
        <w:rPr>
          <w:rFonts w:ascii="Times New Roman" w:cs="Times New Roman" w:eastAsia="Times New Roman" w:hAnsi="Times New Roman"/>
          <w:sz w:val="21"/>
          <w:szCs w:val="21"/>
          <w:color w:val="auto"/>
        </w:rPr>
        <w:t>If the Executive’s employment is terminated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Company without Cause pursuant to Section 6(b) or by the Executive with Good Reason pursuant to Section 6(c) (in either case, a “Qualifying Termination”) prior to or more than eighteen (18) months following a Change in Control (as defined below), the Executive shall be entitled to the Accrued Obligations. In addition, and subject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the Executive’s Target Bonus immediately prior to the Change in Control, if higher, prorated through the date of termination; and (iii) provided the Executive is eligible for and timely elects to continue receiving group medical insurance pursuant to the “COBRA” law, continue to pay (but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460375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192" w:right="559" w:bottom="1440" w:gutter="0" w:footer="0" w:header="0"/>
        </w:sectPr>
      </w:pPr>
    </w:p>
    <w:bookmarkStart w:id="252" w:name="page253"/>
    <w:bookmarkEnd w:id="252"/>
    <w:p>
      <w:pPr>
        <w:ind w:left="180" w:right="340"/>
        <w:spacing w:after="0" w:line="238" w:lineRule="auto"/>
        <w:rPr>
          <w:sz w:val="20"/>
          <w:szCs w:val="20"/>
          <w:color w:val="auto"/>
        </w:rPr>
      </w:pPr>
      <w:r>
        <w:rPr>
          <w:rFonts w:ascii="Times New Roman" w:cs="Times New Roman" w:eastAsia="Times New Roman" w:hAnsi="Times New Roman"/>
          <w:sz w:val="22"/>
          <w:szCs w:val="22"/>
          <w:color w:val="auto"/>
        </w:rPr>
        <w:t>event longer than twelve (12) months following the Executive’s termination date) the share of the premium for health coverage that the Company pays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00" w:lineRule="exact"/>
        <w:rPr>
          <w:sz w:val="20"/>
          <w:szCs w:val="20"/>
          <w:color w:val="auto"/>
        </w:rPr>
      </w:pPr>
    </w:p>
    <w:p>
      <w:pPr>
        <w:ind w:left="180" w:right="20" w:firstLine="744"/>
        <w:spacing w:after="0" w:line="232" w:lineRule="auto"/>
        <w:tabs>
          <w:tab w:leader="none" w:pos="142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Within Eighteen Months Following a Change in Control. </w:t>
      </w:r>
      <w:r>
        <w:rPr>
          <w:rFonts w:ascii="Times New Roman" w:cs="Times New Roman" w:eastAsia="Times New Roman" w:hAnsi="Times New Roman"/>
          <w:sz w:val="22"/>
          <w:szCs w:val="22"/>
          <w:color w:val="auto"/>
        </w:rPr>
        <w:t>If a Qualifying Termination occurs within eighteen (18)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months following a Change in Control, then the Executive shall be entitled to the Accrued Obligations. In addition, and subject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twelve(12) months following the Executive’s termination date) the share of the premium for health coverage that the Company pays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 unvested time-based equity awards shall vest and become fully exercisable or non-forfeitable as of the termination date (collectively, the “Change in Control Severance Benefits.”</w:t>
      </w:r>
    </w:p>
    <w:p>
      <w:pPr>
        <w:spacing w:after="0" w:line="216" w:lineRule="exact"/>
        <w:rPr>
          <w:rFonts w:ascii="Times New Roman" w:cs="Times New Roman" w:eastAsia="Times New Roman" w:hAnsi="Times New Roman"/>
          <w:sz w:val="22"/>
          <w:szCs w:val="22"/>
          <w:color w:val="auto"/>
        </w:rPr>
      </w:pPr>
    </w:p>
    <w:p>
      <w:pPr>
        <w:ind w:left="180" w:firstLine="744"/>
        <w:spacing w:after="0" w:line="244" w:lineRule="auto"/>
        <w:tabs>
          <w:tab w:leader="none" w:pos="143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Severance and Release of Claims Agreement</w:t>
      </w:r>
      <w:r>
        <w:rPr>
          <w:rFonts w:ascii="Times New Roman" w:cs="Times New Roman" w:eastAsia="Times New Roman" w:hAnsi="Times New Roman"/>
          <w:sz w:val="21"/>
          <w:szCs w:val="21"/>
          <w:color w:val="auto"/>
        </w:rPr>
        <w:t>. As a condition of the Executive’s receipt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Severance Benefits or the Change in Control 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and a reaffirmation of the Executive’s continuing obligations under any existing restrictive covenant agreements),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w:t>
      </w:r>
    </w:p>
    <w:p>
      <w:pPr>
        <w:spacing w:after="0" w:line="207" w:lineRule="exact"/>
        <w:rPr>
          <w:rFonts w:ascii="Times New Roman" w:cs="Times New Roman" w:eastAsia="Times New Roman" w:hAnsi="Times New Roman"/>
          <w:sz w:val="21"/>
          <w:szCs w:val="21"/>
          <w:color w:val="auto"/>
        </w:rPr>
      </w:pPr>
    </w:p>
    <w:p>
      <w:pPr>
        <w:ind w:left="180" w:right="40" w:firstLine="744"/>
        <w:spacing w:after="0" w:line="250" w:lineRule="auto"/>
        <w:tabs>
          <w:tab w:leader="none" w:pos="143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in Control Definition</w:t>
      </w:r>
      <w:r>
        <w:rPr>
          <w:rFonts w:ascii="Times New Roman" w:cs="Times New Roman" w:eastAsia="Times New Roman" w:hAnsi="Times New Roman"/>
          <w:sz w:val="21"/>
          <w:szCs w:val="21"/>
          <w:color w:val="auto"/>
        </w:rPr>
        <w:t>. For purposes of this Agreement, “Change in Control” shall mean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454660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192" w:right="539" w:bottom="1440" w:gutter="0" w:footer="0" w:header="0"/>
        </w:sectPr>
      </w:pPr>
    </w:p>
    <w:bookmarkStart w:id="253" w:name="page254"/>
    <w:bookmarkEnd w:id="253"/>
    <w:p>
      <w:pPr>
        <w:ind w:left="180" w:right="100"/>
        <w:spacing w:after="0" w:line="244" w:lineRule="auto"/>
        <w:rPr>
          <w:sz w:val="20"/>
          <w:szCs w:val="20"/>
          <w:color w:val="auto"/>
        </w:rPr>
      </w:pPr>
      <w:r>
        <w:rPr>
          <w:rFonts w:ascii="Times New Roman" w:cs="Times New Roman" w:eastAsia="Times New Roman" w:hAnsi="Times New Roman"/>
          <w:sz w:val="21"/>
          <w:szCs w:val="21"/>
          <w:color w:val="auto"/>
        </w:rPr>
        <w:t>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w:t>
      </w:r>
    </w:p>
    <w:p>
      <w:pPr>
        <w:spacing w:after="0" w:line="6" w:lineRule="exact"/>
        <w:rPr>
          <w:sz w:val="20"/>
          <w:szCs w:val="20"/>
          <w:color w:val="auto"/>
        </w:rPr>
      </w:pPr>
    </w:p>
    <w:p>
      <w:pPr>
        <w:ind w:left="180" w:hanging="5"/>
        <w:spacing w:after="0" w:line="242" w:lineRule="auto"/>
        <w:tabs>
          <w:tab w:leader="none" w:pos="486"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200" w:lineRule="exact"/>
        <w:rPr>
          <w:sz w:val="20"/>
          <w:szCs w:val="20"/>
          <w:color w:val="auto"/>
        </w:rPr>
      </w:pPr>
    </w:p>
    <w:p>
      <w:pPr>
        <w:spacing w:after="0" w:line="244" w:lineRule="exact"/>
        <w:rPr>
          <w:sz w:val="20"/>
          <w:szCs w:val="20"/>
          <w:color w:val="auto"/>
        </w:rPr>
      </w:pPr>
    </w:p>
    <w:p>
      <w:pPr>
        <w:ind w:left="180" w:right="680" w:hanging="4"/>
        <w:spacing w:after="0" w:line="246" w:lineRule="auto"/>
        <w:tabs>
          <w:tab w:leader="none" w:pos="39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Modified Section 280G Cutback</w:t>
      </w:r>
      <w:r>
        <w:rPr>
          <w:rFonts w:ascii="Times New Roman" w:cs="Times New Roman" w:eastAsia="Times New Roman" w:hAnsi="Times New Roman"/>
          <w:sz w:val="22"/>
          <w:szCs w:val="22"/>
          <w:color w:val="auto"/>
        </w:rPr>
        <w:t>. Notwithstanding any other provision of this Agreement, except as set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forth in Section 8(b), in the event that the Company undergoes a “Change in Ownership or Control” (as defined below), the following provisions shall apply:</w:t>
      </w:r>
    </w:p>
    <w:p>
      <w:pPr>
        <w:spacing w:after="0" w:line="198" w:lineRule="exact"/>
        <w:rPr>
          <w:rFonts w:ascii="Times New Roman" w:cs="Times New Roman" w:eastAsia="Times New Roman" w:hAnsi="Times New Roman"/>
          <w:sz w:val="22"/>
          <w:szCs w:val="22"/>
          <w:color w:val="auto"/>
        </w:rPr>
      </w:pPr>
    </w:p>
    <w:p>
      <w:pPr>
        <w:ind w:left="180" w:right="220" w:firstLine="744"/>
        <w:spacing w:after="0" w:line="244" w:lineRule="auto"/>
        <w:tabs>
          <w:tab w:leader="none" w:pos="143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provide to the Executive any portion of any “Contingent Compensation Payments” (as defined below) that the Executive would otherwise be entitled to receive to the extent necessary to eliminate any “excess parachute payments”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457835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192" w:right="519" w:bottom="1440" w:gutter="0" w:footer="0" w:header="0"/>
        </w:sectPr>
      </w:pPr>
    </w:p>
    <w:bookmarkStart w:id="254" w:name="page255"/>
    <w:bookmarkEnd w:id="254"/>
    <w:p>
      <w:pPr>
        <w:ind w:left="180" w:right="420"/>
        <w:spacing w:after="0" w:line="238" w:lineRule="auto"/>
        <w:rPr>
          <w:sz w:val="20"/>
          <w:szCs w:val="20"/>
          <w:color w:val="auto"/>
        </w:rPr>
      </w:pPr>
      <w:r>
        <w:rPr>
          <w:rFonts w:ascii="Times New Roman" w:cs="Times New Roman" w:eastAsia="Times New Roman" w:hAnsi="Times New Roman"/>
          <w:sz w:val="22"/>
          <w:szCs w:val="22"/>
          <w:color w:val="auto"/>
        </w:rPr>
        <w:t>defined in Section 280G(b)(1) of the Code) for the Executive. For purposes of this Section 8,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204" w:lineRule="exact"/>
        <w:rPr>
          <w:sz w:val="20"/>
          <w:szCs w:val="20"/>
          <w:color w:val="auto"/>
        </w:rPr>
      </w:pPr>
    </w:p>
    <w:p>
      <w:pPr>
        <w:ind w:left="180" w:firstLine="744"/>
        <w:spacing w:after="0" w:line="245" w:lineRule="auto"/>
        <w:tabs>
          <w:tab w:leader="none" w:pos="1431"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8(a),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the Executive would incur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8(b) shall be referred to as a “Section 8(b) Override.” For the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200" w:lineRule="exact"/>
        <w:rPr>
          <w:rFonts w:ascii="Times New Roman" w:cs="Times New Roman" w:eastAsia="Times New Roman" w:hAnsi="Times New Roman"/>
          <w:sz w:val="21"/>
          <w:szCs w:val="21"/>
          <w:color w:val="auto"/>
        </w:rPr>
      </w:pPr>
    </w:p>
    <w:p>
      <w:pPr>
        <w:ind w:left="1420" w:hanging="496"/>
        <w:spacing w:after="0"/>
        <w:tabs>
          <w:tab w:leader="none" w:pos="142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8 the following terms shall have the following respective meanings:</w:t>
      </w:r>
    </w:p>
    <w:p>
      <w:pPr>
        <w:spacing w:after="0" w:line="233" w:lineRule="exact"/>
        <w:rPr>
          <w:sz w:val="20"/>
          <w:szCs w:val="20"/>
          <w:color w:val="auto"/>
        </w:rPr>
      </w:pPr>
    </w:p>
    <w:p>
      <w:pPr>
        <w:ind w:left="1660" w:right="40" w:hanging="736"/>
        <w:spacing w:after="0" w:line="244" w:lineRule="auto"/>
        <w:tabs>
          <w:tab w:leader="none" w:pos="16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200" w:lineRule="exact"/>
        <w:rPr>
          <w:rFonts w:ascii="Times New Roman" w:cs="Times New Roman" w:eastAsia="Times New Roman" w:hAnsi="Times New Roman"/>
          <w:sz w:val="22"/>
          <w:szCs w:val="22"/>
          <w:color w:val="auto"/>
        </w:rPr>
      </w:pPr>
    </w:p>
    <w:p>
      <w:pPr>
        <w:ind w:left="1640" w:right="140" w:hanging="716"/>
        <w:spacing w:after="0" w:line="238" w:lineRule="auto"/>
        <w:tabs>
          <w:tab w:leader="none" w:pos="16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Compensation Payment”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280G(b)(2)(A)(i) of the Code) on a Change in Ownership or Control of the Company.</w:t>
      </w:r>
    </w:p>
    <w:p>
      <w:pPr>
        <w:spacing w:after="0" w:line="204" w:lineRule="exact"/>
        <w:rPr>
          <w:sz w:val="20"/>
          <w:szCs w:val="20"/>
          <w:color w:val="auto"/>
        </w:rPr>
      </w:pPr>
    </w:p>
    <w:p>
      <w:pPr>
        <w:ind w:left="180" w:right="160" w:firstLine="744"/>
        <w:spacing w:after="0" w:line="243" w:lineRule="auto"/>
        <w:tabs>
          <w:tab w:leader="none" w:pos="1424"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8(d). Within thirty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(1) which Potential Payments constitute Contingent Compensation Payments, (2) the Eliminated Amount and (3) whether the Section 8(b) Override is applicable. Within thirty (30) days after delivery of such notice to the Executive, the Executive shall deliver a response to the Company (the “Executive Response”) stating either (A) that the Executive agrees with the Company’s determination pursuant to the preceding sentence or (B) that the Executive disagrees with such determination, in which case the Executive shall set forth (x) which Potential Payments should be characterized as Contingent Compensation Payments,</w:t>
      </w:r>
    </w:p>
    <w:p>
      <w:pPr>
        <w:spacing w:after="0" w:line="5"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192" w:right="499" w:bottom="1440" w:gutter="0" w:footer="0" w:header="0"/>
        </w:sectPr>
      </w:pPr>
    </w:p>
    <w:bookmarkStart w:id="255" w:name="page256"/>
    <w:bookmarkEnd w:id="255"/>
    <w:p>
      <w:pPr>
        <w:ind w:left="180" w:right="180"/>
        <w:spacing w:after="0" w:line="244" w:lineRule="auto"/>
        <w:rPr>
          <w:sz w:val="20"/>
          <w:szCs w:val="20"/>
          <w:color w:val="auto"/>
        </w:rPr>
      </w:pPr>
      <w:r>
        <w:rPr>
          <w:rFonts w:ascii="Times New Roman" w:cs="Times New Roman" w:eastAsia="Times New Roman" w:hAnsi="Times New Roman"/>
          <w:sz w:val="21"/>
          <w:szCs w:val="21"/>
          <w:color w:val="auto"/>
        </w:rPr>
        <w:t>the Eliminated Amount, and (z) whether the Section 8(b)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disagrees with the Company’s determination, then, for a period of sixty (60) days following delivery of the Executive Response, the Executive and the Company shall use good faith efforts to resolve such dispute. If such dispute is not resolved within such a 60-day period, such dispute shall be settled exclusively by arbitration in Boston, Massachusetts or a mutually agreed-upon location, in accordance with the rules of the American Arbitration Association then in effect. Judgment may be entered on the arbitrator’s award in any court having jurisdiction. The Company shall, within three (3)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w:t>
      </w:r>
    </w:p>
    <w:p>
      <w:pPr>
        <w:spacing w:after="0" w:line="200" w:lineRule="exact"/>
        <w:rPr>
          <w:sz w:val="20"/>
          <w:szCs w:val="20"/>
          <w:color w:val="auto"/>
        </w:rPr>
      </w:pPr>
    </w:p>
    <w:p>
      <w:pPr>
        <w:ind w:left="180" w:firstLine="744"/>
        <w:spacing w:after="0" w:line="243" w:lineRule="auto"/>
        <w:tabs>
          <w:tab w:leader="none" w:pos="1432"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 Q/A-24(b) or (c)).</w:t>
      </w:r>
    </w:p>
    <w:p>
      <w:pPr>
        <w:spacing w:after="0" w:line="215" w:lineRule="exact"/>
        <w:rPr>
          <w:rFonts w:ascii="Times New Roman" w:cs="Times New Roman" w:eastAsia="Times New Roman" w:hAnsi="Times New Roman"/>
          <w:sz w:val="21"/>
          <w:szCs w:val="21"/>
          <w:color w:val="auto"/>
        </w:rPr>
      </w:pPr>
    </w:p>
    <w:p>
      <w:pPr>
        <w:ind w:left="1420" w:hanging="496"/>
        <w:spacing w:after="0"/>
        <w:tabs>
          <w:tab w:leader="none" w:pos="14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8 are intended to apply to any and all payments or benefits</w:t>
      </w:r>
    </w:p>
    <w:p>
      <w:pPr>
        <w:spacing w:after="0" w:line="14" w:lineRule="exact"/>
        <w:rPr>
          <w:sz w:val="20"/>
          <w:szCs w:val="20"/>
          <w:color w:val="auto"/>
        </w:rPr>
      </w:pPr>
    </w:p>
    <w:p>
      <w:pPr>
        <w:ind w:left="180" w:right="580"/>
        <w:spacing w:after="0" w:line="237" w:lineRule="auto"/>
        <w:rPr>
          <w:sz w:val="20"/>
          <w:szCs w:val="20"/>
          <w:color w:val="auto"/>
        </w:rPr>
      </w:pPr>
      <w:r>
        <w:rPr>
          <w:rFonts w:ascii="Times New Roman" w:cs="Times New Roman" w:eastAsia="Times New Roman" w:hAnsi="Times New Roman"/>
          <w:sz w:val="22"/>
          <w:szCs w:val="22"/>
          <w:color w:val="auto"/>
        </w:rPr>
        <w:t>available to the Executive under this Agreement or any other agreement or plan under which the Executive receives Contingent Compensation Payments.</w:t>
      </w:r>
    </w:p>
    <w:p>
      <w:pPr>
        <w:spacing w:after="0" w:line="201" w:lineRule="exact"/>
        <w:rPr>
          <w:sz w:val="20"/>
          <w:szCs w:val="20"/>
          <w:color w:val="auto"/>
        </w:rPr>
      </w:pPr>
    </w:p>
    <w:p>
      <w:pPr>
        <w:ind w:left="180" w:right="360" w:hanging="4"/>
        <w:spacing w:after="0" w:line="246" w:lineRule="auto"/>
        <w:tabs>
          <w:tab w:leader="none" w:pos="3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Covenants Agreements</w:t>
      </w:r>
      <w:r>
        <w:rPr>
          <w:rFonts w:ascii="Times New Roman" w:cs="Times New Roman" w:eastAsia="Times New Roman" w:hAnsi="Times New Roman"/>
          <w:sz w:val="22"/>
          <w:szCs w:val="22"/>
          <w:color w:val="auto"/>
        </w:rPr>
        <w:t>. As a condition of the Executive’s employment pursuant to the terms set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forth in this Agreement, the Executive shall execute and comply with the terms of (a) the Invention, Nondisclosure and Nonsolicitation Agreement and (b) the Noncompetition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456565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192" w:right="459" w:bottom="1440" w:gutter="0" w:footer="0" w:header="0"/>
        </w:sectPr>
      </w:pPr>
    </w:p>
    <w:bookmarkStart w:id="256" w:name="page257"/>
    <w:bookmarkEnd w:id="256"/>
    <w:p>
      <w:pPr>
        <w:ind w:left="180"/>
        <w:spacing w:after="0"/>
        <w:rPr>
          <w:sz w:val="20"/>
          <w:szCs w:val="20"/>
          <w:color w:val="auto"/>
        </w:rPr>
      </w:pPr>
      <w:r>
        <w:rPr>
          <w:rFonts w:ascii="Times New Roman" w:cs="Times New Roman" w:eastAsia="Times New Roman" w:hAnsi="Times New Roman"/>
          <w:sz w:val="22"/>
          <w:szCs w:val="22"/>
          <w:color w:val="auto"/>
        </w:rPr>
        <w:t xml:space="preserve">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respectively.</w:t>
      </w:r>
    </w:p>
    <w:p>
      <w:pPr>
        <w:spacing w:after="0" w:line="229" w:lineRule="exact"/>
        <w:rPr>
          <w:sz w:val="20"/>
          <w:szCs w:val="20"/>
          <w:color w:val="auto"/>
        </w:rPr>
      </w:pPr>
    </w:p>
    <w:p>
      <w:pPr>
        <w:ind w:left="180" w:right="80" w:hanging="4"/>
        <w:spacing w:after="0" w:line="241" w:lineRule="auto"/>
        <w:tabs>
          <w:tab w:leader="none" w:pos="50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Restrictions</w:t>
      </w:r>
      <w:r>
        <w:rPr>
          <w:rFonts w:ascii="Times New Roman" w:cs="Times New Roman" w:eastAsia="Times New Roman" w:hAnsi="Times New Roman"/>
          <w:sz w:val="22"/>
          <w:szCs w:val="22"/>
          <w:color w:val="auto"/>
        </w:rPr>
        <w:t>. The Executive represents and warrants that the Executive is not bound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98" w:lineRule="exact"/>
        <w:rPr>
          <w:rFonts w:ascii="Times New Roman" w:cs="Times New Roman" w:eastAsia="Times New Roman" w:hAnsi="Times New Roman"/>
          <w:sz w:val="22"/>
          <w:szCs w:val="22"/>
          <w:color w:val="auto"/>
        </w:rPr>
      </w:pPr>
    </w:p>
    <w:p>
      <w:pPr>
        <w:ind w:left="180" w:right="120" w:hanging="4"/>
        <w:spacing w:after="0" w:line="241" w:lineRule="auto"/>
        <w:tabs>
          <w:tab w:leader="none" w:pos="50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Any notice delivered under this Agreement shall be deemed duly delivered three (3) business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it is sent by registered or certified mail, return receipt requested, postage prepaid, one (1) business day after it is sent for next-business-day delivery via a reputable nationwide overnight courier service, or immediately upon hand delivery, in each case to the address of the recipient set forth below.</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To Executive:</w:t>
      </w:r>
    </w:p>
    <w:p>
      <w:pPr>
        <w:spacing w:after="0" w:line="233" w:lineRule="exact"/>
        <w:rPr>
          <w:sz w:val="20"/>
          <w:szCs w:val="20"/>
          <w:color w:val="auto"/>
        </w:rPr>
      </w:pPr>
    </w:p>
    <w:p>
      <w:pPr>
        <w:ind w:left="920" w:right="3720"/>
        <w:spacing w:after="0" w:line="241" w:lineRule="auto"/>
        <w:rPr>
          <w:sz w:val="20"/>
          <w:szCs w:val="20"/>
          <w:color w:val="auto"/>
        </w:rPr>
      </w:pPr>
      <w:r>
        <w:rPr>
          <w:rFonts w:ascii="Times New Roman" w:cs="Times New Roman" w:eastAsia="Times New Roman" w:hAnsi="Times New Roman"/>
          <w:sz w:val="22"/>
          <w:szCs w:val="22"/>
          <w:color w:val="auto"/>
        </w:rPr>
        <w:t>At the address set forth in the Executive’s personnel file To Company:</w:t>
      </w:r>
    </w:p>
    <w:p>
      <w:pPr>
        <w:ind w:left="920"/>
        <w:spacing w:after="0" w:line="232" w:lineRule="auto"/>
        <w:rPr>
          <w:sz w:val="20"/>
          <w:szCs w:val="20"/>
          <w:color w:val="auto"/>
        </w:rPr>
      </w:pPr>
      <w:r>
        <w:rPr>
          <w:rFonts w:ascii="Times New Roman" w:cs="Times New Roman" w:eastAsia="Times New Roman" w:hAnsi="Times New Roman"/>
          <w:sz w:val="22"/>
          <w:szCs w:val="22"/>
          <w:color w:val="auto"/>
        </w:rPr>
        <w:t>Solid Biosciences Inc.</w:t>
      </w:r>
    </w:p>
    <w:p>
      <w:pPr>
        <w:ind w:left="920"/>
        <w:spacing w:after="0" w:line="230" w:lineRule="auto"/>
        <w:rPr>
          <w:sz w:val="20"/>
          <w:szCs w:val="20"/>
          <w:color w:val="auto"/>
        </w:rPr>
      </w:pPr>
      <w:r>
        <w:rPr>
          <w:rFonts w:ascii="Times New Roman" w:cs="Times New Roman" w:eastAsia="Times New Roman" w:hAnsi="Times New Roman"/>
          <w:sz w:val="22"/>
          <w:szCs w:val="22"/>
          <w:color w:val="auto"/>
        </w:rPr>
        <w:t>500 Rutherford Avenue</w:t>
      </w:r>
    </w:p>
    <w:p>
      <w:pPr>
        <w:ind w:left="920"/>
        <w:spacing w:after="0" w:line="231" w:lineRule="auto"/>
        <w:rPr>
          <w:sz w:val="20"/>
          <w:szCs w:val="20"/>
          <w:color w:val="auto"/>
        </w:rPr>
      </w:pPr>
      <w:r>
        <w:rPr>
          <w:rFonts w:ascii="Times New Roman" w:cs="Times New Roman" w:eastAsia="Times New Roman" w:hAnsi="Times New Roman"/>
          <w:sz w:val="22"/>
          <w:szCs w:val="22"/>
          <w:color w:val="auto"/>
        </w:rPr>
        <w:t>Third Floor</w:t>
      </w:r>
    </w:p>
    <w:p>
      <w:pPr>
        <w:ind w:left="920"/>
        <w:spacing w:after="0" w:line="230" w:lineRule="auto"/>
        <w:rPr>
          <w:sz w:val="20"/>
          <w:szCs w:val="20"/>
          <w:color w:val="auto"/>
        </w:rPr>
      </w:pPr>
      <w:r>
        <w:rPr>
          <w:rFonts w:ascii="Times New Roman" w:cs="Times New Roman" w:eastAsia="Times New Roman" w:hAnsi="Times New Roman"/>
          <w:sz w:val="22"/>
          <w:szCs w:val="22"/>
          <w:color w:val="auto"/>
        </w:rPr>
        <w:t>Charlestown, MA</w:t>
      </w:r>
    </w:p>
    <w:p>
      <w:pPr>
        <w:ind w:left="920"/>
        <w:spacing w:after="0" w:line="231" w:lineRule="auto"/>
        <w:rPr>
          <w:sz w:val="20"/>
          <w:szCs w:val="20"/>
          <w:color w:val="auto"/>
        </w:rPr>
      </w:pPr>
      <w:r>
        <w:rPr>
          <w:rFonts w:ascii="Times New Roman" w:cs="Times New Roman" w:eastAsia="Times New Roman" w:hAnsi="Times New Roman"/>
          <w:sz w:val="22"/>
          <w:szCs w:val="22"/>
          <w:color w:val="auto"/>
        </w:rPr>
        <w:t>02129</w:t>
      </w:r>
    </w:p>
    <w:p>
      <w:pPr>
        <w:ind w:left="920"/>
        <w:spacing w:after="0" w:line="231" w:lineRule="auto"/>
        <w:rPr>
          <w:sz w:val="20"/>
          <w:szCs w:val="20"/>
          <w:color w:val="auto"/>
        </w:rPr>
      </w:pPr>
      <w:r>
        <w:rPr>
          <w:rFonts w:ascii="Times New Roman" w:cs="Times New Roman" w:eastAsia="Times New Roman" w:hAnsi="Times New Roman"/>
          <w:sz w:val="22"/>
          <w:szCs w:val="22"/>
          <w:color w:val="auto"/>
        </w:rPr>
        <w:t>ATTN: Legal</w:t>
      </w:r>
    </w:p>
    <w:p>
      <w:pPr>
        <w:ind w:left="940"/>
        <w:spacing w:after="0"/>
        <w:rPr>
          <w:sz w:val="20"/>
          <w:szCs w:val="20"/>
          <w:color w:val="auto"/>
        </w:rPr>
      </w:pPr>
      <w:r>
        <w:rPr>
          <w:rFonts w:ascii="Times New Roman" w:cs="Times New Roman" w:eastAsia="Times New Roman" w:hAnsi="Times New Roman"/>
          <w:sz w:val="22"/>
          <w:szCs w:val="22"/>
          <w:color w:val="auto"/>
        </w:rPr>
        <w:t>legalnotices@solidbio.com</w:t>
      </w:r>
    </w:p>
    <w:p>
      <w:pPr>
        <w:spacing w:after="0" w:line="209"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22"/>
          <w:szCs w:val="22"/>
          <w:color w:val="auto"/>
        </w:rPr>
        <w:t>Either Party may change the address to which notices are to be delivered by giving notice of such change to the other Party in the manner set forth in this Section 11.</w:t>
      </w:r>
    </w:p>
    <w:p>
      <w:pPr>
        <w:spacing w:after="0" w:line="181" w:lineRule="exact"/>
        <w:rPr>
          <w:sz w:val="20"/>
          <w:szCs w:val="20"/>
          <w:color w:val="auto"/>
        </w:rPr>
      </w:pPr>
    </w:p>
    <w:p>
      <w:pPr>
        <w:ind w:left="180" w:right="140" w:hanging="4"/>
        <w:spacing w:after="0" w:line="252" w:lineRule="auto"/>
        <w:tabs>
          <w:tab w:leader="none" w:pos="504"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Applicable Law; Jury Trial Waiver</w:t>
      </w:r>
      <w:r>
        <w:rPr>
          <w:rFonts w:ascii="Times New Roman" w:cs="Times New Roman" w:eastAsia="Times New Roman" w:hAnsi="Times New Roman"/>
          <w:sz w:val="21"/>
          <w:szCs w:val="21"/>
          <w:color w:val="auto"/>
        </w:rPr>
        <w:t>. This Agreement shall be governed by and construed in accordance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the laws of the State of Massachusetts (without reference to the conflict of laws provisions thereof). Any action, suit, or other legal proceeding arising under or relating to any provision of this Agreement shall be commenced only in a court of the State of Massachusetts (or, if appropriate, a federal court located within the State of Massachusetts) and the Company and the Executive each consents to the jurisdiction of such a court.</w:t>
      </w:r>
    </w:p>
    <w:p>
      <w:pPr>
        <w:spacing w:after="0" w:line="190" w:lineRule="exact"/>
        <w:rPr>
          <w:rFonts w:ascii="Times New Roman" w:cs="Times New Roman" w:eastAsia="Times New Roman" w:hAnsi="Times New Roman"/>
          <w:sz w:val="21"/>
          <w:szCs w:val="21"/>
          <w:color w:val="auto"/>
        </w:rPr>
      </w:pPr>
    </w:p>
    <w:p>
      <w:pPr>
        <w:jc w:val="both"/>
        <w:ind w:left="180" w:right="80" w:hanging="4"/>
        <w:spacing w:after="0" w:line="241" w:lineRule="auto"/>
        <w:tabs>
          <w:tab w:leader="none" w:pos="50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98" w:lineRule="exact"/>
        <w:rPr>
          <w:rFonts w:ascii="Times New Roman" w:cs="Times New Roman" w:eastAsia="Times New Roman" w:hAnsi="Times New Roman"/>
          <w:sz w:val="22"/>
          <w:szCs w:val="22"/>
          <w:color w:val="auto"/>
        </w:rPr>
      </w:pPr>
    </w:p>
    <w:p>
      <w:pPr>
        <w:jc w:val="both"/>
        <w:ind w:left="180" w:right="280" w:hanging="4"/>
        <w:spacing w:after="0" w:line="241" w:lineRule="auto"/>
        <w:tabs>
          <w:tab w:leader="none" w:pos="50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At-Will Employment</w:t>
      </w:r>
      <w:r>
        <w:rPr>
          <w:rFonts w:ascii="Times New Roman" w:cs="Times New Roman" w:eastAsia="Times New Roman" w:hAnsi="Times New Roman"/>
          <w:sz w:val="22"/>
          <w:szCs w:val="22"/>
          <w:color w:val="auto"/>
        </w:rPr>
        <w:t>. During the Term of Employment, the Executive will continue to be an at-will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of the Company, which means that, notwithstanding any other provision set forth herein, the employment relationship can be terminated by either Party for any reason, at any time, with or without prior notice and with or without Cause.</w:t>
      </w:r>
    </w:p>
    <w:p>
      <w:pPr>
        <w:spacing w:after="0" w:line="198" w:lineRule="exact"/>
        <w:rPr>
          <w:rFonts w:ascii="Times New Roman" w:cs="Times New Roman" w:eastAsia="Times New Roman" w:hAnsi="Times New Roman"/>
          <w:sz w:val="22"/>
          <w:szCs w:val="22"/>
          <w:color w:val="auto"/>
        </w:rPr>
      </w:pPr>
    </w:p>
    <w:p>
      <w:pPr>
        <w:ind w:left="180" w:right="700" w:hanging="4"/>
        <w:spacing w:after="0" w:line="262" w:lineRule="auto"/>
        <w:tabs>
          <w:tab w:leader="none" w:pos="50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Acknowledgment</w:t>
      </w:r>
      <w:r>
        <w:rPr>
          <w:rFonts w:ascii="Times New Roman" w:cs="Times New Roman" w:eastAsia="Times New Roman" w:hAnsi="Times New Roman"/>
          <w:sz w:val="22"/>
          <w:szCs w:val="22"/>
          <w:color w:val="auto"/>
        </w:rPr>
        <w:t>. The Executive states and represents that the Executive has been provided with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opportunity to fully discuss and review the terms of this Agreement with 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445135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440" w:top="1192" w:right="659" w:bottom="1440" w:gutter="0" w:footer="0" w:header="0"/>
        </w:sectPr>
      </w:pPr>
    </w:p>
    <w:bookmarkStart w:id="257" w:name="page258"/>
    <w:bookmarkEnd w:id="257"/>
    <w:p>
      <w:pPr>
        <w:ind w:left="180" w:right="320"/>
        <w:spacing w:after="0" w:line="244" w:lineRule="auto"/>
        <w:rPr>
          <w:sz w:val="20"/>
          <w:szCs w:val="20"/>
          <w:color w:val="auto"/>
        </w:rPr>
      </w:pPr>
      <w:r>
        <w:rPr>
          <w:rFonts w:ascii="Times New Roman" w:cs="Times New Roman" w:eastAsia="Times New Roman" w:hAnsi="Times New Roman"/>
          <w:sz w:val="22"/>
          <w:szCs w:val="22"/>
          <w:color w:val="auto"/>
        </w:rPr>
        <w:t>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96" w:lineRule="exact"/>
        <w:rPr>
          <w:sz w:val="20"/>
          <w:szCs w:val="20"/>
          <w:color w:val="auto"/>
        </w:rPr>
      </w:pPr>
    </w:p>
    <w:p>
      <w:pPr>
        <w:ind w:left="180" w:right="140" w:hanging="4"/>
        <w:spacing w:after="0" w:line="238" w:lineRule="auto"/>
        <w:tabs>
          <w:tab w:leader="none" w:pos="50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Oral Modification, Waiver, Cancellation or Discharge</w:t>
      </w:r>
      <w:r>
        <w:rPr>
          <w:rFonts w:ascii="Times New Roman" w:cs="Times New Roman" w:eastAsia="Times New Roman" w:hAnsi="Times New Roman"/>
          <w:sz w:val="22"/>
          <w:szCs w:val="22"/>
          <w:color w:val="auto"/>
        </w:rPr>
        <w:t>. This Agreement may be amended or modified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by a written instrument executed by both the Company and the Executive. No delay or omission by either party in exercising any right under this Agreement shall operate as a waiver of that or any other right. A waiver or consent given by either party on any one occasion shall be effective only in that instance and shall not be construed as a bar to or waiver of any right on any other occasion.</w:t>
      </w:r>
    </w:p>
    <w:p>
      <w:pPr>
        <w:spacing w:after="0" w:line="203" w:lineRule="exact"/>
        <w:rPr>
          <w:rFonts w:ascii="Times New Roman" w:cs="Times New Roman" w:eastAsia="Times New Roman" w:hAnsi="Times New Roman"/>
          <w:sz w:val="22"/>
          <w:szCs w:val="22"/>
          <w:color w:val="auto"/>
        </w:rPr>
      </w:pPr>
    </w:p>
    <w:p>
      <w:pPr>
        <w:ind w:left="180" w:right="120" w:hanging="4"/>
        <w:spacing w:after="0" w:line="256" w:lineRule="auto"/>
        <w:tabs>
          <w:tab w:leader="none" w:pos="504"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Captions and Pronouns</w:t>
      </w:r>
      <w:r>
        <w:rPr>
          <w:rFonts w:ascii="Times New Roman" w:cs="Times New Roman" w:eastAsia="Times New Roman" w:hAnsi="Times New Roman"/>
          <w:sz w:val="21"/>
          <w:szCs w:val="21"/>
          <w:color w:val="auto"/>
        </w:rPr>
        <w:t>. The captions of the sections of this Agreement are for convenience of reference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84" w:lineRule="exact"/>
        <w:rPr>
          <w:rFonts w:ascii="Times New Roman" w:cs="Times New Roman" w:eastAsia="Times New Roman" w:hAnsi="Times New Roman"/>
          <w:sz w:val="21"/>
          <w:szCs w:val="21"/>
          <w:color w:val="auto"/>
        </w:rPr>
      </w:pPr>
    </w:p>
    <w:p>
      <w:pPr>
        <w:jc w:val="both"/>
        <w:ind w:left="180" w:hanging="4"/>
        <w:spacing w:after="0" w:line="241" w:lineRule="auto"/>
        <w:tabs>
          <w:tab w:leader="none" w:pos="50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The Parties agree that this Agreement will be construed without regard to any presumption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98" w:lineRule="exact"/>
        <w:rPr>
          <w:rFonts w:ascii="Times New Roman" w:cs="Times New Roman" w:eastAsia="Times New Roman" w:hAnsi="Times New Roman"/>
          <w:sz w:val="22"/>
          <w:szCs w:val="22"/>
          <w:color w:val="auto"/>
        </w:rPr>
      </w:pPr>
    </w:p>
    <w:p>
      <w:pPr>
        <w:ind w:left="180" w:right="200" w:hanging="4"/>
        <w:spacing w:after="0" w:line="235" w:lineRule="auto"/>
        <w:tabs>
          <w:tab w:leader="none" w:pos="50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Each provision of this Agreement must be interpreted in such manner as to be effective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a court of competent jurisdiction may limit or reduce it to the extent legally permitted, so as to be enforceable to the extent compatible with then applicable law to achieve the intent of the Parties.</w:t>
      </w:r>
    </w:p>
    <w:p>
      <w:pPr>
        <w:spacing w:after="0" w:line="200" w:lineRule="exact"/>
        <w:rPr>
          <w:rFonts w:ascii="Times New Roman" w:cs="Times New Roman" w:eastAsia="Times New Roman" w:hAnsi="Times New Roman"/>
          <w:sz w:val="22"/>
          <w:szCs w:val="22"/>
          <w:color w:val="auto"/>
        </w:rPr>
      </w:pPr>
    </w:p>
    <w:p>
      <w:pPr>
        <w:jc w:val="both"/>
        <w:ind w:left="180" w:right="240" w:hanging="4"/>
        <w:spacing w:after="0" w:line="246" w:lineRule="auto"/>
        <w:tabs>
          <w:tab w:leader="none" w:pos="50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constitutes the entire agreement between the Parties and supersedes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agreements and understandings, whether written or oral, relating to the subject matter of this Agreement, including, but not limited to any prior Employment Agreements.</w:t>
      </w:r>
    </w:p>
    <w:p>
      <w:pPr>
        <w:spacing w:after="0" w:line="3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192" w:right="519" w:bottom="1440" w:gutter="0" w:footer="0" w:header="0"/>
        </w:sectPr>
      </w:pPr>
    </w:p>
    <w:bookmarkStart w:id="258" w:name="page259"/>
    <w:bookmarkEnd w:id="258"/>
    <w:p>
      <w:pPr>
        <w:ind w:left="18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SOLID BIOSCIENCES INC.</w:t>
      </w:r>
    </w:p>
    <w:p>
      <w:pPr>
        <w:sectPr>
          <w:pgSz w:w="11900" w:h="16838" w:orient="portrait"/>
          <w:cols w:equalWidth="0" w:num="1">
            <w:col w:w="9480"/>
          </w:cols>
          <w:pgMar w:left="1440" w:top="1273" w:right="97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Title:</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Bo Cumbo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President and CEO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09/22/2023</w:t>
      </w:r>
    </w:p>
    <w:p>
      <w:pPr>
        <w:spacing w:after="0" w:line="200" w:lineRule="exact"/>
        <w:rPr>
          <w:sz w:val="20"/>
          <w:szCs w:val="20"/>
          <w:color w:val="auto"/>
        </w:rPr>
      </w:pPr>
    </w:p>
    <w:p>
      <w:pPr>
        <w:sectPr>
          <w:pgSz w:w="11900" w:h="16838" w:orient="portrait"/>
          <w:cols w:equalWidth="0" w:num="2">
            <w:col w:w="640" w:space="340"/>
            <w:col w:w="8500"/>
          </w:cols>
          <w:pgMar w:left="1440" w:top="1273" w:right="97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 Gabriel Brooks</w:t>
      </w:r>
    </w:p>
    <w:p>
      <w:pPr>
        <w:spacing w:after="0" w:line="233" w:lineRule="exact"/>
        <w:rPr>
          <w:sz w:val="20"/>
          <w:szCs w:val="20"/>
          <w:color w:val="auto"/>
        </w:rPr>
      </w:pPr>
    </w:p>
    <w:p>
      <w:pPr>
        <w:ind w:left="180"/>
        <w:spacing w:after="0"/>
        <w:tabs>
          <w:tab w:leader="none" w:pos="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Gabriel Brooks</w:t>
      </w:r>
    </w:p>
    <w:p>
      <w:pPr>
        <w:spacing w:after="0" w:line="233" w:lineRule="exact"/>
        <w:rPr>
          <w:sz w:val="20"/>
          <w:szCs w:val="20"/>
          <w:color w:val="auto"/>
        </w:rPr>
      </w:pPr>
    </w:p>
    <w:p>
      <w:pPr>
        <w:ind w:left="180"/>
        <w:spacing w:after="0"/>
        <w:tabs>
          <w:tab w:leader="none" w:pos="960" w:val="left"/>
        </w:tabs>
        <w:rPr>
          <w:sz w:val="20"/>
          <w:szCs w:val="20"/>
          <w:color w:val="auto"/>
        </w:rPr>
      </w:pPr>
      <w:r>
        <w:rPr>
          <w:rFonts w:ascii="Times New Roman" w:cs="Times New Roman" w:eastAsia="Times New Roman" w:hAnsi="Times New Roman"/>
          <w:sz w:val="22"/>
          <w:szCs w:val="22"/>
          <w:color w:val="auto"/>
        </w:rPr>
        <w:t>Date:</w:t>
        <w:tab/>
        <w:t>09/23/2023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[Signature Page to the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80"/>
          </w:cols>
          <w:pgMar w:left="1440" w:top="1273" w:right="979" w:bottom="1440" w:gutter="0" w:footer="0" w:header="0"/>
          <w:type w:val="continuous"/>
        </w:sectPr>
      </w:pPr>
    </w:p>
    <w:bookmarkStart w:id="259" w:name="page260"/>
    <w:bookmarkEnd w:id="259"/>
    <w:p>
      <w:pPr>
        <w:spacing w:after="0" w:line="3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Payments Subject to Section 409A</w:t>
      </w:r>
    </w:p>
    <w:p>
      <w:pPr>
        <w:spacing w:after="0" w:line="251" w:lineRule="exact"/>
        <w:rPr>
          <w:sz w:val="20"/>
          <w:szCs w:val="20"/>
          <w:color w:val="auto"/>
        </w:rPr>
      </w:pPr>
    </w:p>
    <w:p>
      <w:pPr>
        <w:ind w:left="180" w:right="560" w:firstLine="744"/>
        <w:spacing w:after="0" w:line="238" w:lineRule="auto"/>
        <w:tabs>
          <w:tab w:leader="none" w:pos="140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the distribution of the severance payments, if any, to be provided to the Executive under the Agreement, as applicable:</w:t>
      </w:r>
    </w:p>
    <w:p>
      <w:pPr>
        <w:spacing w:after="0" w:line="204" w:lineRule="exact"/>
        <w:rPr>
          <w:sz w:val="20"/>
          <w:szCs w:val="20"/>
          <w:color w:val="auto"/>
        </w:rPr>
      </w:pPr>
    </w:p>
    <w:p>
      <w:pPr>
        <w:ind w:left="920" w:right="500" w:firstLine="749"/>
        <w:spacing w:after="0" w:line="238" w:lineRule="auto"/>
        <w:rPr>
          <w:sz w:val="20"/>
          <w:szCs w:val="20"/>
          <w:color w:val="auto"/>
        </w:rPr>
      </w:pPr>
      <w:r>
        <w:rPr>
          <w:rFonts w:ascii="Times New Roman" w:cs="Times New Roman" w:eastAsia="Times New Roman" w:hAnsi="Times New Roman"/>
          <w:sz w:val="22"/>
          <w:szCs w:val="22"/>
          <w:color w:val="auto"/>
        </w:rPr>
        <w:t>(a)It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04" w:lineRule="exact"/>
        <w:rPr>
          <w:sz w:val="20"/>
          <w:szCs w:val="20"/>
          <w:color w:val="auto"/>
        </w:rPr>
      </w:pPr>
    </w:p>
    <w:p>
      <w:pPr>
        <w:ind w:left="920" w:right="280" w:firstLine="749"/>
        <w:spacing w:after="0" w:line="261" w:lineRule="auto"/>
        <w:rPr>
          <w:sz w:val="20"/>
          <w:szCs w:val="20"/>
          <w:color w:val="auto"/>
        </w:rPr>
      </w:pPr>
      <w:r>
        <w:rPr>
          <w:rFonts w:ascii="Times New Roman" w:cs="Times New Roman" w:eastAsia="Times New Roman" w:hAnsi="Times New Roman"/>
          <w:sz w:val="21"/>
          <w:szCs w:val="21"/>
          <w:color w:val="auto"/>
        </w:rPr>
        <w:t>(b)If,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(c)If, as of the date of the Executive’s “separation from service” from the Company, the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Executive is a “specified employee” (within the meaning of Section 409A), then:</w:t>
      </w:r>
    </w:p>
    <w:p>
      <w:pPr>
        <w:spacing w:after="0" w:line="209" w:lineRule="exact"/>
        <w:rPr>
          <w:sz w:val="20"/>
          <w:szCs w:val="20"/>
          <w:color w:val="auto"/>
        </w:rPr>
      </w:pPr>
    </w:p>
    <w:p>
      <w:pPr>
        <w:ind w:left="2120" w:right="80" w:hanging="596"/>
        <w:spacing w:after="0" w:line="235" w:lineRule="auto"/>
        <w:tabs>
          <w:tab w:leader="none" w:pos="212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10" w:lineRule="exact"/>
        <w:rPr>
          <w:rFonts w:ascii="Times New Roman" w:cs="Times New Roman" w:eastAsia="Times New Roman" w:hAnsi="Times New Roman"/>
          <w:sz w:val="22"/>
          <w:szCs w:val="22"/>
          <w:color w:val="auto"/>
        </w:rPr>
      </w:pPr>
    </w:p>
    <w:p>
      <w:pPr>
        <w:ind w:left="2120" w:hanging="671"/>
        <w:spacing w:after="0" w:line="233" w:lineRule="auto"/>
        <w:tabs>
          <w:tab w:leader="none" w:pos="212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such installment is deemed to be paid under a separation pay plan that does not provide for a deferral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464820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440" w:right="519" w:bottom="1440" w:gutter="0" w:footer="0" w:header="0"/>
        </w:sectPr>
      </w:pPr>
    </w:p>
    <w:bookmarkStart w:id="260" w:name="page261"/>
    <w:bookmarkEnd w:id="260"/>
    <w:p>
      <w:pPr>
        <w:ind w:left="2120" w:right="40"/>
        <w:spacing w:after="0" w:line="238" w:lineRule="auto"/>
        <w:rPr>
          <w:sz w:val="20"/>
          <w:szCs w:val="20"/>
          <w:color w:val="auto"/>
        </w:rPr>
      </w:pPr>
      <w:r>
        <w:rPr>
          <w:rFonts w:ascii="Times New Roman" w:cs="Times New Roman" w:eastAsia="Times New Roman" w:hAnsi="Times New Roman"/>
          <w:sz w:val="22"/>
          <w:szCs w:val="22"/>
          <w:color w:val="auto"/>
        </w:rPr>
        <w:t>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204" w:lineRule="exact"/>
        <w:rPr>
          <w:sz w:val="20"/>
          <w:szCs w:val="20"/>
          <w:color w:val="auto"/>
        </w:rPr>
      </w:pPr>
    </w:p>
    <w:p>
      <w:pPr>
        <w:ind w:left="180" w:firstLine="744"/>
        <w:spacing w:after="0" w:line="238" w:lineRule="auto"/>
        <w:tabs>
          <w:tab w:leader="none" w:pos="143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3" w:lineRule="exact"/>
        <w:rPr>
          <w:rFonts w:ascii="Times New Roman" w:cs="Times New Roman" w:eastAsia="Times New Roman" w:hAnsi="Times New Roman"/>
          <w:sz w:val="22"/>
          <w:szCs w:val="22"/>
          <w:color w:val="auto"/>
        </w:rPr>
      </w:pPr>
    </w:p>
    <w:p>
      <w:pPr>
        <w:ind w:left="180" w:right="40" w:firstLine="744"/>
        <w:spacing w:after="0" w:line="247" w:lineRule="auto"/>
        <w:tabs>
          <w:tab w:leader="none" w:pos="1427"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98" w:lineRule="exact"/>
        <w:rPr>
          <w:rFonts w:ascii="Times New Roman" w:cs="Times New Roman" w:eastAsia="Times New Roman" w:hAnsi="Times New Roman"/>
          <w:sz w:val="21"/>
          <w:szCs w:val="21"/>
          <w:color w:val="auto"/>
        </w:rPr>
      </w:pPr>
    </w:p>
    <w:p>
      <w:pPr>
        <w:ind w:left="1420" w:hanging="496"/>
        <w:spacing w:after="0"/>
        <w:tabs>
          <w:tab w:leader="none" w:pos="14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w:t>
      </w:r>
    </w:p>
    <w:p>
      <w:pPr>
        <w:spacing w:after="0" w:line="14" w:lineRule="exact"/>
        <w:rPr>
          <w:sz w:val="20"/>
          <w:szCs w:val="20"/>
          <w:color w:val="auto"/>
        </w:rPr>
      </w:pPr>
    </w:p>
    <w:p>
      <w:pPr>
        <w:ind w:left="180" w:right="320"/>
        <w:spacing w:after="0" w:line="234" w:lineRule="auto"/>
        <w:rPr>
          <w:sz w:val="20"/>
          <w:szCs w:val="20"/>
          <w:color w:val="auto"/>
        </w:rPr>
      </w:pPr>
      <w:r>
        <w:rPr>
          <w:rFonts w:ascii="Times New Roman" w:cs="Times New Roman" w:eastAsia="Times New Roman" w:hAnsi="Times New Roman"/>
          <w:sz w:val="22"/>
          <w:szCs w:val="22"/>
          <w:color w:val="auto"/>
        </w:rPr>
        <w:t>or to any other person unless a court of competent jurisdiction or governing body determines otherwise if any of the provisions of the Agreement (including this Exhibit A) are determined to constitute deferred compensation subject to Section 409A but that do not satisfy an exemption from, or the conditions of, that section.</w:t>
      </w:r>
    </w:p>
    <w:p>
      <w:pPr>
        <w:spacing w:after="0" w:line="204" w:lineRule="exact"/>
        <w:rPr>
          <w:sz w:val="20"/>
          <w:szCs w:val="20"/>
          <w:color w:val="auto"/>
        </w:rPr>
      </w:pPr>
    </w:p>
    <w:p>
      <w:pPr>
        <w:ind w:left="180" w:right="740" w:firstLine="744"/>
        <w:spacing w:after="0" w:line="258" w:lineRule="auto"/>
        <w:tabs>
          <w:tab w:leader="none" w:pos="142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intended to comply with, or be exempt from, Section 409A and shall be interpreted accordingly.</w:t>
      </w:r>
    </w:p>
    <w:p>
      <w:pPr>
        <w:spacing w:after="0" w:line="2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192" w:right="499" w:bottom="1440" w:gutter="0" w:footer="0" w:header="0"/>
        </w:sectPr>
      </w:pPr>
    </w:p>
    <w:bookmarkStart w:id="261" w:name="page262"/>
    <w:bookmarkEnd w:id="261"/>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3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Invention, Nondisclosure and Nonsolicitation Agreement</w:t>
      </w:r>
    </w:p>
    <w:p>
      <w:pPr>
        <w:spacing w:after="0" w:line="12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1"/>
          <w:szCs w:val="21"/>
          <w:b w:val="1"/>
          <w:bCs w:val="1"/>
          <w:color w:val="auto"/>
        </w:rPr>
        <w:t>EXHIBIT B – INVENTION, NONDISCLOSURE AND NONSOLICITATION AGREEMENT</w:t>
      </w:r>
    </w:p>
    <w:p>
      <w:pPr>
        <w:spacing w:after="0" w:line="154" w:lineRule="exact"/>
        <w:rPr>
          <w:sz w:val="20"/>
          <w:szCs w:val="20"/>
          <w:color w:val="auto"/>
        </w:rPr>
      </w:pPr>
    </w:p>
    <w:p>
      <w:pPr>
        <w:ind w:left="360" w:right="280" w:firstLine="749"/>
        <w:spacing w:after="0" w:line="244" w:lineRule="auto"/>
        <w:rPr>
          <w:sz w:val="20"/>
          <w:szCs w:val="20"/>
          <w:color w:val="auto"/>
        </w:rPr>
      </w:pPr>
      <w:r>
        <w:rPr>
          <w:rFonts w:ascii="Times New Roman" w:cs="Times New Roman" w:eastAsia="Times New Roman" w:hAnsi="Times New Roman"/>
          <w:sz w:val="22"/>
          <w:szCs w:val="22"/>
          <w:color w:val="auto"/>
        </w:rPr>
        <w:t>This Invention, Nondisclosure and Nonsolicitation Agreement (this “Agreement”) is made by and between Solid Biosciences Inc., a Delaware corporation (together with its subsidiaries, the “Company”), and Gabriel Brooks (the “Employee”).</w:t>
      </w:r>
    </w:p>
    <w:p>
      <w:pPr>
        <w:spacing w:after="0" w:line="10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In consideration of the employment or continued employment of the Employee by the Company, the</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Employee and the Company agree as follows:</w:t>
      </w:r>
    </w:p>
    <w:p>
      <w:pPr>
        <w:spacing w:after="0" w:line="101" w:lineRule="exact"/>
        <w:rPr>
          <w:sz w:val="20"/>
          <w:szCs w:val="20"/>
          <w:color w:val="auto"/>
        </w:rPr>
      </w:pPr>
    </w:p>
    <w:p>
      <w:pPr>
        <w:ind w:left="1120" w:hanging="749"/>
        <w:spacing w:after="0"/>
        <w:tabs>
          <w:tab w:leader="none" w:pos="1120" w:val="left"/>
        </w:tabs>
        <w:numPr>
          <w:ilvl w:val="0"/>
          <w:numId w:val="210"/>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Condition of Employment.</w:t>
      </w:r>
    </w:p>
    <w:p>
      <w:pPr>
        <w:spacing w:after="0" w:line="159" w:lineRule="exact"/>
        <w:rPr>
          <w:sz w:val="20"/>
          <w:szCs w:val="20"/>
          <w:color w:val="auto"/>
        </w:rPr>
      </w:pPr>
    </w:p>
    <w:p>
      <w:pPr>
        <w:ind w:left="360" w:firstLine="749"/>
        <w:spacing w:after="0" w:line="238" w:lineRule="auto"/>
        <w:rPr>
          <w:sz w:val="20"/>
          <w:szCs w:val="20"/>
          <w:color w:val="auto"/>
        </w:rPr>
      </w:pPr>
      <w:r>
        <w:rPr>
          <w:rFonts w:ascii="Times New Roman" w:cs="Times New Roman" w:eastAsia="Times New Roman" w:hAnsi="Times New Roman"/>
          <w:sz w:val="22"/>
          <w:szCs w:val="22"/>
          <w:color w:val="auto"/>
        </w:rPr>
        <w:t>The Employee acknowledges that the Employee’s employment and/or the continuance of that employment with the Company is contingent upon the Employee’s agreement to sign and adhere to the provisions of this Agreement. The Employee further acknowledges that the nature of the Company’s business is such that protection of its proprietary and confidential information is critical to the survival and success of the Company’s business.</w:t>
      </w:r>
    </w:p>
    <w:p>
      <w:pPr>
        <w:spacing w:after="0" w:line="109" w:lineRule="exact"/>
        <w:rPr>
          <w:sz w:val="20"/>
          <w:szCs w:val="20"/>
          <w:color w:val="auto"/>
        </w:rPr>
      </w:pPr>
    </w:p>
    <w:p>
      <w:pPr>
        <w:ind w:left="1120" w:hanging="749"/>
        <w:spacing w:after="0"/>
        <w:tabs>
          <w:tab w:leader="none" w:pos="1120" w:val="left"/>
        </w:tabs>
        <w:numPr>
          <w:ilvl w:val="0"/>
          <w:numId w:val="211"/>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Proprietary and Confidential Information.</w:t>
      </w:r>
    </w:p>
    <w:p>
      <w:pPr>
        <w:spacing w:after="0" w:line="145" w:lineRule="exact"/>
        <w:rPr>
          <w:rFonts w:ascii="Calibri" w:cs="Calibri" w:eastAsia="Calibri" w:hAnsi="Calibri"/>
          <w:sz w:val="20"/>
          <w:szCs w:val="20"/>
          <w:color w:val="auto"/>
        </w:rPr>
      </w:pPr>
    </w:p>
    <w:p>
      <w:pPr>
        <w:ind w:left="380" w:right="80" w:firstLine="740"/>
        <w:spacing w:after="0" w:line="233" w:lineRule="auto"/>
        <w:tabs>
          <w:tab w:leader="none" w:pos="1438" w:val="left"/>
        </w:tabs>
        <w:numPr>
          <w:ilvl w:val="1"/>
          <w:numId w:val="211"/>
        </w:numPr>
        <w:rPr>
          <w:rFonts w:ascii="Calibri" w:cs="Calibri" w:eastAsia="Calibri" w:hAnsi="Calibri"/>
          <w:sz w:val="20"/>
          <w:szCs w:val="20"/>
          <w:color w:val="auto"/>
        </w:rPr>
      </w:pPr>
      <w:r>
        <w:rPr>
          <w:rFonts w:ascii="Times New Roman" w:cs="Times New Roman" w:eastAsia="Times New Roman" w:hAnsi="Times New Roman"/>
          <w:sz w:val="22"/>
          <w:szCs w:val="22"/>
          <w:color w:val="auto"/>
        </w:rPr>
        <w:t>The Employee agrees that all information and know-how, whether or not in writing, of a private, secret, or confidential nature concerning the Company’s business or financial affairs (collectively, “Proprietary Information”), whether disclosed to or otherwise learned by the Employee prior to or following the date of this Agreement, is and shall be the exclusive property of the Company. By way of illustration, but not limitation, Proprietary Information may include discoveries, ideas, inventions, products, product improvements, product enhancements, processes, methods, techniques, formulas, compositions, compounds, negotiation strategies and positions, projects, developments, plans (including business and marketing plans), research data, clinical data, financial data (including sales costs, profits, pricing methods), personnel data obtained pursuant to the Employee’s duties and responsibilities, computer programs (including software used pursuant to a license agreement), customer, prospect and supplier lists, and contacts at or knowledge of customers or prospective customers of the Company. Except as otherwise permitted by Section 5 below, the Employee has not and will not disclose any Proprietary Information to any person or entity other than employees of the Company or use the same for any purposes (other than in the performance of the Employee’s duties as an employee of the Company) without written approval by an officer of the Company, either during or after the Employee’s employment with the Company, unless and until such Proprietary Information has become public knowledge without fault by the Employee. While employed by the Company, the Employee has used and will use the Employee's best efforts to prevent unauthorized publication or disclosure of any of the Company’s Proprietary Information.</w:t>
      </w:r>
    </w:p>
    <w:p>
      <w:pPr>
        <w:spacing w:after="0" w:line="122" w:lineRule="exact"/>
        <w:rPr>
          <w:rFonts w:ascii="Calibri" w:cs="Calibri" w:eastAsia="Calibri" w:hAnsi="Calibri"/>
          <w:sz w:val="20"/>
          <w:szCs w:val="20"/>
          <w:color w:val="auto"/>
        </w:rPr>
      </w:pPr>
    </w:p>
    <w:p>
      <w:pPr>
        <w:jc w:val="both"/>
        <w:ind w:left="380" w:right="40" w:firstLine="740"/>
        <w:spacing w:after="0" w:line="246" w:lineRule="auto"/>
        <w:tabs>
          <w:tab w:leader="none" w:pos="1439" w:val="left"/>
        </w:tabs>
        <w:numPr>
          <w:ilvl w:val="1"/>
          <w:numId w:val="211"/>
        </w:numPr>
        <w:rPr>
          <w:rFonts w:ascii="Calibri" w:cs="Calibri" w:eastAsia="Calibri" w:hAnsi="Calibri"/>
          <w:sz w:val="20"/>
          <w:szCs w:val="20"/>
          <w:color w:val="auto"/>
        </w:rPr>
      </w:pPr>
      <w:r>
        <w:rPr>
          <w:rFonts w:ascii="Times New Roman" w:cs="Times New Roman" w:eastAsia="Times New Roman" w:hAnsi="Times New Roman"/>
          <w:sz w:val="22"/>
          <w:szCs w:val="22"/>
          <w:color w:val="auto"/>
        </w:rPr>
        <w:t>The Employee agrees that all files, documents, letters, memoranda, reports, records, data, sketches, drawings, models, laboratory notebooks, program listings, computer equipment or devices, computer programs or other written, photographic, or other tangible or intangible material containing Proprietary Information, whether created by the Employee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456565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188" w:right="419" w:bottom="1440" w:gutter="0" w:footer="0" w:header="0"/>
        </w:sectPr>
      </w:pPr>
    </w:p>
    <w:bookmarkStart w:id="262" w:name="page263"/>
    <w:bookmarkEnd w:id="262"/>
    <w:p>
      <w:pPr>
        <w:ind w:left="380" w:right="20"/>
        <w:spacing w:after="0" w:line="234" w:lineRule="auto"/>
        <w:rPr>
          <w:sz w:val="20"/>
          <w:szCs w:val="20"/>
          <w:color w:val="auto"/>
        </w:rPr>
      </w:pPr>
      <w:r>
        <w:rPr>
          <w:rFonts w:ascii="Times New Roman" w:cs="Times New Roman" w:eastAsia="Times New Roman" w:hAnsi="Times New Roman"/>
          <w:sz w:val="22"/>
          <w:szCs w:val="22"/>
          <w:color w:val="auto"/>
        </w:rPr>
        <w:t>others, which have come and which come into the Employee’s custody or possession, shall be and are the exclusive property of the Company and have been and will be used by the Employee only in the performance of the Employee’s duties for the Company and have not and shall not be copied or removed from the Company’s premises except in the pursuit of the business of the Company. All such materials or copies thereof and all tangible property of the Company (including, without limitation, computers, cellular telephones, credit cards, keys, access cards and the like) in the custody or possession of the Employee shall be delivered to the Company, upon the earlier of (i) a request by the Company or (ii) termination of the Employee’s employment for any reason. After such delivery, the Employee shall not retain any such materials or copies thereof or any such tangible property.</w:t>
      </w:r>
    </w:p>
    <w:p>
      <w:pPr>
        <w:spacing w:after="0" w:line="102" w:lineRule="exact"/>
        <w:rPr>
          <w:sz w:val="20"/>
          <w:szCs w:val="20"/>
          <w:color w:val="auto"/>
        </w:rPr>
      </w:pPr>
    </w:p>
    <w:p>
      <w:pPr>
        <w:ind w:left="380" w:right="120" w:firstLine="740"/>
        <w:spacing w:after="0"/>
        <w:tabs>
          <w:tab w:leader="none" w:pos="1436" w:val="left"/>
        </w:tabs>
        <w:numPr>
          <w:ilvl w:val="1"/>
          <w:numId w:val="212"/>
        </w:numPr>
        <w:rPr>
          <w:rFonts w:ascii="Calibri" w:cs="Calibri" w:eastAsia="Calibri" w:hAnsi="Calibri"/>
          <w:sz w:val="20"/>
          <w:szCs w:val="20"/>
          <w:color w:val="auto"/>
        </w:rPr>
      </w:pPr>
      <w:r>
        <w:rPr>
          <w:rFonts w:ascii="Times New Roman" w:cs="Times New Roman" w:eastAsia="Times New Roman" w:hAnsi="Times New Roman"/>
          <w:sz w:val="22"/>
          <w:szCs w:val="22"/>
          <w:color w:val="auto"/>
        </w:rPr>
        <w:t>The Employee agrees that the Employee’s obligation not to disclose or to use information and materials of the types set forth in Sections 2(a) and 2(b) above, and the Employee’s obligation to return materials and tangible property, set forth in Section 2(b) above, also extends to such types of information, materials and tangible property of customers of the Company or suppliers to the Company or other third parties who may have disclosed or entrusted the same to the Company or to the Employee in the course of the Company’s business.</w:t>
      </w:r>
    </w:p>
    <w:p>
      <w:pPr>
        <w:spacing w:after="0" w:line="109" w:lineRule="exact"/>
        <w:rPr>
          <w:rFonts w:ascii="Calibri" w:cs="Calibri" w:eastAsia="Calibri" w:hAnsi="Calibri"/>
          <w:sz w:val="20"/>
          <w:szCs w:val="20"/>
          <w:color w:val="auto"/>
        </w:rPr>
      </w:pPr>
    </w:p>
    <w:p>
      <w:pPr>
        <w:ind w:left="1120" w:hanging="749"/>
        <w:spacing w:after="0"/>
        <w:tabs>
          <w:tab w:leader="none" w:pos="1120" w:val="left"/>
        </w:tabs>
        <w:numPr>
          <w:ilvl w:val="0"/>
          <w:numId w:val="213"/>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Developments.</w:t>
      </w:r>
    </w:p>
    <w:p>
      <w:pPr>
        <w:spacing w:after="0" w:line="159" w:lineRule="exact"/>
        <w:rPr>
          <w:rFonts w:ascii="Calibri" w:cs="Calibri" w:eastAsia="Calibri" w:hAnsi="Calibri"/>
          <w:sz w:val="20"/>
          <w:szCs w:val="20"/>
          <w:color w:val="auto"/>
        </w:rPr>
      </w:pPr>
    </w:p>
    <w:p>
      <w:pPr>
        <w:ind w:left="380" w:right="20" w:firstLine="740"/>
        <w:spacing w:after="0" w:line="246" w:lineRule="auto"/>
        <w:tabs>
          <w:tab w:leader="none" w:pos="1438" w:val="left"/>
        </w:tabs>
        <w:numPr>
          <w:ilvl w:val="1"/>
          <w:numId w:val="213"/>
        </w:numPr>
        <w:rPr>
          <w:rFonts w:ascii="Calibri" w:cs="Calibri" w:eastAsia="Calibri" w:hAnsi="Calibri"/>
          <w:sz w:val="19"/>
          <w:szCs w:val="19"/>
          <w:color w:val="auto"/>
        </w:rPr>
      </w:pPr>
      <w:r>
        <w:rPr>
          <w:rFonts w:ascii="Times New Roman" w:cs="Times New Roman" w:eastAsia="Times New Roman" w:hAnsi="Times New Roman"/>
          <w:sz w:val="21"/>
          <w:szCs w:val="21"/>
          <w:color w:val="auto"/>
        </w:rPr>
        <w:t xml:space="preserve">The Employee has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a list describing all discoveries, ideas, inventions, improvements, enhancements, processes, methods, techniques, developments, software, and works of authorship, whether patentable or not, which were created, made, conceived or reduced to practice by the Employee prior to the Employee’s employment by the Company and which are owned by the Employee, which relate directly or indirectly to the current or anticipated future business of the Company, and which are not assigned to the Company hereunder (collectively, “Prior Developments”); or, if no such list is attached, the Employee represents that there are no Prior Developments. The Employee agrees not to incorporate any Prior Developments into any Company product, material, process or service without prior written consent of an officer of the Company. If the Employee has incorporated or does incorporate any Prior Development into any Company product, material, process or service, the Employee hereby grants to the Company a nonexclusive, worldwide, perpetual, transferable, irrevocable, royalty-free, fully-paid right and license to make, have made, use, offer for sale, sell, import, reproduce, modify, prepare derivative works, display, perform, transmit, distribute and otherwise exploit such Prior Development and to practice any method related thereto.</w:t>
      </w:r>
    </w:p>
    <w:p>
      <w:pPr>
        <w:spacing w:after="0" w:line="97" w:lineRule="exact"/>
        <w:rPr>
          <w:rFonts w:ascii="Calibri" w:cs="Calibri" w:eastAsia="Calibri" w:hAnsi="Calibri"/>
          <w:sz w:val="19"/>
          <w:szCs w:val="19"/>
          <w:color w:val="auto"/>
        </w:rPr>
      </w:pPr>
    </w:p>
    <w:p>
      <w:pPr>
        <w:ind w:left="380" w:firstLine="740"/>
        <w:spacing w:after="0" w:line="251" w:lineRule="auto"/>
        <w:tabs>
          <w:tab w:leader="none" w:pos="1439" w:val="left"/>
        </w:tabs>
        <w:numPr>
          <w:ilvl w:val="1"/>
          <w:numId w:val="213"/>
        </w:numPr>
        <w:rPr>
          <w:rFonts w:ascii="Calibri" w:cs="Calibri" w:eastAsia="Calibri" w:hAnsi="Calibri"/>
          <w:sz w:val="19"/>
          <w:szCs w:val="19"/>
          <w:color w:val="auto"/>
        </w:rPr>
      </w:pPr>
      <w:r>
        <w:rPr>
          <w:rFonts w:ascii="Times New Roman" w:cs="Times New Roman" w:eastAsia="Times New Roman" w:hAnsi="Times New Roman"/>
          <w:sz w:val="21"/>
          <w:szCs w:val="21"/>
          <w:color w:val="auto"/>
        </w:rPr>
        <w:t>The Employee has made and will make full and prompt disclosure to the Company of all discoveries, ideas, inventions, improvements, enhancements, processes, methods, techniques, developments, software, and works of authorship, whether patentable or not, which have been or are created, made, conceived or reduced to practice by the Employee or under the Employee’s direction or jointly with others during the Employee’s employment by the Company, whether or not during normal working hours or on the premises of the Company (all of which are collectively referred to in this Agreement as “Developments”). The Employee acknowledges that each original work of authorship which has been or is made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455930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341" w:right="479" w:bottom="1440" w:gutter="0" w:footer="0" w:header="0"/>
        </w:sectPr>
      </w:pPr>
    </w:p>
    <w:bookmarkStart w:id="263" w:name="page264"/>
    <w:bookmarkEnd w:id="263"/>
    <w:p>
      <w:pPr>
        <w:ind w:left="380" w:right="40"/>
        <w:spacing w:after="0" w:line="233" w:lineRule="auto"/>
        <w:rPr>
          <w:sz w:val="20"/>
          <w:szCs w:val="20"/>
          <w:color w:val="auto"/>
        </w:rPr>
      </w:pPr>
      <w:r>
        <w:rPr>
          <w:rFonts w:ascii="Times New Roman" w:cs="Times New Roman" w:eastAsia="Times New Roman" w:hAnsi="Times New Roman"/>
          <w:sz w:val="22"/>
          <w:szCs w:val="22"/>
          <w:color w:val="auto"/>
        </w:rPr>
        <w:t xml:space="preserve">(solely or jointly with others) within the scope of and during the period of the Employee’s employment with the Company and which is protectable by copyright is a “work made for hire,” as that term is defined in the United States Copyright Act. The Employee agrees to assign and does hereby assign to the Company (or any person or entity designated by the Company) all the Employee’s right, title and interest in and to all Developments (other than Prior Developments listed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if any) and all related patents, patent applications, copyrights and copyright applications. However, this Section 3(b) shall not apply to Developments which do not relate to the business or research and development conducted or planned to be conducted by the Company at the time such Development is created, made, conceived or reduced to practice and which are made and conceived by the Employee not during normal working hours, not on the Company’s premises and not using the Company’s tools, devices, equipment or Proprietary Information. The Employee understands that, to the extent this Agreement shall be construed in accordance with the laws of any state which precludes a requirement in an employee agreement to assign certain classes of inventions made by an employee, this Section 3(b) shall be interpreted not to apply to any invention which a court rules and/or the Company agrees falls within such classes. The Employee also hereby waives all claims to moral rights in any Developments.</w:t>
      </w:r>
    </w:p>
    <w:p>
      <w:pPr>
        <w:spacing w:after="0" w:line="96" w:lineRule="exact"/>
        <w:rPr>
          <w:sz w:val="20"/>
          <w:szCs w:val="20"/>
          <w:color w:val="auto"/>
        </w:rPr>
      </w:pPr>
    </w:p>
    <w:p>
      <w:pPr>
        <w:ind w:left="380" w:firstLine="740"/>
        <w:spacing w:after="0" w:line="234" w:lineRule="auto"/>
        <w:tabs>
          <w:tab w:leader="none" w:pos="1436" w:val="left"/>
        </w:tabs>
        <w:numPr>
          <w:ilvl w:val="1"/>
          <w:numId w:val="214"/>
        </w:numPr>
        <w:rPr>
          <w:rFonts w:ascii="Calibri" w:cs="Calibri" w:eastAsia="Calibri" w:hAnsi="Calibri"/>
          <w:sz w:val="20"/>
          <w:szCs w:val="20"/>
          <w:color w:val="auto"/>
        </w:rPr>
      </w:pPr>
      <w:r>
        <w:rPr>
          <w:rFonts w:ascii="Times New Roman" w:cs="Times New Roman" w:eastAsia="Times New Roman" w:hAnsi="Times New Roman"/>
          <w:sz w:val="22"/>
          <w:szCs w:val="22"/>
          <w:color w:val="auto"/>
        </w:rPr>
        <w:t>The Employee agrees to cooperate fully with the Company, both during and after the Employee’s employment with the Company, with respect to the procurement, maintenance and enforcement of copyrights, patents and other intellectual property rights (both in the United States and foreign countries) relating to Developments. The Employee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Development. The Employee further agrees that if the Company is unable, after reasonable effort, to secure the signature of the Employee on any such papers, any executive officer of the Company shall be entitled to execute any such papers as the agent and the attorney-in-fact of the Employee, and the Employee hereby irrevocably designates and appoints each executive officer of the Company as the Employee’s agent and attorney-in-fact to execute any such papers on the Employee’s behalf, and to take any and all actions as the Company may deem necessary or desirable in order to protect its rights and interests in any Development, under the conditions described in this sentence.</w:t>
      </w:r>
    </w:p>
    <w:p>
      <w:pPr>
        <w:spacing w:after="0" w:line="122" w:lineRule="exact"/>
        <w:rPr>
          <w:rFonts w:ascii="Calibri" w:cs="Calibri" w:eastAsia="Calibri" w:hAnsi="Calibri"/>
          <w:sz w:val="20"/>
          <w:szCs w:val="20"/>
          <w:color w:val="auto"/>
        </w:rPr>
      </w:pPr>
    </w:p>
    <w:p>
      <w:pPr>
        <w:ind w:left="1120" w:hanging="749"/>
        <w:spacing w:after="0"/>
        <w:tabs>
          <w:tab w:leader="none" w:pos="1120" w:val="left"/>
        </w:tabs>
        <w:numPr>
          <w:ilvl w:val="0"/>
          <w:numId w:val="215"/>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Obligations to Third Parties.</w:t>
      </w:r>
    </w:p>
    <w:p>
      <w:pPr>
        <w:spacing w:after="0" w:line="159" w:lineRule="exact"/>
        <w:rPr>
          <w:rFonts w:ascii="Calibri" w:cs="Calibri" w:eastAsia="Calibri" w:hAnsi="Calibri"/>
          <w:sz w:val="20"/>
          <w:szCs w:val="20"/>
          <w:color w:val="auto"/>
        </w:rPr>
      </w:pPr>
    </w:p>
    <w:p>
      <w:pPr>
        <w:ind w:left="1120"/>
        <w:spacing w:after="0"/>
        <w:rPr>
          <w:rFonts w:ascii="Calibri" w:cs="Calibri" w:eastAsia="Calibri" w:hAnsi="Calibri"/>
          <w:sz w:val="20"/>
          <w:szCs w:val="20"/>
          <w:color w:val="auto"/>
        </w:rPr>
      </w:pPr>
      <w:r>
        <w:rPr>
          <w:rFonts w:ascii="Times New Roman" w:cs="Times New Roman" w:eastAsia="Times New Roman" w:hAnsi="Times New Roman"/>
          <w:sz w:val="22"/>
          <w:szCs w:val="22"/>
          <w:color w:val="auto"/>
        </w:rPr>
        <w:t>The Employee represents that, except as the Employee has disclosed in writing to the Company on</w:t>
      </w:r>
    </w:p>
    <w:p>
      <w:pPr>
        <w:spacing w:after="0" w:line="14" w:lineRule="exact"/>
        <w:rPr>
          <w:sz w:val="20"/>
          <w:szCs w:val="20"/>
          <w:color w:val="auto"/>
        </w:rPr>
      </w:pPr>
    </w:p>
    <w:p>
      <w:pPr>
        <w:ind w:left="360" w:right="100"/>
        <w:spacing w:after="0" w:line="232" w:lineRule="auto"/>
        <w:rPr>
          <w:sz w:val="20"/>
          <w:szCs w:val="20"/>
          <w:color w:val="auto"/>
        </w:rPr>
      </w:pP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attached hereto, the Employee is not bound by the terms of any agreement with any previous employer or other party to refrain from using or disclosing any trade secret or confidential or proprietary information in the course of the Employee’s employment with the Company, to refrain from competing, directly or indirectly, with the business of such previous employer or any other party or to refrain from soliciting employees, customers or suppliers of such previous employer or other party. The Employee further represents that the Employee’s performance of all the terms of this Agreement and the performance of the Employee’s duties as an employee of the Company do not and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341" w:right="559" w:bottom="1440" w:gutter="0" w:footer="0" w:header="0"/>
        </w:sectPr>
      </w:pPr>
    </w:p>
    <w:bookmarkStart w:id="264" w:name="page265"/>
    <w:bookmarkEnd w:id="264"/>
    <w:p>
      <w:pPr>
        <w:jc w:val="both"/>
        <w:ind w:left="360" w:right="200"/>
        <w:spacing w:after="0" w:line="239" w:lineRule="auto"/>
        <w:rPr>
          <w:sz w:val="20"/>
          <w:szCs w:val="20"/>
          <w:color w:val="auto"/>
        </w:rPr>
      </w:pPr>
      <w:r>
        <w:rPr>
          <w:rFonts w:ascii="Times New Roman" w:cs="Times New Roman" w:eastAsia="Times New Roman" w:hAnsi="Times New Roman"/>
          <w:sz w:val="22"/>
          <w:szCs w:val="22"/>
          <w:color w:val="auto"/>
        </w:rPr>
        <w:t>conflict with or breach any agreement with any prior employer or other party (including, without limitation, any nondisclosure or noncompetition agreement), and that the Employee will not disclose to the Company or induce the Company to use any confidential or proprietary information or material belonging to any previous employer or others.</w:t>
      </w:r>
    </w:p>
    <w:p>
      <w:pPr>
        <w:spacing w:after="0" w:line="99" w:lineRule="exact"/>
        <w:rPr>
          <w:sz w:val="20"/>
          <w:szCs w:val="20"/>
          <w:color w:val="auto"/>
        </w:rPr>
      </w:pPr>
    </w:p>
    <w:p>
      <w:pPr>
        <w:ind w:left="1120" w:hanging="749"/>
        <w:spacing w:after="0"/>
        <w:tabs>
          <w:tab w:leader="none" w:pos="1120" w:val="left"/>
        </w:tabs>
        <w:numPr>
          <w:ilvl w:val="0"/>
          <w:numId w:val="216"/>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Scope of Disclosure Restrictions.</w:t>
      </w:r>
    </w:p>
    <w:p>
      <w:pPr>
        <w:spacing w:after="0" w:line="159" w:lineRule="exact"/>
        <w:rPr>
          <w:sz w:val="20"/>
          <w:szCs w:val="20"/>
          <w:color w:val="auto"/>
        </w:rPr>
      </w:pPr>
    </w:p>
    <w:p>
      <w:pPr>
        <w:ind w:left="360" w:firstLine="749"/>
        <w:spacing w:after="0" w:line="232" w:lineRule="auto"/>
        <w:rPr>
          <w:sz w:val="20"/>
          <w:szCs w:val="20"/>
          <w:color w:val="auto"/>
        </w:rPr>
      </w:pPr>
      <w:r>
        <w:rPr>
          <w:rFonts w:ascii="Times New Roman" w:cs="Times New Roman" w:eastAsia="Times New Roman" w:hAnsi="Times New Roman"/>
          <w:sz w:val="22"/>
          <w:szCs w:val="22"/>
          <w:color w:val="auto"/>
        </w:rPr>
        <w:t>Nothing in this Agreement prohibits the Employee from communicating with government agencies about possible violations of federal, state, or local laws or otherwise providing information to government agencies, filing a complaint with government agencies, or participating in government agency investigations or proceedings. The Employee is not required to notify the Company of any such communications, provided, however, that nothing herein authorizes the disclosure of information the Employee obtained through a communication that was subject to the attorney-client privilege. Further, notwithstanding the Employee’s confidentiality and nondisclosure obligations, the Employee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a court order.”</w:t>
      </w:r>
    </w:p>
    <w:p>
      <w:pPr>
        <w:spacing w:after="0" w:line="124" w:lineRule="exact"/>
        <w:rPr>
          <w:sz w:val="20"/>
          <w:szCs w:val="20"/>
          <w:color w:val="auto"/>
        </w:rPr>
      </w:pPr>
    </w:p>
    <w:p>
      <w:pPr>
        <w:ind w:left="1120" w:hanging="749"/>
        <w:spacing w:after="0"/>
        <w:tabs>
          <w:tab w:leader="none" w:pos="1120" w:val="left"/>
        </w:tabs>
        <w:numPr>
          <w:ilvl w:val="0"/>
          <w:numId w:val="217"/>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United States Government Obligations.</w:t>
      </w:r>
    </w:p>
    <w:p>
      <w:pPr>
        <w:spacing w:after="0" w:line="146" w:lineRule="exact"/>
        <w:rPr>
          <w:sz w:val="20"/>
          <w:szCs w:val="20"/>
          <w:color w:val="auto"/>
        </w:rPr>
      </w:pPr>
    </w:p>
    <w:p>
      <w:pPr>
        <w:ind w:left="360" w:right="20" w:firstLine="749"/>
        <w:spacing w:after="0" w:line="244" w:lineRule="auto"/>
        <w:rPr>
          <w:sz w:val="20"/>
          <w:szCs w:val="20"/>
          <w:color w:val="auto"/>
        </w:rPr>
      </w:pPr>
      <w:r>
        <w:rPr>
          <w:rFonts w:ascii="Times New Roman" w:cs="Times New Roman" w:eastAsia="Times New Roman" w:hAnsi="Times New Roman"/>
          <w:sz w:val="22"/>
          <w:szCs w:val="22"/>
          <w:color w:val="auto"/>
        </w:rPr>
        <w:t>The Employee acknowledges that the Company, from time to time, may have agreements with other persons or with the United States Government, or agencies thereof, which impose obligations or restrictions on the Company regarding inventions made during the course of work under such</w:t>
      </w:r>
    </w:p>
    <w:p>
      <w:pPr>
        <w:spacing w:after="0" w:line="106" w:lineRule="exact"/>
        <w:rPr>
          <w:sz w:val="20"/>
          <w:szCs w:val="20"/>
          <w:color w:val="auto"/>
        </w:rPr>
      </w:pPr>
    </w:p>
    <w:p>
      <w:pPr>
        <w:ind w:left="360" w:right="300"/>
        <w:spacing w:after="0" w:line="244" w:lineRule="auto"/>
        <w:rPr>
          <w:sz w:val="20"/>
          <w:szCs w:val="20"/>
          <w:color w:val="auto"/>
        </w:rPr>
      </w:pPr>
      <w:r>
        <w:rPr>
          <w:rFonts w:ascii="Times New Roman" w:cs="Times New Roman" w:eastAsia="Times New Roman" w:hAnsi="Times New Roman"/>
          <w:sz w:val="22"/>
          <w:szCs w:val="22"/>
          <w:color w:val="auto"/>
        </w:rPr>
        <w:t>agreements or regarding the confidential nature of such work. The Employee agrees to be bound by all such obligations and restrictions which are made known to the Employee and to take all reasonable action necessary to discharge the obligations of the Company under such agreements.</w:t>
      </w:r>
    </w:p>
    <w:p>
      <w:pPr>
        <w:spacing w:after="0" w:line="106" w:lineRule="exact"/>
        <w:rPr>
          <w:sz w:val="20"/>
          <w:szCs w:val="20"/>
          <w:color w:val="auto"/>
        </w:rPr>
      </w:pPr>
    </w:p>
    <w:p>
      <w:pPr>
        <w:ind w:left="380" w:right="60" w:hanging="9"/>
        <w:spacing w:after="0" w:line="250" w:lineRule="auto"/>
        <w:tabs>
          <w:tab w:leader="none" w:pos="924" w:val="left"/>
        </w:tabs>
        <w:numPr>
          <w:ilvl w:val="0"/>
          <w:numId w:val="218"/>
        </w:numPr>
        <w:rPr>
          <w:rFonts w:ascii="Calibri" w:cs="Calibri" w:eastAsia="Calibri" w:hAnsi="Calibri"/>
          <w:sz w:val="19"/>
          <w:szCs w:val="19"/>
          <w:color w:val="auto"/>
        </w:rPr>
      </w:pPr>
      <w:r>
        <w:rPr>
          <w:rFonts w:ascii="Times New Roman" w:cs="Times New Roman" w:eastAsia="Times New Roman" w:hAnsi="Times New Roman"/>
          <w:sz w:val="21"/>
          <w:szCs w:val="21"/>
          <w:u w:val="single" w:color="auto"/>
          <w:color w:val="auto"/>
        </w:rPr>
        <w:t>Customer Nonsolicitation.</w:t>
      </w:r>
      <w:r>
        <w:rPr>
          <w:rFonts w:ascii="Times New Roman" w:cs="Times New Roman" w:eastAsia="Times New Roman" w:hAnsi="Times New Roman"/>
          <w:sz w:val="21"/>
          <w:szCs w:val="21"/>
          <w:color w:val="auto"/>
        </w:rPr>
        <w:t xml:space="preserve"> The Employee agrees that during the period of the Employee’s employment and the one-year period following the termination thereof, regardless of the reason for such termination, the Employee will not, directly or indirectly, whether as an owner, partner, officer, director, employee, consultant, investor, lender or otherwise, solicit any clients, customers, or accounts, or prospective clients, customers, or accounts, of the Company to stop doing business with the Company, or diminish their services to the Company. As used in this section, the term “client,” “customer,” or “account” shall include: (i) any person or entity that was a client, customer or account of the Company at any time during the two year period preceding the date of termination of the Employee’s employment and with whom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454660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341" w:right="479" w:bottom="1440" w:gutter="0" w:footer="0" w:header="0"/>
        </w:sectPr>
      </w:pPr>
    </w:p>
    <w:bookmarkStart w:id="265" w:name="page266"/>
    <w:bookmarkEnd w:id="265"/>
    <w:p>
      <w:pPr>
        <w:ind w:left="380" w:right="420" w:firstLine="544"/>
        <w:spacing w:after="0" w:line="239" w:lineRule="auto"/>
        <w:rPr>
          <w:sz w:val="20"/>
          <w:szCs w:val="20"/>
          <w:color w:val="auto"/>
        </w:rPr>
      </w:pPr>
      <w:r>
        <w:rPr>
          <w:rFonts w:ascii="Times New Roman" w:cs="Times New Roman" w:eastAsia="Times New Roman" w:hAnsi="Times New Roman"/>
          <w:sz w:val="22"/>
          <w:szCs w:val="22"/>
          <w:color w:val="auto"/>
        </w:rPr>
        <w:t>came in contact with during his employment; and (ii) any prospective client, customer or account to whom the Company has made a presentation (or similar offering of services) within a period of two years preceding the date of termination of the Employee’s employment and with whom the Employee came in contact with during his employment.</w:t>
      </w:r>
    </w:p>
    <w:p>
      <w:pPr>
        <w:spacing w:after="0" w:line="99" w:lineRule="exact"/>
        <w:rPr>
          <w:sz w:val="20"/>
          <w:szCs w:val="20"/>
          <w:color w:val="auto"/>
        </w:rPr>
      </w:pPr>
    </w:p>
    <w:p>
      <w:pPr>
        <w:ind w:left="380" w:right="80" w:hanging="9"/>
        <w:spacing w:after="0"/>
        <w:tabs>
          <w:tab w:leader="none" w:pos="926" w:val="left"/>
        </w:tabs>
        <w:numPr>
          <w:ilvl w:val="0"/>
          <w:numId w:val="219"/>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Nonsolicitation of Employees and Consultants.</w:t>
      </w:r>
      <w:r>
        <w:rPr>
          <w:rFonts w:ascii="Times New Roman" w:cs="Times New Roman" w:eastAsia="Times New Roman" w:hAnsi="Times New Roman"/>
          <w:sz w:val="22"/>
          <w:szCs w:val="22"/>
          <w:color w:val="auto"/>
        </w:rPr>
        <w:t xml:space="preserve"> The Employee agrees that during the period of the Employee’s employment and the one-year period following the termination thereof, regardless of the reason for such termination, the Employee will not, directly or indirectly, whether as an owner, partner, officer, director, employee, consultant, investor, lender or otherwise, seek to solicit or induce any Company employee or consultant to leave his or her employment or consultancy with the Company, or assist in the recruitment or hiring of any employee.</w:t>
      </w:r>
    </w:p>
    <w:p>
      <w:pPr>
        <w:spacing w:after="0" w:line="109" w:lineRule="exact"/>
        <w:rPr>
          <w:rFonts w:ascii="Calibri" w:cs="Calibri" w:eastAsia="Calibri" w:hAnsi="Calibri"/>
          <w:sz w:val="20"/>
          <w:szCs w:val="20"/>
          <w:color w:val="auto"/>
        </w:rPr>
      </w:pPr>
    </w:p>
    <w:p>
      <w:pPr>
        <w:ind w:left="380" w:hanging="9"/>
        <w:spacing w:after="0" w:line="272" w:lineRule="auto"/>
        <w:tabs>
          <w:tab w:leader="none" w:pos="925" w:val="left"/>
        </w:tabs>
        <w:numPr>
          <w:ilvl w:val="0"/>
          <w:numId w:val="219"/>
        </w:numPr>
        <w:rPr>
          <w:rFonts w:ascii="Calibri" w:cs="Calibri" w:eastAsia="Calibri" w:hAnsi="Calibri"/>
          <w:sz w:val="19"/>
          <w:szCs w:val="19"/>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The Employee agrees that he or she shall not at any time, whether during or after the termination of his or her employment, regardless of the reason for such termination, make to any person or entity (including via social media) disparaging comments relating to the Company’s services and products.</w:t>
      </w:r>
    </w:p>
    <w:p>
      <w:pPr>
        <w:spacing w:after="0" w:line="77" w:lineRule="exact"/>
        <w:rPr>
          <w:rFonts w:ascii="Calibri" w:cs="Calibri" w:eastAsia="Calibri" w:hAnsi="Calibri"/>
          <w:sz w:val="19"/>
          <w:szCs w:val="19"/>
          <w:color w:val="auto"/>
        </w:rPr>
      </w:pPr>
    </w:p>
    <w:p>
      <w:pPr>
        <w:ind w:left="920" w:hanging="549"/>
        <w:spacing w:after="0"/>
        <w:tabs>
          <w:tab w:leader="none" w:pos="920" w:val="left"/>
        </w:tabs>
        <w:numPr>
          <w:ilvl w:val="0"/>
          <w:numId w:val="219"/>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45" w:lineRule="exact"/>
        <w:rPr>
          <w:rFonts w:ascii="Calibri" w:cs="Calibri" w:eastAsia="Calibri" w:hAnsi="Calibri"/>
          <w:sz w:val="20"/>
          <w:szCs w:val="20"/>
          <w:color w:val="auto"/>
        </w:rPr>
      </w:pPr>
    </w:p>
    <w:p>
      <w:pPr>
        <w:ind w:left="380" w:right="60" w:firstLine="740"/>
        <w:spacing w:after="0" w:line="237" w:lineRule="auto"/>
        <w:tabs>
          <w:tab w:leader="none" w:pos="1436" w:val="left"/>
        </w:tabs>
        <w:numPr>
          <w:ilvl w:val="1"/>
          <w:numId w:val="219"/>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Equitable Remedies</w:t>
      </w:r>
      <w:r>
        <w:rPr>
          <w:rFonts w:ascii="Times New Roman" w:cs="Times New Roman" w:eastAsia="Times New Roman" w:hAnsi="Times New Roman"/>
          <w:sz w:val="22"/>
          <w:szCs w:val="22"/>
          <w:color w:val="auto"/>
        </w:rPr>
        <w:t>. The Employee acknowledges that the restrictions contained in this Agreement are necessary for the protection of the business and goodwill of the Company and are considered by the Employee to be reasonable for such purpose. The Employee agrees that any breach or threatened breach of this Agreement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restraining such a breach or threatened breach without posting a bond and the right to seek specific performance of the provisions of this Agreement.</w:t>
      </w:r>
    </w:p>
    <w:p>
      <w:pPr>
        <w:spacing w:after="0" w:line="114" w:lineRule="exact"/>
        <w:rPr>
          <w:rFonts w:ascii="Calibri" w:cs="Calibri" w:eastAsia="Calibri" w:hAnsi="Calibri"/>
          <w:sz w:val="20"/>
          <w:szCs w:val="20"/>
          <w:color w:val="auto"/>
        </w:rPr>
      </w:pPr>
    </w:p>
    <w:p>
      <w:pPr>
        <w:ind w:left="380" w:right="60" w:firstLine="740"/>
        <w:spacing w:after="0" w:line="246" w:lineRule="auto"/>
        <w:tabs>
          <w:tab w:leader="none" w:pos="1438" w:val="left"/>
        </w:tabs>
        <w:numPr>
          <w:ilvl w:val="1"/>
          <w:numId w:val="219"/>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Disclosure of this Agreement</w:t>
      </w:r>
      <w:r>
        <w:rPr>
          <w:rFonts w:ascii="Times New Roman" w:cs="Times New Roman" w:eastAsia="Times New Roman" w:hAnsi="Times New Roman"/>
          <w:sz w:val="22"/>
          <w:szCs w:val="22"/>
          <w:color w:val="auto"/>
        </w:rPr>
        <w:t>. The Employee hereby authorizes the Company to notify others during the restrictive period, including but not limited to customers of the Company and any of the Employee’s future employers or prospective business associates, of the terms and existence of this Agreement and the Employee’s continuing obligations to the Company hereunder.</w:t>
      </w:r>
    </w:p>
    <w:p>
      <w:pPr>
        <w:spacing w:after="0" w:line="104" w:lineRule="exact"/>
        <w:rPr>
          <w:rFonts w:ascii="Calibri" w:cs="Calibri" w:eastAsia="Calibri" w:hAnsi="Calibri"/>
          <w:sz w:val="20"/>
          <w:szCs w:val="20"/>
          <w:color w:val="auto"/>
        </w:rPr>
      </w:pPr>
    </w:p>
    <w:p>
      <w:pPr>
        <w:ind w:left="1420" w:hanging="300"/>
        <w:spacing w:after="0"/>
        <w:tabs>
          <w:tab w:leader="none" w:pos="1420" w:val="left"/>
        </w:tabs>
        <w:numPr>
          <w:ilvl w:val="1"/>
          <w:numId w:val="219"/>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Not Employment Contract</w:t>
      </w:r>
      <w:r>
        <w:rPr>
          <w:rFonts w:ascii="Times New Roman" w:cs="Times New Roman" w:eastAsia="Times New Roman" w:hAnsi="Times New Roman"/>
          <w:sz w:val="22"/>
          <w:szCs w:val="22"/>
          <w:color w:val="auto"/>
        </w:rPr>
        <w:t>. The Employee acknowledges that this Agreement does not</w:t>
      </w:r>
    </w:p>
    <w:p>
      <w:pPr>
        <w:spacing w:after="0" w:line="23" w:lineRule="exact"/>
        <w:rPr>
          <w:sz w:val="20"/>
          <w:szCs w:val="20"/>
          <w:color w:val="auto"/>
        </w:rPr>
      </w:pPr>
    </w:p>
    <w:p>
      <w:pPr>
        <w:ind w:left="380" w:right="340"/>
        <w:spacing w:after="0" w:line="269" w:lineRule="auto"/>
        <w:rPr>
          <w:sz w:val="20"/>
          <w:szCs w:val="20"/>
          <w:color w:val="auto"/>
        </w:rPr>
      </w:pPr>
      <w:r>
        <w:rPr>
          <w:rFonts w:ascii="Times New Roman" w:cs="Times New Roman" w:eastAsia="Times New Roman" w:hAnsi="Times New Roman"/>
          <w:sz w:val="21"/>
          <w:szCs w:val="21"/>
          <w:color w:val="auto"/>
        </w:rPr>
        <w:t>constitute a contract of employment, does not imply that the Company will continue the Employee’s employment for any period of time, and does not change the at-will nature of the Employee’s employment.</w:t>
      </w:r>
    </w:p>
    <w:p>
      <w:pPr>
        <w:spacing w:after="0" w:line="67" w:lineRule="exact"/>
        <w:rPr>
          <w:sz w:val="20"/>
          <w:szCs w:val="20"/>
          <w:color w:val="auto"/>
        </w:rPr>
      </w:pPr>
    </w:p>
    <w:p>
      <w:pPr>
        <w:ind w:left="380" w:right="240" w:firstLine="740"/>
        <w:spacing w:after="0"/>
        <w:tabs>
          <w:tab w:leader="none" w:pos="1434" w:val="left"/>
        </w:tabs>
        <w:numPr>
          <w:ilvl w:val="0"/>
          <w:numId w:val="220"/>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the Company’s assets or business, provided, however, that the obligations of the Employee are personal and shall not be assigned by the Employee. The Employee expressly consents to be bound by the provisions of this Agreement for the benefit of the Company or any subsidiary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459740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341" w:right="499" w:bottom="1440" w:gutter="0" w:footer="0" w:header="0"/>
        </w:sectPr>
      </w:pPr>
    </w:p>
    <w:bookmarkStart w:id="266" w:name="page267"/>
    <w:bookmarkEnd w:id="266"/>
    <w:p>
      <w:pPr>
        <w:ind w:left="380" w:right="160"/>
        <w:spacing w:after="0" w:line="258" w:lineRule="auto"/>
        <w:rPr>
          <w:sz w:val="20"/>
          <w:szCs w:val="20"/>
          <w:color w:val="auto"/>
        </w:rPr>
      </w:pPr>
      <w:r>
        <w:rPr>
          <w:rFonts w:ascii="Times New Roman" w:cs="Times New Roman" w:eastAsia="Times New Roman" w:hAnsi="Times New Roman"/>
          <w:sz w:val="22"/>
          <w:szCs w:val="22"/>
          <w:color w:val="auto"/>
        </w:rPr>
        <w:t>affiliate thereof to whose employ the Employee may be transferred without the necessity that this Agreement be re-signed at the time of such transfer.</w:t>
      </w:r>
    </w:p>
    <w:p>
      <w:pPr>
        <w:spacing w:after="0" w:line="77" w:lineRule="exact"/>
        <w:rPr>
          <w:sz w:val="20"/>
          <w:szCs w:val="20"/>
          <w:color w:val="auto"/>
        </w:rPr>
      </w:pPr>
    </w:p>
    <w:p>
      <w:pPr>
        <w:ind w:left="380" w:firstLine="740"/>
        <w:spacing w:after="0" w:line="237" w:lineRule="auto"/>
        <w:tabs>
          <w:tab w:leader="none" w:pos="1438" w:val="left"/>
        </w:tabs>
        <w:numPr>
          <w:ilvl w:val="0"/>
          <w:numId w:val="221"/>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of this Agreement shall be invalid, illegal or otherwise unenforceable, the validity, legality, and enforceability of the remaining provisions shall in no way be affected or impaired thereby. If one or more provisions of this Agreement shall for any reason be held to be excessively broad as to scope, activity, subject or otherwise so as to be unenforceable at law, such provision or provision shall be construed by the appropriate judicial body by limiting or reducing it or them, so as to be enforceable to the maximum extent compatible with the applicable law as it shall then appear. The language of all parts of this Agreement shall in all cases be construed as a whole according to its fair meaning and not strictly for or against either of the parties.</w:t>
      </w:r>
    </w:p>
    <w:p>
      <w:pPr>
        <w:spacing w:after="0" w:line="114" w:lineRule="exact"/>
        <w:rPr>
          <w:rFonts w:ascii="Calibri" w:cs="Calibri" w:eastAsia="Calibri" w:hAnsi="Calibri"/>
          <w:sz w:val="20"/>
          <w:szCs w:val="20"/>
          <w:color w:val="auto"/>
        </w:rPr>
      </w:pPr>
    </w:p>
    <w:p>
      <w:pPr>
        <w:jc w:val="both"/>
        <w:ind w:left="380" w:right="60" w:firstLine="740"/>
        <w:spacing w:after="0" w:line="246" w:lineRule="auto"/>
        <w:tabs>
          <w:tab w:leader="none" w:pos="1438" w:val="left"/>
        </w:tabs>
        <w:numPr>
          <w:ilvl w:val="0"/>
          <w:numId w:val="221"/>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04" w:lineRule="exact"/>
        <w:rPr>
          <w:rFonts w:ascii="Calibri" w:cs="Calibri" w:eastAsia="Calibri" w:hAnsi="Calibri"/>
          <w:sz w:val="20"/>
          <w:szCs w:val="20"/>
          <w:color w:val="auto"/>
        </w:rPr>
      </w:pPr>
    </w:p>
    <w:p>
      <w:pPr>
        <w:ind w:left="380" w:right="100" w:firstLine="740"/>
        <w:spacing w:after="0"/>
        <w:tabs>
          <w:tab w:leader="none" w:pos="1438" w:val="left"/>
        </w:tabs>
        <w:numPr>
          <w:ilvl w:val="0"/>
          <w:numId w:val="221"/>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reference to the conflicts of laws provisions thereof). Any action, suit, or other legal proceeding which is commenced to resove any matter arising under or relating to any provision of this Agreement shall be commenced only in a court of the Commonwealth of Massachusetts (or, if appropriate, a federal court located within Massachusetts), and the Company and the Employee each consents to the jurisdiction of such a court.</w:t>
      </w:r>
    </w:p>
    <w:p>
      <w:pPr>
        <w:spacing w:after="0" w:line="96" w:lineRule="exact"/>
        <w:rPr>
          <w:rFonts w:ascii="Calibri" w:cs="Calibri" w:eastAsia="Calibri" w:hAnsi="Calibri"/>
          <w:sz w:val="20"/>
          <w:szCs w:val="20"/>
          <w:color w:val="auto"/>
        </w:rPr>
      </w:pPr>
    </w:p>
    <w:p>
      <w:pPr>
        <w:ind w:left="380" w:right="100" w:firstLine="740"/>
        <w:spacing w:after="0"/>
        <w:tabs>
          <w:tab w:leader="none" w:pos="1435" w:val="left"/>
        </w:tabs>
        <w:numPr>
          <w:ilvl w:val="0"/>
          <w:numId w:val="221"/>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 The Employee agrees that any change or changes in the Employee’s duties, salary, or compensation after the signing of this Agreement shall not affect the validity or scope of this Agreement.</w:t>
      </w:r>
    </w:p>
    <w:p>
      <w:pPr>
        <w:spacing w:after="0" w:line="109" w:lineRule="exact"/>
        <w:rPr>
          <w:rFonts w:ascii="Calibri" w:cs="Calibri" w:eastAsia="Calibri" w:hAnsi="Calibri"/>
          <w:sz w:val="20"/>
          <w:szCs w:val="20"/>
          <w:color w:val="auto"/>
        </w:rPr>
      </w:pPr>
    </w:p>
    <w:p>
      <w:pPr>
        <w:ind w:left="1400" w:hanging="280"/>
        <w:spacing w:after="0"/>
        <w:tabs>
          <w:tab w:leader="none" w:pos="1400" w:val="left"/>
        </w:tabs>
        <w:numPr>
          <w:ilvl w:val="0"/>
          <w:numId w:val="221"/>
        </w:numPr>
        <w:rPr>
          <w:rFonts w:ascii="Calibri" w:cs="Calibri" w:eastAsia="Calibri" w:hAnsi="Calibri"/>
          <w:sz w:val="20"/>
          <w:szCs w:val="20"/>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of the sections of this Agreement are for convenience of reference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only and in no way define, limit, or affect the scope or substance of any section of this Agreement.</w:t>
      </w:r>
    </w:p>
    <w:p>
      <w:pPr>
        <w:spacing w:after="0" w:line="126" w:lineRule="exact"/>
        <w:rPr>
          <w:sz w:val="20"/>
          <w:szCs w:val="20"/>
          <w:color w:val="auto"/>
        </w:rPr>
      </w:pPr>
    </w:p>
    <w:p>
      <w:pPr>
        <w:ind w:left="360" w:right="300"/>
        <w:spacing w:after="0" w:line="244" w:lineRule="auto"/>
        <w:rPr>
          <w:sz w:val="20"/>
          <w:szCs w:val="20"/>
          <w:color w:val="auto"/>
        </w:rPr>
      </w:pPr>
      <w:r>
        <w:rPr>
          <w:rFonts w:ascii="Times New Roman" w:cs="Times New Roman" w:eastAsia="Times New Roman" w:hAnsi="Times New Roman"/>
          <w:sz w:val="22"/>
          <w:szCs w:val="22"/>
          <w:color w:val="auto"/>
        </w:rPr>
        <w:t>The employee acknowledges that he/she has carefully read this Agreement, understands and agrees to all of the provisions in this Agreement, and hereby executes this Agreement under seal. 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457835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341" w:right="499" w:bottom="1440" w:gutter="0" w:footer="0" w:header="0"/>
        </w:sectPr>
      </w:pPr>
    </w:p>
    <w:bookmarkStart w:id="267" w:name="page268"/>
    <w:bookmarkEnd w:id="267"/>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By:  /s/ Bo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5546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22"/>
          <w:szCs w:val="22"/>
          <w:color w:val="auto"/>
        </w:rPr>
        <w:t>Bo Cumbo</w:t>
      </w:r>
    </w:p>
    <w:p>
      <w:pPr>
        <w:ind w:left="820"/>
        <w:spacing w:after="0" w:line="230" w:lineRule="auto"/>
        <w:rPr>
          <w:sz w:val="20"/>
          <w:szCs w:val="20"/>
          <w:color w:val="auto"/>
        </w:rPr>
      </w:pPr>
      <w:r>
        <w:rPr>
          <w:rFonts w:ascii="Times New Roman" w:cs="Times New Roman" w:eastAsia="Times New Roman" w:hAnsi="Times New Roman"/>
          <w:sz w:val="22"/>
          <w:szCs w:val="22"/>
          <w:color w:val="auto"/>
        </w:rPr>
        <w:t>President and CEO</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Date: 09/22/2023</w:t>
      </w: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380" w:type="dxa"/>
        <w:tblCellMar>
          <w:top w:w="0" w:type="dxa"/>
          <w:left w:w="0" w:type="dxa"/>
          <w:bottom w:w="0" w:type="dxa"/>
          <w:right w:w="0" w:type="dxa"/>
        </w:tblCellMar>
      </w:tblPr>
      <w:tr>
        <w:trPr>
          <w:trHeight w:val="270"/>
        </w:trPr>
        <w:tc>
          <w:tcPr>
            <w:tcW w:w="240" w:type="dxa"/>
            <w:vAlign w:val="bottom"/>
          </w:tcPr>
          <w:p>
            <w:pPr>
              <w:spacing w:after="0"/>
              <w:rPr>
                <w:sz w:val="23"/>
                <w:szCs w:val="23"/>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 Gabriel Brooks</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09/23/2023</w:t>
            </w:r>
          </w:p>
        </w:tc>
      </w:tr>
      <w:tr>
        <w:trPr>
          <w:trHeight w:val="20"/>
        </w:trPr>
        <w:tc>
          <w:tcPr>
            <w:tcW w:w="2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76"/>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Gabriel Brooks</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SCHEDULE 1</w:t>
      </w:r>
    </w:p>
    <w:p>
      <w:pPr>
        <w:spacing w:after="0" w:line="177" w:lineRule="exact"/>
        <w:rPr>
          <w:sz w:val="20"/>
          <w:szCs w:val="20"/>
          <w:color w:val="auto"/>
        </w:rPr>
      </w:pPr>
    </w:p>
    <w:p>
      <w:pPr>
        <w:ind w:left="360" w:right="640"/>
        <w:spacing w:after="0" w:line="257" w:lineRule="auto"/>
        <w:rPr>
          <w:sz w:val="20"/>
          <w:szCs w:val="20"/>
          <w:color w:val="auto"/>
        </w:rPr>
      </w:pPr>
      <w:r>
        <w:rPr>
          <w:rFonts w:ascii="Arial" w:cs="Arial" w:eastAsia="Arial" w:hAnsi="Arial"/>
          <w:sz w:val="20"/>
          <w:szCs w:val="20"/>
          <w:color w:val="auto"/>
        </w:rPr>
        <w:t>List of prior developments and original works of authorship excluded under Section 3(a) or conflicting agreements disclosed under Section 4.</w:t>
      </w:r>
    </w:p>
    <w:p>
      <w:pPr>
        <w:spacing w:after="0" w:line="22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20"/>
          <w:szCs w:val="20"/>
          <w:color w:val="auto"/>
        </w:rPr>
        <w:t>Title Date</w:t>
      </w:r>
      <w:r>
        <w:rPr>
          <w:sz w:val="20"/>
          <w:szCs w:val="20"/>
          <w:color w:val="auto"/>
        </w:rPr>
        <w:tab/>
      </w:r>
      <w:r>
        <w:rPr>
          <w:rFonts w:ascii="Arial" w:cs="Arial" w:eastAsia="Arial" w:hAnsi="Arial"/>
          <w:sz w:val="19"/>
          <w:szCs w:val="19"/>
          <w:color w:val="auto"/>
        </w:rPr>
        <w:t>Identifying Number or Brief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0"/>
        <w:spacing w:after="0" w:line="257" w:lineRule="auto"/>
        <w:rPr>
          <w:sz w:val="20"/>
          <w:szCs w:val="20"/>
          <w:color w:val="auto"/>
        </w:rPr>
      </w:pPr>
      <w:r>
        <w:rPr>
          <w:rFonts w:ascii="Arial" w:cs="Arial" w:eastAsia="Arial" w:hAnsi="Arial"/>
          <w:sz w:val="20"/>
          <w:szCs w:val="20"/>
          <w:color w:val="auto"/>
        </w:rPr>
        <w:t>Except as indicated above on this Schedule 1, I have no Prior Developments to disclose pursuant to Section 3(a) of this Agreement and no agreements to disclose pursuant to Section 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442595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40" w:right="63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82"/>
        </w:trPr>
        <w:tc>
          <w:tcPr>
            <w:tcW w:w="4000" w:type="dxa"/>
            <w:vAlign w:val="bottom"/>
            <w:gridSpan w:val="2"/>
          </w:tcPr>
          <w:p>
            <w:pPr>
              <w:ind w:left="1500"/>
              <w:spacing w:after="0"/>
              <w:rPr>
                <w:sz w:val="20"/>
                <w:szCs w:val="20"/>
                <w:color w:val="auto"/>
              </w:rPr>
            </w:pPr>
            <w:r>
              <w:rPr>
                <w:rFonts w:ascii="Times New Roman" w:cs="Times New Roman" w:eastAsia="Times New Roman" w:hAnsi="Times New Roman"/>
                <w:sz w:val="22"/>
                <w:szCs w:val="22"/>
                <w:color w:val="auto"/>
              </w:rPr>
              <w:t>Employee:</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960"/>
        </w:trPr>
        <w:tc>
          <w:tcPr>
            <w:tcW w:w="17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 Gabriel Brooks</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09/23/2023</w:t>
            </w:r>
          </w:p>
        </w:tc>
        <w:tc>
          <w:tcPr>
            <w:tcW w:w="526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76"/>
        </w:trPr>
        <w:tc>
          <w:tcPr>
            <w:tcW w:w="4000" w:type="dxa"/>
            <w:vAlign w:val="bottom"/>
            <w:gridSpan w:val="2"/>
          </w:tcPr>
          <w:p>
            <w:pPr>
              <w:ind w:left="1500"/>
              <w:spacing w:after="0"/>
              <w:rPr>
                <w:sz w:val="20"/>
                <w:szCs w:val="20"/>
                <w:color w:val="auto"/>
              </w:rPr>
            </w:pPr>
            <w:r>
              <w:rPr>
                <w:rFonts w:ascii="Times New Roman" w:cs="Times New Roman" w:eastAsia="Times New Roman" w:hAnsi="Times New Roman"/>
                <w:sz w:val="22"/>
                <w:szCs w:val="22"/>
                <w:color w:val="auto"/>
              </w:rPr>
              <w:t>Name: Gabriel Brooks</w:t>
            </w: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Date</w:t>
            </w:r>
          </w:p>
        </w:tc>
      </w:tr>
      <w:tr>
        <w:trPr>
          <w:trHeight w:val="1561"/>
        </w:trPr>
        <w:tc>
          <w:tcPr>
            <w:tcW w:w="1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9" w:name="page270"/>
    <w:bookmarkEnd w:id="269"/>
    <w:p>
      <w:pPr>
        <w:spacing w:after="0" w:line="3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Noncompetition Agreement</w:t>
      </w:r>
    </w:p>
    <w:p>
      <w:pPr>
        <w:spacing w:after="0" w:line="24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EXHIBIT C - NON-COMPETITION AGREEMENT</w:t>
      </w:r>
    </w:p>
    <w:p>
      <w:pPr>
        <w:spacing w:after="0" w:line="237" w:lineRule="exact"/>
        <w:rPr>
          <w:sz w:val="20"/>
          <w:szCs w:val="20"/>
          <w:color w:val="auto"/>
        </w:rPr>
      </w:pPr>
    </w:p>
    <w:p>
      <w:pPr>
        <w:ind w:left="180" w:right="880" w:firstLine="749"/>
        <w:spacing w:after="0" w:line="244" w:lineRule="auto"/>
        <w:rPr>
          <w:sz w:val="20"/>
          <w:szCs w:val="20"/>
          <w:color w:val="auto"/>
        </w:rPr>
      </w:pPr>
      <w:r>
        <w:rPr>
          <w:rFonts w:ascii="Times New Roman" w:cs="Times New Roman" w:eastAsia="Times New Roman" w:hAnsi="Times New Roman"/>
          <w:sz w:val="22"/>
          <w:szCs w:val="22"/>
          <w:color w:val="auto"/>
        </w:rPr>
        <w:t>This Noncompetition Agreement (the “Agreement”) is made between Solid Biosciences Inc., a Delaware corporation (including its subsidiaries, the “Company”), and the undersigned employee (the “Employee”).</w:t>
      </w:r>
    </w:p>
    <w:p>
      <w:pPr>
        <w:spacing w:after="0" w:line="200" w:lineRule="exact"/>
        <w:rPr>
          <w:sz w:val="20"/>
          <w:szCs w:val="20"/>
          <w:color w:val="auto"/>
        </w:rPr>
      </w:pPr>
    </w:p>
    <w:p>
      <w:pPr>
        <w:ind w:left="180" w:firstLine="749"/>
        <w:spacing w:after="0" w:line="244" w:lineRule="auto"/>
        <w:rPr>
          <w:sz w:val="20"/>
          <w:szCs w:val="20"/>
          <w:color w:val="auto"/>
        </w:rPr>
      </w:pPr>
      <w:r>
        <w:rPr>
          <w:rFonts w:ascii="Times New Roman" w:cs="Times New Roman" w:eastAsia="Times New Roman" w:hAnsi="Times New Roman"/>
          <w:sz w:val="22"/>
          <w:szCs w:val="22"/>
          <w:color w:val="auto"/>
        </w:rPr>
        <w:t>For good consideration, including, without limitation, the continued employment of the Employee by the Company and, with respect to the non-competition restrictions, the additional consideration set forth in Section 1(c), the Employee and the Company agree as follows:</w:t>
      </w:r>
    </w:p>
    <w:p>
      <w:pPr>
        <w:spacing w:after="0" w:line="200" w:lineRule="exact"/>
        <w:rPr>
          <w:sz w:val="20"/>
          <w:szCs w:val="20"/>
          <w:color w:val="auto"/>
        </w:rPr>
      </w:pPr>
    </w:p>
    <w:p>
      <w:pPr>
        <w:ind w:left="920" w:hanging="745"/>
        <w:spacing w:after="0"/>
        <w:tabs>
          <w:tab w:leader="none" w:pos="92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w:t>
      </w:r>
    </w:p>
    <w:p>
      <w:pPr>
        <w:spacing w:after="0" w:line="233" w:lineRule="exact"/>
        <w:rPr>
          <w:sz w:val="20"/>
          <w:szCs w:val="20"/>
          <w:color w:val="auto"/>
        </w:rPr>
      </w:pPr>
    </w:p>
    <w:p>
      <w:pPr>
        <w:ind w:left="180" w:right="200" w:firstLine="1497"/>
        <w:spacing w:after="0" w:line="245" w:lineRule="auto"/>
        <w:rPr>
          <w:sz w:val="20"/>
          <w:szCs w:val="20"/>
          <w:color w:val="auto"/>
        </w:rPr>
      </w:pPr>
      <w:r>
        <w:rPr>
          <w:rFonts w:ascii="Times New Roman" w:cs="Times New Roman" w:eastAsia="Times New Roman" w:hAnsi="Times New Roman"/>
          <w:sz w:val="21"/>
          <w:szCs w:val="21"/>
          <w:color w:val="auto"/>
        </w:rPr>
        <w:t>(a)During the Restricted Period (as defined below), the Employee will not, in the Applicable Territory (as defined below), directly or indirectly, whether as an owner, partner, officer, director, employee, consultant, investor, lender or otherwise, except as the passive holder of not more than 1% of the outstanding stock of a publicly-held company, engage or assist others in engaging in any business or enterprise that is competitive with the Company’s business, including but not limited to any business or enterprise that develops, manufactures, researches, markets, licenses, sells or provides any product or service that competes with any product or service developed, researched, manufactured, marketed, licensed, sold or provided, or planned to be developed, manufactured, researched, marketed, licensed, sold or provided by the Company (a “Competitive Company”), if the Employee would be performing a job or job duties or services for the Competitive Company that are the same as or substantially similar to the job or job duties or services that the Employee performed for the Company at any time during the last two years of the Employee’s employment.</w:t>
      </w:r>
    </w:p>
    <w:p>
      <w:pPr>
        <w:spacing w:after="0" w:line="204" w:lineRule="exact"/>
        <w:rPr>
          <w:sz w:val="20"/>
          <w:szCs w:val="20"/>
          <w:color w:val="auto"/>
        </w:rPr>
      </w:pPr>
    </w:p>
    <w:p>
      <w:pPr>
        <w:ind w:left="2420" w:hanging="747"/>
        <w:spacing w:after="0"/>
        <w:tabs>
          <w:tab w:leader="none" w:pos="242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Definitions. Solely for purposes of this Section 1:</w:t>
      </w:r>
    </w:p>
    <w:p>
      <w:pPr>
        <w:spacing w:after="0" w:line="233" w:lineRule="exact"/>
        <w:rPr>
          <w:rFonts w:ascii="Times New Roman" w:cs="Times New Roman" w:eastAsia="Times New Roman" w:hAnsi="Times New Roman"/>
          <w:sz w:val="22"/>
          <w:szCs w:val="22"/>
          <w:color w:val="auto"/>
        </w:rPr>
      </w:pPr>
    </w:p>
    <w:p>
      <w:pPr>
        <w:ind w:left="920" w:right="20" w:firstLine="1397"/>
        <w:spacing w:after="0" w:line="234" w:lineRule="auto"/>
        <w:tabs>
          <w:tab w:leader="none" w:pos="244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Period” shall include the duration of the Employee’s employment with the Company and the twelve month period thereafter; provided, however, that the Restricted Period shall automatically be extended to two years following the cessation of the Employee’s employment if a Court of competent jurisdiction determines the Employee breached a fiduciary duty to the Company or the Employee unlawfully took, physically or electronically, any property belonging to the Company. Notwithstanding the foregoing, the Restricted Period shall end immediately upon the Employee’s last day of employment with the Company if: (a) the Company terminates the Employee’s employment without Cause (as defined below); (b) the Employee resigns for Good Reason (as defined below); or (c) the Company notifies the Employee in writing that it is waiving the post-employment restrictions set forth in this Section.</w:t>
      </w:r>
    </w:p>
    <w:p>
      <w:pPr>
        <w:spacing w:after="0" w:line="206" w:lineRule="exact"/>
        <w:rPr>
          <w:rFonts w:ascii="Times New Roman" w:cs="Times New Roman" w:eastAsia="Times New Roman" w:hAnsi="Times New Roman"/>
          <w:sz w:val="22"/>
          <w:szCs w:val="22"/>
          <w:color w:val="auto"/>
        </w:rPr>
      </w:pPr>
    </w:p>
    <w:p>
      <w:pPr>
        <w:ind w:left="920" w:right="400" w:firstLine="1337"/>
        <w:spacing w:after="0" w:line="244" w:lineRule="auto"/>
        <w:tabs>
          <w:tab w:leader="none" w:pos="2445"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Territory” shall mean the geographic areas in which the Employee provided services or had a material presence or influence at any time during his/her last two years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594995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40" w:right="459" w:bottom="1440" w:gutter="0" w:footer="0" w:header="0"/>
        </w:sectPr>
      </w:pPr>
    </w:p>
    <w:bookmarkStart w:id="270" w:name="page271"/>
    <w:bookmarkEnd w:id="270"/>
    <w:p>
      <w:pPr>
        <w:ind w:left="920" w:right="60" w:firstLine="1217"/>
        <w:spacing w:after="0" w:line="238" w:lineRule="auto"/>
        <w:tabs>
          <w:tab w:leader="none" w:pos="244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any of: (a) the Employee’s conviction of, or plea of guilty or nolo contendere to, any crime involving dishonesty or moral turpitude, or any felony; (b) a good faith finding by the Company in its sole and reasonable discretion that the Employee has (1) engaged in dishonesty, misconduct or gross negligence; (2) committed an act that injures or would reasonably be expected to injure the reputation, business or business relationships of the</w:t>
      </w:r>
    </w:p>
    <w:p>
      <w:pPr>
        <w:spacing w:after="0" w:line="204"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Company; (3) breached the material terms of this Agreement or any other restrictive covenant or confidentiality agreement with or policy of the Company; or (4) failed or refused to comply with any of the Company’s policies or procedures; or (c) the Company has any other grounds that constitute “cause” under Massachusetts law.</w:t>
      </w:r>
    </w:p>
    <w:p>
      <w:pPr>
        <w:spacing w:after="0" w:line="207" w:lineRule="exact"/>
        <w:rPr>
          <w:sz w:val="20"/>
          <w:szCs w:val="20"/>
          <w:color w:val="auto"/>
        </w:rPr>
      </w:pPr>
    </w:p>
    <w:p>
      <w:pPr>
        <w:ind w:left="940" w:right="100" w:firstLine="1317"/>
        <w:spacing w:after="0" w:line="235" w:lineRule="auto"/>
        <w:tabs>
          <w:tab w:leader="none" w:pos="2526" w:val="left"/>
        </w:tabs>
        <w:numPr>
          <w:ilvl w:val="3"/>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shall mean any of: (a) a material diminution in the nature or scope of the Executive’s duties, responsibilities, or authority; (b) a material diminution of the Executive’s compensation; (c) the Company’s requiring the Executive to relocate the Executive’s primary office more than fifty (50) miles from the Executive’s then-current primary office; (d) any material breach of this Agreement or any other agreement entered into with the Executive by the Company not otherwise covered by this paragraph; or (e) a failure of the Chief Executive Officer or the Board of Directors to comply with applicable state and/or federal law.</w:t>
      </w:r>
    </w:p>
    <w:p>
      <w:pPr>
        <w:spacing w:after="0" w:line="210" w:lineRule="exact"/>
        <w:rPr>
          <w:rFonts w:ascii="Times New Roman" w:cs="Times New Roman" w:eastAsia="Times New Roman" w:hAnsi="Times New Roman"/>
          <w:sz w:val="22"/>
          <w:szCs w:val="22"/>
          <w:color w:val="auto"/>
        </w:rPr>
      </w:pPr>
    </w:p>
    <w:p>
      <w:pPr>
        <w:ind w:left="180" w:right="20" w:firstLine="1493"/>
        <w:spacing w:after="0" w:line="233" w:lineRule="auto"/>
        <w:tabs>
          <w:tab w:leader="none" w:pos="1944"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Consideration for Noncompetition Restrictions</w:t>
      </w:r>
      <w:r>
        <w:rPr>
          <w:rFonts w:ascii="Times New Roman" w:cs="Times New Roman" w:eastAsia="Times New Roman" w:hAnsi="Times New Roman"/>
          <w:sz w:val="22"/>
          <w:szCs w:val="22"/>
          <w:color w:val="auto"/>
        </w:rPr>
        <w:t>. In exchange for the Employee’s compliance with the restrictions set forth in this Section 1, the Company will grant the Employee an equity award, as is more fully set forth in Section 4(c) of the Employment Agreement to which this Agreement is attached, and, further, during the post-employment portion of the Restricted Period, the Company will pay the Employee one thousand dollars ($1,000) per month (the “Noncompete Consideration”). The Noncompete Consideration will be paid ratably in accordance with the Company’s regular payroll practices, commencing with the first payroll cycle beginning after the Employee’s separation date, except as may otherwise be required by Section 3(h) below. The Employee understands and agrees that the Company may discontinue or otherwise not provide the Noncompete Consideration</w:t>
      </w:r>
    </w:p>
    <w:p>
      <w:pPr>
        <w:ind w:left="180" w:hanging="4"/>
        <w:spacing w:after="0" w:line="232" w:lineRule="auto"/>
        <w:tabs>
          <w:tab w:leader="none" w:pos="438"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Restricted Period expires upon the termination of the employment relationship pursuant to the last sentence of Section 1(b)(i), (ii) if the Employee breaches this Agreement as determined by a Court of competent jurisdiction, or (iii) during any portion of the Restricted Period that has been extended in accordance with Section 1(b)(i); provided, however, that with respect to (ii) or (iii), any such cessation shall not excuse the Employee’s compliance with his/her obligations under this Section 1 or otherwise in this Agreement. The Employee understands and agrees that the above-stated consideration has been mutually agreed upon by the Company and the Employee, is fair and reasonable, and is sufficient consideration in exchange for the restrictions set forth in this Section 1.</w:t>
      </w:r>
    </w:p>
    <w:p>
      <w:pPr>
        <w:spacing w:after="0" w:line="206" w:lineRule="exact"/>
        <w:rPr>
          <w:rFonts w:ascii="Times New Roman" w:cs="Times New Roman" w:eastAsia="Times New Roman" w:hAnsi="Times New Roman"/>
          <w:sz w:val="22"/>
          <w:szCs w:val="22"/>
          <w:color w:val="auto"/>
        </w:rPr>
      </w:pPr>
    </w:p>
    <w:p>
      <w:pPr>
        <w:ind w:left="180" w:right="20" w:hanging="5"/>
        <w:spacing w:after="0" w:line="235" w:lineRule="auto"/>
        <w:tabs>
          <w:tab w:leader="none" w:pos="41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New Business Activities</w:t>
      </w:r>
      <w:r>
        <w:rPr>
          <w:rFonts w:ascii="Times New Roman" w:cs="Times New Roman" w:eastAsia="Times New Roman" w:hAnsi="Times New Roman"/>
          <w:sz w:val="22"/>
          <w:szCs w:val="22"/>
          <w:color w:val="auto"/>
        </w:rPr>
        <w:t>. The Employee agrees that during any period of time when the Employee is subject to restrictions pursuant to Section 1, the Employee will notify any prospective employer or business associate of the terms and existence of this Agreement and the Employee’s continuing obligations to the Company hereunder. The Employee further agrees, during such period, to give notice to the Company of each new business activity the Employee plans to undertake. The notice shall state the name and address of the individual, corporation, association or other entity or organization (“Entity”) for whom such activity is undertaken and the name of the Employee’s business relationship or position with the Entity. The Employee also agrees to provide the Company with other pertinent information concerning such business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192" w:right="459" w:bottom="1440" w:gutter="0" w:footer="0" w:header="0"/>
        </w:sectPr>
      </w:pPr>
    </w:p>
    <w:bookmarkStart w:id="271" w:name="page272"/>
    <w:bookmarkEnd w:id="271"/>
    <w:p>
      <w:pPr>
        <w:ind w:left="180" w:right="420" w:firstLine="237"/>
        <w:spacing w:after="0" w:line="258" w:lineRule="auto"/>
        <w:rPr>
          <w:sz w:val="20"/>
          <w:szCs w:val="20"/>
          <w:color w:val="auto"/>
        </w:rPr>
      </w:pPr>
      <w:r>
        <w:rPr>
          <w:rFonts w:ascii="Times New Roman" w:cs="Times New Roman" w:eastAsia="Times New Roman" w:hAnsi="Times New Roman"/>
          <w:sz w:val="22"/>
          <w:szCs w:val="22"/>
          <w:color w:val="auto"/>
        </w:rPr>
        <w:t>as the Company may reasonably request in order to determine the Employee’s continued compliance with his/her obligations under this Agreement.</w:t>
      </w:r>
    </w:p>
    <w:p>
      <w:pPr>
        <w:spacing w:after="0" w:line="185" w:lineRule="exact"/>
        <w:rPr>
          <w:sz w:val="20"/>
          <w:szCs w:val="20"/>
          <w:color w:val="auto"/>
        </w:rPr>
      </w:pPr>
    </w:p>
    <w:p>
      <w:pPr>
        <w:ind w:left="920" w:hanging="745"/>
        <w:spacing w:after="0"/>
        <w:tabs>
          <w:tab w:leader="none" w:pos="92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80" w:right="60" w:firstLine="1493"/>
        <w:spacing w:after="0" w:line="235" w:lineRule="auto"/>
        <w:tabs>
          <w:tab w:leader="none" w:pos="1944"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Remedies</w:t>
      </w:r>
      <w:r>
        <w:rPr>
          <w:rFonts w:ascii="Times New Roman" w:cs="Times New Roman" w:eastAsia="Times New Roman" w:hAnsi="Times New Roman"/>
          <w:sz w:val="22"/>
          <w:szCs w:val="22"/>
          <w:color w:val="auto"/>
        </w:rPr>
        <w:t>. The Employee acknowledges that the restrictions contained in this Agreement are necessary for the protection of the business and goodwill of the Company and are considered by the Employee to be reasonable for such purpose. The Employee agrees that any breach or threatened breach of this Agreement is likely to cause the Company substantial and irrevocable damage which is difficult to measure. Therefore, in the event of any such breach or threatened breach, the Employee agrees that the Company, in addition to any and all other remedies which may be available, shall have the right to obtain an injunction from a court restraining such a breach or threatened breach without posting a bond and the right to specific performance of the provisions of this Agreement.</w:t>
      </w:r>
    </w:p>
    <w:p>
      <w:pPr>
        <w:spacing w:after="0" w:line="205" w:lineRule="exact"/>
        <w:rPr>
          <w:rFonts w:ascii="Times New Roman" w:cs="Times New Roman" w:eastAsia="Times New Roman" w:hAnsi="Times New Roman"/>
          <w:sz w:val="22"/>
          <w:szCs w:val="22"/>
          <w:color w:val="auto"/>
        </w:rPr>
      </w:pPr>
    </w:p>
    <w:p>
      <w:pPr>
        <w:ind w:left="180" w:right="80" w:firstLine="1493"/>
        <w:spacing w:after="0" w:line="244" w:lineRule="auto"/>
        <w:tabs>
          <w:tab w:leader="none" w:pos="1944"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Employment Contract</w:t>
      </w:r>
      <w:r>
        <w:rPr>
          <w:rFonts w:ascii="Times New Roman" w:cs="Times New Roman" w:eastAsia="Times New Roman" w:hAnsi="Times New Roman"/>
          <w:sz w:val="22"/>
          <w:szCs w:val="22"/>
          <w:color w:val="auto"/>
        </w:rPr>
        <w:t>. The Employee acknowledges that this Agreement does not constitute a contract of employment, does not imply that the Company will continue his/her employment for any period of time, and does not change the at-will nature of his/her employment.</w:t>
      </w:r>
    </w:p>
    <w:p>
      <w:pPr>
        <w:spacing w:after="0" w:line="200" w:lineRule="exact"/>
        <w:rPr>
          <w:rFonts w:ascii="Times New Roman" w:cs="Times New Roman" w:eastAsia="Times New Roman" w:hAnsi="Times New Roman"/>
          <w:sz w:val="22"/>
          <w:szCs w:val="22"/>
          <w:color w:val="auto"/>
        </w:rPr>
      </w:pPr>
    </w:p>
    <w:p>
      <w:pPr>
        <w:ind w:left="180" w:firstLine="1493"/>
        <w:spacing w:after="0" w:line="249" w:lineRule="auto"/>
        <w:tabs>
          <w:tab w:leader="none" w:pos="1944"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The Company hereby advises the Employee and the Employee hereby acknowledges that he or she has the right to consult with counsel prior to signing this Agreement. The Employee further acknowledges that this Agreement is supported by fair and reasonable consideration independent from the Employee’s continued employment, that the Employee has been provided at least ten (10) business days to review this Agreement, and that this Agreement shall not take effect until the eleventh (11th) business day following the date on which the Company provided it to the Employee for review and execution.</w:t>
      </w:r>
    </w:p>
    <w:p>
      <w:pPr>
        <w:spacing w:after="0" w:line="197" w:lineRule="exact"/>
        <w:rPr>
          <w:rFonts w:ascii="Times New Roman" w:cs="Times New Roman" w:eastAsia="Times New Roman" w:hAnsi="Times New Roman"/>
          <w:sz w:val="21"/>
          <w:szCs w:val="21"/>
          <w:color w:val="auto"/>
        </w:rPr>
      </w:pPr>
    </w:p>
    <w:p>
      <w:pPr>
        <w:ind w:left="180" w:right="40" w:firstLine="1493"/>
        <w:spacing w:after="0" w:line="235" w:lineRule="auto"/>
        <w:tabs>
          <w:tab w:leader="none" w:pos="1944"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the Company’s assets or business, provided, however, that the obligations of the Employee are personal and shall not be assigned by him or her. The Employee expressly consents to be bound by the provisions of this Agreement for the benefit of the Company or any subsidiary or affiliate thereof to whose employ the Employee may be transferred without the necessity that this Agreement be re-signed at the time of such transfer.</w:t>
      </w:r>
    </w:p>
    <w:p>
      <w:pPr>
        <w:spacing w:after="0" w:line="210" w:lineRule="exact"/>
        <w:rPr>
          <w:rFonts w:ascii="Times New Roman" w:cs="Times New Roman" w:eastAsia="Times New Roman" w:hAnsi="Times New Roman"/>
          <w:sz w:val="22"/>
          <w:szCs w:val="22"/>
          <w:color w:val="auto"/>
        </w:rPr>
      </w:pPr>
    </w:p>
    <w:p>
      <w:pPr>
        <w:ind w:left="180" w:right="220" w:firstLine="1493"/>
        <w:spacing w:after="0" w:line="255" w:lineRule="auto"/>
        <w:tabs>
          <w:tab w:leader="none" w:pos="1944"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If any restriction or definition set forth in this Agreement is found by any court of competent jurisdiction to be unenforceable because it extends for too long a period of time or over too great a range of conduct, activities, or geographic area, it shall be interpreted by said court to extend only over the maximum period of time, range of conduct, activities or geographic area as to which it may be enforceable.</w:t>
      </w:r>
    </w:p>
    <w:p>
      <w:pPr>
        <w:spacing w:after="0" w:line="188" w:lineRule="exact"/>
        <w:rPr>
          <w:rFonts w:ascii="Times New Roman" w:cs="Times New Roman" w:eastAsia="Times New Roman" w:hAnsi="Times New Roman"/>
          <w:sz w:val="21"/>
          <w:szCs w:val="21"/>
          <w:color w:val="auto"/>
        </w:rPr>
      </w:pPr>
    </w:p>
    <w:p>
      <w:pPr>
        <w:ind w:left="180" w:right="440" w:firstLine="1493"/>
        <w:spacing w:after="0" w:line="244" w:lineRule="auto"/>
        <w:tabs>
          <w:tab w:leader="none" w:pos="1944"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shall be invalid, illegal or otherwise unenforceable, and cannot be reformed to make it enforceable, the validity, legality and enforceability of the remaining provisions of this Agreement shall in no way be affected or impaired thereby.</w:t>
      </w:r>
    </w:p>
    <w:p>
      <w:pPr>
        <w:spacing w:after="0" w:line="200" w:lineRule="exact"/>
        <w:rPr>
          <w:rFonts w:ascii="Times New Roman" w:cs="Times New Roman" w:eastAsia="Times New Roman" w:hAnsi="Times New Roman"/>
          <w:sz w:val="22"/>
          <w:szCs w:val="22"/>
          <w:color w:val="auto"/>
        </w:rPr>
      </w:pPr>
    </w:p>
    <w:p>
      <w:pPr>
        <w:ind w:left="180" w:right="820" w:firstLine="1493"/>
        <w:spacing w:after="0" w:line="258" w:lineRule="auto"/>
        <w:tabs>
          <w:tab w:leader="none" w:pos="1944"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delay or omission by the either party in exercising any right under this Agreement will operate as a waiver of that or any other right. A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448310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192" w:right="479" w:bottom="1440" w:gutter="0" w:footer="0" w:header="0"/>
        </w:sectPr>
      </w:pPr>
    </w:p>
    <w:bookmarkStart w:id="272" w:name="page273"/>
    <w:bookmarkEnd w:id="272"/>
    <w:p>
      <w:pPr>
        <w:ind w:left="180" w:right="400"/>
        <w:spacing w:after="0" w:line="258" w:lineRule="auto"/>
        <w:rPr>
          <w:sz w:val="20"/>
          <w:szCs w:val="20"/>
          <w:color w:val="auto"/>
        </w:rPr>
      </w:pPr>
      <w:r>
        <w:rPr>
          <w:rFonts w:ascii="Times New Roman" w:cs="Times New Roman" w:eastAsia="Times New Roman" w:hAnsi="Times New Roman"/>
          <w:sz w:val="22"/>
          <w:szCs w:val="22"/>
          <w:color w:val="auto"/>
        </w:rPr>
        <w:t>given by a party on any one occasion is effective only in that instance and will not be construed as a bar to or waiver of any right on any other occasion.</w:t>
      </w:r>
    </w:p>
    <w:p>
      <w:pPr>
        <w:spacing w:after="0" w:line="185" w:lineRule="exact"/>
        <w:rPr>
          <w:sz w:val="20"/>
          <w:szCs w:val="20"/>
          <w:color w:val="auto"/>
        </w:rPr>
      </w:pPr>
    </w:p>
    <w:p>
      <w:pPr>
        <w:ind w:left="180" w:right="60" w:firstLine="1493"/>
        <w:spacing w:after="0" w:line="244" w:lineRule="auto"/>
        <w:tabs>
          <w:tab w:leader="none" w:pos="194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Section 409A</w:t>
      </w:r>
      <w:r>
        <w:rPr>
          <w:rFonts w:ascii="Times New Roman" w:cs="Times New Roman" w:eastAsia="Times New Roman" w:hAnsi="Times New Roman"/>
          <w:sz w:val="22"/>
          <w:szCs w:val="22"/>
          <w:color w:val="auto"/>
        </w:rPr>
        <w:t>. Any compensatory payments under or referred to in this Agreement will be subject to all required tax and other withholdings. This Agreement is intended to comply with or be exempt from the provisions of Section 409A of the Internal Revenue Code of 1986,</w:t>
      </w:r>
    </w:p>
    <w:p>
      <w:pPr>
        <w:spacing w:after="0" w:line="200" w:lineRule="exact"/>
        <w:rPr>
          <w:sz w:val="20"/>
          <w:szCs w:val="20"/>
          <w:color w:val="auto"/>
        </w:rPr>
      </w:pPr>
    </w:p>
    <w:p>
      <w:pPr>
        <w:ind w:left="180" w:right="80"/>
        <w:spacing w:after="0" w:line="243" w:lineRule="auto"/>
        <w:rPr>
          <w:sz w:val="20"/>
          <w:szCs w:val="20"/>
          <w:color w:val="auto"/>
        </w:rPr>
      </w:pPr>
      <w:r>
        <w:rPr>
          <w:rFonts w:ascii="Times New Roman" w:cs="Times New Roman" w:eastAsia="Times New Roman" w:hAnsi="Times New Roman"/>
          <w:sz w:val="21"/>
          <w:szCs w:val="21"/>
          <w:color w:val="auto"/>
        </w:rPr>
        <w:t>as amended (“Section 409A”) and the Agreement will, to the extent practicable, be construed in accordance therewith. Terms defined in this Agreement will have the meanings given such terms under Section 409A if and to the extent required to comply with Section 409A and a termination of employment will mean a “separation from service” as defined in Section 409A. For purposes of this Agreement, each amount to be paid or benefit to be provided, including a series of installment payments, will be construed as a separate identified payment for purposes of Section 409A. If and to the extent any portion of any payment, compensation or other benefit provided to the Employee in connection with his/her separation from service (as defined in Section 409A) is determined to constitute “nonqualified deferred compensation” within the meaning of Section 409A and the Employee is a specified employee as defined in Section 409A(a)(2)(B)(i) of the Code, as reasonably determined by the Company in accordance with its procedures, by which determination the Employee hereby agrees that he/she is bound, such portion of the payment, compensation or other benefit will not be paid before the earlier of</w:t>
      </w:r>
    </w:p>
    <w:p>
      <w:pPr>
        <w:spacing w:after="0" w:line="8" w:lineRule="exact"/>
        <w:rPr>
          <w:sz w:val="20"/>
          <w:szCs w:val="20"/>
          <w:color w:val="auto"/>
        </w:rPr>
      </w:pPr>
    </w:p>
    <w:p>
      <w:pPr>
        <w:ind w:left="180" w:right="20" w:hanging="4"/>
        <w:spacing w:after="0" w:line="243" w:lineRule="auto"/>
        <w:tabs>
          <w:tab w:leader="none" w:pos="438"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day that is six months plus one day after the date of separation from service (as determined under Section 409A) or (ii) the tenth day after the date of his/her death (as applicable, the “New Payment Date”). The aggregate of any payments that otherwise would have been paid to the Employee during the period between the date of separation from service and the New Payment Date will be paid to the Employee in a lump sum in the first payroll period beginning after such New Payment Date (or, with respect to payment after death, as soon as reasonably practicable and within the time limits permitted by Section 409A), and any remaining payments will be paid on their original schedule. In any event, the Company makes no representations or warranty and will have no liability to the Employee or any other person unless a court of competent jurisdiction or governing body determines otherwise if any provisions of or payments under this Agreement are determined to constitute deferred compensation subject to Section 409A but not to satisfy the conditions of that section.</w:t>
      </w:r>
    </w:p>
    <w:p>
      <w:pPr>
        <w:spacing w:after="0" w:line="203" w:lineRule="exact"/>
        <w:rPr>
          <w:rFonts w:ascii="Times New Roman" w:cs="Times New Roman" w:eastAsia="Times New Roman" w:hAnsi="Times New Roman"/>
          <w:sz w:val="21"/>
          <w:szCs w:val="21"/>
          <w:color w:val="auto"/>
        </w:rPr>
      </w:pPr>
    </w:p>
    <w:p>
      <w:pPr>
        <w:ind w:left="180" w:firstLine="1493"/>
        <w:spacing w:after="0" w:line="236" w:lineRule="auto"/>
        <w:tabs>
          <w:tab w:leader="none" w:pos="194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Consent To Jurisdiction</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reference to the conflicts of laws provisions thereof). Any action, suit, or other legal proceeding which is commenced to resolve any matter arising under or relating to any provision of this Agreement shall be commenced only in a court in Suffolk County, Massachusetts (or, if appropriate, a federal court located within Massachusetts), and the Company and the Employee each consents to the jurisdiction of such courts.</w:t>
      </w:r>
    </w:p>
    <w:p>
      <w:pPr>
        <w:spacing w:after="0" w:line="208" w:lineRule="exact"/>
        <w:rPr>
          <w:rFonts w:ascii="Times New Roman" w:cs="Times New Roman" w:eastAsia="Times New Roman" w:hAnsi="Times New Roman"/>
          <w:sz w:val="22"/>
          <w:szCs w:val="22"/>
          <w:color w:val="auto"/>
        </w:rPr>
      </w:pPr>
    </w:p>
    <w:p>
      <w:pPr>
        <w:ind w:left="180" w:right="80" w:firstLine="1493"/>
        <w:spacing w:after="0" w:line="236" w:lineRule="auto"/>
        <w:tabs>
          <w:tab w:leader="none" w:pos="194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 The Employee agrees that any change or changes in his/her duties, authority, title, reporting relationship, territory, salary or compensation after the signing of this Agreement shall not affect the validity or scope of this Agreement unless otherwise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608330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192" w:right="459" w:bottom="1440" w:gutter="0" w:footer="0" w:header="0"/>
        </w:sectPr>
      </w:pPr>
    </w:p>
    <w:bookmarkStart w:id="273" w:name="page274"/>
    <w:bookmarkEnd w:id="273"/>
    <w:p>
      <w:pPr>
        <w:ind w:left="1300" w:right="440" w:firstLine="1493"/>
        <w:spacing w:after="0" w:line="282" w:lineRule="auto"/>
        <w:tabs>
          <w:tab w:leader="none" w:pos="3064"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The captions of the sections of this Agreement are for convenience of reference only and in no way define, limit or affect the scope or substance of any section of this Agreement.</w:t>
      </w:r>
    </w:p>
    <w:p>
      <w:pPr>
        <w:spacing w:after="0" w:line="216" w:lineRule="exact"/>
        <w:rPr>
          <w:sz w:val="20"/>
          <w:szCs w:val="20"/>
          <w:color w:val="auto"/>
        </w:rPr>
      </w:pPr>
    </w:p>
    <w:p>
      <w:pPr>
        <w:ind w:left="1480" w:right="520"/>
        <w:spacing w:after="0" w:line="258" w:lineRule="auto"/>
        <w:rPr>
          <w:sz w:val="20"/>
          <w:szCs w:val="20"/>
          <w:color w:val="auto"/>
        </w:rPr>
      </w:pPr>
      <w:r>
        <w:rPr>
          <w:rFonts w:ascii="Times New Roman" w:cs="Times New Roman" w:eastAsia="Times New Roman" w:hAnsi="Times New Roman"/>
          <w:sz w:val="22"/>
          <w:szCs w:val="22"/>
          <w:color w:val="auto"/>
        </w:rPr>
        <w:t>The employee acknowledges that he/she has carefully read this agreement, understands and agrees to all of the provisions in this agreement, and hereby executes this agreement under seal.</w:t>
      </w:r>
    </w:p>
    <w:p>
      <w:pPr>
        <w:spacing w:after="0" w:line="200" w:lineRule="exact"/>
        <w:rPr>
          <w:sz w:val="20"/>
          <w:szCs w:val="20"/>
          <w:color w:val="auto"/>
        </w:rPr>
      </w:pP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33" w:lineRule="exact"/>
        <w:rPr>
          <w:sz w:val="20"/>
          <w:szCs w:val="20"/>
          <w:color w:val="auto"/>
        </w:rPr>
      </w:pPr>
    </w:p>
    <w:p>
      <w:pPr>
        <w:ind w:left="1420"/>
        <w:spacing w:after="0"/>
        <w:tabs>
          <w:tab w:leader="none" w:pos="2020" w:val="left"/>
        </w:tabs>
        <w:rPr>
          <w:sz w:val="20"/>
          <w:szCs w:val="20"/>
          <w:color w:val="auto"/>
        </w:rPr>
      </w:pPr>
      <w:r>
        <w:rPr>
          <w:rFonts w:ascii="Times New Roman" w:cs="Times New Roman" w:eastAsia="Times New Roman" w:hAnsi="Times New Roman"/>
          <w:sz w:val="22"/>
          <w:szCs w:val="22"/>
          <w:color w:val="auto"/>
        </w:rPr>
        <w:t>By:</w:t>
        <w:tab/>
        <w:t>/s/ Bo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10795</wp:posOffset>
            </wp:positionV>
            <wp:extent cx="192913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Bo Cumbo</w:t>
      </w:r>
    </w:p>
    <w:p>
      <w:pPr>
        <w:ind w:left="1980"/>
        <w:spacing w:after="0" w:line="230" w:lineRule="auto"/>
        <w:rPr>
          <w:sz w:val="20"/>
          <w:szCs w:val="20"/>
          <w:color w:val="auto"/>
        </w:rPr>
      </w:pPr>
      <w:r>
        <w:rPr>
          <w:rFonts w:ascii="Times New Roman" w:cs="Times New Roman" w:eastAsia="Times New Roman" w:hAnsi="Times New Roman"/>
          <w:sz w:val="22"/>
          <w:szCs w:val="22"/>
          <w:color w:val="auto"/>
        </w:rPr>
        <w:t>President and CEO</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Date: 09/22/2023</w:t>
      </w:r>
    </w:p>
    <w:p>
      <w:pPr>
        <w:spacing w:after="0" w:line="200" w:lineRule="exact"/>
        <w:rPr>
          <w:sz w:val="20"/>
          <w:szCs w:val="20"/>
          <w:color w:val="auto"/>
        </w:rPr>
      </w:pP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2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 Gabriel Brooks</w:t>
            </w:r>
          </w:p>
        </w:tc>
        <w:tc>
          <w:tcPr>
            <w:tcW w:w="482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09/23/2023</w:t>
            </w:r>
          </w:p>
        </w:tc>
        <w:tc>
          <w:tcPr>
            <w:tcW w:w="1400" w:type="dxa"/>
            <w:vAlign w:val="bottom"/>
          </w:tcPr>
          <w:p>
            <w:pPr>
              <w:spacing w:after="0"/>
              <w:rPr>
                <w:sz w:val="23"/>
                <w:szCs w:val="23"/>
                <w:color w:val="auto"/>
              </w:rPr>
            </w:pPr>
          </w:p>
        </w:tc>
      </w:tr>
      <w:tr>
        <w:trPr>
          <w:trHeight w:val="276"/>
        </w:trPr>
        <w:tc>
          <w:tcPr>
            <w:tcW w:w="1420" w:type="dxa"/>
            <w:vAlign w:val="bottom"/>
          </w:tcPr>
          <w:p>
            <w:pPr>
              <w:spacing w:after="0"/>
              <w:rPr>
                <w:sz w:val="23"/>
                <w:szCs w:val="23"/>
                <w:color w:val="auto"/>
              </w:rPr>
            </w:pPr>
          </w:p>
        </w:tc>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Gabriel Brooks</w:t>
            </w:r>
          </w:p>
        </w:tc>
        <w:tc>
          <w:tcPr>
            <w:tcW w:w="780" w:type="dxa"/>
            <w:vAlign w:val="bottom"/>
          </w:tcPr>
          <w:p>
            <w:pPr>
              <w:spacing w:after="0"/>
              <w:rPr>
                <w:sz w:val="23"/>
                <w:szCs w:val="23"/>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c>
          <w:tcPr>
            <w:tcW w:w="1400" w:type="dxa"/>
            <w:vAlign w:val="bottom"/>
          </w:tcPr>
          <w:p>
            <w:pPr>
              <w:spacing w:after="0"/>
              <w:rPr>
                <w:sz w:val="23"/>
                <w:szCs w:val="23"/>
                <w:color w:val="auto"/>
              </w:rPr>
            </w:pPr>
          </w:p>
        </w:tc>
      </w:tr>
      <w:tr>
        <w:trPr>
          <w:trHeight w:val="1183"/>
        </w:trPr>
        <w:tc>
          <w:tcPr>
            <w:tcW w:w="14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EMPLOYMENT AGREEMENT</w:t>
      </w:r>
    </w:p>
    <w:p>
      <w:pPr>
        <w:spacing w:after="0" w:line="200" w:lineRule="exact"/>
        <w:rPr>
          <w:sz w:val="20"/>
          <w:szCs w:val="20"/>
          <w:color w:val="auto"/>
        </w:rPr>
      </w:pPr>
    </w:p>
    <w:p>
      <w:pPr>
        <w:spacing w:after="0" w:line="3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First Amendment to the Employment Agreement (“First Amendment”) effective as of August 14, 2025 (“Effective Date”) is made and entered by and between Solid Biosciences Inc. (the “Company”) and Gabriel Brooks (the “Executive”) (together, the “Parties”).</w:t>
      </w:r>
    </w:p>
    <w:p>
      <w:pPr>
        <w:spacing w:after="0" w:line="8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amend that certain Employment Agreement by and between Company and Executive effective October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set forth herein, the Parties agree as follows:</w:t>
      </w:r>
    </w:p>
    <w:p>
      <w:pPr>
        <w:spacing w:after="0" w:line="139" w:lineRule="exact"/>
        <w:rPr>
          <w:sz w:val="20"/>
          <w:szCs w:val="20"/>
          <w:color w:val="auto"/>
        </w:rPr>
      </w:pPr>
    </w:p>
    <w:p>
      <w:pPr>
        <w:ind w:left="380" w:hanging="372"/>
        <w:spacing w:after="0"/>
        <w:tabs>
          <w:tab w:leader="none" w:pos="3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7(c) of the Agreement shall be deleted in its entirety and replaced with the following:</w:t>
      </w:r>
    </w:p>
    <w:p>
      <w:pPr>
        <w:spacing w:after="0" w:line="211" w:lineRule="exact"/>
        <w:rPr>
          <w:rFonts w:ascii="Times New Roman" w:cs="Times New Roman" w:eastAsia="Times New Roman" w:hAnsi="Times New Roman"/>
          <w:sz w:val="20"/>
          <w:szCs w:val="20"/>
          <w:color w:val="auto"/>
        </w:rPr>
      </w:pPr>
    </w:p>
    <w:p>
      <w:pPr>
        <w:jc w:val="both"/>
        <w:ind w:left="380" w:firstLine="65"/>
        <w:spacing w:after="0" w:line="241" w:lineRule="auto"/>
        <w:tabs>
          <w:tab w:leader="none" w:pos="726"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Termination by the Company Without Cause or by the Executive With Good Reason Within Three (3) Months Prior to or Within Eighteen (18) Months Following a Change in Control. </w:t>
      </w:r>
      <w:r>
        <w:rPr>
          <w:rFonts w:ascii="Times New Roman" w:cs="Times New Roman" w:eastAsia="Times New Roman" w:hAnsi="Times New Roman"/>
          <w:sz w:val="20"/>
          <w:szCs w:val="20"/>
          <w:color w:val="auto"/>
        </w:rPr>
        <w:t>If a Qualifying Termination occurs within three (3) months prior to or within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eighteen (18) months following a Change in Control, then the Executive shall be entitled to the Accrued Obligations. In addition, and subject to Exhibit A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an amount equal to 100% of the Executive’s Target Bonus for the year in which such Qualifying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(iv) provide that the vesting of the Executive’s then-unvested equity awards that vest based solely on the passage of time shall be accelerated, such that all then unvested time-based equity awards shall vest and become fully exercisable or non-forfeitable as of the termination date; and (v) if any Executive equity awards are canceled, terminated, or otherwise extinguished in connection with the Change in Control (whether in exchange for cash, securities, or other consideration), and are not assumed or continued by the acquiring or successor entity, then upon the termination of Executive’s employment as described above, Executive shall be entitled to receive a lump-sum cash payment equal to the transaction value of the unvested portion of such awards as if such portion had fully vested immediately prior to the Change in Control (collectively, the “Change in Control Severance Benefits”).</w:t>
      </w:r>
    </w:p>
    <w:p>
      <w:pPr>
        <w:spacing w:after="0" w:line="194"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7(d) of the Agreement shall be deleted in its entirety and replaced with the following:</w:t>
      </w:r>
    </w:p>
    <w:p>
      <w:pPr>
        <w:spacing w:after="0" w:line="225" w:lineRule="exact"/>
        <w:rPr>
          <w:rFonts w:ascii="Times New Roman" w:cs="Times New Roman" w:eastAsia="Times New Roman" w:hAnsi="Times New Roman"/>
          <w:sz w:val="20"/>
          <w:szCs w:val="20"/>
          <w:color w:val="auto"/>
        </w:rPr>
      </w:pPr>
    </w:p>
    <w:p>
      <w:pPr>
        <w:jc w:val="both"/>
        <w:ind w:left="760" w:hanging="3"/>
        <w:spacing w:after="0" w:line="246" w:lineRule="auto"/>
        <w:tabs>
          <w:tab w:leader="none" w:pos="1050" w:val="left"/>
        </w:tabs>
        <w:numPr>
          <w:ilvl w:val="2"/>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 and Release of Claims Agreement</w:t>
      </w:r>
      <w:r>
        <w:rPr>
          <w:rFonts w:ascii="Times New Roman" w:cs="Times New Roman" w:eastAsia="Times New Roman" w:hAnsi="Times New Roman"/>
          <w:sz w:val="20"/>
          <w:szCs w:val="20"/>
          <w:color w:val="auto"/>
        </w:rPr>
        <w:t>. As a condition of the Executive’s receipt of the Severance Benefits or the 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Control Severance Benefits, as applicable, the Executive must execute and deliver to the Company a severance and release of claims agreement in a form to be provided by the Company (the “Severance Agreement”) (which will include, at a minimum, a release of all releasable claims, non-disparagement and cooperation obligations, a reaffirmation of the Executive’s continuing obligations under any existing restrictive covenant agreements, which Severance Agreement must become irrevocable within 60 days following the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75" w:name="page276"/>
    <w:bookmarkEnd w:id="275"/>
    <w:p>
      <w:pPr>
        <w:jc w:val="both"/>
        <w:ind w:left="752"/>
        <w:spacing w:after="0" w:line="241" w:lineRule="auto"/>
        <w:rPr>
          <w:sz w:val="20"/>
          <w:szCs w:val="20"/>
          <w:color w:val="auto"/>
        </w:rPr>
      </w:pPr>
      <w:r>
        <w:rPr>
          <w:rFonts w:ascii="Times New Roman" w:cs="Times New Roman" w:eastAsia="Times New Roman" w:hAnsi="Times New Roman"/>
          <w:sz w:val="20"/>
          <w:szCs w:val="20"/>
          <w:color w:val="auto"/>
        </w:rPr>
        <w:t>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For the avoidance of doubt, if the Executive experiences a Qualifying Termination prior to a Change in Control, (i) any then-outstanding and unvested equity awards that vest based solely on the passage of time held by the Executive shall remain outstanding (but any vesting shall be suspended) for up to (but no longer than) three (3) months following the date of termination so that, if it is later determined that such termination occurred during the three (3)-month period prior to the closing of a Change in Control and that the Executive is entitled to Change in Control acceleration and/or Change in Control Severance Benefits rather than Severance Benefits, the vesting of such awards may be accelerated, in accordance with Section 7(c) hereof, immediately prior to the closing of the Change in Control and (ii) any Change in Control Severance Benefits shall be reduced by any Severance Benefits previously paid to you, if it is later determined that the termination occurred during the three (3)-month period prior to the closing of a Change in Control and that you are entitled to Change in Control Severance Benefits rather than Severance Benefits.</w:t>
      </w:r>
    </w:p>
    <w:p>
      <w:pPr>
        <w:spacing w:after="0" w:line="193" w:lineRule="exact"/>
        <w:rPr>
          <w:sz w:val="20"/>
          <w:szCs w:val="20"/>
          <w:color w:val="auto"/>
        </w:rPr>
      </w:pPr>
    </w:p>
    <w:p>
      <w:pPr>
        <w:ind w:left="372" w:hanging="372"/>
        <w:spacing w:after="0"/>
        <w:tabs>
          <w:tab w:leader="none" w:pos="37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but not defined herein shall have the respective meanings given to them in the Agreement.</w:t>
      </w:r>
    </w:p>
    <w:p>
      <w:pPr>
        <w:spacing w:after="0" w:line="215"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amended herein, all provisions of the Agreement shall remain in full force and effect.</w:t>
      </w:r>
    </w:p>
    <w:p>
      <w:pPr>
        <w:spacing w:after="0" w:line="215" w:lineRule="exact"/>
        <w:rPr>
          <w:rFonts w:ascii="Times New Roman" w:cs="Times New Roman" w:eastAsia="Times New Roman" w:hAnsi="Times New Roman"/>
          <w:sz w:val="20"/>
          <w:szCs w:val="20"/>
          <w:color w:val="auto"/>
        </w:rPr>
      </w:pPr>
    </w:p>
    <w:p>
      <w:pPr>
        <w:jc w:val="both"/>
        <w:ind w:left="372" w:hanging="372"/>
        <w:spacing w:after="0" w:line="254" w:lineRule="auto"/>
        <w:tabs>
          <w:tab w:leader="none" w:pos="37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may be executed in two counterparts, both of which shall constitute one and the same legal instrument, and delivery of an executed copy of this First Amendment by a Party via pdf or other electronic transmission shall be as effective as delivery of a manually executed copy of this First Amendment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935355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9"/>
          <w:szCs w:val="19"/>
          <w:color w:val="auto"/>
        </w:rPr>
        <w:t>IN WITNESS WHEREOF, the Parties have entered into this First Amendment as of the Effective Date.</w:t>
      </w:r>
    </w:p>
    <w:p>
      <w:pPr>
        <w:sectPr>
          <w:pgSz w:w="11900" w:h="16838" w:orient="portrait"/>
          <w:cols w:equalWidth="0" w:num="1">
            <w:col w:w="11240"/>
          </w:cols>
          <w:pgMar w:left="320" w:top="981" w:right="33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Solid Biosciences Inc.</w:t>
            </w:r>
          </w:p>
        </w:tc>
        <w:tc>
          <w:tcPr>
            <w:tcW w:w="7260" w:type="dxa"/>
            <w:vAlign w:val="bottom"/>
          </w:tcPr>
          <w:p>
            <w:pPr>
              <w:ind w:left="1580"/>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74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By: /s/ Alexander Cumbo</w:t>
            </w:r>
          </w:p>
        </w:tc>
        <w:tc>
          <w:tcPr>
            <w:tcW w:w="72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 /s/ Gabriel Brooks</w:t>
            </w:r>
          </w:p>
        </w:tc>
      </w:tr>
      <w:tr>
        <w:trPr>
          <w:trHeight w:val="378"/>
        </w:trPr>
        <w:tc>
          <w:tcPr>
            <w:tcW w:w="3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Name: Bo Cumbo</w:t>
            </w:r>
          </w:p>
        </w:tc>
        <w:tc>
          <w:tcPr>
            <w:tcW w:w="726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Name: Gabriel Brooks</w:t>
            </w:r>
          </w:p>
        </w:tc>
      </w:tr>
      <w:tr>
        <w:trPr>
          <w:trHeight w:val="364"/>
        </w:trPr>
        <w:tc>
          <w:tcPr>
            <w:tcW w:w="3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Title: President &amp; CEO</w:t>
            </w:r>
          </w:p>
        </w:tc>
        <w:tc>
          <w:tcPr>
            <w:tcW w:w="726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Title: Chief Medical Officer</w:t>
            </w:r>
          </w:p>
        </w:tc>
      </w:tr>
      <w:tr>
        <w:trPr>
          <w:trHeight w:val="378"/>
        </w:trPr>
        <w:tc>
          <w:tcPr>
            <w:tcW w:w="3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Date: 11/5/2025</w:t>
            </w:r>
          </w:p>
        </w:tc>
        <w:tc>
          <w:tcPr>
            <w:tcW w:w="7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Date: 11/5/2025</w:t>
            </w:r>
          </w:p>
        </w:tc>
      </w:tr>
      <w:tr>
        <w:trPr>
          <w:trHeight w:val="5050"/>
        </w:trPr>
        <w:tc>
          <w:tcPr>
            <w:tcW w:w="39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10.49</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316" w:lineRule="exact"/>
        <w:rPr>
          <w:sz w:val="20"/>
          <w:szCs w:val="20"/>
          <w:color w:val="auto"/>
        </w:rPr>
      </w:pPr>
    </w:p>
    <w:p>
      <w:pPr>
        <w:jc w:val="center"/>
        <w:ind w:right="42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Dated as of September 19, 2024</w:t>
      </w:r>
    </w:p>
    <w:p>
      <w:pPr>
        <w:spacing w:after="0" w:line="2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FA212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4112895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2082165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1036955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31" w:right="1440"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82"/>
        </w:trPr>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ARTICLE I DEFINITIONS; INTERPRETATION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1.1.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1.2. Interpretation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II PURCHASE AND SALE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2.1. Purchase and Sale of Purchased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2.2. Purchased Assets; Excluded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2.3. Assumption of Certain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2.4. Excluded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2.5. Closing; Closing Deliverables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2.6. Developmental and Sales Milestones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2.7. Royalties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2.8. Late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2.9. Accounting</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2.10. Records and Audit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2.11. Purchase Price Allocation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2.12. Voting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III REPRESENTATIONS AND WARRANTIES OF SELLER</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 Organization, Standing and Power</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3.2. Authority; Noncontravention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3.3. No Undisclosed Liabilities; Debt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3.4. Good Title; Sufficiency of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3.5. Books and Records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3.6. Intellectual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3.7. Compliance with Law; Regulatory Approvals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3.8. Litigation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3.9. 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3.10. FDA Regulatory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3.11. Product Inventory</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3.12. Brokers and Other Advisors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3.13. Solvency</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8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3.14. Contracts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1723"/>
        </w:trPr>
        <w:tc>
          <w:tcPr>
            <w:tcW w:w="87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82"/>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3.15. Affiliate Transactions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3.16. 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3.17. Non-Reliance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IV REPRESENTATIONS AND WARRANTIES OF BUYER</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4.1. Organization, Standing and Power</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4.2. Authority; Noncontravention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4.3. Buyer Capitalization; Valid Issuance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4.4. Financing</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4.5. Litigation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4.6. No Buyer Vote Required</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4.7. Issuance of Solid Shares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4.8. Financial Statements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4.9. Compliance with Nasdaq Continued Listing Requirements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4.10. SEC Filings; Securities Law and Other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4.11. 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4.12. Non-Reliance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V ADDITIONAL AGREEMENTS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5.1. Diligence Efforts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5.2. Anti-Shelving</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5.3. Joint Steering Committee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5.4. Technology Transfer and Assistance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5.5. Confidentiality; Non-Solicitation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5.6. Certain Tax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5.7. Public Announcements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5.8. Expenses; UPenn IND Payment</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5.9. Further Assurances and Approvals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5.10. Lock-Up</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5.11. Reversion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VI INDEMNIFICATION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6.1. Indemnification of Buyer</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6.2. Indemnification of Seller Indemnified Parties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1723"/>
        </w:trPr>
        <w:tc>
          <w:tcPr>
            <w:tcW w:w="87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82"/>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6.3. Indemnification Claims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6.4. Termination of Indemnification Obligations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6.5. Damages; Remedies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6.6. Right of Set-off</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6.7. Purchase Price Adjustments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6.8. Indemnity Payments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VII GENERAL PROVISIONS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 Rules of Construction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7.2. Notices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7.3. Consents and Approvals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7.4. Counterparts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7.5. Entire Agreement; No Third-Party Beneficiaries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7.6. Assignment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7.7. GOVERNING LAW</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7.8. Dispute Resolution; Enforcement; Waiver of Jury Trial</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7.9. Specific Enforcement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7.10. Severability</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7.11. Amendment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7.12. Release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1939"/>
        </w:trPr>
        <w:tc>
          <w:tcPr>
            <w:tcW w:w="84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1"/>
          <w:szCs w:val="21"/>
          <w:b w:val="1"/>
          <w:bCs w:val="1"/>
          <w:color w:val="auto"/>
        </w:rPr>
        <w:t>Annexes</w:t>
      </w:r>
    </w:p>
    <w:p>
      <w:pPr>
        <w:sectPr>
          <w:pgSz w:w="11900" w:h="16838" w:orient="portrait"/>
          <w:cols w:equalWidth="0" w:num="1">
            <w:col w:w="10139"/>
          </w:cols>
          <w:pgMar w:left="320" w:top="1431" w:right="1440" w:bottom="1440" w:gutter="0" w:footer="0" w:header="0"/>
        </w:sectPr>
      </w:pPr>
    </w:p>
    <w:p>
      <w:pPr>
        <w:spacing w:after="0" w:line="2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Annex 1.1(a) Annex 1.1(b) Annex 1.1(c) Annex 1.1(d) Annex 1.1(e) Annex 2.1 Annex 2.2(a)(iii) Annex 2.3 Annex 2.5(b)(v)</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Books and Records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Product Inventory</w:t>
      </w:r>
    </w:p>
    <w:p>
      <w:pPr>
        <w:spacing w:after="0"/>
        <w:rPr>
          <w:sz w:val="20"/>
          <w:szCs w:val="20"/>
          <w:color w:val="auto"/>
        </w:rPr>
      </w:pPr>
      <w:r>
        <w:rPr>
          <w:rFonts w:ascii="Times New Roman" w:cs="Times New Roman" w:eastAsia="Times New Roman" w:hAnsi="Times New Roman"/>
          <w:sz w:val="21"/>
          <w:szCs w:val="21"/>
          <w:color w:val="auto"/>
        </w:rPr>
        <w:t>Seller Intellectual Property</w:t>
      </w:r>
    </w:p>
    <w:p>
      <w:pPr>
        <w:spacing w:after="0" w:line="231" w:lineRule="auto"/>
        <w:rPr>
          <w:sz w:val="20"/>
          <w:szCs w:val="20"/>
          <w:color w:val="auto"/>
        </w:rPr>
      </w:pPr>
      <w:r>
        <w:rPr>
          <w:rFonts w:ascii="Times New Roman" w:cs="Times New Roman" w:eastAsia="Times New Roman" w:hAnsi="Times New Roman"/>
          <w:sz w:val="22"/>
          <w:szCs w:val="22"/>
          <w:color w:val="auto"/>
        </w:rPr>
        <w:t>FA Asset Sequence</w:t>
      </w:r>
    </w:p>
    <w:p>
      <w:pPr>
        <w:spacing w:after="0" w:line="231" w:lineRule="auto"/>
        <w:rPr>
          <w:sz w:val="20"/>
          <w:szCs w:val="20"/>
          <w:color w:val="auto"/>
        </w:rPr>
      </w:pPr>
      <w:r>
        <w:rPr>
          <w:rFonts w:ascii="Times New Roman" w:cs="Times New Roman" w:eastAsia="Times New Roman" w:hAnsi="Times New Roman"/>
          <w:sz w:val="22"/>
          <w:szCs w:val="22"/>
          <w:color w:val="auto"/>
        </w:rPr>
        <w:t>UPenn IND Payments</w:t>
      </w:r>
    </w:p>
    <w:p>
      <w:pPr>
        <w:spacing w:after="0" w:line="231" w:lineRule="auto"/>
        <w:rPr>
          <w:sz w:val="20"/>
          <w:szCs w:val="20"/>
          <w:color w:val="auto"/>
        </w:rPr>
      </w:pPr>
      <w:r>
        <w:rPr>
          <w:rFonts w:ascii="Times New Roman" w:cs="Times New Roman" w:eastAsia="Times New Roman" w:hAnsi="Times New Roman"/>
          <w:sz w:val="22"/>
          <w:szCs w:val="22"/>
          <w:color w:val="auto"/>
        </w:rPr>
        <w:t>Permitted Liens</w:t>
      </w:r>
    </w:p>
    <w:p>
      <w:pPr>
        <w:spacing w:after="0" w:line="230" w:lineRule="auto"/>
        <w:rPr>
          <w:sz w:val="20"/>
          <w:szCs w:val="20"/>
          <w:color w:val="auto"/>
        </w:rPr>
      </w:pPr>
      <w:r>
        <w:rPr>
          <w:rFonts w:ascii="Times New Roman" w:cs="Times New Roman" w:eastAsia="Times New Roman" w:hAnsi="Times New Roman"/>
          <w:sz w:val="22"/>
          <w:szCs w:val="22"/>
          <w:color w:val="auto"/>
        </w:rPr>
        <w:t>Assigned Agreements</w:t>
      </w:r>
    </w:p>
    <w:p>
      <w:pPr>
        <w:spacing w:after="0" w:line="231" w:lineRule="auto"/>
        <w:rPr>
          <w:sz w:val="20"/>
          <w:szCs w:val="20"/>
          <w:color w:val="auto"/>
        </w:rPr>
      </w:pPr>
      <w:r>
        <w:rPr>
          <w:rFonts w:ascii="Times New Roman" w:cs="Times New Roman" w:eastAsia="Times New Roman" w:hAnsi="Times New Roman"/>
          <w:sz w:val="22"/>
          <w:szCs w:val="22"/>
          <w:color w:val="auto"/>
        </w:rPr>
        <w:t>Assumed Liabilities</w:t>
      </w:r>
    </w:p>
    <w:p>
      <w:pPr>
        <w:spacing w:after="0"/>
        <w:rPr>
          <w:sz w:val="20"/>
          <w:szCs w:val="20"/>
          <w:color w:val="auto"/>
        </w:rPr>
      </w:pPr>
      <w:r>
        <w:rPr>
          <w:rFonts w:ascii="Times New Roman" w:cs="Times New Roman" w:eastAsia="Times New Roman" w:hAnsi="Times New Roman"/>
          <w:sz w:val="22"/>
          <w:szCs w:val="22"/>
          <w:color w:val="auto"/>
        </w:rPr>
        <w:t>Consents</w:t>
      </w:r>
    </w:p>
    <w:p>
      <w:pPr>
        <w:spacing w:after="0" w:line="177" w:lineRule="exact"/>
        <w:rPr>
          <w:sz w:val="20"/>
          <w:szCs w:val="20"/>
          <w:color w:val="auto"/>
        </w:rPr>
      </w:pPr>
    </w:p>
    <w:p>
      <w:pPr>
        <w:sectPr>
          <w:pgSz w:w="11900" w:h="16838" w:orient="portrait"/>
          <w:cols w:equalWidth="0" w:num="2">
            <w:col w:w="1480" w:space="260"/>
            <w:col w:w="8399"/>
          </w:cols>
          <w:pgMar w:left="320" w:top="143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Schedules</w:t>
      </w:r>
    </w:p>
    <w:p>
      <w:pPr>
        <w:sectPr>
          <w:pgSz w:w="11900" w:h="16838" w:orient="portrait"/>
          <w:cols w:equalWidth="0" w:num="1">
            <w:col w:w="10139"/>
          </w:cols>
          <w:pgMar w:left="320" w:top="1431"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Disclosure Schedules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Schedules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Bill of Sale</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B-1</w:t>
      </w:r>
      <w:r>
        <w:rPr>
          <w:sz w:val="20"/>
          <w:szCs w:val="20"/>
          <w:color w:val="auto"/>
        </w:rPr>
        <w:tab/>
      </w:r>
      <w:r>
        <w:rPr>
          <w:rFonts w:ascii="Times New Roman" w:cs="Times New Roman" w:eastAsia="Times New Roman" w:hAnsi="Times New Roman"/>
          <w:sz w:val="21"/>
          <w:szCs w:val="21"/>
          <w:color w:val="auto"/>
        </w:rPr>
        <w:t>Form of Seller Representation Letter</w:t>
      </w: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B-2</w:t>
      </w:r>
      <w:r>
        <w:rPr>
          <w:sz w:val="20"/>
          <w:szCs w:val="20"/>
          <w:color w:val="auto"/>
        </w:rPr>
        <w:tab/>
      </w:r>
      <w:r>
        <w:rPr>
          <w:rFonts w:ascii="Times New Roman" w:cs="Times New Roman" w:eastAsia="Times New Roman" w:hAnsi="Times New Roman"/>
          <w:sz w:val="21"/>
          <w:szCs w:val="21"/>
          <w:color w:val="auto"/>
        </w:rPr>
        <w:t>Form of Buyer Representation Letter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Voting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1" w:right="1440" w:bottom="1440" w:gutter="0" w:footer="0" w:header="0"/>
          <w:type w:val="continuous"/>
        </w:sectPr>
      </w:pPr>
    </w:p>
    <w:bookmarkStart w:id="284" w:name="page285"/>
    <w:bookmarkEnd w:id="284"/>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10"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September 19, 2024, is entered into by and between Solid Biosciences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FA212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Buyer and Seller are sometimes individually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are sometimes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WHEREAS, Seller desires to sell to Buyer, and Buyer wishes to purchase from Seller, all of Seller’s right, title and interest in, to and under the Purchased Assets upon the terms and subject to the conditions set forth herein.</w:t>
      </w:r>
    </w:p>
    <w:p>
      <w:pPr>
        <w:spacing w:after="0" w:line="158"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21"/>
          <w:szCs w:val="21"/>
          <w:color w:val="auto"/>
        </w:rPr>
        <w:t>NOW, THEREFORE, in consideration of the mutual benefits to be derived from this Agreement, and of the representations, warranties, conditions, agreements and promises contained herein, and other good and valuable consideration, the receipt and sufficiency of which are hereby acknowledged, the Parties, intending to be legally bound, hereby agree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INTERPRETATION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will have the corresponding meanings set forth below:</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claim, action, cause of action or suit, litigation, assessment, arbitration, mediation, investigation, audit, hearing, charge, complaint, demand, notice or proceeding (in each case, whether in contract, tort or otherwise, whether at law or in equity, and whether civil or criminal or administrative) to, from, by or before any Governmental Authority.</w:t>
      </w:r>
    </w:p>
    <w:p>
      <w:pPr>
        <w:spacing w:after="0" w:line="173"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another Person that directly or indirectly, through one or more intermediaries, Controls, is Controlled by or is under common Control with, such first Person.</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with respect to a Calendar Year, the aggregate Net Sales by Buyer and its Affiliates and its or their licensees of all Products to Third Parties in the Territory during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5" w:name="page286"/>
    <w:bookmarkEnd w:id="285"/>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the bill of sale and assignment and assumption agreement by and between Buyer or its Affiliate, on the one hand, and Seller, on the other hand,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BLA</w:t>
      </w:r>
      <w:r>
        <w:rPr>
          <w:rFonts w:ascii="Times New Roman" w:cs="Times New Roman" w:eastAsia="Times New Roman" w:hAnsi="Times New Roman"/>
          <w:sz w:val="21"/>
          <w:szCs w:val="21"/>
          <w:color w:val="auto"/>
        </w:rPr>
        <w:t>” means (a) a Biologics License Application as defined in the PHSA and the regulations promulgated thereunder,</w:t>
      </w:r>
    </w:p>
    <w:p>
      <w:pPr>
        <w:spacing w:after="0" w:line="26" w:lineRule="exact"/>
        <w:rPr>
          <w:sz w:val="20"/>
          <w:szCs w:val="20"/>
          <w:color w:val="auto"/>
        </w:rPr>
      </w:pPr>
    </w:p>
    <w:p>
      <w:pPr>
        <w:ind w:right="20" w:firstLine="8"/>
        <w:spacing w:after="0" w:line="237" w:lineRule="auto"/>
        <w:tabs>
          <w:tab w:leader="none" w:pos="30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Marketing Authorization Application in the European Union or (c) any equivalent or comparable application, registration or certification in any other country or region.</w:t>
      </w:r>
    </w:p>
    <w:p>
      <w:pPr>
        <w:spacing w:after="0" w:line="178"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means all books, reports (including laboratory reports), records, files and documents in the possession or under the control of Seller related to the Business and the Purchased Assets (including research and development, Regulatory Documentation, correspondence with Governmental Authorities) other than corporate minute books. The Books and Records existing as of the Closing Date are described on </w:t>
      </w:r>
      <w:r>
        <w:rPr>
          <w:rFonts w:ascii="Times New Roman" w:cs="Times New Roman" w:eastAsia="Times New Roman" w:hAnsi="Times New Roman"/>
          <w:sz w:val="22"/>
          <w:szCs w:val="22"/>
          <w:u w:val="single" w:color="auto"/>
          <w:color w:val="auto"/>
        </w:rPr>
        <w:t>Annex 1.1(a)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all business of Seller relating to or arising out of the UPenn License, including the Exploitation of the FA Asset and Products.</w:t>
      </w:r>
    </w:p>
    <w:p>
      <w:pPr>
        <w:spacing w:after="0" w:line="158"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New York are permitted or required by applicable Law to remain closed.</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Partner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Charter</w:t>
      </w:r>
      <w:r>
        <w:rPr>
          <w:rFonts w:ascii="Times New Roman" w:cs="Times New Roman" w:eastAsia="Times New Roman" w:hAnsi="Times New Roman"/>
          <w:sz w:val="22"/>
          <w:szCs w:val="22"/>
          <w:color w:val="auto"/>
        </w:rPr>
        <w:t>” means the Certificate of Incorporation of Buyer as in effect from time to time.</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Disclosure Schedules</w:t>
      </w:r>
      <w:r>
        <w:rPr>
          <w:rFonts w:ascii="Times New Roman" w:cs="Times New Roman" w:eastAsia="Times New Roman" w:hAnsi="Times New Roman"/>
          <w:sz w:val="22"/>
          <w:szCs w:val="22"/>
          <w:color w:val="auto"/>
        </w:rPr>
        <w:t xml:space="preserve">” means the Schedules delivered by Buyer to Seller contemporaneously with this Agreement and appended hereto, setting forth disclosures in respect of the representations and warranties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Indemnity Threshold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Representation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consecutive months beginning on January 1 and ending on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6" w:name="page287"/>
    <w:bookmarkEnd w:id="286"/>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(P.L. 116-136), any current federal, state or local Laws or guidance relating to the COVID-19 pandemic, any similar or successor legislation, as well as any applicable guidance issued thereunder or relating thereto (including, without limitation, IRS Notice 2020-65 and IRS Notice 2021-11), in any United States jurisdiction, and any subsequent legislation relating to the COVID-19 pandemic, including any executive memoranda or executive orders relating to the COVID-19 pandemic, the Health and Economic Recovery Omnibus Emergency Solutions Act and the Health, Economic Assistance, Liability, and Schools Act, and the Memorandum for the Secretary of the Treasury signed on August 8, 2020.</w:t>
      </w:r>
    </w:p>
    <w:p>
      <w:pPr>
        <w:spacing w:after="0" w:line="183"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human clinical trial conducted for the purpose of gaining evidence of the safety, tolerability, pharmacokinetics, pharmacodynamics or efficacy of a Product required by applicable Law or otherwise recommended or required by a Regulatory Authority to obtain or maintain any Regulatory Approval for a Product.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 means an amount in cash equal to $1,000,000.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means a Product that is delivered with one or more additional active ingredients and/or other patentable items (which are themselves not products for a single price) incident to the administration of any such Product, including companion diagnostics, in each such case when any of the foregoing are co-formulated, copackaged or sold under one pricing scheme (whether payment of such price is paid to the same or to more than one seller).</w:t>
      </w:r>
    </w:p>
    <w:p>
      <w:pPr>
        <w:spacing w:after="0" w:line="180"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xml:space="preserve">” means, with respect to the efforts to be expended, or considerations to be undertaken, by Buyer with respect to any objective, activity or decision to be undertaken hereunder, reasonable, good faith efforts to accomplish such objective, activity or decision as Buyer would normally use to accomplish a similar objective, activity or decision under similar circumstances, it being understood and agreed that with respect to Buyer’s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such efforts and resources shall be [**].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will be determined on a country-by- country basis for a particular Product in the Territory and is expected to change over time, reflecting changes in the status of such Product and the markets or countries in the Territory involved. For the avoidance of doubt, Buyer’s use of “</w:t>
      </w:r>
      <w:r>
        <w:rPr>
          <w:rFonts w:ascii="Times New Roman" w:cs="Times New Roman" w:eastAsia="Times New Roman" w:hAnsi="Times New Roman"/>
          <w:sz w:val="22"/>
          <w:szCs w:val="22"/>
          <w:u w:val="single" w:color="auto"/>
          <w:color w:val="auto"/>
        </w:rPr>
        <w:t>Commercially Reasonable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Efforts</w:t>
      </w:r>
      <w:r>
        <w:rPr>
          <w:rFonts w:ascii="Times New Roman" w:cs="Times New Roman" w:eastAsia="Times New Roman" w:hAnsi="Times New Roman"/>
          <w:sz w:val="22"/>
          <w:szCs w:val="22"/>
          <w:color w:val="auto"/>
        </w:rPr>
        <w:t>” will not require Buyer to reperform any preclinical activities that were previously performed by Seller.</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 Disclosure Agreement between Seller and Buyer,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7" w:name="page288"/>
    <w:bookmarkEnd w:id="287"/>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Contemplated Transactions</w:t>
      </w:r>
      <w:r>
        <w:rPr>
          <w:rFonts w:ascii="Times New Roman" w:cs="Times New Roman" w:eastAsia="Times New Roman" w:hAnsi="Times New Roman"/>
          <w:sz w:val="22"/>
          <w:szCs w:val="22"/>
          <w:color w:val="auto"/>
        </w:rPr>
        <w:t>” means the transactions contemplated by this Agreement and any Related Document, including the Acquisition.</w:t>
      </w:r>
    </w:p>
    <w:p>
      <w:pPr>
        <w:spacing w:after="0" w:line="158"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means any loan or credit agreement, bond, debenture, note, mortgage, indenture, lease, supply agreement, license agreement, development agreement, distribution agreement or other legally binding contract, agreement, obligation, commitment, arrangement, understanding, instrument, permit, franchise or license, whether oral or written.</w:t>
      </w:r>
    </w:p>
    <w:p>
      <w:pPr>
        <w:spacing w:after="0" w:line="173"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its various tenses and derivatives (such as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means (a) when used with respect to any Person, the possession, directly or indirectly, of the power to direct or cause the direction of the management and policies of such entity, whether through the ownership of voting securities, or by Contract, (b) when used with respect to any security, the possession, directly or indirectly, of the power to vote, or to direct the voting of, such security or the power to dispose of, or to direct the disposition of, such security and (c) when used with respect to any Intellectual Property Rights, possession of the right, whether directly or indirectly, and whether by ownership, license or otherwise, to assign or grant a license, sublicense or other right to or under such Intellectual Property Rights or to compel another to do so.</w:t>
      </w:r>
    </w:p>
    <w:p>
      <w:pPr>
        <w:spacing w:after="0" w:line="183"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Covering</w:t>
      </w:r>
      <w:r>
        <w:rPr>
          <w:rFonts w:ascii="Times New Roman" w:cs="Times New Roman" w:eastAsia="Times New Roman" w:hAnsi="Times New Roman"/>
          <w:sz w:val="22"/>
          <w:szCs w:val="22"/>
          <w:color w:val="auto"/>
        </w:rPr>
        <w:t>” means, with respect to a Product or other subject matter at issue and a relevant Patent, that Exploitation of such Product or other subject matter by such Person would, absent a license thereto, infringe such Patent (or, in the case of a claim of a patent application that has not yet issued, would infringe such claim if it were to issue without change).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CTA</w:t>
      </w:r>
      <w:r>
        <w:rPr>
          <w:rFonts w:ascii="Times New Roman" w:cs="Times New Roman" w:eastAsia="Times New Roman" w:hAnsi="Times New Roman"/>
          <w:sz w:val="22"/>
          <w:szCs w:val="22"/>
          <w:color w:val="auto"/>
        </w:rPr>
        <w:t>” has the meaning set forth in the definition of IND.</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Enforceable</w:t>
      </w:r>
      <w:r>
        <w:rPr>
          <w:rFonts w:ascii="Times New Roman" w:cs="Times New Roman" w:eastAsia="Times New Roman" w:hAnsi="Times New Roman"/>
          <w:sz w:val="22"/>
          <w:szCs w:val="22"/>
          <w:color w:val="auto"/>
        </w:rPr>
        <w:t>” means, with respect to any Contract stated to be “</w:t>
      </w:r>
      <w:r>
        <w:rPr>
          <w:rFonts w:ascii="Times New Roman" w:cs="Times New Roman" w:eastAsia="Times New Roman" w:hAnsi="Times New Roman"/>
          <w:sz w:val="22"/>
          <w:szCs w:val="22"/>
          <w:u w:val="single" w:color="auto"/>
          <w:color w:val="auto"/>
        </w:rPr>
        <w:t>Enforceable</w:t>
      </w:r>
      <w:r>
        <w:rPr>
          <w:rFonts w:ascii="Times New Roman" w:cs="Times New Roman" w:eastAsia="Times New Roman" w:hAnsi="Times New Roman"/>
          <w:sz w:val="22"/>
          <w:szCs w:val="22"/>
          <w:color w:val="auto"/>
        </w:rPr>
        <w:t>” by or against any Person, that such Contract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Territory</w:t>
      </w:r>
      <w:r>
        <w:rPr>
          <w:rFonts w:ascii="Times New Roman" w:cs="Times New Roman" w:eastAsia="Times New Roman" w:hAnsi="Times New Roman"/>
          <w:sz w:val="22"/>
          <w:szCs w:val="22"/>
          <w:color w:val="auto"/>
        </w:rPr>
        <w:t>” means the United Kingdom and any country in the EU.</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Union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means the economic, scientific and political organization of Member States of the European Union, as its membership may be constituted from time to time.</w:t>
      </w:r>
    </w:p>
    <w:p>
      <w:pPr>
        <w:spacing w:after="0" w:line="158"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 and the rules and regulations promulgated thereunder.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8" w:name="page289"/>
    <w:bookmarkEnd w:id="288"/>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Exploiting</w:t>
      </w:r>
      <w:r>
        <w:rPr>
          <w:rFonts w:ascii="Times New Roman" w:cs="Times New Roman" w:eastAsia="Times New Roman" w:hAnsi="Times New Roman"/>
          <w:sz w:val="22"/>
          <w:szCs w:val="22"/>
          <w:color w:val="auto"/>
        </w:rPr>
        <w:t>” means to make, have made, import, use, sell, offer for sale, and otherwise dispose of, including to discover, research, develop, test, register, modify, enhance, improve, manufacture, have manufactured, store, formulate, optimize, export, transport, distribute, commercialize, promote, market, have sold and otherwise dispose of. “</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means the act of Exploiting a product or product candidate.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 Asset</w:t>
      </w:r>
      <w:r>
        <w:rPr>
          <w:rFonts w:ascii="Times New Roman" w:cs="Times New Roman" w:eastAsia="Times New Roman" w:hAnsi="Times New Roman"/>
          <w:sz w:val="22"/>
          <w:szCs w:val="22"/>
          <w:color w:val="auto"/>
        </w:rPr>
        <w:t xml:space="preserve">” means Seller’s proprietary gene therapy asset having the sequence set forth on </w:t>
      </w:r>
      <w:r>
        <w:rPr>
          <w:rFonts w:ascii="Times New Roman" w:cs="Times New Roman" w:eastAsia="Times New Roman" w:hAnsi="Times New Roman"/>
          <w:sz w:val="22"/>
          <w:szCs w:val="22"/>
          <w:u w:val="single" w:color="auto"/>
          <w:color w:val="auto"/>
        </w:rPr>
        <w:t>Annex 1.1(d)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United States Food and Drug Administration or any successor entity thereto.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means the United States Federal Food, Drug, and Cosmetic Act, as amended, and the rules and regulations promulgated by FDA thereunder.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means the treatment or prevention of Friedreich’s Ataxia.</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with respect to a particular Product, the first sale of such Product to a Third Party in a country or region following receipt of Regulatory Approval in such country or region.</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Stock Consideration Issuance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with respect to any Person, an actual and intentional common law fraud with the intent to deceive another Person (including as an element that the other Person relied thereon to its detriment).</w:t>
      </w:r>
    </w:p>
    <w:p>
      <w:pPr>
        <w:spacing w:after="0" w:line="158" w:lineRule="exact"/>
        <w:rPr>
          <w:sz w:val="20"/>
          <w:szCs w:val="20"/>
          <w:color w:val="auto"/>
        </w:rPr>
      </w:pPr>
    </w:p>
    <w:p>
      <w:pPr>
        <w:jc w:val="both"/>
        <w:ind w:firstLine="84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Fully-Diluted As-Converted Basis</w:t>
      </w:r>
      <w:r>
        <w:rPr>
          <w:rFonts w:ascii="Times New Roman" w:cs="Times New Roman" w:eastAsia="Times New Roman" w:hAnsi="Times New Roman"/>
          <w:sz w:val="21"/>
          <w:szCs w:val="21"/>
          <w:color w:val="auto"/>
        </w:rPr>
        <w:t>” means the aggregate number of Solid Shares equal to (a) the number of outstanding Solid Shares, plus (b) the number of Solid Shares issuable pursuant to (i) vested and unvested restricted stock units,</w:t>
      </w:r>
    </w:p>
    <w:p>
      <w:pPr>
        <w:spacing w:after="0" w:line="1" w:lineRule="exact"/>
        <w:rPr>
          <w:sz w:val="20"/>
          <w:szCs w:val="20"/>
          <w:color w:val="auto"/>
        </w:rPr>
      </w:pPr>
    </w:p>
    <w:p>
      <w:pPr>
        <w:jc w:val="both"/>
        <w:ind w:firstLine="8"/>
        <w:spacing w:after="0" w:line="233" w:lineRule="auto"/>
        <w:tabs>
          <w:tab w:leader="none" w:pos="32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vested and unvested options (calculated using the treasury method of accounting), (iii) outstanding warrants (calculated using the treasury method of accounting), and (iv) the conversion of any then outstanding shares of Solid Preferred Stock, but in all cases excluding any restricted stock units issued and outstanding as of the Closing Date, the vesting of which is subject to the achievement of certain performance conditions, until such time as vesting conditions have been satisfied in accordance with the terms of such award.</w:t>
      </w:r>
    </w:p>
    <w:p>
      <w:pPr>
        <w:spacing w:after="0" w:line="179"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(Organization; Standing and Power),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(Authority), </w:t>
      </w:r>
      <w:r>
        <w:rPr>
          <w:rFonts w:ascii="Times New Roman" w:cs="Times New Roman" w:eastAsia="Times New Roman" w:hAnsi="Times New Roman"/>
          <w:sz w:val="22"/>
          <w:szCs w:val="22"/>
          <w:u w:val="single" w:color="auto"/>
          <w:color w:val="auto"/>
        </w:rPr>
        <w:t>Section 3.2(d)(i)</w:t>
      </w:r>
      <w:r>
        <w:rPr>
          <w:rFonts w:ascii="Times New Roman" w:cs="Times New Roman" w:eastAsia="Times New Roman" w:hAnsi="Times New Roman"/>
          <w:sz w:val="22"/>
          <w:szCs w:val="22"/>
          <w:color w:val="auto"/>
        </w:rPr>
        <w:t xml:space="preserve"> (Noncontravention of Seller’s Certificate of Formation and Seller’s Operating Agreement),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(Good Title; Sufficiency of Assets),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(excluding subsections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thereof) (Intellectual Property),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(Taxes) and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(Brokers and Other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89" w:name="page290"/>
    <w:bookmarkEnd w:id="289"/>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the United States generally accepted accounting principles in effect from time to time.</w:t>
      </w:r>
    </w:p>
    <w:p>
      <w:pPr>
        <w:spacing w:after="0" w:line="206" w:lineRule="exact"/>
        <w:rPr>
          <w:sz w:val="20"/>
          <w:szCs w:val="20"/>
          <w:color w:val="auto"/>
        </w:rPr>
      </w:pPr>
    </w:p>
    <w:p>
      <w:pPr>
        <w:jc w:val="both"/>
        <w:ind w:firstLine="8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instrumentality, subdivision, court, administrative agency, commission, bureau, department, official or other authority of any country, state, province, prefect, municipality, locality or other government or political subdivision thereof, or any multinational organization or authority, or any quasi-governmental, private body, mediator, arbitrator or arbitral body exercising any executive, legislative, judicial, quasi-judicial, regulatory, taxing, importing, administrative or other governmental or quasi-governmental authority on behalf of a government or political subdivision thereof.</w:t>
      </w:r>
    </w:p>
    <w:p>
      <w:pPr>
        <w:spacing w:after="0" w:line="168"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Grant-Back Intellectual Property</w:t>
      </w:r>
      <w:r>
        <w:rPr>
          <w:rFonts w:ascii="Times New Roman" w:cs="Times New Roman" w:eastAsia="Times New Roman" w:hAnsi="Times New Roman"/>
          <w:sz w:val="22"/>
          <w:szCs w:val="22"/>
          <w:color w:val="auto"/>
        </w:rPr>
        <w:t>” means, with respect to a Reversion Product, all Technology and Intellectual Property Rights generated, developed, conceived or reduced to practice by or on behalf of Buyer or its Affiliates after the Closing Date that are (a) owned by Buyer or any of its Affiliates, and (b) necessary for or used with respect to, or Covering, such Reversion Product, in each case ((a) and (b)), as of the date of Buyer’s receipt of the Reversion Notice, but specifically excluding any third party Intellectual Property Rights and any background or platform Technology not exclusively used for the Reversion Product.</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Greater Liability Cap</w:t>
      </w:r>
      <w:r>
        <w:rPr>
          <w:rFonts w:ascii="Times New Roman" w:cs="Times New Roman" w:eastAsia="Times New Roman" w:hAnsi="Times New Roman"/>
          <w:sz w:val="21"/>
          <w:szCs w:val="21"/>
          <w:color w:val="auto"/>
        </w:rPr>
        <w:t>” means an amount equal to (a) prior to IND Clearance, $[**], and (b) following IND Clearance,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 with respect to the US Territory, an Investigational New Drug Application, as such term is defined under the FDCA and 21 CFR Part 312, (b) with respect to the European Union, a clinical trial authorization application (“</w:t>
      </w:r>
      <w:r>
        <w:rPr>
          <w:rFonts w:ascii="Times New Roman" w:cs="Times New Roman" w:eastAsia="Times New Roman" w:hAnsi="Times New Roman"/>
          <w:sz w:val="22"/>
          <w:szCs w:val="22"/>
          <w:u w:val="single" w:color="auto"/>
          <w:color w:val="auto"/>
        </w:rPr>
        <w:t>CTA</w:t>
      </w:r>
      <w:r>
        <w:rPr>
          <w:rFonts w:ascii="Times New Roman" w:cs="Times New Roman" w:eastAsia="Times New Roman" w:hAnsi="Times New Roman"/>
          <w:sz w:val="22"/>
          <w:szCs w:val="22"/>
          <w:color w:val="auto"/>
        </w:rPr>
        <w:t>”), and (c) with respect to the UK or any other regulatory jurisdiction, the equivalent application to the applicable Regulatory Authority in each case ((a), (b) and (c)), the filing of which is necessary to initiate or conduct Clinical Trials of a pharmaceutical or biological product in such jurisdiction.</w:t>
      </w:r>
    </w:p>
    <w:p>
      <w:pPr>
        <w:spacing w:after="0" w:line="177" w:lineRule="exact"/>
        <w:rPr>
          <w:sz w:val="20"/>
          <w:szCs w:val="20"/>
          <w:color w:val="auto"/>
        </w:rPr>
      </w:pPr>
    </w:p>
    <w:p>
      <w:pPr>
        <w:jc w:val="both"/>
        <w:ind w:firstLine="8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 Clearance</w:t>
      </w:r>
      <w:r>
        <w:rPr>
          <w:rFonts w:ascii="Times New Roman" w:cs="Times New Roman" w:eastAsia="Times New Roman" w:hAnsi="Times New Roman"/>
          <w:sz w:val="22"/>
          <w:szCs w:val="22"/>
          <w:color w:val="auto"/>
        </w:rPr>
        <w:t>” means, with respect to a Product, that (a) with respect to the US Territory, a particular IND for the Product has been allowed to go into effect by the FDA, as evidenced by the passage of a thirty (30) calendar day period after the date of the IND submission (or any amended submission if such amendment restarted the applicable thirty (30)-day period) without the FDA placing the IND on clinical hold, (b) with respect to the European Union, that a Member State to which an application for clinical trial authorization has been submitted (Member States concerned) has either: (i) notified the sponsor through the EU portal (the Clinical Trials Information System) that the Clinical Trial is authorized (including an authorization subject to conditions) in accordance with Article 8(1) of Regulation (EU) No. 536/2014, or (ii) not notified the sponsor that the clinical trial is authorized within the relevant periods referred to in Article 8(1) of Regulation (EU) No. 536/2014, with the result that the clinical trial is deemed to be authorized in accordance with Article 8(6) of Regulation (EU) No. 536/2014, and (c) with respect to the United Kingdom, the Medicines and Healthcare Products Regulatory Agency has confirmed its acceptance of an application for clinical trial authorization (including an acceptance subject to conditions) pursuant to the Medicines for Human Use (Clinical Trials) Regulations 2004.</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0" w:name="page291"/>
    <w:bookmarkEnd w:id="290"/>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Liability Cap</w:t>
      </w:r>
      <w:r>
        <w:rPr>
          <w:rFonts w:ascii="Times New Roman" w:cs="Times New Roman" w:eastAsia="Times New Roman" w:hAnsi="Times New Roman"/>
          <w:sz w:val="22"/>
          <w:szCs w:val="22"/>
          <w:color w:val="auto"/>
        </w:rPr>
        <w:t xml:space="preserve">” means as of the date that any claim for indemnification is made by an Indemnified Party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 amount equal to the aggregate amount of any payments actually received by Seller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For purposes of calculating the Indemnity Liability Cap with respect to </w:t>
      </w:r>
      <w:r>
        <w:rPr>
          <w:rFonts w:ascii="Times New Roman" w:cs="Times New Roman" w:eastAsia="Times New Roman" w:hAnsi="Times New Roman"/>
          <w:sz w:val="22"/>
          <w:szCs w:val="22"/>
          <w:u w:val="single" w:color="auto"/>
          <w:color w:val="auto"/>
        </w:rPr>
        <w:t>Section 6.1(b)(ii)</w:t>
      </w:r>
      <w:r>
        <w:rPr>
          <w:rFonts w:ascii="Times New Roman" w:cs="Times New Roman" w:eastAsia="Times New Roman" w:hAnsi="Times New Roman"/>
          <w:sz w:val="22"/>
          <w:szCs w:val="22"/>
          <w:color w:val="auto"/>
        </w:rPr>
        <w:t xml:space="preserve">, any Solid Shares will be valued at the VWAP (with the date of measurement being the date that the applicable Milestone Shares were issued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if any). For purposes of calculating the Indemnity Liability Cap with respect to Buyer’s exercise of the set-off rights set forth in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if applicable, any Solid Shares will be valued at the VWAP (with the date of measurement being the date that the applicable indemnification claim has been made by a Buyer Indemnified Party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8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rights, title and interests in and to all intellectual property rights and proprietary rights of every kind and nature however denominated, throughout the world, including: (a) patents, patent applications, (including in each case any provisional, continuation, continuation-in-part, division, renewal, extension, supplemental protection certificate, reexamination or reissue thereof), industrial design rights, and statutory invention registrations (collectively,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(b) registered and unregistered trademarks, trade dress, trade names, logos, brands, design rights, service marks, together with all common law rights and the goodwill pertaining to the foregoing, and all applications, registrations and renewals therefor; (c) registered and unregistered copyrights, works of authorship, copyrightable works (published or unpublished), software, moral rights and all applications and registrations therefore; (d) domain names and social media accounts and handles; (e) software, computer programs and applications (whether in source code, object code, firmware or other form) algorithms, data and databases (including clinical data), together with all specifications, designs, documentation and Technology supporting the foregoing and all other proprietary rights in Technology; (f) trade secrets, invention disclosures, technical know-how (including processes, methods, techniques, designs, protocols, formulae, algorithms, compositions, specifications, and research and development information), and other proprietary information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and other proprietary rights and intellectual property rights; and (g) any and all registrations, applications, recordings, licenses, common-law rights, statutory rights, administrative rights, and contractual rights relating to any of the foregoing, including the right to sue and collect for past, present and future damages.</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 of the United States.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constitution, treaty, law (including common law), statute, ordinance, rule, regulation, interpretation, binding guidance, advisory, published opinion, directive, policy, Order, writ, award, decree, injunction, judgment, stay or restraining order of any Governmental Authority, the terms of any permit, and any other ruling or decision of, agreement with or by, or any other requirement of, any Governmental Authority.</w:t>
      </w:r>
    </w:p>
    <w:p>
      <w:pPr>
        <w:spacing w:after="0" w:line="180"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with respect to any Person, any and all damages, debts, liabilities, obligations, losses, claims, Taxes, interest obligations, deficiencies,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1" w:name="page292"/>
    <w:bookmarkEnd w:id="291"/>
    <w:p>
      <w:pPr>
        <w:jc w:val="both"/>
        <w:spacing w:after="0" w:line="238" w:lineRule="auto"/>
        <w:rPr>
          <w:sz w:val="20"/>
          <w:szCs w:val="20"/>
          <w:color w:val="auto"/>
        </w:rPr>
      </w:pPr>
      <w:r>
        <w:rPr>
          <w:rFonts w:ascii="Times New Roman" w:cs="Times New Roman" w:eastAsia="Times New Roman" w:hAnsi="Times New Roman"/>
          <w:sz w:val="22"/>
          <w:szCs w:val="22"/>
          <w:color w:val="auto"/>
        </w:rPr>
        <w:t>assessments, awards, fines, fees, penalties, costs and expenses, whether accrued or fixed, absolute or contingent, known or unknown, matured or unmatured or determined or determinable, due or to become due, whether directly incurred or consequential, whether or not required under GAAP to be accrued on the financial statements of such Person, and including those arising under any Law, Action or Order and those arising under any Contract, agreement, arrangement, commitment or undertaking.</w:t>
      </w:r>
    </w:p>
    <w:p>
      <w:pPr>
        <w:spacing w:after="0" w:line="177"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(statutory or otherwise), security interest, pledge, hypothecation, mortgage, assessment, lease, claim, levy, license, defect in title, charge, or any other Third Party right, license or property interest of any kind, or any conditional sale or other title retention agreement, right of first option, right of first refusal or similar restriction, any covenant not to sue, or any restriction on use, transfer, receipt of income or exercise of any other attribute of ownership or any agreement to give any of the foregoing in the future or similar encumbrance of any kind or nature whatsoever.</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of a Person means any and all losses, debts, obligations, Liabilities, Liens, penalties, damages, awards, judgments, Taxes, costs and expenses (including reasonable and documented attorneys’ and experts’ fees) of such Person.</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1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1 Private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1 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2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2 Private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2 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3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3 Private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3 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Invoice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2" w:name="page293"/>
    <w:bookmarkEnd w:id="292"/>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Shares</w:t>
      </w:r>
      <w:r>
        <w:rPr>
          <w:rFonts w:ascii="Times New Roman" w:cs="Times New Roman" w:eastAsia="Times New Roman" w:hAnsi="Times New Roman"/>
          <w:sz w:val="22"/>
          <w:szCs w:val="22"/>
          <w:color w:val="auto"/>
        </w:rPr>
        <w:t>” means the Solid Shares issuable by Buyer as Milestone 1 Share Consideration, Milestone 2 Share Consideration or Milestone 3 Share Consideration (as applicable).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 xml:space="preserve">” means each of the Milestone Events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Global Select Market.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 Product sold to a Third Party, the gross consideration invoiced or received by Buyer or any of its Affiliates or licensees for Sales of Products (including any cash amounts plus the fair market value of any other forms of consideration), less the following deductions (to the extent included in and not already deducted from the gross amounts invoiced or otherwise charged) to the extent reasonable and customary:</w:t>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Even if there is overlap between any of deductions described above, a particular deduction shall only be deducted once in the overall Net Sales calculation.</w:t>
      </w:r>
    </w:p>
    <w:p>
      <w:pPr>
        <w:spacing w:after="0" w:line="158"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In the case of a Combination Product, Buyer and Seller shall negotiate in good faith, but in no event later than [**] before the expected launch of such Combination Product, an allocation of Net Sales of such Combination Product to the respective Product components and other component(s) thereof, as the case may be, based on the fair market value of such components for the purposes of determining a Product specific allocation of such Net Sales. Payments related to such Combination Product under this Agreement, including Royalties and Milestone Consideration, will be calculated, due and payable based only on such allocated Net Sales.</w:t>
      </w:r>
    </w:p>
    <w:p>
      <w:pPr>
        <w:spacing w:after="0" w:line="181"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21"/>
          <w:szCs w:val="21"/>
          <w:color w:val="auto"/>
        </w:rPr>
        <w:t>In case of disagreement and failure by the Parties to agree upon an allocation of Net Sales of such Combination Product to the respective Product components and other component(s) thereof, an independent expert agreed upon and paid by both Parties shall determine such relative value contributions and such determination shall be final and binding upon the Parties.</w:t>
      </w:r>
    </w:p>
    <w:p>
      <w:pPr>
        <w:spacing w:after="0" w:line="157"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xml:space="preserve"> ” means any writ, judgment, injunction, order, decree, stipulation, ruling, decision, verdict, determination or award, of or by, or any settlement under the jurisdiction of, any Governmental Authority (in each such case whether preliminary or final).</w:t>
      </w:r>
    </w:p>
    <w:p>
      <w:pPr>
        <w:spacing w:after="0" w:line="173"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Solid Shares</w:t>
      </w:r>
      <w:r>
        <w:rPr>
          <w:rFonts w:ascii="Times New Roman" w:cs="Times New Roman" w:eastAsia="Times New Roman" w:hAnsi="Times New Roman"/>
          <w:sz w:val="22"/>
          <w:szCs w:val="22"/>
          <w:color w:val="auto"/>
        </w:rPr>
        <w:t>” means all Solid Capital Stock, determined on a Fully-Diluted As-Converted Basis, measured as of the date of the achievement of the applicable Milestone Event.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Owed Damages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Intellectual Property</w:t>
      </w:r>
      <w:r>
        <w:rPr>
          <w:rFonts w:ascii="Times New Roman" w:cs="Times New Roman" w:eastAsia="Times New Roman" w:hAnsi="Times New Roman"/>
          <w:sz w:val="22"/>
          <w:szCs w:val="22"/>
          <w:color w:val="auto"/>
        </w:rPr>
        <w:t>” means all Seller Intellectual Property that is owned by Seller as of the Closing Date.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3" w:name="page294"/>
    <w:bookmarkEnd w:id="293"/>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has the meaning set forth in the definition of Intellectual Property Rights.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partnership, limited liability company, joint venture, association, trust, unincorporated organization or other entity or any Governmental Authority.</w:t>
      </w:r>
    </w:p>
    <w:p>
      <w:pPr>
        <w:spacing w:after="0" w:line="158"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PHSA</w:t>
      </w:r>
      <w:r>
        <w:rPr>
          <w:rFonts w:ascii="Times New Roman" w:cs="Times New Roman" w:eastAsia="Times New Roman" w:hAnsi="Times New Roman"/>
          <w:sz w:val="22"/>
          <w:szCs w:val="22"/>
          <w:color w:val="auto"/>
        </w:rPr>
        <w:t>” means the Public Health Service Act, as amended, and the rules and regulations promulgated by FDA thereunder.</w:t>
      </w:r>
    </w:p>
    <w:p>
      <w:pPr>
        <w:spacing w:after="0" w:line="158"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 any Tax period ending on or before the Closing Date, and (b) with respect to a Tax period that commences on or before but ends after the Closing Date, the portion of such period up to and including the Closing Date.</w:t>
      </w:r>
    </w:p>
    <w:p>
      <w:pPr>
        <w:spacing w:after="0" w:line="173"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and Reimbursement Approval</w:t>
      </w:r>
      <w:r>
        <w:rPr>
          <w:rFonts w:ascii="Times New Roman" w:cs="Times New Roman" w:eastAsia="Times New Roman" w:hAnsi="Times New Roman"/>
          <w:sz w:val="22"/>
          <w:szCs w:val="22"/>
          <w:color w:val="auto"/>
        </w:rPr>
        <w:t>” means, in a country or other jurisdiction where Governmental Authorities in such country or jurisdiction approve or determine the price that can be charged for a product in such country or jurisdiction, or that can be reimbursed by Governmental Authorities for such product in such country or jurisdiction, (a) the approval, agreement, determination, or decision by the relevant Governmental Authority(ies) establishing the price that can be legally charged to consumers for such product in such country or jurisdiction; or (b) the approval, agreement, determination, or decision by the relevant Governmental Authority(ies) establishing the level of reimbursement that will be reimbursed by Governmental Authorities for such product in such country or jurisdiction.</w:t>
      </w:r>
    </w:p>
    <w:p>
      <w:pPr>
        <w:spacing w:after="0" w:line="183"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as of the date of this Agreement, the rate of interest which is identified in The Wall Street Journal as the “</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in the United States.</w:t>
      </w:r>
    </w:p>
    <w:p>
      <w:pPr>
        <w:spacing w:after="0" w:line="158"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Inventory</w:t>
      </w:r>
      <w:r>
        <w:rPr>
          <w:rFonts w:ascii="Times New Roman" w:cs="Times New Roman" w:eastAsia="Times New Roman" w:hAnsi="Times New Roman"/>
          <w:sz w:val="22"/>
          <w:szCs w:val="22"/>
          <w:color w:val="auto"/>
        </w:rPr>
        <w:t xml:space="preserve">” means all inventory of the Products, including inventory of work-in-process, finished goods, raw materials, supplies, parts, labels and packaging, working prototypes, and samples (including rights and interests in goods in transit, consigned inventory, inventory sold on approval and rental inventory), in each case, in the possession or control of Seller or its Affiliates. The Product Inventory existing as of the Closing Date is set forth on </w:t>
      </w:r>
      <w:r>
        <w:rPr>
          <w:rFonts w:ascii="Times New Roman" w:cs="Times New Roman" w:eastAsia="Times New Roman" w:hAnsi="Times New Roman"/>
          <w:sz w:val="22"/>
          <w:szCs w:val="22"/>
          <w:u w:val="single" w:color="auto"/>
          <w:color w:val="auto"/>
        </w:rPr>
        <w:t>Annex 1.1(b)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any product (a) containing or comprising the FA Asset, whether alone or in combination with one or more additional components, in all forms, formulations and dosage forms, and (b) any product, service, article, composition, apparatus, chemical, substance or any other material made, used or sold by utilizing or practicing Seller Intellectual Property.</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4" w:name="page295"/>
    <w:bookmarkEnd w:id="294"/>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Registrational Clinical Trial</w:t>
      </w:r>
      <w:r>
        <w:rPr>
          <w:rFonts w:ascii="Times New Roman" w:cs="Times New Roman" w:eastAsia="Times New Roman" w:hAnsi="Times New Roman"/>
          <w:sz w:val="22"/>
          <w:szCs w:val="22"/>
          <w:color w:val="auto"/>
        </w:rPr>
        <w:t>” means a Phase III Clinical Trial or other Clinical Trial of a Product that would satisfy the requirements of 21 C.F.R. 312.21(c) and that is designed or intended to (a) establish that the product is safe and efficacious for its intended use, (b) define warnings, precautions and adverse reactions that are associated with the product in the dosage range to be prescribed, and (c) support the submission of a BLA or similar application for Regulatory Approval for such Product in the Territory.</w:t>
      </w:r>
    </w:p>
    <w:p>
      <w:pPr>
        <w:spacing w:after="0" w:line="177"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with respect to a country or jurisdiction in the Territory, any approval, authorization, or permit granted by the applicable Regulatory Authority that is necessary for the manufacture, marketing, importation and sale of a Product in such country or jurisdiction, which may include satisfaction of all applicable regulatory and notification requirements, including, where applicable, (a) Pricing and Reimbursement Approval(s), solely to the extent necessary to commence marketing in such jurisdiction, (b) pre- and post-approval marketing authorizations (including any prerequisite manufacturing approval or authorization related thereto) or (c) approval of product labeling.</w:t>
      </w:r>
    </w:p>
    <w:p>
      <w:pPr>
        <w:spacing w:after="0" w:line="181"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applicable Governmental Authority with authority over the distribution, importation, exportation, manufacture, production, use, storage, transport, clinical testing or sale of a pharmaceutical or biological product, including any Governmental Authority having the authority to grant Regulatory Approval or Pricing and Reimbursement Approval.</w:t>
      </w:r>
    </w:p>
    <w:p>
      <w:pPr>
        <w:spacing w:after="0" w:line="180"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Documentation</w:t>
      </w:r>
      <w:r>
        <w:rPr>
          <w:rFonts w:ascii="Times New Roman" w:cs="Times New Roman" w:eastAsia="Times New Roman" w:hAnsi="Times New Roman"/>
          <w:sz w:val="22"/>
          <w:szCs w:val="22"/>
          <w:color w:val="auto"/>
        </w:rPr>
        <w:t>” means, with respect to a Product, all applications for and documentation relating to INDs or Regulatory Approvals for such Product, all material correspondence submitted to or received from Governmental Authorities in connection with INDs or Regulatory Approvals for such Product, and all source clinical trial data and safety data submitted to Governmental Authorities in connection with INDs or Regulatory Approvals for such Product.</w:t>
      </w:r>
    </w:p>
    <w:p>
      <w:pPr>
        <w:spacing w:after="0" w:line="180"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Exclusivity</w:t>
      </w:r>
      <w:r>
        <w:rPr>
          <w:rFonts w:ascii="Times New Roman" w:cs="Times New Roman" w:eastAsia="Times New Roman" w:hAnsi="Times New Roman"/>
          <w:sz w:val="21"/>
          <w:szCs w:val="21"/>
          <w:color w:val="auto"/>
        </w:rPr>
        <w:t>” means, with respect to any country or other jurisdiction in the Territory, an additional market protection granted by a Governmental Authority in such country or other jurisdiction that confers an exclusive commercialization period during which a Person has the exclusive right to market and sell a Product in such country or other jurisdiction.</w:t>
      </w:r>
    </w:p>
    <w:p>
      <w:pPr>
        <w:spacing w:after="0" w:line="157"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Documents</w:t>
      </w:r>
      <w:r>
        <w:rPr>
          <w:rFonts w:ascii="Times New Roman" w:cs="Times New Roman" w:eastAsia="Times New Roman" w:hAnsi="Times New Roman"/>
          <w:sz w:val="22"/>
          <w:szCs w:val="22"/>
          <w:color w:val="auto"/>
        </w:rPr>
        <w:t>” means, other than this Agreement, all agreements, certificates and documents signed and delivered by either Party in connection with the signing of this Agreement or the Closing.</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directors, officers, equity holders, members, managers, employees, counsel, consultants, accountants, financial advisors, lenders and other agents and representatives.</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5" w:name="page296"/>
    <w:bookmarkEnd w:id="295"/>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Product</w:t>
      </w:r>
      <w:r>
        <w:rPr>
          <w:rFonts w:ascii="Times New Roman" w:cs="Times New Roman" w:eastAsia="Times New Roman" w:hAnsi="Times New Roman"/>
          <w:sz w:val="22"/>
          <w:szCs w:val="22"/>
          <w:color w:val="auto"/>
        </w:rPr>
        <w:t>” means any Product in the form such Product exists as of the date of Buyer’s receipt of the Reversion Notice.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Report has the meaning set forth in Section 2.7(c).</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means any transaction (other than a license or sublicense) for which consideration is received or invoiced by Buyer, its Affiliates or licensees for sale, use, lease, transfer or other disposition of a Product to or for the benefit of a Third Party. For clarity, the sale, use, lease, transfer or other disposition of a Product by Buyer or any of its Affiliates or licensees to another of these entities for resale by such entity to a Third Party shall not be deemed a Sale.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UPenn Amendment</w:t>
      </w:r>
      <w:r>
        <w:rPr>
          <w:rFonts w:ascii="Times New Roman" w:cs="Times New Roman" w:eastAsia="Times New Roman" w:hAnsi="Times New Roman"/>
          <w:sz w:val="22"/>
          <w:szCs w:val="22"/>
          <w:color w:val="auto"/>
        </w:rPr>
        <w:t>” has the meaning set forth in the definition of the “</w:t>
      </w:r>
      <w:r>
        <w:rPr>
          <w:rFonts w:ascii="Times New Roman" w:cs="Times New Roman" w:eastAsia="Times New Roman" w:hAnsi="Times New Roman"/>
          <w:sz w:val="22"/>
          <w:szCs w:val="22"/>
          <w:u w:val="single" w:color="auto"/>
          <w:color w:val="auto"/>
        </w:rPr>
        <w:t>UPenn License.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and the rules and regulations promulgated thereunder.</w:t>
      </w:r>
    </w:p>
    <w:p>
      <w:pPr>
        <w:spacing w:after="0" w:line="2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Disclosure Schedules</w:t>
      </w:r>
      <w:r>
        <w:rPr>
          <w:rFonts w:ascii="Times New Roman" w:cs="Times New Roman" w:eastAsia="Times New Roman" w:hAnsi="Times New Roman"/>
          <w:sz w:val="22"/>
          <w:szCs w:val="22"/>
          <w:color w:val="auto"/>
        </w:rPr>
        <w:t xml:space="preserve">” means the Schedules delivered by Seller to Buyer contemporaneously with this Agreement and appended hereto, setting forth disclosures in respect of the representations and warranties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Indemnity Threshold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means (a) all Technology owned leased, licensed, or Controlled by Seller, including all such Technology that is related to the Business or the FA Asset or used, or held for use, by Seller in connection with the Exploitation of FA Asset, and (b) all Intellectual Property Rights (other than Intellectual Property Rights constituting Excluded Assets) owned, licensed by or otherwise Controlled by Seller, including all such Intellectual Property Rights that are related to the Business or used, or held for use, by Seller in connection with the Exploitation of the FA Asset, and the right to recover for past, present and future infringement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color w:val="auto"/>
        </w:rPr>
        <w:t xml:space="preserve">any of the foregoing. The Seller Intellectual Property Rights existing as of the Closing Date are set forth on </w:t>
      </w:r>
      <w:r>
        <w:rPr>
          <w:rFonts w:ascii="Times New Roman" w:cs="Times New Roman" w:eastAsia="Times New Roman" w:hAnsi="Times New Roman"/>
          <w:sz w:val="22"/>
          <w:szCs w:val="22"/>
          <w:u w:val="single" w:color="auto"/>
          <w:color w:val="auto"/>
        </w:rPr>
        <w:t>Annex 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Representation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Certificate of 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(and similar phrases) means, with respect to any matter in question, the actual knowledge of Thomas Hamilton as of the Closing Date after reasonable inquiry of all Seller’s officers and managers reasonably expected to have actual knowledge of such fact or matter.</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Operating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Secretary’s Certificate</w:t>
      </w:r>
      <w:r>
        <w:rPr>
          <w:rFonts w:ascii="Times New Roman" w:cs="Times New Roman" w:eastAsia="Times New Roman" w:hAnsi="Times New Roman"/>
          <w:sz w:val="22"/>
          <w:szCs w:val="22"/>
          <w:color w:val="auto"/>
        </w:rPr>
        <w:t>” means a certificate, dated as of the Closing Date, duly executed by the secretary of Seller, certifying that: (a) all documents to be executed by Seller and delivered at the Closing have been executed by a duly authorized officer of Seller, (b) (i) Seller’s Certificate of Formation and Seller’s Operating Agreement, attached to the certificate, are true, accurate and complete, (ii) such organizational documents have been in full force and effect in the form attached since the date of the adoption of the resolutions referred to in clause (iii) below and no amendment, rescission or modification to such organizational documents has occurred since the date thereof, (iii) the resolutions adopted by the board of managers of Seller, authorizing the execution, delivery and performance of this Agreement and the Related Documents to which Seller is a party, as attached to the certificate, were duly adopted by unanimous written consent of the board of managers of Seller, remain in full force and effect, and have not been amended, rescinded or modified and (iv) the resolutions adopted by the members of Seller necessary to approve and adopt this Agreement and the Related Documents to which Seller is a party, authorizing the execution, delivery and performance of this Agreement and the Related Documents to which Seller is a party, as attached to the certificate, were duly adopted by such members at a duly convened meeting of the members or by written consent of the members of Seller duly adopted, remain in full force and effect, and have not been amended, rescinded or modified and (c) Seller’s officer executing this Agreement, and each of the other documents necessary for consummation of the Contemplated Transactions, is an incumbent officer, and the specimen signature on such certificate is a genuine signature.</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Issuance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Solid Capital Stock</w:t>
      </w:r>
      <w:r>
        <w:rPr>
          <w:rFonts w:ascii="Times New Roman" w:cs="Times New Roman" w:eastAsia="Times New Roman" w:hAnsi="Times New Roman"/>
          <w:sz w:val="22"/>
          <w:szCs w:val="22"/>
          <w:color w:val="auto"/>
        </w:rPr>
        <w:t>” means, collectively, the Solid Shares and Solid Preferred Stock.</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Solid Preferred Stock</w:t>
      </w:r>
      <w:r>
        <w:rPr>
          <w:rFonts w:ascii="Times New Roman" w:cs="Times New Roman" w:eastAsia="Times New Roman" w:hAnsi="Times New Roman"/>
          <w:sz w:val="22"/>
          <w:szCs w:val="22"/>
          <w:color w:val="auto"/>
        </w:rPr>
        <w:t>” means the preferred stock, par value $0.001 per share, of Buyer.</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Solid Shares</w:t>
      </w:r>
      <w:r>
        <w:rPr>
          <w:rFonts w:ascii="Times New Roman" w:cs="Times New Roman" w:eastAsia="Times New Roman" w:hAnsi="Times New Roman"/>
          <w:sz w:val="22"/>
          <w:szCs w:val="22"/>
          <w:color w:val="auto"/>
        </w:rPr>
        <w:t>” means the common stock, par value $0.001 per share, of Buyer.</w:t>
      </w:r>
    </w:p>
    <w:p>
      <w:pPr>
        <w:spacing w:after="0" w:line="206"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any Person means another Person, an amount of the voting securities, other voting rights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7" w:name="page298"/>
    <w:bookmarkEnd w:id="297"/>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(whether disputed or not) all (a) federal, state, local and foreign income, franchise, windfall or other profits, gross receipts, property, escheat or unclaimed property, ad valorem, sales, use, excise, withholding, payroll, employment, social security, unemployment compensation, disability, severance, capital gain, alternative minimum, estimated, transfer and other taxes and similar governmental charges, including any interest, penalties and additions with respect thereto, (b) Liability for the payment of any amounts of the type described in clause (a) as a result of being a member of an affiliated, consolidated, combined, unitary or aggregate group or as a transferee or successor and (c) Liability for the payment of any amounts as a result of being party to any tax sharing agreement or as a result of any express or implied obligation to indemnify any other Person with respect to the payment of any amounts of the type described in clause (a) or (b).</w:t>
      </w:r>
    </w:p>
    <w:p>
      <w:pPr>
        <w:spacing w:after="0" w:line="178"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all returns, requests for extensions of time, claims for refund, declarations of estimated Tax payments, reports, estimates, information returns and statements, filed or to be filed with any Taxing Authority in connection with the determination, assessment, collection or administration of any Taxes, including any amendments thereto as well as any related or supporting information with respect to any of the foregoing.</w:t>
      </w:r>
    </w:p>
    <w:p>
      <w:pPr>
        <w:spacing w:after="0" w:line="180"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federal, state, local or foreign government, any subdivision, agency, commission or authority thereof, or any quasi-governmental body exercising tax regulatory authority.</w:t>
      </w:r>
    </w:p>
    <w:p>
      <w:pPr>
        <w:spacing w:after="0" w:line="158" w:lineRule="exact"/>
        <w:rPr>
          <w:sz w:val="20"/>
          <w:szCs w:val="20"/>
          <w:color w:val="auto"/>
        </w:rPr>
      </w:pPr>
    </w:p>
    <w:p>
      <w:pPr>
        <w:jc w:val="both"/>
        <w:ind w:firstLine="8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Technology</w:t>
      </w:r>
      <w:r>
        <w:rPr>
          <w:rFonts w:ascii="Times New Roman" w:cs="Times New Roman" w:eastAsia="Times New Roman" w:hAnsi="Times New Roman"/>
          <w:sz w:val="21"/>
          <w:szCs w:val="21"/>
          <w:color w:val="auto"/>
        </w:rPr>
        <w:t>” means all inventions, works, discoveries, innovations, know-how, information (including ideas, research and development, formulas, algorithms, compositions, processes and techniques, data (including clinical data), designs, drawings, lab records and notebooks, specifications, graphics, documentation and manuals), equipment, and all other forms of technology, business materials, and embodiments of Intellectual Property Rights, embodied in any form, whether or not protected by patent, copyright, trade secret Law, or otherwise, and all documents and other materials recording any of the foregoing.</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Technology Transfer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worldwide.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(a) Seller or Buyer or (b) any Affiliates of Seller or Buyer.</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has the meaning set forth in the definition of Intellectual Property Rights.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UPenn</w:t>
      </w:r>
      <w:r>
        <w:rPr>
          <w:rFonts w:ascii="Times New Roman" w:cs="Times New Roman" w:eastAsia="Times New Roman" w:hAnsi="Times New Roman"/>
          <w:sz w:val="22"/>
          <w:szCs w:val="22"/>
          <w:color w:val="auto"/>
        </w:rPr>
        <w:t>” means The Trustees of the University of Pennsylvania, a Pennsylvania nonprofit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8" w:name="page299"/>
    <w:bookmarkEnd w:id="298"/>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UPenn IND Payments</w:t>
      </w:r>
      <w:r>
        <w:rPr>
          <w:rFonts w:ascii="Times New Roman" w:cs="Times New Roman" w:eastAsia="Times New Roman" w:hAnsi="Times New Roman"/>
          <w:sz w:val="22"/>
          <w:szCs w:val="22"/>
          <w:color w:val="auto"/>
        </w:rPr>
        <w:t xml:space="preserve">” means those certain payments set forth on Schedule A to the Second UPenn Amendments that are listed on </w:t>
      </w:r>
      <w:r>
        <w:rPr>
          <w:rFonts w:ascii="Times New Roman" w:cs="Times New Roman" w:eastAsia="Times New Roman" w:hAnsi="Times New Roman"/>
          <w:sz w:val="22"/>
          <w:szCs w:val="22"/>
          <w:u w:val="single" w:color="auto"/>
          <w:color w:val="auto"/>
        </w:rPr>
        <w:t>Annex 1.1(e)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UPenn License</w:t>
      </w:r>
      <w:r>
        <w:rPr>
          <w:rFonts w:ascii="Times New Roman" w:cs="Times New Roman" w:eastAsia="Times New Roman" w:hAnsi="Times New Roman"/>
          <w:sz w:val="22"/>
          <w:szCs w:val="22"/>
          <w:color w:val="auto"/>
        </w:rPr>
        <w:t>” means that certain Research, Collaboration and License Agreement by and between Seller and UPenn, dated as of November 4, 2020 and amended by (a) the First Amendment to the Research, Collaboration and License Agreement dated November 1, 2021 and (b) the Second Amendment to the Research, Collaboration and License Agreement dated August 6, 2024 (the “</w:t>
      </w:r>
      <w:r>
        <w:rPr>
          <w:rFonts w:ascii="Times New Roman" w:cs="Times New Roman" w:eastAsia="Times New Roman" w:hAnsi="Times New Roman"/>
          <w:sz w:val="22"/>
          <w:szCs w:val="22"/>
          <w:u w:val="single" w:color="auto"/>
          <w:color w:val="auto"/>
        </w:rPr>
        <w:t>Second UPenn Amendment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Territory</w:t>
      </w:r>
      <w:r>
        <w:rPr>
          <w:rFonts w:ascii="Times New Roman" w:cs="Times New Roman" w:eastAsia="Times New Roman" w:hAnsi="Times New Roman"/>
          <w:sz w:val="22"/>
          <w:szCs w:val="22"/>
          <w:color w:val="auto"/>
        </w:rPr>
        <w:t>” means the United States of America and its territories and possessions.</w:t>
      </w:r>
    </w:p>
    <w:p>
      <w:pPr>
        <w:spacing w:after="0" w:line="206"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claim of any issued and unexpired Patent within the Seller Intellectual Property whose validity, enforceability or patentability has not been affected by any of the following: (a) irretrievable lapse, abandonment, revocation,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not appealed within the time allowed for appeal.</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Rights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as of a specific date, the volume-weighted average price per Solid Share, as reported on Nasdaq, during the consecutive [**] trading days immediately preceding the specified date, as calculated by Bloomberg Financial LP under the function “VWAP”.</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 a reference is made in this Agreement to an Article, a Section, Exhibit, Schedule or Annex, such reference will be to an Article of, a Section of, or an Exhibit, Schedule or Annex to, this Agreement unless otherwise indicated. Any exception set forth in a section or subsection of any Annex or any of the Schedules will be deemed to be disclosed for purposes of, and will qualify, such section or subsection of this Agreement and any other section or subsection of this Agreement where it is reasonably apparent on the face of such exception that such exception would be applicable to such other section or subsection. The table of contents and headings contained in this Agreement, any Related Document or in any Exhibit, Schedule or Annex hereto are for reference purposes only and will not affect in any way the meaning or interpretation of this Agreement, such Related Document or such Exhibit, Schedule or Annex. Whenever the words “include”, “includes” or “including” are used in this Agreement or any Related Document, they will be deemed to be followed by the words “without limitation.” The word “or,” when used in this Agreement, has the inclusive meaning represented by the phrase “and/or.” The words “hereof”, “herein” and “hereunder” and words of similar import when used in this Agreement will refer to this Agreement as a whole and not to any particular provision of this Agreement. References to the “date hereof” refer to the date of this Agreement. “Extent” in the phrase “to the extent” means the degree to which a subject or other thing extends, and such phrase does not mean simply “if”. All terms defined in this Agreement will have the defined meanings when used in any certificate or other document made or delivered pursuant hereto unless otherwise defined therein. The definitions contained in this Agreement are applicable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99" w:name="page300"/>
    <w:bookmarkEnd w:id="299"/>
    <w:p>
      <w:pPr>
        <w:jc w:val="both"/>
        <w:spacing w:after="0" w:line="236" w:lineRule="auto"/>
        <w:rPr>
          <w:sz w:val="20"/>
          <w:szCs w:val="20"/>
          <w:color w:val="auto"/>
        </w:rPr>
      </w:pPr>
      <w:r>
        <w:rPr>
          <w:rFonts w:ascii="Times New Roman" w:cs="Times New Roman" w:eastAsia="Times New Roman" w:hAnsi="Times New Roman"/>
          <w:sz w:val="22"/>
          <w:szCs w:val="22"/>
          <w:color w:val="auto"/>
        </w:rPr>
        <w:t>singular as well as the plural forms of such terms and to the masculine as well as to the feminine and neuter genders of such term. Any Contract or statute defined or referred to herein or in any Contract that is referred to herein means (a) in the case of any statute, such statute and any comparable statute that from time to time replaces such statute by succession and any rules or regulations promulgated by an applicable Governmental Authority thereunder and (b) in the case of any Contract, such Contract and all amendments, modifications and attachments thereto and instruments incorporated therein. References to a Person are also to its permitted successors and assigns.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22"/>
          <w:szCs w:val="22"/>
          <w:u w:val="single" w:color="auto"/>
          <w:color w:val="auto"/>
        </w:rPr>
        <w:t>Purchase and Sale of Purchased Assets</w:t>
      </w:r>
      <w:r>
        <w:rPr>
          <w:rFonts w:ascii="Times New Roman" w:cs="Times New Roman" w:eastAsia="Times New Roman" w:hAnsi="Times New Roman"/>
          <w:sz w:val="22"/>
          <w:szCs w:val="22"/>
          <w:color w:val="auto"/>
        </w:rPr>
        <w:t>. Upon and subject to the terms and conditions hereof, at the Closing, Buyer shall purchase from Seller, and Seller shall sell, convey, assign, transfer and deliver to Buyer, all of Seller’s right, title and interest in and to all assets, properties, rights, titles and interests of every kind and nature owned, licensed or leased by Seller (including indirect and other forms of beneficial ownership) as of the Closing Date that are used (or held for use) in connection with, related to, useful or otherwise necessary for the conduct of the Business, whether tangible or intangible, real or personal and wherever located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free and clear of all Liens, other than the Liens set forth on </w:t>
      </w:r>
      <w:r>
        <w:rPr>
          <w:rFonts w:ascii="Times New Roman" w:cs="Times New Roman" w:eastAsia="Times New Roman" w:hAnsi="Times New Roman"/>
          <w:sz w:val="22"/>
          <w:szCs w:val="22"/>
          <w:u w:val="single" w:color="auto"/>
          <w:color w:val="auto"/>
        </w:rPr>
        <w:t>Annex 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and agrees to assume, satisfy and discharge when due all Assumed Liabilities. The purchase and sale of the Purchased Assets hereunder is referred to herein as the “</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22"/>
          <w:szCs w:val="22"/>
          <w:u w:val="single" w:color="auto"/>
          <w:color w:val="auto"/>
        </w:rPr>
        <w:t>Purchased Assets; Excluded Assets.</w:t>
      </w:r>
    </w:p>
    <w:p>
      <w:pPr>
        <w:spacing w:after="0" w:line="206" w:lineRule="exact"/>
        <w:rPr>
          <w:sz w:val="20"/>
          <w:szCs w:val="20"/>
          <w:color w:val="auto"/>
        </w:rPr>
      </w:pPr>
    </w:p>
    <w:p>
      <w:pPr>
        <w:ind w:right="20" w:firstLine="1705"/>
        <w:spacing w:after="0" w:line="258" w:lineRule="auto"/>
        <w:tabs>
          <w:tab w:leader="none" w:pos="212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the Purchased Assets include all of Seller’s right, title and interest in and to the following assets: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related to, or used in, the Business, including, but not limited to, the FA Asset;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Seller Intellectual Property;</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UPenn License and (B) all Contracts set forth on </w:t>
      </w:r>
      <w:r>
        <w:rPr>
          <w:rFonts w:ascii="Times New Roman" w:cs="Times New Roman" w:eastAsia="Times New Roman" w:hAnsi="Times New Roman"/>
          <w:sz w:val="22"/>
          <w:szCs w:val="22"/>
          <w:u w:val="single" w:color="auto"/>
          <w:color w:val="auto"/>
        </w:rPr>
        <w:t>Annex 2.2(a)(iii)</w:t>
      </w:r>
      <w:r>
        <w:rPr>
          <w:rFonts w:ascii="Times New Roman" w:cs="Times New Roman" w:eastAsia="Times New Roman" w:hAnsi="Times New Roman"/>
          <w:sz w:val="22"/>
          <w:szCs w:val="22"/>
          <w:color w:val="auto"/>
        </w:rPr>
        <w:t>((A) and (B), together,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Assigned Agreements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 Inventory;</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provided, that Seller may retain copies of the Books and Records to the extent necessary to comply with applicable Law or Seller’s bona fide internal policies with respect to record-keeping obligations; and</w:t>
      </w:r>
    </w:p>
    <w:p>
      <w:pPr>
        <w:spacing w:after="0" w:line="173"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counterclaims, credits, Actions, rights of recovery, and rights of indemnification or setoff against Third Parties and other claims arising out of or relating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2"/>
          <w:szCs w:val="22"/>
          <w:color w:val="auto"/>
        </w:rPr>
        <w:t>to the Purchased Assets and all other intangible property rights that relate to any Purchased Asset or any Assumed Liabilities.</w:t>
      </w:r>
    </w:p>
    <w:p>
      <w:pPr>
        <w:spacing w:after="0" w:line="206" w:lineRule="exact"/>
        <w:rPr>
          <w:sz w:val="20"/>
          <w:szCs w:val="20"/>
          <w:color w:val="auto"/>
        </w:rPr>
      </w:pPr>
    </w:p>
    <w:p>
      <w:pPr>
        <w:ind w:right="20" w:firstLine="1705"/>
        <w:spacing w:after="0" w:line="258" w:lineRule="auto"/>
        <w:tabs>
          <w:tab w:leader="none" w:pos="212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Purchased Assets, Buyer will not acquire any right, title or interest in or to any assets, properties, goodwill, and rights of Seller and its Affiliates, including the following assets (collectively,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properties, goodwill and rights of Seller and its Affiliates, in each case, that do not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to the Business; and</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other than the Assigned Agreements.</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22"/>
          <w:szCs w:val="22"/>
          <w:u w:val="single" w:color="auto"/>
          <w:color w:val="auto"/>
        </w:rPr>
        <w:t>Assumption of Certain Liabilities</w:t>
      </w:r>
      <w:r>
        <w:rPr>
          <w:rFonts w:ascii="Times New Roman" w:cs="Times New Roman" w:eastAsia="Times New Roman" w:hAnsi="Times New Roman"/>
          <w:sz w:val="22"/>
          <w:szCs w:val="22"/>
          <w:color w:val="auto"/>
        </w:rPr>
        <w:t>. Subject to the terms and conditions set forth herein, Buyer agrees, effective at and after the Closing, to assume and to timely satisfy and discharge all Liabilities:</w:t>
      </w:r>
    </w:p>
    <w:p>
      <w:pPr>
        <w:spacing w:after="0" w:line="158" w:lineRule="exact"/>
        <w:rPr>
          <w:sz w:val="20"/>
          <w:szCs w:val="20"/>
          <w:color w:val="auto"/>
        </w:rPr>
      </w:pPr>
    </w:p>
    <w:p>
      <w:pPr>
        <w:jc w:val="both"/>
        <w:ind w:firstLine="1705"/>
        <w:spacing w:after="0" w:line="234" w:lineRule="auto"/>
        <w:tabs>
          <w:tab w:leader="none" w:pos="212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relating to the Purchased Assets, (including Liabilities under any Assigned Agreement), but only to the extent that such Liabilities (i) arise from any act or omission at or after the Closing, (ii) do not arise from any act or omission prior to the Closing, and (iii) with respect to any Assigned Agreement, such Assigned Agreement is assigned to Buyer or Buyer otherwise receives the rights and benefits of such Assigned Agreement pursuant to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 and in each case specifically excluding any Liability or obligation arising from any act or omission prior to the Closing or relating to or arising out of the Purchased Assets as a result of: (A) any breach of an Assigned Agreement occurring prior to Closing; (B) any violation of law, breach of warranty, tort or infringement occurring prior to the Closing; or (C) any charge, compliant, action, suit, proceeding, hearing, investigation, claim or demand occurring prior to the Closing or relating to the facts or circumstances occurring prior to Closing;</w:t>
      </w:r>
    </w:p>
    <w:p>
      <w:pPr>
        <w:spacing w:after="0" w:line="183" w:lineRule="exact"/>
        <w:rPr>
          <w:rFonts w:ascii="Times New Roman" w:cs="Times New Roman" w:eastAsia="Times New Roman" w:hAnsi="Times New Roman"/>
          <w:sz w:val="22"/>
          <w:szCs w:val="22"/>
          <w:color w:val="auto"/>
        </w:rPr>
      </w:pPr>
    </w:p>
    <w:p>
      <w:pPr>
        <w:ind w:right="60" w:firstLine="1705"/>
        <w:spacing w:after="0" w:line="258" w:lineRule="auto"/>
        <w:tabs>
          <w:tab w:leader="none" w:pos="212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the ownership, use, operation or maintenance of the Purchased Assets and/or the Exploitation of Products by or on behalf of Buyer, in each case, only to the extent arising at or after the Closing Date; and</w:t>
      </w:r>
    </w:p>
    <w:p>
      <w:pPr>
        <w:spacing w:after="0" w:line="158"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Annex 2.3</w:t>
      </w:r>
      <w:r>
        <w:rPr>
          <w:rFonts w:ascii="Times New Roman" w:cs="Times New Roman" w:eastAsia="Times New Roman" w:hAnsi="Times New Roman"/>
          <w:sz w:val="21"/>
          <w:szCs w:val="21"/>
          <w:color w:val="auto"/>
        </w:rPr>
        <w:t xml:space="preserve"> hereto (such Liabilities set forth in the foregoing (a), (b) and (c), collectively,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2.4</w:t>
      </w:r>
      <w:r>
        <w:rPr>
          <w:rFonts w:ascii="Times New Roman" w:cs="Times New Roman" w:eastAsia="Times New Roman" w:hAnsi="Times New Roman"/>
          <w:sz w:val="22"/>
          <w:szCs w:val="22"/>
          <w:u w:val="single" w:color="auto"/>
          <w:color w:val="auto"/>
        </w:rPr>
        <w:t>Excluded Liabilities.</w:t>
      </w:r>
    </w:p>
    <w:p>
      <w:pPr>
        <w:spacing w:after="0" w:line="206" w:lineRule="exact"/>
        <w:rPr>
          <w:sz w:val="20"/>
          <w:szCs w:val="20"/>
          <w:color w:val="auto"/>
        </w:rPr>
      </w:pPr>
    </w:p>
    <w:p>
      <w:pPr>
        <w:jc w:val="both"/>
        <w:ind w:firstLine="1705"/>
        <w:spacing w:after="0" w:line="235" w:lineRule="auto"/>
        <w:tabs>
          <w:tab w:leader="none" w:pos="2129"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will not be the successor to Seller or any of its Affiliates and Buyer expressly does not assume and will not become liable to pay, perform or discharge, any Liability whatsoever of Seller or any of its Affiliates other than the Assumed Liabilities (collectively, the “</w:t>
      </w: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Notwithstanding anything to the contrary in this Agreement, Excluded Liabilities will include (i) any Liabilities for Taxes relating to, or arising out of or imposed on the Business or the Purchased Assets for any Pre-Closing Tax Period, (ii) any Liabilities for Taxes of Seller or any of its Affiliates for any taxable period, (iii) any Liabilities of Seller for the payment of any amounts of Tax as a result of being a member of an affiliated, consolidated, combined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1" w:name="page302"/>
    <w:bookmarkEnd w:id="301"/>
    <w:p>
      <w:pPr>
        <w:jc w:val="both"/>
        <w:spacing w:after="0" w:line="239" w:lineRule="auto"/>
        <w:rPr>
          <w:sz w:val="20"/>
          <w:szCs w:val="20"/>
          <w:color w:val="auto"/>
        </w:rPr>
      </w:pPr>
      <w:r>
        <w:rPr>
          <w:rFonts w:ascii="Times New Roman" w:cs="Times New Roman" w:eastAsia="Times New Roman" w:hAnsi="Times New Roman"/>
          <w:sz w:val="22"/>
          <w:szCs w:val="22"/>
          <w:color w:val="auto"/>
        </w:rPr>
        <w:t>unitary group, as a result of any Tax sharing or Tax allocation agreement, arrangement or understanding, or as a result of being liable for another Person’s Taxes as a transferee or successor, by Contract or otherwise, (iv) any Liabilities relating to, or arising out of the employment or engagement, or termination of the employment or engagement, of any employee or other service provider of Seller or any of its Affiliates at any time and (v) the UPenn IND Payments.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2.5</w:t>
      </w:r>
      <w:r>
        <w:rPr>
          <w:rFonts w:ascii="Times New Roman" w:cs="Times New Roman" w:eastAsia="Times New Roman" w:hAnsi="Times New Roman"/>
          <w:sz w:val="22"/>
          <w:szCs w:val="22"/>
          <w:u w:val="single" w:color="auto"/>
          <w:color w:val="auto"/>
        </w:rPr>
        <w:t>Closing; Closing Deliverables.</w:t>
      </w:r>
    </w:p>
    <w:p>
      <w:pPr>
        <w:spacing w:after="0" w:line="206" w:lineRule="exact"/>
        <w:rPr>
          <w:sz w:val="20"/>
          <w:szCs w:val="20"/>
          <w:color w:val="auto"/>
        </w:rPr>
      </w:pPr>
    </w:p>
    <w:p>
      <w:pPr>
        <w:ind w:firstLine="1705"/>
        <w:spacing w:after="0" w:line="258" w:lineRule="auto"/>
        <w:tabs>
          <w:tab w:leader="none" w:pos="212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Closing. The closing of the Acquisition (the “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will take place on the date hereof via an electronic exchange of documents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Seller Closing Deliverables</w:t>
      </w:r>
      <w:r>
        <w:rPr>
          <w:rFonts w:ascii="Times New Roman" w:cs="Times New Roman" w:eastAsia="Times New Roman" w:hAnsi="Times New Roman"/>
          <w:sz w:val="21"/>
          <w:szCs w:val="21"/>
          <w:color w:val="auto"/>
        </w:rPr>
        <w:t>. Prior to the Closing, Seller will deliver or cause to be delivered to Buyer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Buyer’s designee:</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 dated the Closing Date and duly executed by Seller;</w:t>
      </w:r>
    </w:p>
    <w:p>
      <w:pPr>
        <w:spacing w:after="0" w:line="206"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and executed IRS Form W-9 of Seller, or, if Seller is a disregarding entity for U.S. federal income tax purposes, a duly completed and executed IRS Form W-9 or IRS Form W-8 as appropriate of Seller’s regarded owner;</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Secretary’s Certificate, dated the Closing Date;</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Approval;</w:t>
      </w:r>
    </w:p>
    <w:p>
      <w:pPr>
        <w:spacing w:after="0" w:line="206" w:lineRule="exact"/>
        <w:rPr>
          <w:rFonts w:ascii="Times New Roman" w:cs="Times New Roman" w:eastAsia="Times New Roman" w:hAnsi="Times New Roman"/>
          <w:sz w:val="22"/>
          <w:szCs w:val="22"/>
          <w:color w:val="auto"/>
        </w:rPr>
      </w:pPr>
    </w:p>
    <w:p>
      <w:pPr>
        <w:ind w:right="80" w:firstLine="2254"/>
        <w:spacing w:after="0" w:line="258" w:lineRule="auto"/>
        <w:tabs>
          <w:tab w:leader="none" w:pos="2678"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assignments, consents, waivers, approvals and authorizations, in form and substance reasonably satisfactory to Buyer, relating to those items set forth on </w:t>
      </w:r>
      <w:r>
        <w:rPr>
          <w:rFonts w:ascii="Times New Roman" w:cs="Times New Roman" w:eastAsia="Times New Roman" w:hAnsi="Times New Roman"/>
          <w:sz w:val="22"/>
          <w:szCs w:val="22"/>
          <w:u w:val="single" w:color="auto"/>
          <w:color w:val="auto"/>
        </w:rPr>
        <w:t>Annex 2.5(b)(v)</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bills of sale, instruments of assignment and other transfer documentation as reasonably requested by Buyer, in form and substance reasonably satisfactory to Buyer, pursuant to which all of Seller’s right, title and interest in and to Seller Intellectual Property and other Purchased Assets are transferred to Buyer;</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Purchased Assets in Seller’s possession and control as of the Closing Date (if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items and materials listed on  </w:t>
      </w:r>
      <w:r>
        <w:rPr>
          <w:rFonts w:ascii="Times New Roman" w:cs="Times New Roman" w:eastAsia="Times New Roman" w:hAnsi="Times New Roman"/>
          <w:sz w:val="22"/>
          <w:szCs w:val="22"/>
          <w:u w:val="single" w:color="auto"/>
          <w:color w:val="auto"/>
        </w:rPr>
        <w:t>Section 2.5(b)(viii)</w:t>
      </w:r>
      <w:r>
        <w:rPr>
          <w:rFonts w:ascii="Times New Roman" w:cs="Times New Roman" w:eastAsia="Times New Roman" w:hAnsi="Times New Roman"/>
          <w:sz w:val="22"/>
          <w:szCs w:val="22"/>
          <w:color w:val="auto"/>
        </w:rPr>
        <w:t xml:space="preserve"> of the Seller Disclosure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Schedules.</w:t>
      </w:r>
    </w:p>
    <w:p>
      <w:pPr>
        <w:spacing w:after="0" w:line="182"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Buyer Closing Deliverables</w:t>
      </w:r>
      <w:r>
        <w:rPr>
          <w:rFonts w:ascii="Times New Roman" w:cs="Times New Roman" w:eastAsia="Times New Roman" w:hAnsi="Times New Roman"/>
          <w:sz w:val="21"/>
          <w:szCs w:val="21"/>
          <w:color w:val="auto"/>
        </w:rPr>
        <w:t>. At the Closing, Buyer will deliver or cause to be delivered to Seller the Bill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Sale.</w:t>
      </w:r>
    </w:p>
    <w:p>
      <w:pPr>
        <w:spacing w:after="0" w:line="182" w:lineRule="exact"/>
        <w:rPr>
          <w:rFonts w:ascii="Times New Roman" w:cs="Times New Roman" w:eastAsia="Times New Roman" w:hAnsi="Times New Roman"/>
          <w:sz w:val="21"/>
          <w:szCs w:val="21"/>
          <w:color w:val="auto"/>
        </w:rPr>
      </w:pPr>
    </w:p>
    <w:p>
      <w:pPr>
        <w:jc w:val="both"/>
        <w:ind w:firstLine="1705"/>
        <w:spacing w:after="0" w:line="239" w:lineRule="auto"/>
        <w:tabs>
          <w:tab w:leader="none" w:pos="218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Buyer at Closing</w:t>
      </w:r>
      <w:r>
        <w:rPr>
          <w:rFonts w:ascii="Times New Roman" w:cs="Times New Roman" w:eastAsia="Times New Roman" w:hAnsi="Times New Roman"/>
          <w:sz w:val="22"/>
          <w:szCs w:val="22"/>
          <w:color w:val="auto"/>
        </w:rPr>
        <w:t>. In consideration of the sale, conveyance, delivery, transfer and assignment of the Purchased Assets to Buyer and Seller’s other covenants and obligations hereunder, Buyer and its applicable Affiliates will pay, or cause to be paid, to Seller, by wire transfer of immediately available funds to the account or accounts specified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1"/>
          <w:szCs w:val="21"/>
          <w:color w:val="auto"/>
        </w:rPr>
        <w:t>Seller to Buyer, an amount equal to the Closing Purchase Price no later than [**] following the Closing Date; provided that such</w:t>
      </w:r>
    </w:p>
    <w:p>
      <w:pPr>
        <w:spacing w:after="0" w:line="26" w:lineRule="exact"/>
        <w:rPr>
          <w:sz w:val="20"/>
          <w:szCs w:val="20"/>
          <w:color w:val="auto"/>
        </w:rPr>
      </w:pPr>
    </w:p>
    <w:p>
      <w:pPr>
        <w:ind w:firstLine="8"/>
        <w:spacing w:after="0" w:line="237" w:lineRule="auto"/>
        <w:tabs>
          <w:tab w:leader="none" w:pos="41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shall not commence until the date that Buyer has received all required IRS Form W-9s or IRS Form W-8s in order to process the payment of the Closing Purchase Price.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2.6</w:t>
      </w:r>
      <w:r>
        <w:rPr>
          <w:rFonts w:ascii="Times New Roman" w:cs="Times New Roman" w:eastAsia="Times New Roman" w:hAnsi="Times New Roman"/>
          <w:sz w:val="22"/>
          <w:szCs w:val="22"/>
          <w:u w:val="single" w:color="auto"/>
          <w:color w:val="auto"/>
        </w:rPr>
        <w:t>Developmental and Sales Milestones.</w:t>
      </w:r>
    </w:p>
    <w:p>
      <w:pPr>
        <w:spacing w:after="0" w:line="206" w:lineRule="exact"/>
        <w:rPr>
          <w:sz w:val="20"/>
          <w:szCs w:val="20"/>
          <w:color w:val="auto"/>
        </w:rPr>
      </w:pPr>
    </w:p>
    <w:p>
      <w:pPr>
        <w:jc w:val="both"/>
        <w:ind w:firstLine="1705"/>
        <w:spacing w:after="0" w:line="239" w:lineRule="auto"/>
        <w:tabs>
          <w:tab w:leader="none" w:pos="212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adjustment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Buyer will make the non-refundable cash payments or issuances of Solid Shares (or combination thereof, as applicable) described in Table 1 below (each, “</w:t>
      </w:r>
      <w:r>
        <w:rPr>
          <w:rFonts w:ascii="Times New Roman" w:cs="Times New Roman" w:eastAsia="Times New Roman" w:hAnsi="Times New Roman"/>
          <w:sz w:val="22"/>
          <w:szCs w:val="22"/>
          <w:u w:val="single" w:color="auto"/>
          <w:color w:val="auto"/>
        </w:rPr>
        <w:t>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following the first achievement by Buyer of the corresponding event (each a “</w:t>
      </w:r>
      <w:r>
        <w:rPr>
          <w:rFonts w:ascii="Times New Roman" w:cs="Times New Roman" w:eastAsia="Times New Roman" w:hAnsi="Times New Roman"/>
          <w:sz w:val="22"/>
          <w:szCs w:val="22"/>
          <w:u w:val="single" w:color="auto"/>
          <w:color w:val="auto"/>
        </w:rPr>
        <w:t>Milestone Event</w:t>
      </w:r>
      <w:r>
        <w:rPr>
          <w:rFonts w:ascii="Times New Roman" w:cs="Times New Roman" w:eastAsia="Times New Roman" w:hAnsi="Times New Roman"/>
          <w:sz w:val="22"/>
          <w:szCs w:val="22"/>
          <w:color w:val="auto"/>
        </w:rPr>
        <w:t>”) described in the column to the left of such payment in the table below.</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1758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8">
                      <a:extLst>
                        <a:ext uri="{28A0092B-C50C-407E-A947-70E740481C1C}"/>
                      </a:extLst>
                    </a:blip>
                    <a:srcRect/>
                    <a:stretch>
                      <a:fillRect/>
                    </a:stretch>
                  </pic:blipFill>
                  <pic:spPr bwMode="auto">
                    <a:xfrm>
                      <a:off x="0" y="0"/>
                      <a:ext cx="7136130" cy="1758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0"/>
        </w:trPr>
        <w:tc>
          <w:tcPr>
            <w:tcW w:w="720" w:type="dxa"/>
            <w:vAlign w:val="bottom"/>
            <w:tcBorders>
              <w:top w:val="single" w:sz="8" w:color="auto"/>
              <w:left w:val="single" w:sz="8" w:color="auto"/>
              <w:bottom w:val="single" w:sz="8" w:color="auto"/>
              <w:right w:val="single" w:sz="8" w:color="auto"/>
            </w:tcBorders>
            <w:shd w:val="clear" w:color="auto" w:fill="DBE5F1"/>
          </w:tcPr>
          <w:p>
            <w:pPr>
              <w:ind w:left="120"/>
              <w:spacing w:after="0" w:line="240" w:lineRule="exact"/>
              <w:rPr>
                <w:sz w:val="20"/>
                <w:szCs w:val="20"/>
                <w:color w:val="auto"/>
              </w:rPr>
            </w:pPr>
            <w:r>
              <w:rPr>
                <w:rFonts w:ascii="Times New Roman" w:cs="Times New Roman" w:eastAsia="Times New Roman" w:hAnsi="Times New Roman"/>
                <w:sz w:val="22"/>
                <w:szCs w:val="22"/>
                <w:b w:val="1"/>
                <w:bCs w:val="1"/>
                <w:color w:val="auto"/>
              </w:rPr>
              <w:t>No.</w:t>
            </w:r>
          </w:p>
        </w:tc>
        <w:tc>
          <w:tcPr>
            <w:tcW w:w="2840" w:type="dxa"/>
            <w:vAlign w:val="bottom"/>
            <w:tcBorders>
              <w:top w:val="single" w:sz="8" w:color="auto"/>
              <w:bottom w:val="single" w:sz="8" w:color="auto"/>
              <w:right w:val="single" w:sz="8" w:color="auto"/>
            </w:tcBorders>
            <w:shd w:val="clear" w:color="auto" w:fill="DBE5F1"/>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Milestone Event</w:t>
            </w:r>
          </w:p>
        </w:tc>
        <w:tc>
          <w:tcPr>
            <w:tcW w:w="100" w:type="dxa"/>
            <w:vAlign w:val="bottom"/>
            <w:tcBorders>
              <w:top w:val="single" w:sz="8" w:color="auto"/>
              <w:bottom w:val="single" w:sz="8" w:color="auto"/>
            </w:tcBorders>
            <w:shd w:val="clear" w:color="auto" w:fill="DBE5F1"/>
          </w:tcPr>
          <w:p>
            <w:pPr>
              <w:spacing w:after="0"/>
              <w:rPr>
                <w:sz w:val="20"/>
                <w:szCs w:val="20"/>
                <w:color w:val="auto"/>
              </w:rPr>
            </w:pPr>
          </w:p>
        </w:tc>
        <w:tc>
          <w:tcPr>
            <w:tcW w:w="7580" w:type="dxa"/>
            <w:vAlign w:val="bottom"/>
            <w:tcBorders>
              <w:top w:val="single" w:sz="8" w:color="auto"/>
              <w:bottom w:val="single" w:sz="8" w:color="auto"/>
              <w:right w:val="single" w:sz="8" w:color="auto"/>
            </w:tcBorders>
            <w:gridSpan w:val="10"/>
            <w:shd w:val="clear" w:color="auto" w:fill="DBE5F1"/>
          </w:tcPr>
          <w:p>
            <w:pPr>
              <w:spacing w:after="0" w:line="240" w:lineRule="exact"/>
              <w:rPr>
                <w:sz w:val="20"/>
                <w:szCs w:val="20"/>
                <w:color w:val="auto"/>
              </w:rPr>
            </w:pPr>
            <w:r>
              <w:rPr>
                <w:rFonts w:ascii="Times New Roman" w:cs="Times New Roman" w:eastAsia="Times New Roman" w:hAnsi="Times New Roman"/>
                <w:sz w:val="22"/>
                <w:szCs w:val="22"/>
                <w:b w:val="1"/>
                <w:bCs w:val="1"/>
                <w:color w:val="auto"/>
              </w:rPr>
              <w:t>Milestone Consideration</w:t>
            </w:r>
          </w:p>
        </w:tc>
        <w:tc>
          <w:tcPr>
            <w:tcW w:w="0" w:type="dxa"/>
            <w:vAlign w:val="bottom"/>
          </w:tcPr>
          <w:p>
            <w:pPr>
              <w:spacing w:after="0"/>
              <w:rPr>
                <w:sz w:val="1"/>
                <w:szCs w:val="1"/>
                <w:color w:val="auto"/>
              </w:rPr>
            </w:pPr>
          </w:p>
        </w:tc>
      </w:tr>
      <w:tr>
        <w:trPr>
          <w:trHeight w:val="209"/>
        </w:trPr>
        <w:tc>
          <w:tcPr>
            <w:tcW w:w="7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1</w:t>
            </w:r>
          </w:p>
        </w:tc>
        <w:tc>
          <w:tcPr>
            <w:tcW w:w="28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First  IND  Clearance  of  a</w:t>
            </w:r>
          </w:p>
        </w:tc>
        <w:tc>
          <w:tcPr>
            <w:tcW w:w="100" w:type="dxa"/>
            <w:vAlign w:val="bottom"/>
          </w:tcPr>
          <w:p>
            <w:pPr>
              <w:spacing w:after="0"/>
              <w:rPr>
                <w:sz w:val="18"/>
                <w:szCs w:val="18"/>
                <w:color w:val="auto"/>
              </w:rPr>
            </w:pPr>
          </w:p>
        </w:tc>
        <w:tc>
          <w:tcPr>
            <w:tcW w:w="7580" w:type="dxa"/>
            <w:vAlign w:val="bottom"/>
            <w:tcBorders>
              <w:right w:val="single" w:sz="8" w:color="auto"/>
            </w:tcBorders>
            <w:gridSpan w:val="10"/>
          </w:tcPr>
          <w:p>
            <w:pPr>
              <w:spacing w:after="0" w:line="209" w:lineRule="exact"/>
              <w:rPr>
                <w:sz w:val="20"/>
                <w:szCs w:val="20"/>
                <w:color w:val="auto"/>
              </w:rPr>
            </w:pPr>
            <w:r>
              <w:rPr>
                <w:rFonts w:ascii="Times New Roman" w:cs="Times New Roman" w:eastAsia="Times New Roman" w:hAnsi="Times New Roman"/>
                <w:sz w:val="22"/>
                <w:szCs w:val="22"/>
                <w:color w:val="auto"/>
                <w:w w:val="99"/>
              </w:rPr>
              <w:t>At the election of Buyer, (a) either (i) a number of Solid Shares representing [**]% of</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Product</w:t>
            </w: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the Outstanding Solid Shares or (ii) a number of Solid Shares equal to $5,000,000 in</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value, whichever is valued higher at the time of achievement of Milestone Event No.</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1 (provided, that in no event will any Solid Shares paid pursuant to the foregoing (i)</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or (ii) exceed a value of $[**] or [**]% of the Outstanding Solid Shares, as</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tcBorders>
              <w:right w:val="single" w:sz="8" w:color="auto"/>
            </w:tcBorders>
            <w:gridSpan w:val="10"/>
          </w:tcPr>
          <w:p>
            <w:pPr>
              <w:spacing w:after="0" w:line="230" w:lineRule="exact"/>
              <w:rPr>
                <w:sz w:val="20"/>
                <w:szCs w:val="20"/>
                <w:color w:val="auto"/>
              </w:rPr>
            </w:pPr>
            <w:r>
              <w:rPr>
                <w:rFonts w:ascii="Times New Roman" w:cs="Times New Roman" w:eastAsia="Times New Roman" w:hAnsi="Times New Roman"/>
                <w:sz w:val="22"/>
                <w:szCs w:val="22"/>
                <w:color w:val="auto"/>
              </w:rPr>
              <w:t>applicable) (the “Milestone 1 Share Consideration”), (b) cash, in an amount equal to</w:t>
            </w:r>
          </w:p>
        </w:tc>
        <w:tc>
          <w:tcPr>
            <w:tcW w:w="0" w:type="dxa"/>
            <w:vAlign w:val="bottom"/>
          </w:tcPr>
          <w:p>
            <w:pPr>
              <w:spacing w:after="0"/>
              <w:rPr>
                <w:sz w:val="1"/>
                <w:szCs w:val="1"/>
                <w:color w:val="auto"/>
              </w:rPr>
            </w:pPr>
          </w:p>
        </w:tc>
      </w:tr>
      <w:tr>
        <w:trPr>
          <w:trHeight w:val="20"/>
        </w:trPr>
        <w:tc>
          <w:tcPr>
            <w:tcW w:w="720" w:type="dxa"/>
            <w:vAlign w:val="bottom"/>
            <w:tcBorders>
              <w:left w:val="single" w:sz="8" w:color="auto"/>
              <w:right w:val="single" w:sz="8" w:color="auto"/>
            </w:tcBorders>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9"/>
              </w:rPr>
              <w:t>the consideration</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6060" w:type="dxa"/>
            <w:vAlign w:val="bottom"/>
            <w:tcBorders>
              <w:right w:val="single" w:sz="8" w:color="auto"/>
            </w:tcBorders>
            <w:gridSpan w:val="8"/>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w w:val="99"/>
              </w:rPr>
              <w:t>to be paid pursuant to the foregoing clause (a) in lieu of payment in</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tcBorders>
              <w:right w:val="single" w:sz="8" w:color="auto"/>
            </w:tcBorders>
            <w:gridSpan w:val="10"/>
          </w:tcPr>
          <w:p>
            <w:pPr>
              <w:spacing w:after="0" w:line="230" w:lineRule="exact"/>
              <w:rPr>
                <w:sz w:val="20"/>
                <w:szCs w:val="20"/>
                <w:color w:val="auto"/>
              </w:rPr>
            </w:pPr>
            <w:r>
              <w:rPr>
                <w:rFonts w:ascii="Times New Roman" w:cs="Times New Roman" w:eastAsia="Times New Roman" w:hAnsi="Times New Roman"/>
                <w:sz w:val="22"/>
                <w:szCs w:val="22"/>
                <w:color w:val="auto"/>
              </w:rPr>
              <w:t>Solid Shares (the “Milestone 1 Cash Consideration”), or (c) a combination of (a) and</w:t>
            </w:r>
          </w:p>
        </w:tc>
        <w:tc>
          <w:tcPr>
            <w:tcW w:w="0" w:type="dxa"/>
            <w:vAlign w:val="bottom"/>
          </w:tcPr>
          <w:p>
            <w:pPr>
              <w:spacing w:after="0"/>
              <w:rPr>
                <w:sz w:val="1"/>
                <w:szCs w:val="1"/>
                <w:color w:val="auto"/>
              </w:rPr>
            </w:pPr>
          </w:p>
        </w:tc>
      </w:tr>
      <w:tr>
        <w:trPr>
          <w:trHeight w:val="236"/>
        </w:trPr>
        <w:tc>
          <w:tcPr>
            <w:tcW w:w="72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(b), in an amount</w:t>
            </w:r>
          </w:p>
        </w:tc>
        <w:tc>
          <w:tcPr>
            <w:tcW w:w="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equal to the consideration to</w:t>
            </w:r>
          </w:p>
        </w:tc>
        <w:tc>
          <w:tcPr>
            <w:tcW w:w="3120" w:type="dxa"/>
            <w:vAlign w:val="bottom"/>
            <w:tcBorders>
              <w:right w:val="single" w:sz="8" w:color="auto"/>
            </w:tcBorders>
            <w:gridSpan w:val="3"/>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rPr>
              <w:t>be paid pursuant to the foregoing</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clause (a). If, as of the date Milestone Event No. 1 is achieved, Buyer is no longer a</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publicly traded company, Buyer will pay to Seller cash in the amount of $5,000,000</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tcBorders>
              <w:right w:val="single" w:sz="8" w:color="auto"/>
            </w:tcBorders>
            <w:gridSpan w:val="10"/>
          </w:tcPr>
          <w:p>
            <w:pPr>
              <w:spacing w:after="0" w:line="230" w:lineRule="exact"/>
              <w:rPr>
                <w:sz w:val="20"/>
                <w:szCs w:val="20"/>
                <w:color w:val="auto"/>
              </w:rPr>
            </w:pPr>
            <w:r>
              <w:rPr>
                <w:rFonts w:ascii="Times New Roman" w:cs="Times New Roman" w:eastAsia="Times New Roman" w:hAnsi="Times New Roman"/>
                <w:sz w:val="22"/>
                <w:szCs w:val="22"/>
                <w:color w:val="auto"/>
              </w:rPr>
              <w:t>in lieu of payment as described in the foregoing (a) - (c) (the “Milestone 1 Private</w:t>
            </w:r>
          </w:p>
        </w:tc>
        <w:tc>
          <w:tcPr>
            <w:tcW w:w="0" w:type="dxa"/>
            <w:vAlign w:val="bottom"/>
          </w:tcPr>
          <w:p>
            <w:pPr>
              <w:spacing w:after="0"/>
              <w:rPr>
                <w:sz w:val="1"/>
                <w:szCs w:val="1"/>
                <w:color w:val="auto"/>
              </w:rPr>
            </w:pPr>
          </w:p>
        </w:tc>
      </w:tr>
      <w:tr>
        <w:trPr>
          <w:trHeight w:val="223"/>
        </w:trPr>
        <w:tc>
          <w:tcPr>
            <w:tcW w:w="7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auto"/>
              </w:rPr>
              <w:t>Cash Consideration”).</w:t>
            </w:r>
          </w:p>
        </w:tc>
        <w:tc>
          <w:tcPr>
            <w:tcW w:w="174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2</w:t>
            </w:r>
          </w:p>
        </w:tc>
        <w:tc>
          <w:tcPr>
            <w:tcW w:w="28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18"/>
                <w:szCs w:val="18"/>
                <w:color w:val="auto"/>
              </w:rPr>
            </w:pPr>
          </w:p>
        </w:tc>
        <w:tc>
          <w:tcPr>
            <w:tcW w:w="7580" w:type="dxa"/>
            <w:vAlign w:val="bottom"/>
            <w:tcBorders>
              <w:right w:val="single" w:sz="8" w:color="auto"/>
            </w:tcBorders>
            <w:gridSpan w:val="10"/>
          </w:tcPr>
          <w:p>
            <w:pPr>
              <w:spacing w:after="0" w:line="209" w:lineRule="exact"/>
              <w:rPr>
                <w:sz w:val="20"/>
                <w:szCs w:val="20"/>
                <w:color w:val="auto"/>
              </w:rPr>
            </w:pPr>
            <w:r>
              <w:rPr>
                <w:rFonts w:ascii="Times New Roman" w:cs="Times New Roman" w:eastAsia="Times New Roman" w:hAnsi="Times New Roman"/>
                <w:sz w:val="22"/>
                <w:szCs w:val="22"/>
                <w:color w:val="auto"/>
                <w:w w:val="99"/>
              </w:rPr>
              <w:t>At the election of Buyer, (a) either (i) a number of Solid Shares representing [**]% of</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the Outstanding Solid Shares or (ii) a number of Solid Shares equal to $[**] in value,</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whichever is valued higher at the time of achievement of Milestone Event No. 2</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(provided, that in no event will any Solid Shares paid pursuant to the foregoing (i) or</w:t>
            </w:r>
          </w:p>
        </w:tc>
        <w:tc>
          <w:tcPr>
            <w:tcW w:w="0" w:type="dxa"/>
            <w:vAlign w:val="bottom"/>
          </w:tcPr>
          <w:p>
            <w:pPr>
              <w:spacing w:after="0"/>
              <w:rPr>
                <w:sz w:val="1"/>
                <w:szCs w:val="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Borders>
              <w:right w:val="single" w:sz="8" w:color="auto"/>
            </w:tcBorders>
            <w:gridSpan w:val="10"/>
          </w:tcPr>
          <w:p>
            <w:pPr>
              <w:spacing w:after="0" w:line="243" w:lineRule="exact"/>
              <w:rPr>
                <w:sz w:val="20"/>
                <w:szCs w:val="20"/>
                <w:color w:val="auto"/>
              </w:rPr>
            </w:pPr>
            <w:r>
              <w:rPr>
                <w:rFonts w:ascii="Times New Roman" w:cs="Times New Roman" w:eastAsia="Times New Roman" w:hAnsi="Times New Roman"/>
                <w:sz w:val="22"/>
                <w:szCs w:val="22"/>
                <w:color w:val="auto"/>
              </w:rPr>
              <w:t>(ii) exceed a value of $[**] or [**]% of the Outstanding Solid Shares, as applicable)</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tcBorders>
              <w:right w:val="single" w:sz="8" w:color="auto"/>
            </w:tcBorders>
            <w:gridSpan w:val="10"/>
          </w:tcPr>
          <w:p>
            <w:pPr>
              <w:spacing w:after="0" w:line="230" w:lineRule="exact"/>
              <w:rPr>
                <w:sz w:val="20"/>
                <w:szCs w:val="20"/>
                <w:color w:val="auto"/>
              </w:rPr>
            </w:pPr>
            <w:r>
              <w:rPr>
                <w:rFonts w:ascii="Times New Roman" w:cs="Times New Roman" w:eastAsia="Times New Roman" w:hAnsi="Times New Roman"/>
                <w:sz w:val="22"/>
                <w:szCs w:val="22"/>
                <w:color w:val="auto"/>
              </w:rPr>
              <w:t>(the “Milestone 2 Share Consideration”), (b) cash, in an amount equal to the</w:t>
            </w:r>
          </w:p>
        </w:tc>
        <w:tc>
          <w:tcPr>
            <w:tcW w:w="0" w:type="dxa"/>
            <w:vAlign w:val="bottom"/>
          </w:tcPr>
          <w:p>
            <w:pPr>
              <w:spacing w:after="0"/>
              <w:rPr>
                <w:sz w:val="1"/>
                <w:szCs w:val="1"/>
                <w:color w:val="auto"/>
              </w:rPr>
            </w:pPr>
          </w:p>
        </w:tc>
      </w:tr>
      <w:tr>
        <w:trPr>
          <w:trHeight w:val="20"/>
        </w:trPr>
        <w:tc>
          <w:tcPr>
            <w:tcW w:w="720" w:type="dxa"/>
            <w:vAlign w:val="bottom"/>
            <w:tcBorders>
              <w:left w:val="single" w:sz="8" w:color="auto"/>
              <w:right w:val="single" w:sz="8" w:color="auto"/>
            </w:tcBorders>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shd w:val="clear" w:color="auto" w:fill="000000"/>
          </w:tcPr>
          <w:p>
            <w:pPr>
              <w:spacing w:after="0" w:line="20" w:lineRule="exact"/>
              <w:rPr>
                <w:sz w:val="1"/>
                <w:szCs w:val="1"/>
                <w:color w:val="auto"/>
              </w:rPr>
            </w:pPr>
          </w:p>
        </w:tc>
        <w:tc>
          <w:tcPr>
            <w:tcW w:w="3980" w:type="dxa"/>
            <w:vAlign w:val="bottom"/>
            <w:tcBorders>
              <w:right w:val="single" w:sz="8" w:color="auto"/>
            </w:tcBorders>
            <w:gridSpan w:val="5"/>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foregoing clause (a), in lieu of payment in</w:t>
            </w:r>
          </w:p>
        </w:tc>
        <w:tc>
          <w:tcPr>
            <w:tcW w:w="0" w:type="dxa"/>
            <w:vAlign w:val="bottom"/>
          </w:tcPr>
          <w:p>
            <w:pPr>
              <w:spacing w:after="0" w:line="20" w:lineRule="exact"/>
              <w:rPr>
                <w:sz w:val="1"/>
                <w:szCs w:val="1"/>
                <w:color w:val="auto"/>
              </w:rPr>
            </w:pPr>
          </w:p>
        </w:tc>
      </w:tr>
      <w:tr>
        <w:trPr>
          <w:trHeight w:val="236"/>
        </w:trPr>
        <w:tc>
          <w:tcPr>
            <w:tcW w:w="72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2"/>
                <w:szCs w:val="22"/>
                <w:color w:val="auto"/>
              </w:rPr>
              <w:t>consideration to be paid pursuant to the</w:t>
            </w:r>
          </w:p>
        </w:tc>
        <w:tc>
          <w:tcPr>
            <w:tcW w:w="3980" w:type="dxa"/>
            <w:vAlign w:val="bottom"/>
            <w:tcBorders>
              <w:right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tcBorders>
              <w:right w:val="single" w:sz="8" w:color="auto"/>
            </w:tcBorders>
            <w:gridSpan w:val="10"/>
          </w:tcPr>
          <w:p>
            <w:pPr>
              <w:spacing w:after="0" w:line="230" w:lineRule="exact"/>
              <w:rPr>
                <w:sz w:val="20"/>
                <w:szCs w:val="20"/>
                <w:color w:val="auto"/>
              </w:rPr>
            </w:pPr>
            <w:r>
              <w:rPr>
                <w:rFonts w:ascii="Times New Roman" w:cs="Times New Roman" w:eastAsia="Times New Roman" w:hAnsi="Times New Roman"/>
                <w:sz w:val="22"/>
                <w:szCs w:val="22"/>
                <w:color w:val="auto"/>
              </w:rPr>
              <w:t>Solid Shares (the “Milestone 2 Cash Consideration”), or (c) a combination of (a) and</w:t>
            </w:r>
          </w:p>
        </w:tc>
        <w:tc>
          <w:tcPr>
            <w:tcW w:w="0" w:type="dxa"/>
            <w:vAlign w:val="bottom"/>
          </w:tcPr>
          <w:p>
            <w:pPr>
              <w:spacing w:after="0"/>
              <w:rPr>
                <w:sz w:val="1"/>
                <w:szCs w:val="1"/>
                <w:color w:val="auto"/>
              </w:rPr>
            </w:pPr>
          </w:p>
        </w:tc>
      </w:tr>
      <w:tr>
        <w:trPr>
          <w:trHeight w:val="236"/>
        </w:trPr>
        <w:tc>
          <w:tcPr>
            <w:tcW w:w="72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(b), in an amount</w:t>
            </w:r>
          </w:p>
        </w:tc>
        <w:tc>
          <w:tcPr>
            <w:tcW w:w="2820" w:type="dxa"/>
            <w:vAlign w:val="bottom"/>
            <w:tcBorders>
              <w:top w:val="single" w:sz="8" w:color="auto"/>
            </w:tcBorders>
            <w:gridSpan w:val="4"/>
          </w:tcPr>
          <w:p>
            <w:pPr>
              <w:ind w:left="60"/>
              <w:spacing w:after="0" w:line="236" w:lineRule="exact"/>
              <w:rPr>
                <w:sz w:val="20"/>
                <w:szCs w:val="20"/>
                <w:color w:val="auto"/>
              </w:rPr>
            </w:pPr>
            <w:r>
              <w:rPr>
                <w:rFonts w:ascii="Times New Roman" w:cs="Times New Roman" w:eastAsia="Times New Roman" w:hAnsi="Times New Roman"/>
                <w:sz w:val="22"/>
                <w:szCs w:val="22"/>
                <w:color w:val="auto"/>
              </w:rPr>
              <w:t>equal to the consideration to</w:t>
            </w:r>
          </w:p>
        </w:tc>
        <w:tc>
          <w:tcPr>
            <w:tcW w:w="3120" w:type="dxa"/>
            <w:vAlign w:val="bottom"/>
            <w:tcBorders>
              <w:right w:val="single" w:sz="8" w:color="auto"/>
            </w:tcBorders>
            <w:gridSpan w:val="3"/>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rPr>
              <w:t>be paid pursuant to the foregoing</w:t>
            </w:r>
          </w:p>
        </w:tc>
        <w:tc>
          <w:tcPr>
            <w:tcW w:w="0" w:type="dxa"/>
            <w:vAlign w:val="bottom"/>
          </w:tcPr>
          <w:p>
            <w:pPr>
              <w:spacing w:after="0"/>
              <w:rPr>
                <w:sz w:val="1"/>
                <w:szCs w:val="1"/>
                <w:color w:val="auto"/>
              </w:rPr>
            </w:pPr>
          </w:p>
        </w:tc>
      </w:tr>
      <w:tr>
        <w:trPr>
          <w:trHeight w:val="270"/>
        </w:trPr>
        <w:tc>
          <w:tcPr>
            <w:tcW w:w="720" w:type="dxa"/>
            <w:vAlign w:val="bottom"/>
            <w:tcBorders>
              <w:left w:val="single" w:sz="8" w:color="auto"/>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5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22"/>
                <w:szCs w:val="22"/>
                <w:color w:val="auto"/>
              </w:rPr>
              <w:t>clause (a). If, as of the date Milestone Event No. 2 is achieved,</w:t>
            </w:r>
          </w:p>
        </w:tc>
        <w:tc>
          <w:tcPr>
            <w:tcW w:w="0" w:type="dxa"/>
            <w:vAlign w:val="bottom"/>
          </w:tcPr>
          <w:p>
            <w:pPr>
              <w:spacing w:after="0"/>
              <w:rPr>
                <w:sz w:val="1"/>
                <w:szCs w:val="1"/>
                <w:color w:val="auto"/>
              </w:rPr>
            </w:pPr>
          </w:p>
        </w:tc>
      </w:tr>
      <w:tr>
        <w:trPr>
          <w:trHeight w:val="1404"/>
        </w:trPr>
        <w:tc>
          <w:tcPr>
            <w:tcW w:w="7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3" w:name="page304"/>
    <w:bookmarkEnd w:id="303"/>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1758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1">
                      <a:extLst>
                        <a:ext uri="{28A0092B-C50C-407E-A947-70E740481C1C}"/>
                      </a:extLst>
                    </a:blip>
                    <a:srcRect/>
                    <a:stretch>
                      <a:fillRect/>
                    </a:stretch>
                  </pic:blipFill>
                  <pic:spPr bwMode="auto">
                    <a:xfrm>
                      <a:off x="0" y="0"/>
                      <a:ext cx="7136130" cy="1758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0"/>
        </w:trPr>
        <w:tc>
          <w:tcPr>
            <w:tcW w:w="720" w:type="dxa"/>
            <w:vAlign w:val="bottom"/>
            <w:tcBorders>
              <w:top w:val="single" w:sz="8" w:color="auto"/>
              <w:left w:val="single" w:sz="8" w:color="auto"/>
              <w:bottom w:val="single" w:sz="8" w:color="auto"/>
              <w:right w:val="single" w:sz="8" w:color="auto"/>
            </w:tcBorders>
            <w:shd w:val="clear" w:color="auto" w:fill="DBE5F1"/>
          </w:tcPr>
          <w:p>
            <w:pPr>
              <w:ind w:left="120"/>
              <w:spacing w:after="0" w:line="240" w:lineRule="exact"/>
              <w:rPr>
                <w:sz w:val="20"/>
                <w:szCs w:val="20"/>
                <w:color w:val="auto"/>
              </w:rPr>
            </w:pPr>
            <w:r>
              <w:rPr>
                <w:rFonts w:ascii="Times New Roman" w:cs="Times New Roman" w:eastAsia="Times New Roman" w:hAnsi="Times New Roman"/>
                <w:sz w:val="22"/>
                <w:szCs w:val="22"/>
                <w:b w:val="1"/>
                <w:bCs w:val="1"/>
                <w:color w:val="auto"/>
              </w:rPr>
              <w:t>No.</w:t>
            </w:r>
          </w:p>
        </w:tc>
        <w:tc>
          <w:tcPr>
            <w:tcW w:w="2040" w:type="dxa"/>
            <w:vAlign w:val="bottom"/>
            <w:tcBorders>
              <w:top w:val="single" w:sz="8" w:color="auto"/>
              <w:bottom w:val="single" w:sz="8" w:color="auto"/>
            </w:tcBorders>
            <w:gridSpan w:val="3"/>
            <w:shd w:val="clear" w:color="auto" w:fill="DBE5F1"/>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Milestone Event</w:t>
            </w:r>
          </w:p>
        </w:tc>
        <w:tc>
          <w:tcPr>
            <w:tcW w:w="260" w:type="dxa"/>
            <w:vAlign w:val="bottom"/>
            <w:tcBorders>
              <w:top w:val="single" w:sz="8" w:color="auto"/>
              <w:bottom w:val="single" w:sz="8" w:color="auto"/>
            </w:tcBorders>
            <w:shd w:val="clear" w:color="auto" w:fill="DBE5F1"/>
          </w:tcPr>
          <w:p>
            <w:pPr>
              <w:spacing w:after="0"/>
              <w:rPr>
                <w:sz w:val="20"/>
                <w:szCs w:val="20"/>
                <w:color w:val="auto"/>
              </w:rPr>
            </w:pPr>
          </w:p>
        </w:tc>
        <w:tc>
          <w:tcPr>
            <w:tcW w:w="540" w:type="dxa"/>
            <w:vAlign w:val="bottom"/>
            <w:tcBorders>
              <w:top w:val="single" w:sz="8" w:color="auto"/>
              <w:bottom w:val="single" w:sz="8" w:color="auto"/>
              <w:right w:val="single" w:sz="8" w:color="auto"/>
            </w:tcBorders>
            <w:shd w:val="clear" w:color="auto" w:fill="DBE5F1"/>
          </w:tcPr>
          <w:p>
            <w:pPr>
              <w:spacing w:after="0"/>
              <w:rPr>
                <w:sz w:val="20"/>
                <w:szCs w:val="20"/>
                <w:color w:val="auto"/>
              </w:rPr>
            </w:pPr>
          </w:p>
        </w:tc>
        <w:tc>
          <w:tcPr>
            <w:tcW w:w="5340" w:type="dxa"/>
            <w:vAlign w:val="bottom"/>
            <w:tcBorders>
              <w:top w:val="single" w:sz="8" w:color="auto"/>
              <w:bottom w:val="single" w:sz="8" w:color="auto"/>
            </w:tcBorders>
            <w:gridSpan w:val="6"/>
            <w:shd w:val="clear" w:color="auto" w:fill="DBE5F1"/>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Milestone Consideration</w:t>
            </w:r>
          </w:p>
        </w:tc>
        <w:tc>
          <w:tcPr>
            <w:tcW w:w="960" w:type="dxa"/>
            <w:vAlign w:val="bottom"/>
            <w:tcBorders>
              <w:top w:val="single" w:sz="8" w:color="auto"/>
              <w:bottom w:val="single" w:sz="8" w:color="auto"/>
            </w:tcBorders>
            <w:shd w:val="clear" w:color="auto" w:fill="DBE5F1"/>
          </w:tcPr>
          <w:p>
            <w:pPr>
              <w:spacing w:after="0"/>
              <w:rPr>
                <w:sz w:val="20"/>
                <w:szCs w:val="20"/>
                <w:color w:val="auto"/>
              </w:rPr>
            </w:pPr>
          </w:p>
        </w:tc>
        <w:tc>
          <w:tcPr>
            <w:tcW w:w="1040" w:type="dxa"/>
            <w:vAlign w:val="bottom"/>
            <w:tcBorders>
              <w:top w:val="single" w:sz="8" w:color="auto"/>
              <w:bottom w:val="single" w:sz="8" w:color="auto"/>
            </w:tcBorders>
            <w:shd w:val="clear" w:color="auto" w:fill="DBE5F1"/>
          </w:tcPr>
          <w:p>
            <w:pPr>
              <w:spacing w:after="0"/>
              <w:rPr>
                <w:sz w:val="20"/>
                <w:szCs w:val="20"/>
                <w:color w:val="auto"/>
              </w:rPr>
            </w:pPr>
          </w:p>
        </w:tc>
        <w:tc>
          <w:tcPr>
            <w:tcW w:w="340" w:type="dxa"/>
            <w:vAlign w:val="bottom"/>
            <w:tcBorders>
              <w:top w:val="single" w:sz="8" w:color="auto"/>
              <w:bottom w:val="single" w:sz="8" w:color="auto"/>
              <w:right w:val="single" w:sz="8" w:color="auto"/>
            </w:tcBorders>
            <w:shd w:val="clear" w:color="auto" w:fill="DBE5F1"/>
          </w:tcPr>
          <w:p>
            <w:pPr>
              <w:spacing w:after="0"/>
              <w:rPr>
                <w:sz w:val="20"/>
                <w:szCs w:val="20"/>
                <w:color w:val="auto"/>
              </w:rPr>
            </w:pPr>
          </w:p>
        </w:tc>
      </w:tr>
      <w:tr>
        <w:trPr>
          <w:trHeight w:val="209"/>
        </w:trPr>
        <w:tc>
          <w:tcPr>
            <w:tcW w:w="720" w:type="dxa"/>
            <w:vAlign w:val="bottom"/>
            <w:tcBorders>
              <w:left w:val="single" w:sz="8" w:color="auto"/>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80" w:type="dxa"/>
            <w:vAlign w:val="bottom"/>
            <w:tcBorders>
              <w:right w:val="single" w:sz="8" w:color="auto"/>
            </w:tcBorders>
            <w:gridSpan w:val="9"/>
          </w:tcPr>
          <w:p>
            <w:pPr>
              <w:ind w:left="100"/>
              <w:spacing w:after="0" w:line="209" w:lineRule="exact"/>
              <w:rPr>
                <w:sz w:val="20"/>
                <w:szCs w:val="20"/>
                <w:color w:val="auto"/>
              </w:rPr>
            </w:pPr>
            <w:r>
              <w:rPr>
                <w:rFonts w:ascii="Times New Roman" w:cs="Times New Roman" w:eastAsia="Times New Roman" w:hAnsi="Times New Roman"/>
                <w:sz w:val="22"/>
                <w:szCs w:val="22"/>
                <w:color w:val="auto"/>
              </w:rPr>
              <w:t>Buyer is no longer a publicly traded company, Buyer will pay to Seller cash in the</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5340" w:type="dxa"/>
            <w:vAlign w:val="bottom"/>
            <w:gridSpan w:val="6"/>
          </w:tcPr>
          <w:p>
            <w:pPr>
              <w:ind w:left="100"/>
              <w:spacing w:after="0" w:line="243" w:lineRule="exact"/>
              <w:rPr>
                <w:sz w:val="20"/>
                <w:szCs w:val="20"/>
                <w:color w:val="auto"/>
              </w:rPr>
            </w:pPr>
            <w:r>
              <w:rPr>
                <w:rFonts w:ascii="Times New Roman" w:cs="Times New Roman" w:eastAsia="Times New Roman" w:hAnsi="Times New Roman"/>
                <w:sz w:val="22"/>
                <w:szCs w:val="22"/>
                <w:color w:val="auto"/>
              </w:rPr>
              <w:t>amount of $[**] in lieu of payment as described in the</w:t>
            </w:r>
          </w:p>
        </w:tc>
        <w:tc>
          <w:tcPr>
            <w:tcW w:w="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foregoing</w:t>
            </w:r>
          </w:p>
        </w:tc>
        <w:tc>
          <w:tcPr>
            <w:tcW w:w="1380" w:type="dxa"/>
            <w:vAlign w:val="bottom"/>
            <w:tcBorders>
              <w:right w:val="single" w:sz="8" w:color="auto"/>
            </w:tcBorders>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(a) - (c) (the</w:t>
            </w: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340" w:type="dxa"/>
            <w:vAlign w:val="bottom"/>
            <w:gridSpan w:val="6"/>
          </w:tcPr>
          <w:p>
            <w:pPr>
              <w:ind w:left="100"/>
              <w:spacing w:after="0" w:line="230" w:lineRule="exact"/>
              <w:rPr>
                <w:sz w:val="20"/>
                <w:szCs w:val="20"/>
                <w:color w:val="auto"/>
              </w:rPr>
            </w:pPr>
            <w:r>
              <w:rPr>
                <w:rFonts w:ascii="Times New Roman" w:cs="Times New Roman" w:eastAsia="Times New Roman" w:hAnsi="Times New Roman"/>
                <w:sz w:val="22"/>
                <w:szCs w:val="22"/>
                <w:color w:val="auto"/>
              </w:rPr>
              <w:t>“Milestone 2 Private Cash Consideration”).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1"/>
        </w:trPr>
        <w:tc>
          <w:tcPr>
            <w:tcW w:w="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7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3</w:t>
            </w:r>
          </w:p>
        </w:tc>
        <w:tc>
          <w:tcPr>
            <w:tcW w:w="9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80" w:type="dxa"/>
            <w:vAlign w:val="bottom"/>
            <w:tcBorders>
              <w:right w:val="single" w:sz="8" w:color="auto"/>
            </w:tcBorders>
            <w:gridSpan w:val="9"/>
          </w:tcPr>
          <w:p>
            <w:pPr>
              <w:ind w:left="100"/>
              <w:spacing w:after="0" w:line="209" w:lineRule="exact"/>
              <w:rPr>
                <w:sz w:val="20"/>
                <w:szCs w:val="20"/>
                <w:color w:val="auto"/>
              </w:rPr>
            </w:pPr>
            <w:r>
              <w:rPr>
                <w:rFonts w:ascii="Times New Roman" w:cs="Times New Roman" w:eastAsia="Times New Roman" w:hAnsi="Times New Roman"/>
                <w:sz w:val="22"/>
                <w:szCs w:val="22"/>
                <w:color w:val="auto"/>
              </w:rPr>
              <w:t>At the election of Buyer, (a) either (i) a number of Registrational Clinical Trial Solid</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7680" w:type="dxa"/>
            <w:vAlign w:val="bottom"/>
            <w:tcBorders>
              <w:right w:val="single" w:sz="8" w:color="auto"/>
            </w:tcBorders>
            <w:gridSpan w:val="9"/>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representing [**]% of the Outstanding Solid Shares or (ii) a number of Solid</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5340" w:type="dxa"/>
            <w:vAlign w:val="bottom"/>
            <w:gridSpan w:val="6"/>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equal to $[**] in value, whichever is valued</w:t>
            </w:r>
          </w:p>
        </w:tc>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higher at</w:t>
            </w:r>
          </w:p>
        </w:tc>
        <w:tc>
          <w:tcPr>
            <w:tcW w:w="1380" w:type="dxa"/>
            <w:vAlign w:val="bottom"/>
            <w:tcBorders>
              <w:right w:val="single" w:sz="8" w:color="auto"/>
            </w:tcBorders>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the time of</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7680" w:type="dxa"/>
            <w:vAlign w:val="bottom"/>
            <w:tcBorders>
              <w:right w:val="single" w:sz="8" w:color="auto"/>
            </w:tcBorders>
            <w:gridSpan w:val="9"/>
          </w:tcPr>
          <w:p>
            <w:pPr>
              <w:ind w:left="100"/>
              <w:spacing w:after="0" w:line="243" w:lineRule="exact"/>
              <w:rPr>
                <w:sz w:val="20"/>
                <w:szCs w:val="20"/>
                <w:color w:val="auto"/>
              </w:rPr>
            </w:pPr>
            <w:r>
              <w:rPr>
                <w:rFonts w:ascii="Times New Roman" w:cs="Times New Roman" w:eastAsia="Times New Roman" w:hAnsi="Times New Roman"/>
                <w:sz w:val="22"/>
                <w:szCs w:val="22"/>
                <w:color w:val="auto"/>
              </w:rPr>
              <w:t>achievement of Milestone Event No. 3 (provided, that in no event will any Solid</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7680" w:type="dxa"/>
            <w:vAlign w:val="bottom"/>
            <w:tcBorders>
              <w:right w:val="single" w:sz="8" w:color="auto"/>
            </w:tcBorders>
            <w:gridSpan w:val="9"/>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paid pursuant to the foregoing (i) or (ii) exceed a value of $[**] or [**]% of</w:t>
            </w: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80" w:type="dxa"/>
            <w:vAlign w:val="bottom"/>
            <w:tcBorders>
              <w:right w:val="single" w:sz="8" w:color="auto"/>
            </w:tcBorders>
            <w:gridSpan w:val="9"/>
          </w:tcPr>
          <w:p>
            <w:pPr>
              <w:ind w:left="100"/>
              <w:spacing w:after="0" w:line="230" w:lineRule="exact"/>
              <w:rPr>
                <w:sz w:val="20"/>
                <w:szCs w:val="20"/>
                <w:color w:val="auto"/>
              </w:rPr>
            </w:pPr>
            <w:r>
              <w:rPr>
                <w:rFonts w:ascii="Times New Roman" w:cs="Times New Roman" w:eastAsia="Times New Roman" w:hAnsi="Times New Roman"/>
                <w:sz w:val="22"/>
                <w:szCs w:val="22"/>
                <w:color w:val="auto"/>
                <w:w w:val="99"/>
              </w:rPr>
              <w:t>the Outstanding Solid Shares, as applicable) (the “Milestone 3 Share Consideration”),</w:t>
            </w:r>
          </w:p>
        </w:tc>
      </w:tr>
      <w:tr>
        <w:trPr>
          <w:trHeight w:val="20"/>
        </w:trPr>
        <w:tc>
          <w:tcPr>
            <w:tcW w:w="720" w:type="dxa"/>
            <w:vAlign w:val="bottom"/>
            <w:tcBorders>
              <w:left w:val="single" w:sz="8" w:color="auto"/>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236"/>
        </w:trPr>
        <w:tc>
          <w:tcPr>
            <w:tcW w:w="720" w:type="dxa"/>
            <w:vAlign w:val="bottom"/>
            <w:tcBorders>
              <w:left w:val="single" w:sz="8" w:color="auto"/>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680" w:type="dxa"/>
            <w:vAlign w:val="bottom"/>
            <w:tcBorders>
              <w:right w:val="single" w:sz="8" w:color="auto"/>
            </w:tcBorders>
            <w:gridSpan w:val="9"/>
          </w:tcPr>
          <w:p>
            <w:pPr>
              <w:ind w:left="100"/>
              <w:spacing w:after="0" w:line="236" w:lineRule="exact"/>
              <w:rPr>
                <w:sz w:val="20"/>
                <w:szCs w:val="20"/>
                <w:color w:val="auto"/>
              </w:rPr>
            </w:pPr>
            <w:r>
              <w:rPr>
                <w:rFonts w:ascii="Times New Roman" w:cs="Times New Roman" w:eastAsia="Times New Roman" w:hAnsi="Times New Roman"/>
                <w:sz w:val="22"/>
                <w:szCs w:val="22"/>
                <w:color w:val="auto"/>
              </w:rPr>
              <w:t>(b) cash, in an amount equal to the consideration to be paid pursuant to the foregoing</w:t>
            </w: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80" w:type="dxa"/>
            <w:vAlign w:val="bottom"/>
            <w:tcBorders>
              <w:right w:val="single" w:sz="8" w:color="auto"/>
            </w:tcBorders>
            <w:gridSpan w:val="9"/>
          </w:tcPr>
          <w:p>
            <w:pPr>
              <w:ind w:left="100"/>
              <w:spacing w:after="0" w:line="230" w:lineRule="exact"/>
              <w:rPr>
                <w:sz w:val="20"/>
                <w:szCs w:val="20"/>
                <w:color w:val="auto"/>
              </w:rPr>
            </w:pPr>
            <w:r>
              <w:rPr>
                <w:rFonts w:ascii="Times New Roman" w:cs="Times New Roman" w:eastAsia="Times New Roman" w:hAnsi="Times New Roman"/>
                <w:sz w:val="22"/>
                <w:szCs w:val="22"/>
                <w:color w:val="auto"/>
                <w:w w:val="99"/>
              </w:rPr>
              <w:t>clause (a), in lieu of payment in Solid Shares (the “Milestone 3 Cash Consideration”),</w:t>
            </w:r>
          </w:p>
        </w:tc>
      </w:tr>
      <w:tr>
        <w:trPr>
          <w:trHeight w:val="20"/>
        </w:trPr>
        <w:tc>
          <w:tcPr>
            <w:tcW w:w="720" w:type="dxa"/>
            <w:vAlign w:val="bottom"/>
            <w:tcBorders>
              <w:left w:val="single" w:sz="8" w:color="auto"/>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236"/>
        </w:trPr>
        <w:tc>
          <w:tcPr>
            <w:tcW w:w="720" w:type="dxa"/>
            <w:vAlign w:val="bottom"/>
            <w:tcBorders>
              <w:left w:val="single" w:sz="8" w:color="auto"/>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680" w:type="dxa"/>
            <w:vAlign w:val="bottom"/>
            <w:tcBorders>
              <w:right w:val="single" w:sz="8" w:color="auto"/>
            </w:tcBorders>
            <w:gridSpan w:val="9"/>
          </w:tcPr>
          <w:p>
            <w:pPr>
              <w:ind w:left="100"/>
              <w:spacing w:after="0" w:line="236" w:lineRule="exact"/>
              <w:rPr>
                <w:sz w:val="20"/>
                <w:szCs w:val="20"/>
                <w:color w:val="auto"/>
              </w:rPr>
            </w:pPr>
            <w:r>
              <w:rPr>
                <w:rFonts w:ascii="Times New Roman" w:cs="Times New Roman" w:eastAsia="Times New Roman" w:hAnsi="Times New Roman"/>
                <w:sz w:val="22"/>
                <w:szCs w:val="22"/>
                <w:color w:val="auto"/>
              </w:rPr>
              <w:t>or (c) a combination of (a) and (b), in an amount equal to the consideration to be paid</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7680" w:type="dxa"/>
            <w:vAlign w:val="bottom"/>
            <w:tcBorders>
              <w:right w:val="single" w:sz="8" w:color="auto"/>
            </w:tcBorders>
            <w:gridSpan w:val="9"/>
          </w:tcPr>
          <w:p>
            <w:pPr>
              <w:ind w:left="100"/>
              <w:spacing w:after="0" w:line="243" w:lineRule="exact"/>
              <w:rPr>
                <w:sz w:val="20"/>
                <w:szCs w:val="20"/>
                <w:color w:val="auto"/>
              </w:rPr>
            </w:pPr>
            <w:r>
              <w:rPr>
                <w:rFonts w:ascii="Times New Roman" w:cs="Times New Roman" w:eastAsia="Times New Roman" w:hAnsi="Times New Roman"/>
                <w:sz w:val="22"/>
                <w:szCs w:val="22"/>
                <w:color w:val="auto"/>
              </w:rPr>
              <w:t>pursuant to the foregoing clause (a). If, as of the date Milestone Event No. 3 is</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7680" w:type="dxa"/>
            <w:vAlign w:val="bottom"/>
            <w:tcBorders>
              <w:right w:val="single" w:sz="8" w:color="auto"/>
            </w:tcBorders>
            <w:gridSpan w:val="9"/>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achieved, Buyer is no longer a publicly traded company, Buyer will pay to Seller cash</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7680" w:type="dxa"/>
            <w:vAlign w:val="bottom"/>
            <w:tcBorders>
              <w:right w:val="single" w:sz="8" w:color="auto"/>
            </w:tcBorders>
            <w:gridSpan w:val="9"/>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 the amount of $[**] in lieu of payment as described in the foregoing (a) - (c) above</w:t>
            </w:r>
          </w:p>
        </w:tc>
      </w:tr>
      <w:tr>
        <w:trPr>
          <w:trHeight w:val="230"/>
        </w:trPr>
        <w:tc>
          <w:tcPr>
            <w:tcW w:w="72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340" w:type="dxa"/>
            <w:vAlign w:val="bottom"/>
            <w:gridSpan w:val="6"/>
          </w:tcPr>
          <w:p>
            <w:pPr>
              <w:ind w:left="100"/>
              <w:spacing w:after="0" w:line="230" w:lineRule="exact"/>
              <w:rPr>
                <w:sz w:val="20"/>
                <w:szCs w:val="20"/>
                <w:color w:val="auto"/>
              </w:rPr>
            </w:pPr>
            <w:r>
              <w:rPr>
                <w:rFonts w:ascii="Times New Roman" w:cs="Times New Roman" w:eastAsia="Times New Roman" w:hAnsi="Times New Roman"/>
                <w:sz w:val="22"/>
                <w:szCs w:val="22"/>
                <w:color w:val="auto"/>
              </w:rPr>
              <w:t>(the “Milestone 3 Private Cash Consideration”).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1"/>
        </w:trPr>
        <w:tc>
          <w:tcPr>
            <w:tcW w:w="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r>
      <w:tr>
        <w:trPr>
          <w:trHeight w:val="276"/>
        </w:trPr>
        <w:tc>
          <w:tcPr>
            <w:tcW w:w="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53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 in cash.</w:t>
            </w: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r>
      <w:tr>
        <w:trPr>
          <w:trHeight w:val="69"/>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r>
      <w:tr>
        <w:trPr>
          <w:trHeight w:val="276"/>
        </w:trPr>
        <w:tc>
          <w:tcPr>
            <w:tcW w:w="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5</w:t>
            </w: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53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 in cash.</w:t>
            </w: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r>
      <w:tr>
        <w:trPr>
          <w:trHeight w:val="69"/>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r>
      <w:tr>
        <w:trPr>
          <w:trHeight w:val="209"/>
        </w:trPr>
        <w:tc>
          <w:tcPr>
            <w:tcW w:w="7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6</w:t>
            </w:r>
          </w:p>
        </w:tc>
        <w:tc>
          <w:tcPr>
            <w:tcW w:w="9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Annual</w:t>
            </w:r>
          </w:p>
        </w:tc>
        <w:tc>
          <w:tcPr>
            <w:tcW w:w="50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Net</w:t>
            </w:r>
          </w:p>
        </w:tc>
        <w:tc>
          <w:tcPr>
            <w:tcW w:w="64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Sales</w:t>
            </w:r>
          </w:p>
        </w:tc>
        <w:tc>
          <w:tcPr>
            <w:tcW w:w="2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in</w:t>
            </w:r>
          </w:p>
        </w:tc>
        <w:tc>
          <w:tcPr>
            <w:tcW w:w="540" w:type="dxa"/>
            <w:vAlign w:val="bottom"/>
            <w:tcBorders>
              <w:right w:val="single" w:sz="8" w:color="auto"/>
            </w:tcBorders>
          </w:tcPr>
          <w:p>
            <w:pPr>
              <w:jc w:val="right"/>
              <w:ind w:right="12"/>
              <w:spacing w:after="0" w:line="209" w:lineRule="exact"/>
              <w:rPr>
                <w:sz w:val="20"/>
                <w:szCs w:val="20"/>
                <w:color w:val="auto"/>
              </w:rPr>
            </w:pPr>
            <w:r>
              <w:rPr>
                <w:rFonts w:ascii="Times New Roman" w:cs="Times New Roman" w:eastAsia="Times New Roman" w:hAnsi="Times New Roman"/>
                <w:sz w:val="22"/>
                <w:szCs w:val="22"/>
                <w:color w:val="auto"/>
              </w:rPr>
              <w:t>the</w:t>
            </w:r>
          </w:p>
        </w:tc>
        <w:tc>
          <w:tcPr>
            <w:tcW w:w="5340" w:type="dxa"/>
            <w:vAlign w:val="bottom"/>
            <w:gridSpan w:val="6"/>
          </w:tcPr>
          <w:p>
            <w:pPr>
              <w:ind w:left="100"/>
              <w:spacing w:after="0" w:line="209" w:lineRule="exact"/>
              <w:rPr>
                <w:sz w:val="20"/>
                <w:szCs w:val="20"/>
                <w:color w:val="auto"/>
              </w:rPr>
            </w:pPr>
            <w:r>
              <w:rPr>
                <w:rFonts w:ascii="Times New Roman" w:cs="Times New Roman" w:eastAsia="Times New Roman" w:hAnsi="Times New Roman"/>
                <w:sz w:val="22"/>
                <w:szCs w:val="22"/>
                <w:color w:val="auto"/>
              </w:rPr>
              <w:t>$[**] in cash.</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Territory  are  equal  to  or</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greater than $[**] and less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r>
      <w:tr>
        <w:trPr>
          <w:trHeight w:val="282"/>
        </w:trPr>
        <w:tc>
          <w:tcPr>
            <w:tcW w:w="720" w:type="dxa"/>
            <w:vAlign w:val="bottom"/>
            <w:tcBorders>
              <w:left w:val="single" w:sz="8" w:color="auto"/>
              <w:right w:val="single" w:sz="8" w:color="auto"/>
            </w:tcBorders>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than or equal to $[**]</w:t>
            </w:r>
          </w:p>
        </w:tc>
        <w:tc>
          <w:tcPr>
            <w:tcW w:w="2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r>
      <w:tr>
        <w:trPr>
          <w:trHeight w:val="96"/>
        </w:trPr>
        <w:tc>
          <w:tcPr>
            <w:tcW w:w="720" w:type="dxa"/>
            <w:vAlign w:val="bottom"/>
            <w:tcBorders>
              <w:left w:val="single" w:sz="8" w:color="auto"/>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r>
      <w:tr>
        <w:trPr>
          <w:trHeight w:val="209"/>
        </w:trPr>
        <w:tc>
          <w:tcPr>
            <w:tcW w:w="7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7</w:t>
            </w:r>
          </w:p>
        </w:tc>
        <w:tc>
          <w:tcPr>
            <w:tcW w:w="9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Annual</w:t>
            </w:r>
          </w:p>
        </w:tc>
        <w:tc>
          <w:tcPr>
            <w:tcW w:w="50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Net</w:t>
            </w:r>
          </w:p>
        </w:tc>
        <w:tc>
          <w:tcPr>
            <w:tcW w:w="64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Sales</w:t>
            </w:r>
          </w:p>
        </w:tc>
        <w:tc>
          <w:tcPr>
            <w:tcW w:w="2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in</w:t>
            </w:r>
          </w:p>
        </w:tc>
        <w:tc>
          <w:tcPr>
            <w:tcW w:w="540" w:type="dxa"/>
            <w:vAlign w:val="bottom"/>
            <w:tcBorders>
              <w:right w:val="single" w:sz="8" w:color="auto"/>
            </w:tcBorders>
          </w:tcPr>
          <w:p>
            <w:pPr>
              <w:jc w:val="right"/>
              <w:ind w:right="12"/>
              <w:spacing w:after="0" w:line="209" w:lineRule="exact"/>
              <w:rPr>
                <w:sz w:val="20"/>
                <w:szCs w:val="20"/>
                <w:color w:val="auto"/>
              </w:rPr>
            </w:pPr>
            <w:r>
              <w:rPr>
                <w:rFonts w:ascii="Times New Roman" w:cs="Times New Roman" w:eastAsia="Times New Roman" w:hAnsi="Times New Roman"/>
                <w:sz w:val="22"/>
                <w:szCs w:val="22"/>
                <w:color w:val="auto"/>
              </w:rPr>
              <w:t>the</w:t>
            </w:r>
          </w:p>
        </w:tc>
        <w:tc>
          <w:tcPr>
            <w:tcW w:w="5340" w:type="dxa"/>
            <w:vAlign w:val="bottom"/>
            <w:gridSpan w:val="6"/>
          </w:tcPr>
          <w:p>
            <w:pPr>
              <w:ind w:left="100"/>
              <w:spacing w:after="0" w:line="209" w:lineRule="exact"/>
              <w:rPr>
                <w:sz w:val="20"/>
                <w:szCs w:val="20"/>
                <w:color w:val="auto"/>
              </w:rPr>
            </w:pPr>
            <w:r>
              <w:rPr>
                <w:rFonts w:ascii="Times New Roman" w:cs="Times New Roman" w:eastAsia="Times New Roman" w:hAnsi="Times New Roman"/>
                <w:sz w:val="22"/>
                <w:szCs w:val="22"/>
                <w:color w:val="auto"/>
              </w:rPr>
              <w:t>$[**] in cash.</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Territory</w:t>
            </w:r>
          </w:p>
        </w:tc>
        <w:tc>
          <w:tcPr>
            <w:tcW w:w="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are</w:t>
            </w:r>
          </w:p>
        </w:tc>
        <w:tc>
          <w:tcPr>
            <w:tcW w:w="9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greater</w:t>
            </w:r>
          </w:p>
        </w:tc>
        <w:tc>
          <w:tcPr>
            <w:tcW w:w="5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than</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 and less than or equal to</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r>
      <w:tr>
        <w:trPr>
          <w:trHeight w:val="282"/>
        </w:trPr>
        <w:tc>
          <w:tcPr>
            <w:tcW w:w="72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r>
      <w:tr>
        <w:trPr>
          <w:trHeight w:val="96"/>
        </w:trPr>
        <w:tc>
          <w:tcPr>
            <w:tcW w:w="720" w:type="dxa"/>
            <w:vAlign w:val="bottom"/>
            <w:tcBorders>
              <w:left w:val="single" w:sz="8" w:color="auto"/>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r>
      <w:tr>
        <w:trPr>
          <w:trHeight w:val="209"/>
        </w:trPr>
        <w:tc>
          <w:tcPr>
            <w:tcW w:w="7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8</w:t>
            </w:r>
          </w:p>
        </w:tc>
        <w:tc>
          <w:tcPr>
            <w:tcW w:w="9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Annual</w:t>
            </w:r>
          </w:p>
        </w:tc>
        <w:tc>
          <w:tcPr>
            <w:tcW w:w="50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Net</w:t>
            </w:r>
          </w:p>
        </w:tc>
        <w:tc>
          <w:tcPr>
            <w:tcW w:w="64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Sales</w:t>
            </w:r>
          </w:p>
        </w:tc>
        <w:tc>
          <w:tcPr>
            <w:tcW w:w="2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in</w:t>
            </w:r>
          </w:p>
        </w:tc>
        <w:tc>
          <w:tcPr>
            <w:tcW w:w="540" w:type="dxa"/>
            <w:vAlign w:val="bottom"/>
            <w:tcBorders>
              <w:right w:val="single" w:sz="8" w:color="auto"/>
            </w:tcBorders>
          </w:tcPr>
          <w:p>
            <w:pPr>
              <w:jc w:val="right"/>
              <w:ind w:right="12"/>
              <w:spacing w:after="0" w:line="209" w:lineRule="exact"/>
              <w:rPr>
                <w:sz w:val="20"/>
                <w:szCs w:val="20"/>
                <w:color w:val="auto"/>
              </w:rPr>
            </w:pPr>
            <w:r>
              <w:rPr>
                <w:rFonts w:ascii="Times New Roman" w:cs="Times New Roman" w:eastAsia="Times New Roman" w:hAnsi="Times New Roman"/>
                <w:sz w:val="22"/>
                <w:szCs w:val="22"/>
                <w:color w:val="auto"/>
              </w:rPr>
              <w:t>the</w:t>
            </w:r>
          </w:p>
        </w:tc>
        <w:tc>
          <w:tcPr>
            <w:tcW w:w="5340" w:type="dxa"/>
            <w:vAlign w:val="bottom"/>
            <w:gridSpan w:val="6"/>
          </w:tcPr>
          <w:p>
            <w:pPr>
              <w:ind w:left="100"/>
              <w:spacing w:after="0" w:line="209" w:lineRule="exact"/>
              <w:rPr>
                <w:sz w:val="20"/>
                <w:szCs w:val="20"/>
                <w:color w:val="auto"/>
              </w:rPr>
            </w:pPr>
            <w:r>
              <w:rPr>
                <w:rFonts w:ascii="Times New Roman" w:cs="Times New Roman" w:eastAsia="Times New Roman" w:hAnsi="Times New Roman"/>
                <w:sz w:val="22"/>
                <w:szCs w:val="22"/>
                <w:color w:val="auto"/>
              </w:rPr>
              <w:t>$[**] in cash.</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9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Territory</w:t>
            </w:r>
          </w:p>
        </w:tc>
        <w:tc>
          <w:tcPr>
            <w:tcW w:w="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are</w:t>
            </w:r>
          </w:p>
        </w:tc>
        <w:tc>
          <w:tcPr>
            <w:tcW w:w="9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greater</w:t>
            </w:r>
          </w:p>
        </w:tc>
        <w:tc>
          <w:tcPr>
            <w:tcW w:w="5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than</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r>
      <w:tr>
        <w:trPr>
          <w:trHeight w:val="282"/>
        </w:trPr>
        <w:tc>
          <w:tcPr>
            <w:tcW w:w="72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r>
      <w:tr>
        <w:trPr>
          <w:trHeight w:val="96"/>
        </w:trPr>
        <w:tc>
          <w:tcPr>
            <w:tcW w:w="720" w:type="dxa"/>
            <w:vAlign w:val="bottom"/>
            <w:tcBorders>
              <w:left w:val="single" w:sz="8" w:color="auto"/>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5" w:lineRule="exact"/>
        <w:rPr>
          <w:sz w:val="20"/>
          <w:szCs w:val="20"/>
          <w:color w:val="auto"/>
        </w:rPr>
      </w:pPr>
    </w:p>
    <w:p>
      <w:pPr>
        <w:ind w:right="20" w:firstLine="1705"/>
        <w:spacing w:after="0" w:line="258" w:lineRule="auto"/>
        <w:tabs>
          <w:tab w:leader="none" w:pos="2129"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achievement of a Milestone Event, and in any event within [**], Buyer will notify Seller of the achievement of such Milestone Event.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following, and in any event within [**] following such notice from Buyer of the achievement of such Milestone Event, Seller will submit an invoice to Buyer for the amount of the corresponding Milestone Consideration (each, a “</w:t>
      </w:r>
      <w:r>
        <w:rPr>
          <w:rFonts w:ascii="Times New Roman" w:cs="Times New Roman" w:eastAsia="Times New Roman" w:hAnsi="Times New Roman"/>
          <w:sz w:val="22"/>
          <w:szCs w:val="22"/>
          <w:u w:val="single" w:color="auto"/>
          <w:color w:val="auto"/>
        </w:rPr>
        <w:t>Milestone Invoice</w:t>
      </w:r>
      <w:r>
        <w:rPr>
          <w:rFonts w:ascii="Times New Roman" w:cs="Times New Roman" w:eastAsia="Times New Roman" w:hAnsi="Times New Roman"/>
          <w:sz w:val="22"/>
          <w:szCs w:val="22"/>
          <w:color w:val="auto"/>
        </w:rPr>
        <w:t>”), and Buyer will pay the applicable Milestone Consideration by wire transfer of immediately available funds or issuance of Solid Shares to Seller, or both, as applicable, no later than the date that is [**] after the date of such Milestone Invoice.</w:t>
      </w:r>
    </w:p>
    <w:p>
      <w:pPr>
        <w:spacing w:after="0" w:line="180" w:lineRule="exact"/>
        <w:rPr>
          <w:sz w:val="20"/>
          <w:szCs w:val="20"/>
          <w:color w:val="auto"/>
        </w:rPr>
      </w:pPr>
    </w:p>
    <w:p>
      <w:pPr>
        <w:jc w:val="both"/>
        <w:ind w:firstLine="1705"/>
        <w:spacing w:after="0" w:line="232" w:lineRule="auto"/>
        <w:tabs>
          <w:tab w:leader="none" w:pos="212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if any of the Milestone Event No. [**] has not been achieved at the time of the [**], then any such Milestone shall be deemed achieved and the corresponding Milestone Consideration shall become due and payable. Notwithstanding the foregoing, each Milestone Consideration payment is payable only once, upon the first achievement (or deemed achievement) of the applicable Milestone Event, regardless of any subsequent or repeated achievements of Milestone Events with respect to one or more of the same or different Products. For the avoidance of doubt, (i) the maximum aggregate value of Milestone Consideration payable with respect to Milestone Events No. [**] through No. [**] under this Agreement will be $34,000,000 or [**]% of the Outstanding Solid Shares (which $34,000,000 or [**]% represents the aggregate value or percentage of Outstanding Solid Shares measuring each issuance of such Milestone Shares in connection with the achievement of Milestone Events No. [**] through No. [**] as of the date such Milestones were achieved), as applicable, and (ii) the maximum aggregate payments of Milestone Consideration payable with respect to Milestone Events No. [**] through No. [**] under this Agreement will be $21,000,000. In no event will the aggregate amount of Solid Shares issued as Milestone Consideration pursuant to this Agreement exceed 19.9% of all of the Solid Shares issued and outstanding as of the Closing Date (the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Issuance Cap</w:t>
      </w:r>
      <w:r>
        <w:rPr>
          <w:rFonts w:ascii="Times New Roman" w:cs="Times New Roman" w:eastAsia="Times New Roman" w:hAnsi="Times New Roman"/>
          <w:sz w:val="22"/>
          <w:szCs w:val="22"/>
          <w:color w:val="auto"/>
        </w:rPr>
        <w:t xml:space="preserve">”); provided, that if Buyer elects to issue an amount of Solid Shares as Milestone Consideration equal to the Share Issuance Cap, then, thereafter, any payment of Milestone Consideration or portion thereof payable to Seller will be paid in cash, subject and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For purposes of determining any Milestone Consideration payable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2.6(a)</w:t>
      </w:r>
      <w:r>
        <w:rPr>
          <w:rFonts w:ascii="Times New Roman" w:cs="Times New Roman" w:eastAsia="Times New Roman" w:hAnsi="Times New Roman"/>
          <w:sz w:val="22"/>
          <w:szCs w:val="22"/>
          <w:color w:val="auto"/>
        </w:rPr>
        <w:t>, so long as the Solid Shares are publicly traded on a U.S. national exchange, Solid Shares shall be valued at the VWAP for such Solid Shares as of the date such Milestone Event was achieved. For the avoidance of doubt:</w:t>
      </w:r>
    </w:p>
    <w:p>
      <w:pPr>
        <w:spacing w:after="0" w:line="189"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Milestone Event No. 1, Buyer will only be required to pay, and Seller will only be entitled to receive, one of the Milestone 1 Cash Consideration, the Milestone 1 Share Consideration or the Milestone 1 Private Cash Consideration. In no event will Buyer be required to pay, or will Seller be entitled to receive, more than one of the foregoing payments for achievement of Milestone Event No. 1;</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Milestone Event No. 2, Buyer will only be required to pay, and Seller will only be entitled to receive, one of the Milestone 2 Cash Consideration, the Milestone 2 Share Consideration or the Milestone 2 Private Cash Consideration. In no event will Buyer be required to pay, or will Seller be entitled to receive, more than one of the foregoing payments for achievement of Milestone Event No. 2; and</w:t>
      </w:r>
    </w:p>
    <w:p>
      <w:pPr>
        <w:spacing w:after="0" w:line="180"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Milestone Event No. Event No. 3, Buyer will only be required to pay, and Seller will only be entitled to receive, one of the Milestone 1 Cash Consideration, the Milestone 3 Share Consideration or the Milestone 3 Private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258" w:lineRule="auto"/>
        <w:rPr>
          <w:sz w:val="20"/>
          <w:szCs w:val="20"/>
          <w:color w:val="auto"/>
        </w:rPr>
      </w:pPr>
      <w:r>
        <w:rPr>
          <w:rFonts w:ascii="Times New Roman" w:cs="Times New Roman" w:eastAsia="Times New Roman" w:hAnsi="Times New Roman"/>
          <w:sz w:val="22"/>
          <w:szCs w:val="22"/>
          <w:color w:val="auto"/>
        </w:rPr>
        <w:t>In no event will Buyer be required to pay, or will Seller be entitled to receive, more than one of the foregoing payments for achievement of Milestone Event No. 3.</w:t>
      </w:r>
    </w:p>
    <w:p>
      <w:pPr>
        <w:spacing w:after="0" w:line="158" w:lineRule="exact"/>
        <w:rPr>
          <w:sz w:val="20"/>
          <w:szCs w:val="20"/>
          <w:color w:val="auto"/>
        </w:rPr>
      </w:pPr>
    </w:p>
    <w:p>
      <w:pPr>
        <w:ind w:left="1700"/>
        <w:spacing w:after="0"/>
        <w:tabs>
          <w:tab w:leader="none" w:pos="21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In the event that Buyer elects to pay any Milestone Consideration in the form of Solid Shares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2254"/>
        <w:spacing w:after="0" w:line="244" w:lineRule="auto"/>
        <w:tabs>
          <w:tab w:leader="none" w:pos="267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fractional Solid Shares will be issued as Milestone Consideration and any portion of Solid Shares representing fractional shares that would otherwise be issued as Solid Shares will instead be rounded up to the nearest whole Solid Share prior to the issuance of such Solid Shares to Seller;</w:t>
      </w:r>
    </w:p>
    <w:p>
      <w:pPr>
        <w:spacing w:after="0" w:line="173" w:lineRule="exact"/>
        <w:rPr>
          <w:rFonts w:ascii="Times New Roman" w:cs="Times New Roman" w:eastAsia="Times New Roman" w:hAnsi="Times New Roman"/>
          <w:sz w:val="22"/>
          <w:szCs w:val="22"/>
          <w:color w:val="auto"/>
        </w:rPr>
      </w:pPr>
    </w:p>
    <w:p>
      <w:pPr>
        <w:jc w:val="both"/>
        <w:ind w:firstLine="2254"/>
        <w:spacing w:after="0" w:line="247" w:lineRule="auto"/>
        <w:tabs>
          <w:tab w:leader="none" w:pos="2678"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acknowledges and understands that any Solid Shares issued to Seller as Milestone Consideration are issued to Seller pursuant to a “</w:t>
      </w:r>
      <w:r>
        <w:rPr>
          <w:rFonts w:ascii="Times New Roman" w:cs="Times New Roman" w:eastAsia="Times New Roman" w:hAnsi="Times New Roman"/>
          <w:sz w:val="21"/>
          <w:szCs w:val="21"/>
          <w:u w:val="single" w:color="auto"/>
          <w:color w:val="auto"/>
        </w:rPr>
        <w:t>private placement</w:t>
      </w:r>
      <w:r>
        <w:rPr>
          <w:rFonts w:ascii="Times New Roman" w:cs="Times New Roman" w:eastAsia="Times New Roman" w:hAnsi="Times New Roman"/>
          <w:sz w:val="21"/>
          <w:szCs w:val="21"/>
          <w:color w:val="auto"/>
        </w:rPr>
        <w:t xml:space="preserve">” exemption or exemptions from registration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4(a)(2) of the Securities Act and/or Regulation D promulgated under the Securities Act and an exemption from qualification under applicable state securities Laws. Such Solid Shares will be “</w:t>
      </w:r>
      <w:r>
        <w:rPr>
          <w:rFonts w:ascii="Times New Roman" w:cs="Times New Roman" w:eastAsia="Times New Roman" w:hAnsi="Times New Roman"/>
          <w:sz w:val="21"/>
          <w:szCs w:val="21"/>
          <w:u w:val="single" w:color="auto"/>
          <w:color w:val="auto"/>
        </w:rPr>
        <w:t>restricted securities</w:t>
      </w:r>
      <w:r>
        <w:rPr>
          <w:rFonts w:ascii="Times New Roman" w:cs="Times New Roman" w:eastAsia="Times New Roman" w:hAnsi="Times New Roman"/>
          <w:sz w:val="21"/>
          <w:szCs w:val="21"/>
          <w:color w:val="auto"/>
        </w:rPr>
        <w:t>” under the United States federal and state securities Laws and cannot be offered or resold except pursuant to registration under the Securities Act and applicable state securities Laws or an available exemption from registration. Seller further acknowledges that if an exemption from registration or qualification is available with respect to the resale by it of the Solid Shares, it may be conditioned on compliance with applicable Laws, which may include the time and manner of sale and the holding period for the shares of Solid Shares;</w:t>
      </w:r>
    </w:p>
    <w:p>
      <w:pPr>
        <w:spacing w:after="0" w:line="171"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receipt of any such Solid Shares, Seller will execute a representation letter in substantially the form of Exhibit B-1 (the “</w:t>
      </w:r>
      <w:r>
        <w:rPr>
          <w:rFonts w:ascii="Times New Roman" w:cs="Times New Roman" w:eastAsia="Times New Roman" w:hAnsi="Times New Roman"/>
          <w:sz w:val="22"/>
          <w:szCs w:val="22"/>
          <w:u w:val="single" w:color="auto"/>
          <w:color w:val="auto"/>
        </w:rPr>
        <w:t>Seller Representation Letter</w:t>
      </w:r>
      <w:r>
        <w:rPr>
          <w:rFonts w:ascii="Times New Roman" w:cs="Times New Roman" w:eastAsia="Times New Roman" w:hAnsi="Times New Roman"/>
          <w:sz w:val="22"/>
          <w:szCs w:val="22"/>
          <w:color w:val="auto"/>
        </w:rPr>
        <w:t>”) and Buyer will execute a representation letter in substantially the form of Exhibit B-2 (the “</w:t>
      </w:r>
      <w:r>
        <w:rPr>
          <w:rFonts w:ascii="Times New Roman" w:cs="Times New Roman" w:eastAsia="Times New Roman" w:hAnsi="Times New Roman"/>
          <w:sz w:val="22"/>
          <w:szCs w:val="22"/>
          <w:u w:val="single" w:color="auto"/>
          <w:color w:val="auto"/>
        </w:rPr>
        <w:t>Buyer Representation Letter</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that the certificates representing the Solid Shares will bear the following legends or legends substantially similar:</w:t>
      </w:r>
    </w:p>
    <w:p>
      <w:pPr>
        <w:spacing w:after="0" w:line="158" w:lineRule="exact"/>
        <w:rPr>
          <w:sz w:val="20"/>
          <w:szCs w:val="20"/>
          <w:color w:val="auto"/>
        </w:rPr>
      </w:pPr>
    </w:p>
    <w:p>
      <w:pPr>
        <w:jc w:val="both"/>
        <w:ind w:left="2260"/>
        <w:spacing w:after="0" w:line="239" w:lineRule="auto"/>
        <w:rPr>
          <w:sz w:val="20"/>
          <w:szCs w:val="20"/>
          <w:color w:val="auto"/>
        </w:rPr>
      </w:pPr>
      <w:r>
        <w:rPr>
          <w:rFonts w:ascii="Times New Roman" w:cs="Times New Roman" w:eastAsia="Times New Roman" w:hAnsi="Times New Roman"/>
          <w:sz w:val="22"/>
          <w:szCs w:val="22"/>
          <w:color w:val="auto"/>
        </w:rPr>
        <w:t>“the shares represented by this certificate have not been registered under the Securities Act of 1933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may not be offered, sold or otherwise transferred, assigned, pledged or hypothecated unless registered under the Act or unless an exemption from the registration requirements of the Act is available”; and</w:t>
      </w:r>
    </w:p>
    <w:p>
      <w:pPr>
        <w:spacing w:after="0" w:line="180" w:lineRule="exact"/>
        <w:rPr>
          <w:sz w:val="20"/>
          <w:szCs w:val="20"/>
          <w:color w:val="auto"/>
        </w:rPr>
      </w:pPr>
    </w:p>
    <w:p>
      <w:pPr>
        <w:jc w:val="both"/>
        <w:ind w:firstLine="2254"/>
        <w:spacing w:after="0" w:line="235" w:lineRule="auto"/>
        <w:tabs>
          <w:tab w:leader="none" w:pos="2678"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file within [**] of the date of the achievement of Milestone Event No. 1, Milestone Event No. 2 and Milestone Event No. 3, with respect to any Solid Shares that Buyer determines to issue as Milestone Consideration, a registration statement on Form S-3 (or any successor form to Form S-3) registering the resale of such Solid Shares (the “</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(or, in the event that (i) Form S- 3 is not available for the registration of the resale of the Registrable Securities, another appropriate form reasonably acceptable to Seller or (ii) if available, include the Registrable Securities in a prospectus supplement under an already effective registration statement of Buyer) by Seller (a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Buyer shall use commercially reasonable efforts (a) to cause the Registration Statement to become effective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6" w:name="page307"/>
    <w:bookmarkEnd w:id="306"/>
    <w:p>
      <w:pPr>
        <w:jc w:val="both"/>
        <w:spacing w:after="0" w:line="235" w:lineRule="auto"/>
        <w:rPr>
          <w:sz w:val="20"/>
          <w:szCs w:val="20"/>
          <w:color w:val="auto"/>
        </w:rPr>
      </w:pPr>
      <w:r>
        <w:rPr>
          <w:rFonts w:ascii="Times New Roman" w:cs="Times New Roman" w:eastAsia="Times New Roman" w:hAnsi="Times New Roman"/>
          <w:sz w:val="22"/>
          <w:szCs w:val="22"/>
          <w:color w:val="auto"/>
        </w:rPr>
        <w:t>promptly as practicable; and (b) to cause the Registration Statement to remain effective until the earlier of (i) the date on which Seller has disposed of all of the Registrable Securities and (ii) the date on which Rule 144 promulgated under the Securities Act is available for the disposition of such Registrable Securities without volume or manner-of-sale restrictions. Seller agrees to cooperate with Buyer as reasonably requested by Buyer in connection with the preparation and filing of the Registration Statement, including furnishing to Buyer such information regarding itself, the Solid Shares held by it and the intended method of disposition of the Registrable Securities as shall be reasonably required to effect the registration of such Registrable Securities. Buyer shall bear all expenses incurred in connection with the filing of the Registration Statement; provided, however, that Buyer shall have no obligation to pay for any commissions or transfer taxes of Seller.</w:t>
      </w:r>
    </w:p>
    <w:p>
      <w:pPr>
        <w:spacing w:after="0" w:line="178" w:lineRule="exact"/>
        <w:rPr>
          <w:sz w:val="20"/>
          <w:szCs w:val="20"/>
          <w:color w:val="auto"/>
        </w:rPr>
      </w:pPr>
    </w:p>
    <w:p>
      <w:pPr>
        <w:jc w:val="both"/>
        <w:ind w:firstLine="1705"/>
        <w:spacing w:after="0" w:line="244" w:lineRule="auto"/>
        <w:tabs>
          <w:tab w:leader="none" w:pos="212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it is the intention of the Parties that the development, commercialization and other Exploitation of the Products will be exercised by Buyer and its Affiliates in accordance with its or their own business judgment and, subject to the requirements of this Agreement, in its or their reasonable business judgement.</w:t>
      </w:r>
    </w:p>
    <w:p>
      <w:pPr>
        <w:spacing w:after="0" w:line="173" w:lineRule="exact"/>
        <w:rPr>
          <w:rFonts w:ascii="Times New Roman" w:cs="Times New Roman" w:eastAsia="Times New Roman" w:hAnsi="Times New Roman"/>
          <w:sz w:val="22"/>
          <w:szCs w:val="22"/>
          <w:color w:val="auto"/>
        </w:rPr>
      </w:pPr>
    </w:p>
    <w:p>
      <w:pPr>
        <w:jc w:val="both"/>
        <w:ind w:firstLine="1705"/>
        <w:spacing w:after="0" w:line="244" w:lineRule="auto"/>
        <w:tabs>
          <w:tab w:leader="none" w:pos="212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Parties intend that the payment of the Milestone Consideration be treated as deferred contingent purchase price eligible for installment sale treatment under Section 453 of the Code (subject to imputation of interest under Section 483 or Section 1274 of the Code).</w:t>
      </w:r>
    </w:p>
    <w:p>
      <w:pPr>
        <w:spacing w:after="0" w:line="173" w:lineRule="exact"/>
        <w:rPr>
          <w:rFonts w:ascii="Times New Roman" w:cs="Times New Roman" w:eastAsia="Times New Roman" w:hAnsi="Times New Roman"/>
          <w:sz w:val="22"/>
          <w:szCs w:val="22"/>
          <w:color w:val="auto"/>
        </w:rPr>
      </w:pPr>
    </w:p>
    <w:p>
      <w:pPr>
        <w:jc w:val="both"/>
        <w:ind w:firstLine="1705"/>
        <w:spacing w:after="0" w:line="244" w:lineRule="auto"/>
        <w:tabs>
          <w:tab w:leader="none" w:pos="212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the achievement of the Milestone Events is uncertain and that Buyer and its Affiliates may not achieve results requiring the payment of any Milestone Consideration at all, and it is therefore not assured that Buyer will be required to pay any Milestone Consideration.</w:t>
      </w:r>
    </w:p>
    <w:p>
      <w:pPr>
        <w:spacing w:after="0" w:line="173" w:lineRule="exact"/>
        <w:rPr>
          <w:rFonts w:ascii="Times New Roman" w:cs="Times New Roman" w:eastAsia="Times New Roman" w:hAnsi="Times New Roman"/>
          <w:sz w:val="22"/>
          <w:szCs w:val="22"/>
          <w:color w:val="auto"/>
        </w:rPr>
      </w:pPr>
    </w:p>
    <w:p>
      <w:pPr>
        <w:jc w:val="both"/>
        <w:ind w:firstLine="1705"/>
        <w:spacing w:after="0" w:line="244" w:lineRule="auto"/>
        <w:tabs>
          <w:tab w:leader="none" w:pos="212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between the Parties, other than as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Buyer and its Affiliates have no duty to develop, commercialize or otherwise Exploit the Products, to exert any level of efforts in developing, commercializing or Exploiting the Products or to achieve the Milestone Events.</w:t>
      </w:r>
    </w:p>
    <w:p>
      <w:pPr>
        <w:spacing w:after="0" w:line="173" w:lineRule="exact"/>
        <w:rPr>
          <w:sz w:val="20"/>
          <w:szCs w:val="20"/>
          <w:color w:val="auto"/>
        </w:rPr>
      </w:pPr>
    </w:p>
    <w:p>
      <w:pPr>
        <w:jc w:val="both"/>
        <w:ind w:firstLine="2254"/>
        <w:spacing w:after="0" w:line="244" w:lineRule="auto"/>
        <w:tabs>
          <w:tab w:leader="none" w:pos="267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Buyer’s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Buyer and its Affiliates are not prohibited from developing, manufacturing, marketing, selling, Exploiting or acquiring assets, businesses, or other products that may compete with the Products or any other products of Buyer, Seller or its or their Affiliates.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2.7</w:t>
      </w:r>
      <w:r>
        <w:rPr>
          <w:rFonts w:ascii="Times New Roman" w:cs="Times New Roman" w:eastAsia="Times New Roman" w:hAnsi="Times New Roman"/>
          <w:sz w:val="22"/>
          <w:szCs w:val="22"/>
          <w:u w:val="single" w:color="auto"/>
          <w:color w:val="auto"/>
        </w:rPr>
        <w:t>Royalties.</w:t>
      </w:r>
    </w:p>
    <w:p>
      <w:pPr>
        <w:spacing w:after="0" w:line="206" w:lineRule="exact"/>
        <w:rPr>
          <w:sz w:val="20"/>
          <w:szCs w:val="20"/>
          <w:color w:val="auto"/>
        </w:rPr>
      </w:pPr>
    </w:p>
    <w:p>
      <w:pPr>
        <w:ind w:right="40" w:firstLine="1705"/>
        <w:spacing w:after="0" w:line="258" w:lineRule="auto"/>
        <w:tabs>
          <w:tab w:leader="none" w:pos="2129"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Product-by-Product and country-by-country basis, during the Royalty Term for such Product, Buyer will pay a royalty to Seller on Annual Net Sales of such Product in the Territory as follows: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Annual Net Sales of such Product that are less than or equal to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7" w:name="page308"/>
    <w:bookmarkEnd w:id="307"/>
    <w:p>
      <w:pPr>
        <w:ind w:firstLine="2254"/>
        <w:spacing w:after="0" w:line="258" w:lineRule="auto"/>
        <w:tabs>
          <w:tab w:leader="none" w:pos="2678"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on Annual Net Sales of such Product that are greater than $[**] (each of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Section 2.7(a)(i)</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705"/>
        <w:spacing w:after="0" w:line="249" w:lineRule="auto"/>
        <w:tabs>
          <w:tab w:leader="none" w:pos="2129"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Buyer’s obligation to pay Royalties for a Product in a country in the Territory will begin upon the First Commercial Sale of such Product in such country and will expire upon the later of (x) the date that is [**] following the First Commercial Sale of such Product in such country, (y) the date on which the sale of such Product is not (or is no longer) Covered by a Valid Claim in such country and (z) expiration of all Regulatory Exclusivity, if any, for such Product in such country (the “</w:t>
      </w:r>
      <w:r>
        <w:rPr>
          <w:rFonts w:ascii="Times New Roman" w:cs="Times New Roman" w:eastAsia="Times New Roman" w:hAnsi="Times New Roman"/>
          <w:sz w:val="21"/>
          <w:szCs w:val="21"/>
          <w:u w:val="single" w:color="auto"/>
          <w:color w:val="auto"/>
        </w:rPr>
        <w:t>Royalty Term</w:t>
      </w:r>
      <w:r>
        <w:rPr>
          <w:rFonts w:ascii="Times New Roman" w:cs="Times New Roman" w:eastAsia="Times New Roman" w:hAnsi="Times New Roman"/>
          <w:sz w:val="21"/>
          <w:szCs w:val="21"/>
          <w:color w:val="auto"/>
        </w:rPr>
        <w:t>”). Following the expiration of the Royalty Term for a Product in a given country, Annual Net Sales of such Product in such country will be excluded from Annual Net Sales for purposes of determining the Royalties due hereunder.</w:t>
      </w:r>
    </w:p>
    <w:p>
      <w:pPr>
        <w:spacing w:after="0" w:line="170" w:lineRule="exact"/>
        <w:rPr>
          <w:rFonts w:ascii="Times New Roman" w:cs="Times New Roman" w:eastAsia="Times New Roman" w:hAnsi="Times New Roman"/>
          <w:sz w:val="21"/>
          <w:szCs w:val="21"/>
          <w:color w:val="auto"/>
        </w:rPr>
      </w:pPr>
    </w:p>
    <w:p>
      <w:pPr>
        <w:jc w:val="both"/>
        <w:ind w:firstLine="1705"/>
        <w:spacing w:after="0" w:line="235" w:lineRule="auto"/>
        <w:tabs>
          <w:tab w:leader="none" w:pos="2129"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First Commercial Sale, for each calendar quarter until the expiration of the last to expire Royalty Term, Buyer will give Seller a written statement of the Royalties due with respect to a such calendar quarter within [**] after the end of such calendar quarter (each, a “</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xml:space="preserve">”), which Royalty Report will include the Annual Net Sales of Products subject to Royalties sold by Buyer and its Affiliates and its and their licensees in the Territory during the reporting period and the Royalties payable on Annual Net Sales under this Agreement in accordance with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Following receipt of such statement, Seller will promptly, but no more than [**] from receipt of the Royalty Report, submit an invoice to Buyer for the full amount of the corresponding Royalty payable under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and Buyer will pay such amount no later than the date that is [**] after the receipt of such invoice.</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2.8</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In addition to any other remedies available to Seller, any failure by Buyer to make a payment within [**] after the date when due shall obligate Buyer to pay computed interest, the interest period commencing on the due date and ending on the actual payment date, to Seller at a per annum rate equal to the lower of (i) [**] percent ([**]%) or (ii) the Prime Rate, provided that such rate shall not in any event exceed the highest rate allowed by Law..</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2.9</w:t>
      </w: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Each Party shall calculate all amounts, and perform other accounting procedures required, under this Agreement and applicable to it in accordance with GAAP.</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2.10</w:t>
      </w:r>
      <w:r>
        <w:rPr>
          <w:rFonts w:ascii="Times New Roman" w:cs="Times New Roman" w:eastAsia="Times New Roman" w:hAnsi="Times New Roman"/>
          <w:sz w:val="22"/>
          <w:szCs w:val="22"/>
          <w:u w:val="single" w:color="auto"/>
          <w:color w:val="auto"/>
        </w:rPr>
        <w:t>Records and Audit Rights</w:t>
      </w:r>
      <w:r>
        <w:rPr>
          <w:rFonts w:ascii="Times New Roman" w:cs="Times New Roman" w:eastAsia="Times New Roman" w:hAnsi="Times New Roman"/>
          <w:sz w:val="22"/>
          <w:szCs w:val="22"/>
          <w:color w:val="auto"/>
        </w:rPr>
        <w:t>. Buyer will and will cause its Affiliates and its and their licensees to, keep complete and accurate financial books and records pertaining to the Exploitation of Products hereunder (including Annual Net Sales of Products) to the extent required to calculate and verify all amounts payable hereunder. Buyer will, and will cause its Affiliates and its and their licensees to, retain such books and records for [**] after the end of the period to which such books and records pertain or for such longer period as may be required by applicable Law. Seller, at its own cost, through an independent auditor reasonably acceptable to Buyer (and who has executed an appropriate confidentiality agreement reasonably acceptable to Buyer that requires the auditor to keep any information learned by it confidential except as needed to report its audit conclusions to Seller), may inspect and audit the relevant records of Buyer pertaining to the calculation of any Milestone Consideration and Royalties due to Seller under this Agreement. Buyer will provide such auditors with access to the records during reasonable business hours.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8" w:name="page309"/>
    <w:bookmarkEnd w:id="308"/>
    <w:p>
      <w:pPr>
        <w:jc w:val="both"/>
        <w:spacing w:after="0" w:line="233" w:lineRule="auto"/>
        <w:rPr>
          <w:sz w:val="20"/>
          <w:szCs w:val="20"/>
          <w:color w:val="auto"/>
        </w:rPr>
      </w:pPr>
      <w:r>
        <w:rPr>
          <w:rFonts w:ascii="Times New Roman" w:cs="Times New Roman" w:eastAsia="Times New Roman" w:hAnsi="Times New Roman"/>
          <w:sz w:val="22"/>
          <w:szCs w:val="22"/>
          <w:color w:val="auto"/>
        </w:rPr>
        <w:t>access need not be given to any such set of records more often than [**] or more than [**] after the date of any report to be audited. Seller will provide Buyer with written notice of its election to inspect and audit the records related to the Milestone Consideration and Royalties due hereunder not less than [**] prior to the proposed date of review of Buyer’s records by Seller’s auditors. Should the auditor find any underpayment of Milestone Consideration or Royalties by Buyer to Seller, Buyer will (a) promptly pay Seller the amount of such underpayment; (b) if such underpayment equals or exceeds the higher of (i) [**] Dollars ($[**]) or (ii) [**] percent ([**]%) of Milestone Consideration or Royalties paid during the time period audited, reimburse Seller for the cost of the audit; and (c) provide such auditors with an audit right exercisable within [**] after Seller receives the audit report. If the auditor finds an overpayment by Buyer, then Buyer will have the right to deduct the overpayment from any future Milestone Consideration or Royalties due to Seller by Buyer or, if no such future Milestone Consideration or Royalties are payable, then Seller will refund the overpayment to Buyer within [**] after Seller receives the audit report. Buyer may designate competitively sensitive information which such auditor may see and review but which it may not disclose to Seller; provided, however, that such designation will not restrict the auditor’s investigation or conclusions.</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2.11</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In accordance with Section 1060 of the Code and the methodology set forth on Schedule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Buyer will prepare an allocation of the purchase price (the “</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and provide a draft IRS Form 8594 to Seller no later than [**] after the Closing Date. Seller shall review in good faith the Purchase Price Allocation and IRS Form 8594 prepared by Buyer and shall have the opportunity to provide reasonable comments to Buyer within [**] of receipt thereof. The Parties shall cooperate in good faith to resolve any disagreements regarding the Purchase Price Allocation or IRS Form 8594. Buyer and Seller will file all Tax Returns (including IRS Form 8594) in a manner consistent with the Purchase Price Allocation, as finally determined, unless otherwise required by applicable Law or a Taxing Authority. In the event that the Purchase Price Allocation is disputed by any Governmental Authority, the Party receiving notice of the dispute will promptly notify the other Party in writing of such notice and resolution of the dispute.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2.12</w:t>
      </w:r>
      <w:r>
        <w:rPr>
          <w:rFonts w:ascii="Times New Roman" w:cs="Times New Roman" w:eastAsia="Times New Roman" w:hAnsi="Times New Roman"/>
          <w:sz w:val="22"/>
          <w:szCs w:val="22"/>
          <w:u w:val="single" w:color="auto"/>
          <w:color w:val="auto"/>
        </w:rPr>
        <w:t>Voting Agreement</w:t>
      </w:r>
      <w:r>
        <w:rPr>
          <w:rFonts w:ascii="Times New Roman" w:cs="Times New Roman" w:eastAsia="Times New Roman" w:hAnsi="Times New Roman"/>
          <w:sz w:val="22"/>
          <w:szCs w:val="22"/>
          <w:color w:val="auto"/>
        </w:rPr>
        <w:t xml:space="preserve">. If, and only if, Buyer elects to pay any Milestone Consideration to Seller in the form of Solid Shares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then, prior to the first issuance of any Solid Shares as Milestone Consideration (the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 Consideration Issuance</w:t>
      </w:r>
      <w:r>
        <w:rPr>
          <w:rFonts w:ascii="Times New Roman" w:cs="Times New Roman" w:eastAsia="Times New Roman" w:hAnsi="Times New Roman"/>
          <w:sz w:val="22"/>
          <w:szCs w:val="22"/>
          <w:color w:val="auto"/>
        </w:rPr>
        <w:t>”), Buyer and Seller will enter into a mutually agreeable voting rights agreement, in substantially the form attached hereto as Exhibit C (the “</w:t>
      </w:r>
      <w:r>
        <w:rPr>
          <w:rFonts w:ascii="Times New Roman" w:cs="Times New Roman" w:eastAsia="Times New Roman" w:hAnsi="Times New Roman"/>
          <w:sz w:val="22"/>
          <w:szCs w:val="22"/>
          <w:u w:val="single" w:color="auto"/>
          <w:color w:val="auto"/>
        </w:rPr>
        <w:t>Voting Rights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10"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 xml:space="preserve">Except as set forth in the Seller Disclosure Schedules, Seller represents and warrants to Buyer as of the date hereof (or, if applicable, as of such earlier date as may be set forth in any representation and warranty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09" w:name="page310"/>
    <w:bookmarkEnd w:id="309"/>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Section 3.1</w:t>
      </w:r>
      <w:r>
        <w:rPr>
          <w:rFonts w:ascii="Times New Roman" w:cs="Times New Roman" w:eastAsia="Times New Roman" w:hAnsi="Times New Roman"/>
          <w:sz w:val="21"/>
          <w:szCs w:val="21"/>
          <w:u w:val="single" w:color="auto"/>
          <w:color w:val="auto"/>
        </w:rPr>
        <w:t>Organization, Standing and Power</w:t>
      </w:r>
      <w:r>
        <w:rPr>
          <w:rFonts w:ascii="Times New Roman" w:cs="Times New Roman" w:eastAsia="Times New Roman" w:hAnsi="Times New Roman"/>
          <w:sz w:val="21"/>
          <w:szCs w:val="21"/>
          <w:color w:val="auto"/>
        </w:rPr>
        <w:t>. Seller is a limited liability company, duly organized, and validly existing, under the Laws of the State of Delaware, and has all requisite power and authority to own, lease or otherwise hold and operate its properties and other assets and to carry on its business as presently conducted. Seller is duly qualified or licensed to do business and is in good standing (in jurisdictions that recognize the concept of good standing) in each jurisdiction in which the nature of its business or the ownership, leasing or operation of its properties makes such qualification or licensing necessary. Seller has made available to Buyer, prior to the execution of this Agreement, complete and accurate copies of Seller’s Certificate of Formation, dated September 9, 2020 (“</w:t>
      </w:r>
      <w:r>
        <w:rPr>
          <w:rFonts w:ascii="Times New Roman" w:cs="Times New Roman" w:eastAsia="Times New Roman" w:hAnsi="Times New Roman"/>
          <w:sz w:val="21"/>
          <w:szCs w:val="21"/>
          <w:u w:val="single" w:color="auto"/>
          <w:color w:val="auto"/>
        </w:rPr>
        <w:t>Seller’s Certificate of Formation</w:t>
      </w:r>
      <w:r>
        <w:rPr>
          <w:rFonts w:ascii="Times New Roman" w:cs="Times New Roman" w:eastAsia="Times New Roman" w:hAnsi="Times New Roman"/>
          <w:sz w:val="21"/>
          <w:szCs w:val="21"/>
          <w:color w:val="auto"/>
        </w:rPr>
        <w:t>”) and its Amended and Restated Limited Liability Company Agreement, dated [**] (“</w:t>
      </w:r>
      <w:r>
        <w:rPr>
          <w:rFonts w:ascii="Times New Roman" w:cs="Times New Roman" w:eastAsia="Times New Roman" w:hAnsi="Times New Roman"/>
          <w:sz w:val="21"/>
          <w:szCs w:val="21"/>
          <w:u w:val="single" w:color="auto"/>
          <w:color w:val="auto"/>
        </w:rPr>
        <w:t>Seller’s Operating Agreement</w:t>
      </w:r>
      <w:r>
        <w:rPr>
          <w:rFonts w:ascii="Times New Roman" w:cs="Times New Roman" w:eastAsia="Times New Roman" w:hAnsi="Times New Roman"/>
          <w:sz w:val="21"/>
          <w:szCs w:val="21"/>
          <w:color w:val="auto"/>
        </w:rPr>
        <w:t>”), in each case as amended as of the date hereof. Seller is not in violation of any of the provisions of Seller’s Certificate of Formation or Seller’s Operating Agreement. Seller’s Certificate of Formation and Seller’s Operating Agreement have not been amended or modified. Seller does not have, and has never had, any Subsidiaries, and none of its Affiliates holds any properties, interests, assets or rights that are used or held for use in, or necessary for the conduct of the Business or the Purchased Assets, including the Exploitation of the Products.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22"/>
          <w:szCs w:val="22"/>
          <w:u w:val="single" w:color="auto"/>
          <w:color w:val="auto"/>
        </w:rPr>
        <w:t>Authority; Noncontravention.</w:t>
      </w:r>
    </w:p>
    <w:p>
      <w:pPr>
        <w:spacing w:after="0" w:line="206" w:lineRule="exact"/>
        <w:rPr>
          <w:sz w:val="20"/>
          <w:szCs w:val="20"/>
          <w:color w:val="auto"/>
        </w:rPr>
      </w:pPr>
    </w:p>
    <w:p>
      <w:pPr>
        <w:jc w:val="both"/>
        <w:ind w:firstLine="1705"/>
        <w:spacing w:after="0" w:line="235" w:lineRule="auto"/>
        <w:tabs>
          <w:tab w:leader="none" w:pos="2129"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all requisite power and authority to execute and deliver this Agreement and the Related Documents and to consummate the Contemplated Transactions. The execution and delivery of this Agreement and the Related Documents by Seller and the consummation by Seller of the Contemplated Transactions have been duly authorized by all necessary action on the part of Seller and no other proceedings on the part of Seller are necessary to authorize this Agreement, the Related Documents or to consummate the Contemplated Transactions. Each of this Agreement and the Related Documents has been duly executed and delivered by Seller and, assuming the due authorization, execution and delivery by Buyer, constitutes a legal, valid and binding obligation of Seller, Enforceable against Seller in accordance with its terms.</w:t>
      </w:r>
    </w:p>
    <w:p>
      <w:pPr>
        <w:spacing w:after="0" w:line="183" w:lineRule="exact"/>
        <w:rPr>
          <w:rFonts w:ascii="Times New Roman" w:cs="Times New Roman" w:eastAsia="Times New Roman" w:hAnsi="Times New Roman"/>
          <w:sz w:val="22"/>
          <w:szCs w:val="22"/>
          <w:color w:val="auto"/>
        </w:rPr>
      </w:pPr>
    </w:p>
    <w:p>
      <w:pPr>
        <w:jc w:val="both"/>
        <w:ind w:firstLine="1705"/>
        <w:spacing w:after="0" w:line="247" w:lineRule="auto"/>
        <w:tabs>
          <w:tab w:leader="none" w:pos="2129"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managers of Seller, by unanimous written consent, duly adopted resolutions: (i) approving and declaring advisable this Agreement, the other Related Documents and the Contemplated Transactions, (ii) declaring that it is in the best interests of the members of Seller that Seller enter into this Agreement and the Related Documents and consummate the Contemplated Transactions on the terms and subject to the conditions set forth in this Agreement or such Related Documents,</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8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authorizing Seller to enter into this Agreement and to consummate the Contemplated Transactions, on the terms and subject to the conditions set forth in this Agreement and the Related Documents, (iv) directing that this Agreement and the other Related Documents be submitted to the members of Seller at a meeting or by written consent in lieu of a meeting for a vote for adopting this Agreement and the Related Documents and approving the Contemplated Transactions, and (v) recommending that the members of Seller vote to approve and adopt this Agreement and the Related Documents and approve the Contemplated Transactions, which resolutions have not been subsequently rescinded, modified or withdrawn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0" w:name="page311"/>
    <w:bookmarkEnd w:id="310"/>
    <w:p>
      <w:pPr>
        <w:jc w:val="both"/>
        <w:ind w:firstLine="1705"/>
        <w:spacing w:after="0" w:line="235" w:lineRule="auto"/>
        <w:tabs>
          <w:tab w:leader="none" w:pos="2129"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votes or consent of holders of any class or series of membership units necessary to approve and adopt this Agreement, the Related Documents and the Contemplated Transactions pursuant to the provisions of Seller’s Certificate of Formation, Seller’s Operating Agreement and applicable Law are the affirmative votes or consent of the Requisite Preferred Members (as defined in Seller’s Operating Agreement) (the “</w:t>
      </w:r>
      <w:r>
        <w:rPr>
          <w:rFonts w:ascii="Times New Roman" w:cs="Times New Roman" w:eastAsia="Times New Roman" w:hAnsi="Times New Roman"/>
          <w:sz w:val="22"/>
          <w:szCs w:val="22"/>
          <w:u w:val="single" w:color="auto"/>
          <w:color w:val="auto"/>
        </w:rPr>
        <w:t>Member Approval</w:t>
      </w:r>
      <w:r>
        <w:rPr>
          <w:rFonts w:ascii="Times New Roman" w:cs="Times New Roman" w:eastAsia="Times New Roman" w:hAnsi="Times New Roman"/>
          <w:sz w:val="22"/>
          <w:szCs w:val="22"/>
          <w:color w:val="auto"/>
        </w:rPr>
        <w:t>”). On the date hereof, Seller has obtained the Member Approval and delivered to Buyer a copy of such Member Approval dated on the date hereof. No other member approval is required on behalf of Seller for the execution, delivery or performance of this Agreement, the other Related Documents and the Contemplated Transactions.</w:t>
      </w:r>
    </w:p>
    <w:p>
      <w:pPr>
        <w:spacing w:after="0" w:line="183" w:lineRule="exact"/>
        <w:rPr>
          <w:rFonts w:ascii="Times New Roman" w:cs="Times New Roman" w:eastAsia="Times New Roman" w:hAnsi="Times New Roman"/>
          <w:sz w:val="22"/>
          <w:szCs w:val="22"/>
          <w:color w:val="auto"/>
        </w:rPr>
      </w:pPr>
    </w:p>
    <w:p>
      <w:pPr>
        <w:jc w:val="both"/>
        <w:ind w:firstLine="1705"/>
        <w:spacing w:after="0" w:line="234" w:lineRule="auto"/>
        <w:tabs>
          <w:tab w:leader="none" w:pos="2129"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Related Documents by Seller do not, and the consummation of the Contemplated Transactions and compliance by Seller with the provisions of this Agreement and the Related Documents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Lien (other than a Permitted Lien) in or upon the Purchased Assets under, or give rise to any payment under or any increased, additional, accelerated or guaranteed rights or entitlements under, or require any action by or notice to any Person under, (i) Seller’s Certificate of Formation or Seller’s Operating Agreement, (ii) any Contract to which Seller is a party or any of its properties or other assets is subject or (iii) any Law or Order applicable to Seller, the Business or the Purchased Assets.</w:t>
      </w:r>
    </w:p>
    <w:p>
      <w:pPr>
        <w:spacing w:after="0" w:line="183" w:lineRule="exact"/>
        <w:rPr>
          <w:rFonts w:ascii="Times New Roman" w:cs="Times New Roman" w:eastAsia="Times New Roman" w:hAnsi="Times New Roman"/>
          <w:sz w:val="22"/>
          <w:szCs w:val="22"/>
          <w:color w:val="auto"/>
        </w:rPr>
      </w:pPr>
    </w:p>
    <w:p>
      <w:pPr>
        <w:jc w:val="both"/>
        <w:ind w:right="20" w:firstLine="1705"/>
        <w:spacing w:after="0" w:line="249" w:lineRule="auto"/>
        <w:tabs>
          <w:tab w:leader="none" w:pos="2129"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consent, approval, Order or authorization of, action by or in respect of, or registration, declaration or filing with, any Governmental Authority is required by or with respect to Seller, the Business or the Purchased Assets for, or in connection with, (i) the execution and delivery of this Agreement by Seller, (ii) the transfer of the Purchased Assets to Buyer or</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Contemplated Transactions.</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3.3</w:t>
      </w:r>
      <w:r>
        <w:rPr>
          <w:rFonts w:ascii="Times New Roman" w:cs="Times New Roman" w:eastAsia="Times New Roman" w:hAnsi="Times New Roman"/>
          <w:sz w:val="22"/>
          <w:szCs w:val="22"/>
          <w:u w:val="single" w:color="auto"/>
          <w:color w:val="auto"/>
        </w:rPr>
        <w:t>No Undisclosed Liabilities; Debt</w:t>
      </w:r>
      <w:r>
        <w:rPr>
          <w:rFonts w:ascii="Times New Roman" w:cs="Times New Roman" w:eastAsia="Times New Roman" w:hAnsi="Times New Roman"/>
          <w:sz w:val="22"/>
          <w:szCs w:val="22"/>
          <w:color w:val="auto"/>
        </w:rPr>
        <w:t>. There are no Liabilities of Seller arising out of or related to the Business or the Purchased Assets of any kind whatsoever, whether accrued, fixed, absolute, contingent, known, unknown, determined, determinable or otherwise. Seller does not have any Liability in respect of a guarantee of any debt or other Liability of any other Person or entity related to the Purchased Assets.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3.4</w:t>
      </w:r>
      <w:r>
        <w:rPr>
          <w:rFonts w:ascii="Times New Roman" w:cs="Times New Roman" w:eastAsia="Times New Roman" w:hAnsi="Times New Roman"/>
          <w:sz w:val="22"/>
          <w:szCs w:val="22"/>
          <w:u w:val="single" w:color="auto"/>
          <w:color w:val="auto"/>
        </w:rPr>
        <w:t>Good Title; Sufficiency of Assets.</w:t>
      </w:r>
    </w:p>
    <w:p>
      <w:pPr>
        <w:spacing w:after="0" w:line="206" w:lineRule="exact"/>
        <w:rPr>
          <w:sz w:val="20"/>
          <w:szCs w:val="20"/>
          <w:color w:val="auto"/>
        </w:rPr>
      </w:pPr>
    </w:p>
    <w:p>
      <w:pPr>
        <w:jc w:val="both"/>
        <w:ind w:firstLine="1705"/>
        <w:spacing w:after="0" w:line="235" w:lineRule="auto"/>
        <w:tabs>
          <w:tab w:leader="none" w:pos="2129"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sole and exclusive, good and marketable title to, or, in the case of property held under a lease or other Contract, an Enforceable leasehold interest in, or adequate rights to use, all of the Purchased Assets free and clear of all Liens, other than Permitted Liens. Seller has the power and right to sell, assign, transfer and deliver to Buyer, as applicable, all of Seller’s right, title and interest in and to the Purchased Assets. To Seller’s Knowledge, there are no adverse claims of ownership to the Owned Intellectual Property and Seller has not received written notice that any Person has asserted a claim of ownership in or to any of the Owned Intellectual Property. At the Closing, Buyer will acquire from Seller sole and exclusive, good and marketable title to, or, in the case of property held under a lease or other Contract, an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1" w:name="page312"/>
    <w:bookmarkEnd w:id="31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leasehold interest in, or adequate rights to use, all of the Purchased Assets, free and clear of all Liens, other than Permitted Liens. Seller does not own, nor has ever owned any, real property. This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is not, and shall not be construed as, a representation or warranty regarding non-infringement or misappropriation by the Seller of the Intellectual Property Rights of any other Persons (which representation and warranty is provided in Section 3.6(d)).</w:t>
      </w:r>
    </w:p>
    <w:p>
      <w:pPr>
        <w:spacing w:after="0" w:line="180" w:lineRule="exact"/>
        <w:rPr>
          <w:sz w:val="20"/>
          <w:szCs w:val="20"/>
          <w:color w:val="auto"/>
        </w:rPr>
      </w:pPr>
    </w:p>
    <w:p>
      <w:pPr>
        <w:jc w:val="both"/>
        <w:ind w:firstLine="1705"/>
        <w:spacing w:after="0" w:line="235" w:lineRule="auto"/>
        <w:tabs>
          <w:tab w:leader="none" w:pos="212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Purchased Assets constitute all properties, interests, assets and rights of Seller used or held for use in connection with, and that are necessary for the conduct of, the Business as currently conducted by Seller (other than the Excluded Assets). None of the Excluded Assets are used or held for use in connection with the Business. Without limiting the foregoing, the Assigned Agreements are all Contracts used or held for use by Seller or any Affiliate in connection with the Exploitation of any Product. This </w:t>
      </w:r>
      <w:r>
        <w:rPr>
          <w:rFonts w:ascii="Times New Roman" w:cs="Times New Roman" w:eastAsia="Times New Roman" w:hAnsi="Times New Roman"/>
          <w:sz w:val="22"/>
          <w:szCs w:val="22"/>
          <w:u w:val="single" w:color="auto"/>
          <w:color w:val="auto"/>
        </w:rPr>
        <w:t>Section 3.4(b)</w:t>
      </w:r>
      <w:r>
        <w:rPr>
          <w:rFonts w:ascii="Times New Roman" w:cs="Times New Roman" w:eastAsia="Times New Roman" w:hAnsi="Times New Roman"/>
          <w:sz w:val="22"/>
          <w:szCs w:val="22"/>
          <w:color w:val="auto"/>
        </w:rPr>
        <w:t xml:space="preserve"> is not, and shall not be construed as, a representation or warranty regarding non-infringement or misappropriation by Seller of the Intellectual Property Rights of any other Persons (which representation and warranty is provided in </w:t>
      </w:r>
      <w:r>
        <w:rPr>
          <w:rFonts w:ascii="Times New Roman" w:cs="Times New Roman" w:eastAsia="Times New Roman" w:hAnsi="Times New Roman"/>
          <w:sz w:val="22"/>
          <w:szCs w:val="22"/>
          <w:u w:val="single" w:color="auto"/>
          <w:color w:val="auto"/>
        </w:rPr>
        <w:t>Section 3.6(d)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Section 3.5</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Annex 1.1(a)</w:t>
      </w:r>
      <w:r>
        <w:rPr>
          <w:rFonts w:ascii="Times New Roman" w:cs="Times New Roman" w:eastAsia="Times New Roman" w:hAnsi="Times New Roman"/>
          <w:sz w:val="22"/>
          <w:szCs w:val="22"/>
          <w:color w:val="auto"/>
        </w:rPr>
        <w:t xml:space="preserve"> describes, as of the date hereof, a complete and accurate list of all material Books and Records.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3.6</w:t>
      </w:r>
      <w:r>
        <w:rPr>
          <w:rFonts w:ascii="Times New Roman" w:cs="Times New Roman" w:eastAsia="Times New Roman" w:hAnsi="Times New Roman"/>
          <w:sz w:val="22"/>
          <w:szCs w:val="22"/>
          <w:u w:val="single" w:color="auto"/>
          <w:color w:val="auto"/>
        </w:rPr>
        <w:t>Intellectual Property.</w:t>
      </w:r>
    </w:p>
    <w:p>
      <w:pPr>
        <w:spacing w:after="0" w:line="206" w:lineRule="exact"/>
        <w:rPr>
          <w:sz w:val="20"/>
          <w:szCs w:val="20"/>
          <w:color w:val="auto"/>
        </w:rPr>
      </w:pPr>
    </w:p>
    <w:p>
      <w:pPr>
        <w:jc w:val="both"/>
        <w:ind w:firstLine="1705"/>
        <w:spacing w:after="0" w:line="244" w:lineRule="auto"/>
        <w:tabs>
          <w:tab w:leader="none" w:pos="212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Seller’s Knowledge, </w:t>
      </w:r>
      <w:r>
        <w:rPr>
          <w:rFonts w:ascii="Times New Roman" w:cs="Times New Roman" w:eastAsia="Times New Roman" w:hAnsi="Times New Roman"/>
          <w:sz w:val="22"/>
          <w:szCs w:val="22"/>
          <w:u w:val="single" w:color="auto"/>
          <w:color w:val="auto"/>
        </w:rPr>
        <w:t>Annex 1.1(c)</w:t>
      </w:r>
      <w:r>
        <w:rPr>
          <w:rFonts w:ascii="Times New Roman" w:cs="Times New Roman" w:eastAsia="Times New Roman" w:hAnsi="Times New Roman"/>
          <w:sz w:val="22"/>
          <w:szCs w:val="22"/>
          <w:color w:val="auto"/>
        </w:rPr>
        <w:t xml:space="preserve"> sets forth, as of the date hereof, a complete and accurate list of all Seller Intellectual Property, including, where applicable, the registration number, expiration date, country or territory, registrant and owner of record in respect of each such item of Seller Intellectual Property, other than the Excluded Assets.</w:t>
      </w:r>
    </w:p>
    <w:p>
      <w:pPr>
        <w:spacing w:after="0" w:line="173" w:lineRule="exact"/>
        <w:rPr>
          <w:rFonts w:ascii="Times New Roman" w:cs="Times New Roman" w:eastAsia="Times New Roman" w:hAnsi="Times New Roman"/>
          <w:sz w:val="22"/>
          <w:szCs w:val="22"/>
          <w:color w:val="auto"/>
        </w:rPr>
      </w:pPr>
    </w:p>
    <w:p>
      <w:pPr>
        <w:jc w:val="both"/>
        <w:ind w:firstLine="1705"/>
        <w:spacing w:after="0" w:line="233" w:lineRule="auto"/>
        <w:tabs>
          <w:tab w:leader="none" w:pos="212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owns all rights, title and interests in and to, or has and has had a valid written license to use all Seller Intellectual Property (including the right to make, have made, sell and have sold all Products), and has the right to transfer to Buyer or its Affiliates under the terms of this Agreement, all of Seller’s right, title and interest in and to the Seller Intellectual Property free and clear of all Liens, other than Permitted Liens. Other than the Excluded Assets, immediately following the Closing, Buyer will have the same rights, interest, and title in and to each item of Seller Intellectual Property as held by Seller immediately prior to the Closing, in each case, without the payment of any additional amounts or consideration other than fees, royalties or payments which Seller would otherwise have been required to pay had the Contemplated Transactions not occurred, which right, interest and title in and to any Seller Intellectual Property other than Owned Intellectual Property, is on the terms, and subject to the conditions set forth in the applicable Assigned Agreement governing such Seller Intellectual Property. To Seller’s Knowledge, Seller Intellectual Property includes all of the Intellectual Property Rights and Technology, respectively, that is owned or Controlled by Seller and used in the Business.</w:t>
      </w:r>
    </w:p>
    <w:p>
      <w:pPr>
        <w:spacing w:after="0" w:line="187" w:lineRule="exact"/>
        <w:rPr>
          <w:rFonts w:ascii="Times New Roman" w:cs="Times New Roman" w:eastAsia="Times New Roman" w:hAnsi="Times New Roman"/>
          <w:sz w:val="22"/>
          <w:szCs w:val="22"/>
          <w:color w:val="auto"/>
        </w:rPr>
      </w:pPr>
    </w:p>
    <w:p>
      <w:pPr>
        <w:jc w:val="both"/>
        <w:ind w:firstLine="1705"/>
        <w:spacing w:after="0" w:line="261" w:lineRule="auto"/>
        <w:tabs>
          <w:tab w:leader="none" w:pos="2129"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is in compliance with and has not breached, violated or defaulted under, or received written notice that it has breached, violated or defaulted under, any of the terms or conditions of any license, sublicense or other Assigned Agreement to which Seller is a party or is otherwise bound relating to any of Seller Intellectual Property (including any prior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2" w:name="page313"/>
    <w:bookmarkEnd w:id="312"/>
    <w:p>
      <w:pPr>
        <w:spacing w:after="0" w:line="258" w:lineRule="auto"/>
        <w:rPr>
          <w:sz w:val="20"/>
          <w:szCs w:val="20"/>
          <w:color w:val="auto"/>
        </w:rPr>
      </w:pPr>
      <w:r>
        <w:rPr>
          <w:rFonts w:ascii="Times New Roman" w:cs="Times New Roman" w:eastAsia="Times New Roman" w:hAnsi="Times New Roman"/>
          <w:sz w:val="22"/>
          <w:szCs w:val="22"/>
          <w:color w:val="auto"/>
        </w:rPr>
        <w:t>unamended versions of such Assigned Agreement), nor has there been or is there any event or occurrence that would constitute such a breach, violation or default (with or without the lapse of time, giving of notice or both).</w:t>
      </w:r>
    </w:p>
    <w:p>
      <w:pPr>
        <w:spacing w:after="0" w:line="158" w:lineRule="exact"/>
        <w:rPr>
          <w:sz w:val="20"/>
          <w:szCs w:val="20"/>
          <w:color w:val="auto"/>
        </w:rPr>
      </w:pPr>
    </w:p>
    <w:p>
      <w:pPr>
        <w:ind w:firstLine="1705"/>
        <w:spacing w:after="0" w:line="235" w:lineRule="auto"/>
        <w:tabs>
          <w:tab w:leader="none" w:pos="2129"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Seller, in the conduct of the Business, has not infringed, diluted, misappropriated or otherwise violated and is not infringing, diluting, misappropriating or otherwise violating (including with respect to the development, marketing, license, manufacture, distribution, advertising, use, sale, maintenance, support or other Exploitation by Seller of the Products or its Intellectual Property Rights) the Intellectual Property Rights of any other Person. To Seller’s Knowledge, no Person or Persons has infringed, diluted, misappropriated or otherwise violated or is or are infringing, diluting, misappropriating or otherwise violating Seller Intellectual Property. Seller has not agreed to indemnify any Person for or against any interference, infringement, misappropriation or other conflict with respect to the Intellectual Property Rights of any other Person in connection with the Products or the conduct of the Business.</w:t>
      </w:r>
    </w:p>
    <w:p>
      <w:pPr>
        <w:spacing w:after="0" w:line="178" w:lineRule="exact"/>
        <w:rPr>
          <w:rFonts w:ascii="Times New Roman" w:cs="Times New Roman" w:eastAsia="Times New Roman" w:hAnsi="Times New Roman"/>
          <w:sz w:val="22"/>
          <w:szCs w:val="22"/>
          <w:color w:val="auto"/>
        </w:rPr>
      </w:pPr>
    </w:p>
    <w:p>
      <w:pPr>
        <w:jc w:val="both"/>
        <w:ind w:firstLine="1705"/>
        <w:spacing w:after="0" w:line="247" w:lineRule="auto"/>
        <w:tabs>
          <w:tab w:leader="none" w:pos="2129"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claims have been asserted or threatened by any Person against Seller in writing, and nor to Seller’s Knowledge, does there exist any valid basis for such a claim, with respect to: (i) challenging the ownership, licensing or use of any Seller Intellectual Property; (ii) any actual or potential infringement, dilution, misappropriation or unauthorized use of Seller Intellectual Property by Seller; (iii) any actual or potential infringement, dilution, misappropriation or unauthorized use of any Third Party’s Intellectual Property Rights with respect to any Seller Intellectual Property or the Products; (iv) the validity or enforceability of any Seller Intellectual Property; or (v) asserting that the operation of the Business, including the development, marketing, license, manufacture, distribution, advertising, use, sale, maintenance, support or other Exploitation of the Products by Seller prior to the Closing infringes, dilutes, misappropriates or otherwise violated any Intellectual Property Right of any Person.</w:t>
      </w:r>
    </w:p>
    <w:p>
      <w:pPr>
        <w:spacing w:after="0" w:line="171" w:lineRule="exact"/>
        <w:rPr>
          <w:rFonts w:ascii="Times New Roman" w:cs="Times New Roman" w:eastAsia="Times New Roman" w:hAnsi="Times New Roman"/>
          <w:sz w:val="21"/>
          <w:szCs w:val="21"/>
          <w:color w:val="auto"/>
        </w:rPr>
      </w:pPr>
    </w:p>
    <w:p>
      <w:pPr>
        <w:jc w:val="both"/>
        <w:ind w:firstLine="1705"/>
        <w:spacing w:after="0" w:line="246" w:lineRule="auto"/>
        <w:tabs>
          <w:tab w:leader="none" w:pos="2129"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the registered Seller Intellectual Property is subsisting, valid and enforceable, and have been duly registered or filed with or issued by each appropriate Governmental Authority. To Seller’s Knowledge, all necessary filing, examination, registration, maintenance and renewal fees currently due in connection with such registered Seller Intellectual Property have been made, and all necessary documents, proofs of working or use, recordations, affidavits, and certificates in connection with such registered Seller Intellectual Property have been timely filed with the relevant authorities in the United States or applicable foreign jurisdictions, as the case may be, for the purposes of prosecuting, registering or maintaining such registered Seller Intellectual Property. To Seller’s Knowledge, the registered Seller Intellectual Property has not expired or been declared invalid, in whole or in part, by any Governmental Authority, and is not subject to any interference, opposition, reissue, reexamination, cancellation or other similar proceeding which challenge the validity or ownership of such registered Seller Intellectual Property. There are no pending or published Patents within the Owned Intellectual Property.</w:t>
      </w:r>
    </w:p>
    <w:p>
      <w:pPr>
        <w:spacing w:after="0" w:line="170" w:lineRule="exact"/>
        <w:rPr>
          <w:rFonts w:ascii="Times New Roman" w:cs="Times New Roman" w:eastAsia="Times New Roman" w:hAnsi="Times New Roman"/>
          <w:sz w:val="21"/>
          <w:szCs w:val="21"/>
          <w:color w:val="auto"/>
        </w:rPr>
      </w:pPr>
    </w:p>
    <w:p>
      <w:pPr>
        <w:jc w:val="both"/>
        <w:ind w:firstLine="1705"/>
        <w:spacing w:after="0" w:line="244" w:lineRule="auto"/>
        <w:tabs>
          <w:tab w:leader="none" w:pos="2129"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 current or former employee or consultant of Seller owns any rights, title or interests in or to any Owned Intellectual Property or the Products. All current and former employees and consultants of Seller and its Affiliates who contributed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3" w:name="page314"/>
    <w:bookmarkEnd w:id="313"/>
    <w:p>
      <w:pPr>
        <w:jc w:val="both"/>
        <w:spacing w:after="0" w:line="244" w:lineRule="auto"/>
        <w:rPr>
          <w:sz w:val="20"/>
          <w:szCs w:val="20"/>
          <w:color w:val="auto"/>
        </w:rPr>
      </w:pPr>
      <w:r>
        <w:rPr>
          <w:rFonts w:ascii="Times New Roman" w:cs="Times New Roman" w:eastAsia="Times New Roman" w:hAnsi="Times New Roman"/>
          <w:sz w:val="22"/>
          <w:szCs w:val="22"/>
          <w:color w:val="auto"/>
        </w:rPr>
        <w:t>the discovery, creation or development of any Seller Intellectual Property or Products have executed a valid and enforceable written Contract which assigned to Seller all of his or her rights in or to the relevant Seller Intellectual Property or Products and agreed to confidentiality restrictions restricting such Person’s right to use or disclose proprietary information of Seller.</w:t>
      </w:r>
    </w:p>
    <w:p>
      <w:pPr>
        <w:spacing w:after="0" w:line="173" w:lineRule="exact"/>
        <w:rPr>
          <w:sz w:val="20"/>
          <w:szCs w:val="20"/>
          <w:color w:val="auto"/>
        </w:rPr>
      </w:pPr>
    </w:p>
    <w:p>
      <w:pPr>
        <w:jc w:val="both"/>
        <w:ind w:firstLine="1705"/>
        <w:spacing w:after="0" w:line="236" w:lineRule="auto"/>
        <w:tabs>
          <w:tab w:leader="none" w:pos="212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used commercially reasonable efforts and taken commercially necessary steps to protect its rights in Seller Intellectual Property and to maintain its Trade Secrets constituting the Owned Intellectual Property in confidence, including requiring all employees, consultants or contractors of Seller to execute confidentiality agreements with respect to intellectual property developed for or obtained from Seller. Seller has not made any of its Trade Secrets or other confidential or proprietary information available to any other Person except pursuant to written agreements requiring such Person to maintain the confidentiality of such information.</w:t>
      </w:r>
    </w:p>
    <w:p>
      <w:pPr>
        <w:spacing w:after="0" w:line="181" w:lineRule="exact"/>
        <w:rPr>
          <w:rFonts w:ascii="Times New Roman" w:cs="Times New Roman" w:eastAsia="Times New Roman" w:hAnsi="Times New Roman"/>
          <w:sz w:val="22"/>
          <w:szCs w:val="22"/>
          <w:color w:val="auto"/>
        </w:rPr>
      </w:pPr>
    </w:p>
    <w:p>
      <w:pPr>
        <w:jc w:val="both"/>
        <w:ind w:right="20" w:firstLine="1705"/>
        <w:spacing w:after="0" w:line="244" w:lineRule="auto"/>
        <w:tabs>
          <w:tab w:leader="none" w:pos="212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UPenn, no college, university or other educational or research institution or agency, Governmental Authority or other organization has sponsored research or development conducted by Seller or has any claim of right or license to, or ownership of, or other Lien, other than Permitted Liens, upon any Owned Intellectual Property.</w:t>
      </w:r>
    </w:p>
    <w:p>
      <w:pPr>
        <w:spacing w:after="0" w:line="173" w:lineRule="exact"/>
        <w:rPr>
          <w:rFonts w:ascii="Times New Roman" w:cs="Times New Roman" w:eastAsia="Times New Roman" w:hAnsi="Times New Roman"/>
          <w:sz w:val="22"/>
          <w:szCs w:val="22"/>
          <w:color w:val="auto"/>
        </w:rPr>
      </w:pPr>
    </w:p>
    <w:p>
      <w:pPr>
        <w:ind w:firstLine="1705"/>
        <w:spacing w:after="0" w:line="258" w:lineRule="auto"/>
        <w:tabs>
          <w:tab w:leader="none" w:pos="212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Products have not been offered for sale or sold to any Person. To Seller’s Knowledge, no inventions disclosed or claimed in any Owned Intellectual Property have been offered for sale or sold to any Person.</w:t>
      </w:r>
    </w:p>
    <w:p>
      <w:pPr>
        <w:spacing w:after="0" w:line="158" w:lineRule="exact"/>
        <w:rPr>
          <w:rFonts w:ascii="Times New Roman" w:cs="Times New Roman" w:eastAsia="Times New Roman" w:hAnsi="Times New Roman"/>
          <w:sz w:val="22"/>
          <w:szCs w:val="22"/>
          <w:color w:val="auto"/>
        </w:rPr>
      </w:pPr>
    </w:p>
    <w:p>
      <w:pPr>
        <w:ind w:right="20" w:firstLine="1705"/>
        <w:spacing w:after="0" w:line="258" w:lineRule="auto"/>
        <w:tabs>
          <w:tab w:leader="none" w:pos="212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other than the UPenn License, no license or right to any Intellectual Property Right of any Third Party is necessary for to Exploit the FA Asset.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3.7</w:t>
      </w:r>
      <w:r>
        <w:rPr>
          <w:rFonts w:ascii="Times New Roman" w:cs="Times New Roman" w:eastAsia="Times New Roman" w:hAnsi="Times New Roman"/>
          <w:sz w:val="22"/>
          <w:szCs w:val="22"/>
          <w:u w:val="single" w:color="auto"/>
          <w:color w:val="auto"/>
        </w:rPr>
        <w:t>Compliance with Law; Regulatory Approvals.</w:t>
      </w:r>
    </w:p>
    <w:p>
      <w:pPr>
        <w:spacing w:after="0" w:line="206" w:lineRule="exact"/>
        <w:rPr>
          <w:sz w:val="20"/>
          <w:szCs w:val="20"/>
          <w:color w:val="auto"/>
        </w:rPr>
      </w:pPr>
    </w:p>
    <w:p>
      <w:pPr>
        <w:jc w:val="both"/>
        <w:ind w:firstLine="1705"/>
        <w:spacing w:after="0" w:line="239" w:lineRule="auto"/>
        <w:tabs>
          <w:tab w:leader="none" w:pos="2129"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 Business and the Purchased Assets have been and are conducted, used and developed in all material respects in compliance with all applicable Law. Seller has not received any notice from any Governmental Authority or other Person in writing to the effect that Seller or any of the Purchased Assets is not, or may not be, in compliance with any Law.</w:t>
      </w:r>
    </w:p>
    <w:p>
      <w:pPr>
        <w:spacing w:after="0" w:line="180" w:lineRule="exact"/>
        <w:rPr>
          <w:rFonts w:ascii="Times New Roman" w:cs="Times New Roman" w:eastAsia="Times New Roman" w:hAnsi="Times New Roman"/>
          <w:sz w:val="22"/>
          <w:szCs w:val="22"/>
          <w:color w:val="auto"/>
        </w:rPr>
      </w:pPr>
    </w:p>
    <w:p>
      <w:pPr>
        <w:jc w:val="both"/>
        <w:ind w:right="20" w:firstLine="1705"/>
        <w:spacing w:after="0" w:line="238" w:lineRule="auto"/>
        <w:tabs>
          <w:tab w:leader="none" w:pos="2129"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and has at all times been in possession of, and in material compliance with, all Regulatory Approvals required for the conduct of the Business as of the Closing Date. Each such Regulatory Approval is valid and in full force and effect, and Seller has not received any notice of and, to Seller’s Knowledge, there is not pending or threatened any suspension, cancellation, modification, termination, revocation, or nonrenewal of any Regulatory Approval. There has occurred no material default (by Seller) under, or violation (by Seller) of, any Regulatory Approval.</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3.8</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to which Seller (or members or managers, directors, officers, employees or agents of Seller in its, his, or her capacity as such and to the extent such Actions relate to Seller) is a party (either as plaintiff or defendant) or to which its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4" w:name="page315"/>
    <w:bookmarkEnd w:id="314"/>
    <w:p>
      <w:pPr>
        <w:jc w:val="both"/>
        <w:spacing w:after="0" w:line="235" w:lineRule="auto"/>
        <w:rPr>
          <w:sz w:val="20"/>
          <w:szCs w:val="20"/>
          <w:color w:val="auto"/>
        </w:rPr>
      </w:pPr>
      <w:r>
        <w:rPr>
          <w:rFonts w:ascii="Times New Roman" w:cs="Times New Roman" w:eastAsia="Times New Roman" w:hAnsi="Times New Roman"/>
          <w:sz w:val="22"/>
          <w:szCs w:val="22"/>
          <w:color w:val="auto"/>
        </w:rPr>
        <w:t>Assets are or may be subject that is pending, or, to Seller’s Knowledge, threatened, that affects or, if successful, could reasonably be expected to be adverse to Seller, the Business, the Products, the Purchased Assets or the Assumed Liabilities or that, if successful, could reasonably be expected to result in restraining, enjoining or otherwise preventing the completion by Seller of the Contemplated Transactions, nor are there, to Seller’s Knowledge, any facts, circumstances or conditions on which any such Action could be brought in the future. There is no Action in respect of Seller that (a) resulted in an Order of any Governmental Authority against or settlement by Seller (whether or not such Order or settlement was paid, in whole or in part, by an insurer of Seller or other Third Party) or (b) resulted in any equitable relief or (c) relates to the Contemplated Transactions. There is no Action which Seller presently intends to initiate.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3.9</w:t>
      </w:r>
      <w:r>
        <w:rPr>
          <w:rFonts w:ascii="Times New Roman" w:cs="Times New Roman" w:eastAsia="Times New Roman" w:hAnsi="Times New Roman"/>
          <w:sz w:val="22"/>
          <w:szCs w:val="22"/>
          <w:u w:val="single" w:color="auto"/>
          <w:color w:val="auto"/>
        </w:rPr>
        <w:t>Taxes.</w:t>
      </w:r>
    </w:p>
    <w:p>
      <w:pPr>
        <w:spacing w:after="0" w:line="206" w:lineRule="exact"/>
        <w:rPr>
          <w:sz w:val="20"/>
          <w:szCs w:val="20"/>
          <w:color w:val="auto"/>
        </w:rPr>
      </w:pPr>
    </w:p>
    <w:p>
      <w:pPr>
        <w:jc w:val="both"/>
        <w:ind w:firstLine="1705"/>
        <w:spacing w:after="0" w:line="239" w:lineRule="auto"/>
        <w:tabs>
          <w:tab w:leader="none" w:pos="212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timely and properly filed all income and other material Tax Returns with respect to the Business and the Purchased Assets that are required to be filed and timely and properly paid all Taxes due and payable with respect to the Business and the Purchased Assets (whether or not shown as due and owing on such Tax Returns). All such Tax Returns are true, complete, and accurate in all material respects and prepared in accordance with applicable Law.</w:t>
      </w:r>
    </w:p>
    <w:p>
      <w:pPr>
        <w:spacing w:after="0" w:line="180"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liens for Taxes upon any of the Purchased Assets other than liens for Taxes not yet due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payable.</w:t>
      </w:r>
    </w:p>
    <w:p>
      <w:pPr>
        <w:spacing w:after="0" w:line="182" w:lineRule="exact"/>
        <w:rPr>
          <w:rFonts w:ascii="Times New Roman" w:cs="Times New Roman" w:eastAsia="Times New Roman" w:hAnsi="Times New Roman"/>
          <w:sz w:val="21"/>
          <w:szCs w:val="21"/>
          <w:color w:val="auto"/>
        </w:rPr>
      </w:pPr>
    </w:p>
    <w:p>
      <w:pPr>
        <w:jc w:val="both"/>
        <w:ind w:firstLine="1705"/>
        <w:spacing w:after="0" w:line="238" w:lineRule="auto"/>
        <w:tabs>
          <w:tab w:leader="none" w:pos="212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Seller is not the subject of an audit, investigation, or other proceeding relating to the payment of or failure to pay any amount of Taxes with respect to the Business or the Purchased Assets, and Seller has not received written notice from any Taxing Authority that such an audit, investigation, or other proceeding will be initiated in the future. No private letter rulings, technical advice memoranda, or similar agreement or rulings relating to Taxes have been requested, entered into or issued by any Taxing Authority with or in respect of Seller.</w:t>
      </w:r>
    </w:p>
    <w:p>
      <w:pPr>
        <w:spacing w:after="0" w:line="176" w:lineRule="exact"/>
        <w:rPr>
          <w:rFonts w:ascii="Times New Roman" w:cs="Times New Roman" w:eastAsia="Times New Roman" w:hAnsi="Times New Roman"/>
          <w:sz w:val="22"/>
          <w:szCs w:val="22"/>
          <w:color w:val="auto"/>
        </w:rPr>
      </w:pPr>
    </w:p>
    <w:p>
      <w:pPr>
        <w:ind w:right="20" w:firstLine="1705"/>
        <w:spacing w:after="0" w:line="258" w:lineRule="auto"/>
        <w:tabs>
          <w:tab w:leader="none" w:pos="212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entered into an agreement or waiver extending any statute of limitations relating to the assessment, payment or collection of a material amount of Taxes that that is currently in effect.</w:t>
      </w:r>
    </w:p>
    <w:p>
      <w:pPr>
        <w:spacing w:after="0" w:line="158" w:lineRule="exact"/>
        <w:rPr>
          <w:rFonts w:ascii="Times New Roman" w:cs="Times New Roman" w:eastAsia="Times New Roman" w:hAnsi="Times New Roman"/>
          <w:sz w:val="22"/>
          <w:szCs w:val="22"/>
          <w:color w:val="auto"/>
        </w:rPr>
      </w:pPr>
    </w:p>
    <w:p>
      <w:pPr>
        <w:jc w:val="both"/>
        <w:ind w:firstLine="1705"/>
        <w:spacing w:after="0" w:line="239" w:lineRule="auto"/>
        <w:tabs>
          <w:tab w:leader="none" w:pos="212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required to be deducted or withheld and paid in connection with amounts paid or owing to any current or former employee, independent contractor, partner, member, manager, creditor, equity holder or other Person or by Seller have been so deducted or withheld and timely paid over to the appropriate Taxing Authority, and all associated reporting and recordkeeping requirements have been complied with in all material respects.</w:t>
      </w:r>
    </w:p>
    <w:p>
      <w:pPr>
        <w:spacing w:after="0" w:line="180" w:lineRule="exact"/>
        <w:rPr>
          <w:rFonts w:ascii="Times New Roman" w:cs="Times New Roman" w:eastAsia="Times New Roman" w:hAnsi="Times New Roman"/>
          <w:sz w:val="22"/>
          <w:szCs w:val="22"/>
          <w:color w:val="auto"/>
        </w:rPr>
      </w:pPr>
    </w:p>
    <w:p>
      <w:pPr>
        <w:ind w:right="20" w:firstLine="1705"/>
        <w:spacing w:after="0" w:line="258" w:lineRule="auto"/>
        <w:tabs>
          <w:tab w:leader="none" w:pos="212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has been made to Seller by any Taxing Authority in a jurisdiction where Seller does not file Tax Returns that Seller is subject to taxation by or required to file Tax Returns in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5" w:name="page316"/>
    <w:bookmarkEnd w:id="315"/>
    <w:p>
      <w:pPr>
        <w:jc w:val="both"/>
        <w:ind w:left="-760" w:firstLine="1705"/>
        <w:spacing w:after="0" w:line="238" w:lineRule="auto"/>
        <w:tabs>
          <w:tab w:leader="none" w:pos="136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been a member of an “</w:t>
      </w:r>
      <w:r>
        <w:rPr>
          <w:rFonts w:ascii="Times New Roman" w:cs="Times New Roman" w:eastAsia="Times New Roman" w:hAnsi="Times New Roman"/>
          <w:sz w:val="22"/>
          <w:szCs w:val="22"/>
          <w:u w:val="single" w:color="auto"/>
          <w:color w:val="auto"/>
        </w:rPr>
        <w:t>affiliated group</w:t>
      </w:r>
      <w:r>
        <w:rPr>
          <w:rFonts w:ascii="Times New Roman" w:cs="Times New Roman" w:eastAsia="Times New Roman" w:hAnsi="Times New Roman"/>
          <w:sz w:val="22"/>
          <w:szCs w:val="22"/>
          <w:color w:val="auto"/>
        </w:rPr>
        <w:t xml:space="preserve">” within the meaning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1504(a) of the Code filing a consolidated federal income Tax Return or any other group filing or required to file Tax Returns on a combined, consolidated or unitary basis. Seller is not party to any Contract relating to Tax sharing or Tax allocation. Seller has no Liability for the Taxes of any Person under Treasury Regulation 1.1502-6 (or any similar provision of state, local or foreign Law), as a transferee or successor, by Contract or otherwise.</w:t>
      </w:r>
    </w:p>
    <w:p>
      <w:pPr>
        <w:spacing w:after="0" w:line="176" w:lineRule="exact"/>
        <w:rPr>
          <w:rFonts w:ascii="Times New Roman" w:cs="Times New Roman" w:eastAsia="Times New Roman" w:hAnsi="Times New Roman"/>
          <w:sz w:val="22"/>
          <w:szCs w:val="22"/>
          <w:color w:val="auto"/>
        </w:rPr>
      </w:pPr>
    </w:p>
    <w:p>
      <w:pPr>
        <w:ind w:left="-760" w:firstLine="1705"/>
        <w:spacing w:after="0" w:line="258" w:lineRule="auto"/>
        <w:tabs>
          <w:tab w:leader="none" w:pos="136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not received any prepaid amount that has been deferred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451(c) of the Code, Revenue Procedure 2004-34, 2004-22 I.R.B. 991 or otherwise.</w:t>
      </w:r>
    </w:p>
    <w:p>
      <w:pPr>
        <w:spacing w:after="0" w:line="158" w:lineRule="exact"/>
        <w:rPr>
          <w:rFonts w:ascii="Times New Roman" w:cs="Times New Roman" w:eastAsia="Times New Roman" w:hAnsi="Times New Roman"/>
          <w:sz w:val="22"/>
          <w:szCs w:val="22"/>
          <w:color w:val="auto"/>
        </w:rPr>
      </w:pPr>
    </w:p>
    <w:p>
      <w:pPr>
        <w:ind w:left="-760" w:firstLine="1705"/>
        <w:spacing w:after="0" w:line="258" w:lineRule="auto"/>
        <w:tabs>
          <w:tab w:leader="none" w:pos="136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been a party to a transaction that is or is substantially similar to a “</w:t>
      </w:r>
      <w:r>
        <w:rPr>
          <w:rFonts w:ascii="Times New Roman" w:cs="Times New Roman" w:eastAsia="Times New Roman" w:hAnsi="Times New Roman"/>
          <w:sz w:val="22"/>
          <w:szCs w:val="22"/>
          <w:u w:val="single" w:color="auto"/>
          <w:color w:val="auto"/>
        </w:rPr>
        <w:t>listed transaction</w:t>
      </w:r>
      <w:r>
        <w:rPr>
          <w:rFonts w:ascii="Times New Roman" w:cs="Times New Roman" w:eastAsia="Times New Roman" w:hAnsi="Times New Roman"/>
          <w:sz w:val="22"/>
          <w:szCs w:val="22"/>
          <w:color w:val="auto"/>
        </w:rPr>
        <w:t>” as defined in Treasury Regulation Section 1.6011-4(b).</w:t>
      </w:r>
    </w:p>
    <w:p>
      <w:pPr>
        <w:spacing w:after="0" w:line="158" w:lineRule="exact"/>
        <w:rPr>
          <w:rFonts w:ascii="Times New Roman" w:cs="Times New Roman" w:eastAsia="Times New Roman" w:hAnsi="Times New Roman"/>
          <w:sz w:val="22"/>
          <w:szCs w:val="22"/>
          <w:color w:val="auto"/>
        </w:rPr>
      </w:pPr>
    </w:p>
    <w:p>
      <w:pPr>
        <w:jc w:val="both"/>
        <w:ind w:left="-760" w:firstLine="1705"/>
        <w:spacing w:after="0" w:line="244" w:lineRule="auto"/>
        <w:tabs>
          <w:tab w:leader="none" w:pos="136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closing agreements, private letter rulings, technical advice memoranda or similar agreements or rulings related to Taxes have been entered into, issued by or requested from any Taxing Authority with or in respect of the Business or the Purchased Assets.</w:t>
      </w:r>
    </w:p>
    <w:p>
      <w:pPr>
        <w:spacing w:after="0" w:line="173" w:lineRule="exact"/>
        <w:rPr>
          <w:rFonts w:ascii="Times New Roman" w:cs="Times New Roman" w:eastAsia="Times New Roman" w:hAnsi="Times New Roman"/>
          <w:sz w:val="22"/>
          <w:szCs w:val="22"/>
          <w:color w:val="auto"/>
        </w:rPr>
      </w:pPr>
    </w:p>
    <w:p>
      <w:pPr>
        <w:jc w:val="both"/>
        <w:ind w:left="-760" w:right="20" w:firstLine="1705"/>
        <w:spacing w:after="0" w:line="244" w:lineRule="auto"/>
        <w:tabs>
          <w:tab w:leader="none" w:pos="136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execution and delivery of this Agreement by Seller nor the consummation of the Contemplated Transactions (alone or together with any other event) will give rise to any payments or benefits that would be nondeductible by the payor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280G of the Code.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3.10</w:t>
      </w:r>
      <w:r>
        <w:rPr>
          <w:rFonts w:ascii="Times New Roman" w:cs="Times New Roman" w:eastAsia="Times New Roman" w:hAnsi="Times New Roman"/>
          <w:sz w:val="22"/>
          <w:szCs w:val="22"/>
          <w:u w:val="single" w:color="auto"/>
          <w:color w:val="auto"/>
        </w:rPr>
        <w:t>FDA Regulatory Matters.</w:t>
      </w:r>
    </w:p>
    <w:p>
      <w:pPr>
        <w:spacing w:after="0" w:line="206" w:lineRule="exact"/>
        <w:rPr>
          <w:sz w:val="20"/>
          <w:szCs w:val="20"/>
          <w:color w:val="auto"/>
        </w:rPr>
      </w:pPr>
    </w:p>
    <w:p>
      <w:pPr>
        <w:jc w:val="both"/>
        <w:ind w:left="-760" w:right="20" w:firstLine="1705"/>
        <w:spacing w:after="0" w:line="244" w:lineRule="auto"/>
        <w:tabs>
          <w:tab w:leader="none" w:pos="1369"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Seller has conducted all Exploitation of Products in material compliance with applicable Laws, including, as applicable, the FDCA, the PHSA, good laboratory practices, good clinical practices, and good manufacturing practices, and all similar applicable Laws of any jurisdiction (collectively, “</w:t>
      </w:r>
      <w:r>
        <w:rPr>
          <w:rFonts w:ascii="Times New Roman" w:cs="Times New Roman" w:eastAsia="Times New Roman" w:hAnsi="Times New Roman"/>
          <w:sz w:val="22"/>
          <w:szCs w:val="22"/>
          <w:u w:val="single" w:color="auto"/>
          <w:color w:val="auto"/>
        </w:rPr>
        <w:t>FDA Laws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firstLine="1705"/>
        <w:spacing w:after="0" w:line="246" w:lineRule="auto"/>
        <w:tabs>
          <w:tab w:leader="none" w:pos="136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all ongoing and completed preclinical studies of any Product and Clinical Trials conducted by Seller have been conducted in all material respects in accordance with all FDA Laws and preclinical study and Clinical Trial protocols. No Clinical Trial conducted by or on behalf of Seller has been placed on full or partial clinical hold or terminated or suspended prior to completion. Seller has not received any notice that any Governmental Authority, investigator, or any review board has, in each case with respect to any Product: (a) refused to approve any preclinical study or Clinical Trial or any substantial amendment to a protocol for any preclinical study or Clinical Trial conducted or proposed to be conducted by Seller; (b) initiated, or threatened to initiate, any action to suspend any preclinical study or Clinical Trial conducted by or on behalf of Seller, or suspend or terminate any application for any Regulatory Approval, or otherwise restrict or delay the preclinical study; or (c) alleged that any preclinical study or Clinical Trial conducted Seller is in violation of FDA Laws.</w:t>
      </w:r>
    </w:p>
    <w:p>
      <w:pPr>
        <w:spacing w:after="0" w:line="175" w:lineRule="exact"/>
        <w:rPr>
          <w:rFonts w:ascii="Times New Roman" w:cs="Times New Roman" w:eastAsia="Times New Roman" w:hAnsi="Times New Roman"/>
          <w:sz w:val="21"/>
          <w:szCs w:val="21"/>
          <w:color w:val="auto"/>
        </w:rPr>
      </w:pPr>
    </w:p>
    <w:p>
      <w:pPr>
        <w:jc w:val="both"/>
        <w:ind w:left="-760" w:firstLine="1705"/>
        <w:spacing w:after="0" w:line="244" w:lineRule="auto"/>
        <w:tabs>
          <w:tab w:leader="none" w:pos="1369"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notice or other correspondence from any Governmental Authority of any pending or threatened claim, suit, proceeding, hearing, enforcement, audit, investigation, or arbitration alleging potential or actual noncompliance by or liability of Seller under any FDA Laws or threatening to withdraw or suspend any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1006475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35" w:right="339" w:bottom="1440" w:gutter="0" w:footer="0" w:header="0"/>
        </w:sectPr>
      </w:pPr>
    </w:p>
    <w:bookmarkStart w:id="316" w:name="page317"/>
    <w:bookmarkEnd w:id="316"/>
    <w:p>
      <w:pPr>
        <w:jc w:val="both"/>
        <w:spacing w:after="0" w:line="239" w:lineRule="auto"/>
        <w:rPr>
          <w:sz w:val="20"/>
          <w:szCs w:val="20"/>
          <w:color w:val="auto"/>
        </w:rPr>
      </w:pPr>
      <w:r>
        <w:rPr>
          <w:rFonts w:ascii="Times New Roman" w:cs="Times New Roman" w:eastAsia="Times New Roman" w:hAnsi="Times New Roman"/>
          <w:sz w:val="22"/>
          <w:szCs w:val="22"/>
          <w:color w:val="auto"/>
        </w:rPr>
        <w:t>Approval or IND Clearance. Seller has not received any notices or other correspondence from any Governmental Authority or review board with respect to the Exploitation of any Product which could prevent Seller from conducting such activities substantially in the manner presently performed or contemplated by Seller and, to Seller’s Knowledge, no Governmental Authority, review board or similar body has threatened any such action.</w:t>
      </w:r>
    </w:p>
    <w:p>
      <w:pPr>
        <w:spacing w:after="0" w:line="180" w:lineRule="exact"/>
        <w:rPr>
          <w:sz w:val="20"/>
          <w:szCs w:val="20"/>
          <w:color w:val="auto"/>
        </w:rPr>
      </w:pPr>
    </w:p>
    <w:p>
      <w:pPr>
        <w:jc w:val="both"/>
        <w:ind w:firstLine="1705"/>
        <w:spacing w:after="0" w:line="244" w:lineRule="auto"/>
        <w:tabs>
          <w:tab w:leader="none" w:pos="212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filed, maintained, and furnished all material reports, documents, registrations, applications, filings, authorizations, claims, and notices required to be filed, maintained, or furnished to FDA or any other Regulatory Authority.</w:t>
      </w:r>
    </w:p>
    <w:p>
      <w:pPr>
        <w:spacing w:after="0" w:line="173" w:lineRule="exact"/>
        <w:rPr>
          <w:rFonts w:ascii="Times New Roman" w:cs="Times New Roman" w:eastAsia="Times New Roman" w:hAnsi="Times New Roman"/>
          <w:sz w:val="22"/>
          <w:szCs w:val="22"/>
          <w:color w:val="auto"/>
        </w:rPr>
      </w:pPr>
    </w:p>
    <w:p>
      <w:pPr>
        <w:jc w:val="both"/>
        <w:ind w:firstLine="1705"/>
        <w:spacing w:after="0" w:line="238" w:lineRule="auto"/>
        <w:tabs>
          <w:tab w:leader="none" w:pos="212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from any Governmental Authority any warning letter, untitled letter, FDA Form 483, prohibition notice, recall notice or equivalent in any jurisdiction with respect to any Product, or any written notice of any pending or threatened civil, criminal, administrative or regulatory claim, suit, proceeding, hearing, enforcement, audit, investigation, arbitration, inquiry, search warrant, subpoena (other than those related to actions against third parties), and there is not pending any allegation that any operation or activity performed by of Seller is in violation of any FDA Laws.</w:t>
      </w:r>
    </w:p>
    <w:p>
      <w:pPr>
        <w:spacing w:after="0" w:line="176" w:lineRule="exact"/>
        <w:rPr>
          <w:rFonts w:ascii="Times New Roman" w:cs="Times New Roman" w:eastAsia="Times New Roman" w:hAnsi="Times New Roman"/>
          <w:sz w:val="22"/>
          <w:szCs w:val="22"/>
          <w:color w:val="auto"/>
        </w:rPr>
      </w:pPr>
    </w:p>
    <w:p>
      <w:pPr>
        <w:jc w:val="both"/>
        <w:ind w:firstLine="1705"/>
        <w:spacing w:after="0" w:line="236" w:lineRule="auto"/>
        <w:tabs>
          <w:tab w:leader="none" w:pos="212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Seller has not made any untrue statement of material fact or fraudulent statement to the FDA or any other Regulatory Authority with respect to any Product, failed to disclose a material fact required to be disclosed to the FDA or any other Regulatory Authority with respect to any Product, or committed an act, made a statement, or failed to make a statement with respect to any Product that could reasonably be expected to provide a basis for the FDA to invoke its policy respecting “Fraud, Untrue Statements of Material Facts, Bribery, and Illegal Gratuities,” set forth in 56 Fed. Reg. 46191 (September 10, 1991) and any amendments thereto or any analogous applicable Laws.</w:t>
      </w:r>
    </w:p>
    <w:p>
      <w:pPr>
        <w:spacing w:after="0" w:line="181" w:lineRule="exact"/>
        <w:rPr>
          <w:rFonts w:ascii="Times New Roman" w:cs="Times New Roman" w:eastAsia="Times New Roman" w:hAnsi="Times New Roman"/>
          <w:sz w:val="22"/>
          <w:szCs w:val="22"/>
          <w:color w:val="auto"/>
        </w:rPr>
      </w:pPr>
    </w:p>
    <w:p>
      <w:pPr>
        <w:jc w:val="both"/>
        <w:ind w:firstLine="1705"/>
        <w:spacing w:after="0" w:line="239" w:lineRule="auto"/>
        <w:tabs>
          <w:tab w:leader="none" w:pos="212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is not debarred, has not been convicted, and is not subject to debarment or conviction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306 of the FDCA or any similar Law. Seller has not used in connection with the Exploitation of any Product, any employee, agent, or independent contractor who has been debarred, or, to Seller’s Knowledge, has been convicted or is the subject of debarment proceedings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306 of the FDCA or any similar Laws.</w:t>
      </w:r>
    </w:p>
    <w:p>
      <w:pPr>
        <w:spacing w:after="0" w:line="180" w:lineRule="exact"/>
        <w:rPr>
          <w:rFonts w:ascii="Times New Roman" w:cs="Times New Roman" w:eastAsia="Times New Roman" w:hAnsi="Times New Roman"/>
          <w:sz w:val="22"/>
          <w:szCs w:val="22"/>
          <w:color w:val="auto"/>
        </w:rPr>
      </w:pPr>
    </w:p>
    <w:p>
      <w:pPr>
        <w:ind w:right="20" w:firstLine="1705"/>
        <w:spacing w:after="0" w:line="258" w:lineRule="auto"/>
        <w:tabs>
          <w:tab w:leader="none" w:pos="212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Seller expressly disclaims, and makes no representation with respect to, any actions taken by or on behalf of UPenn.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3.11</w:t>
      </w:r>
      <w:r>
        <w:rPr>
          <w:rFonts w:ascii="Times New Roman" w:cs="Times New Roman" w:eastAsia="Times New Roman" w:hAnsi="Times New Roman"/>
          <w:sz w:val="22"/>
          <w:szCs w:val="22"/>
          <w:u w:val="single" w:color="auto"/>
          <w:color w:val="auto"/>
        </w:rPr>
        <w:t>Product Inventory.</w:t>
      </w:r>
    </w:p>
    <w:p>
      <w:pPr>
        <w:spacing w:after="0" w:line="206" w:lineRule="exact"/>
        <w:rPr>
          <w:sz w:val="20"/>
          <w:szCs w:val="20"/>
          <w:color w:val="auto"/>
        </w:rPr>
      </w:pPr>
    </w:p>
    <w:p>
      <w:pPr>
        <w:ind w:left="2140" w:hanging="435"/>
        <w:spacing w:after="0"/>
        <w:tabs>
          <w:tab w:leader="none" w:pos="214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Annex 1.1(b)</w:t>
      </w:r>
      <w:r>
        <w:rPr>
          <w:rFonts w:ascii="Times New Roman" w:cs="Times New Roman" w:eastAsia="Times New Roman" w:hAnsi="Times New Roman"/>
          <w:sz w:val="22"/>
          <w:szCs w:val="22"/>
          <w:color w:val="auto"/>
        </w:rPr>
        <w:t xml:space="preserve"> sets forth, as of the date hereof, a list of all Product Inventory.</w:t>
      </w:r>
    </w:p>
    <w:p>
      <w:pPr>
        <w:spacing w:after="0" w:line="206" w:lineRule="exact"/>
        <w:rPr>
          <w:rFonts w:ascii="Times New Roman" w:cs="Times New Roman" w:eastAsia="Times New Roman" w:hAnsi="Times New Roman"/>
          <w:sz w:val="22"/>
          <w:szCs w:val="22"/>
          <w:color w:val="auto"/>
        </w:rPr>
      </w:pPr>
    </w:p>
    <w:p>
      <w:pPr>
        <w:ind w:right="40" w:firstLine="1705"/>
        <w:spacing w:after="0" w:line="258" w:lineRule="auto"/>
        <w:tabs>
          <w:tab w:leader="none" w:pos="2129"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 Product Inventory was manufactured in accordance with the applicable specifications and all applicable Laws, including current good manufacturing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7" w:name="page318"/>
    <w:bookmarkEnd w:id="317"/>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3.12</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No broker, investment banker, financial advisor or other Person is entitled to any broker’s, finder’s, financial advisor’s or other similar fee or commission in connection with the Contemplated Transactions based upon arrangements made by or on behalf of Seller.</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3.13</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Seller (a) is able to pay its debts as they become due, (b) is solvent and will be solvent immediately following the Closing, (c) immediately following the Closing, will possess sufficient assets to discharge its Liabilities, and (d) will, prior to any distribution to members, discharge such Liabilities. Seller is not engaged in business or a transaction, and it is not about to engage in business or a transaction, for which its remaining assets and capital are or will be insufficient to discharge such Liabilities. Seller does not intend to incur, or believe that it will incur, Liabilities that would be beyond its ability to pay as such Liabilities matured. Seller has not entered into this Agreement for the purpose of hindering, delaying or defrauding its creditors.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3.14</w:t>
      </w:r>
      <w:r>
        <w:rPr>
          <w:rFonts w:ascii="Times New Roman" w:cs="Times New Roman" w:eastAsia="Times New Roman" w:hAnsi="Times New Roman"/>
          <w:sz w:val="22"/>
          <w:szCs w:val="22"/>
          <w:u w:val="single" w:color="auto"/>
          <w:color w:val="auto"/>
        </w:rPr>
        <w:t>Contracts.</w:t>
      </w:r>
    </w:p>
    <w:p>
      <w:pPr>
        <w:spacing w:after="0" w:line="206" w:lineRule="exact"/>
        <w:rPr>
          <w:sz w:val="20"/>
          <w:szCs w:val="20"/>
          <w:color w:val="auto"/>
        </w:rPr>
      </w:pPr>
    </w:p>
    <w:p>
      <w:pPr>
        <w:jc w:val="both"/>
        <w:ind w:firstLine="1705"/>
        <w:spacing w:after="0" w:line="244" w:lineRule="auto"/>
        <w:tabs>
          <w:tab w:leader="none" w:pos="2129"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Seller, and, to Seller’s Knowledge, as to any third party, as of the date of this Agreement, each Assigned Agreement is Enforceable in accordance with its terms against Seller and will be Enforceable on identical terms as of immediately following the consummation of the Contemplated Transactions.</w:t>
      </w:r>
    </w:p>
    <w:p>
      <w:pPr>
        <w:spacing w:after="0" w:line="173" w:lineRule="exact"/>
        <w:rPr>
          <w:rFonts w:ascii="Times New Roman" w:cs="Times New Roman" w:eastAsia="Times New Roman" w:hAnsi="Times New Roman"/>
          <w:sz w:val="22"/>
          <w:szCs w:val="22"/>
          <w:color w:val="auto"/>
        </w:rPr>
      </w:pPr>
    </w:p>
    <w:p>
      <w:pPr>
        <w:jc w:val="both"/>
        <w:ind w:firstLine="1705"/>
        <w:spacing w:after="0" w:line="233" w:lineRule="auto"/>
        <w:tabs>
          <w:tab w:leader="none" w:pos="2129"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true, correct and complete copy of each Assigned Agreement has been made available to Buyer and its Representatives. There is no violation, breach, default or delay under any Assigned Agreement by Seller or, to Seller’s Knowledge, by any other party thereto, and no event has occurred or condition exists that with the lapse of time or the giving of notice or both would constitute a default thereunder by Seller or, to Seller’s Knowledge, any other party thereto, and Seller has not received or given notice of any default or claimed or purported or alleged default or state of facts which, with notice or lapse of time or both, would constitute a default on the part of any party in the performance or payment of any Assigned Agreement. No notice, waiver, consent or approval is required (or the lack of which would give rise to a right of termination, cancellation or acceleration of, or entitle any party to accelerate, whether after the giving of notice or lapse of time or both, any obligation under any Assigned Agreement) under or relating to any Assigned Agreement in connection with the execution, delivery and performance of this Agreement or the consummation of the Contemplated Transactions. Each Assigned Agreement was entered, and performance under each Assigned Agreement has been, in compliance with all applicable Law, and there is no Action with respect to the entry or performance under any Assigned Agreement, nor is there, to Seller’s Knowledge, any fact, circumstance or condition on the basis of which any such Action could be brought in the future.</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3.15</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No manager, member, officer, director, employee, equity holder or other Affiliate of Seller, or any individual related by blood, marriage or adoption to any such Person or entity, or to Seller’s Knowledge, any entity in which any such Person or entity owns any beneficial interest, is a party to any Contract or transaction relating to the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8" w:name="page319"/>
    <w:bookmarkEnd w:id="31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3.16</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THE REPRESENTATIONS AND WARRANTIES CONTAINED IN THIS ARTICLE III (AS MODIFIED BY THE SELLER DISCLOSURE LETTER OR ANY ANNEX), IN ANY RELATED DOCUMENT TO WHICH SELLER IS A PARTY OR IN ANY CERTIFICATE DELIVERED HERETO OR THERETO, CONSTITUTE THE EXCLUSIVE REPRESENTATIONS AND WARRANTIES OF SELLER IN CONNECTION WITH, ARISING OUT OF, OR WITH RESPECT TO, THE CONTEMPLATED TRANSACTIONS.</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3.17</w:t>
      </w:r>
      <w:r>
        <w:rPr>
          <w:rFonts w:ascii="Times New Roman" w:cs="Times New Roman" w:eastAsia="Times New Roman" w:hAnsi="Times New Roman"/>
          <w:sz w:val="22"/>
          <w:szCs w:val="22"/>
          <w:u w:val="single" w:color="auto"/>
          <w:color w:val="auto"/>
        </w:rPr>
        <w:t>Non-Reliance</w:t>
      </w:r>
      <w:r>
        <w:rPr>
          <w:rFonts w:ascii="Times New Roman" w:cs="Times New Roman" w:eastAsia="Times New Roman" w:hAnsi="Times New Roman"/>
          <w:sz w:val="22"/>
          <w:szCs w:val="22"/>
          <w:color w:val="auto"/>
        </w:rPr>
        <w:t xml:space="preserve">. SELLER HEREBY ACKNOWLEDGES AND AGREES THAT, EXCEPT FOR THE REPRESENTATIONS AND WARRANTIES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THE OTHER RELATED DOCUMENTS TO WHICH BUYER IS A PARTY AND EACH BUYER REPRESENTATION LETTER (IN EACH CASE, OR IN ANY CERTIFICATE DELIVERED THERETO), NEITHER BUYER NOR ANY OTHER PERSON ON BEHALF OF BUYER MAKES ANY EXPRESS OR IMPLIED REPRESENTATION OR WARRANTY WITH RESPECT TO BUYER, AND (SUBJECT TO THE EXPRESS REPRESENTATIONS AND WARRANTIES OF BUYER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THE OTHER RELATED DOCUMENTS TO WHICH BUYER IS A PARTY AND EACH BUYER REPRESENTATION LETTER (IN EACH CASE, OR IN ANY CERTIFICATE DELIVERED THERETO), IN EACH CASE, AS QUALIFIED AND LIMITED BY THE BUYER DISCLOSURE SCHEDULES, SELLER HAS NOT RELIED ON ANY SUCH INFORMATION (INCLUDING THE ACCURACY OR COMPLETENESS THEREOF). NOTWITHSTANDING THE FOREGOING, NOTHING IN THIS AGREEMENT, INCLUDING IN THIS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SHALL LIMIT THE RIGHTS OF SELLER TO BRING A CLAIM FOR FRAUD.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ind w:left="860" w:right="2940" w:firstLine="2091"/>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REPRESENTATIONS AND WARRANTIES OF BUYER </w:t>
      </w:r>
      <w:r>
        <w:rPr>
          <w:rFonts w:ascii="Times New Roman" w:cs="Times New Roman" w:eastAsia="Times New Roman" w:hAnsi="Times New Roman"/>
          <w:sz w:val="22"/>
          <w:szCs w:val="22"/>
          <w:color w:val="auto"/>
        </w:rPr>
        <w:t>Buyer represents and warrants to Seller as follows:</w:t>
      </w:r>
    </w:p>
    <w:p>
      <w:pPr>
        <w:spacing w:after="0" w:line="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22"/>
          <w:szCs w:val="22"/>
          <w:u w:val="single" w:color="auto"/>
          <w:color w:val="auto"/>
        </w:rPr>
        <w:t>Organization, Standing and Power</w:t>
      </w:r>
      <w:r>
        <w:rPr>
          <w:rFonts w:ascii="Times New Roman" w:cs="Times New Roman" w:eastAsia="Times New Roman" w:hAnsi="Times New Roman"/>
          <w:sz w:val="22"/>
          <w:szCs w:val="22"/>
          <w:color w:val="auto"/>
        </w:rPr>
        <w:t>. Buyer is a corporation duly organized and validly existing under the Laws of the State of Delaware and has all requisite corporate power and authority to carry on its business as now being conducted, except where the failure to have such power or authority or possess such governmental licenses, permits, authorizations or approvals, individually or in the aggregate, has not been and would not reasonably be expected to be material to Buyer, taken as a whole. Buyer is duly qualified or licensed to do business and is in good standing (in jurisdictions that recognize the concept of good standing) in each jurisdiction in which the nature of its business or the ownership, leasing or operation of its properties makes such qualification or licensing necessary, other than in such jurisdictions where the failure to be so qualified or licensed or to be in good standing individually or in the aggregate has not been and would not reasonably be expected to be material to Buyer.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22"/>
          <w:szCs w:val="22"/>
          <w:u w:val="single" w:color="auto"/>
          <w:color w:val="auto"/>
        </w:rPr>
        <w:t>Authority; Noncontravention.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19" w:name="page320"/>
    <w:bookmarkEnd w:id="319"/>
    <w:p>
      <w:pPr>
        <w:jc w:val="both"/>
        <w:ind w:left="-760" w:firstLine="1705"/>
        <w:spacing w:after="0" w:line="235" w:lineRule="auto"/>
        <w:tabs>
          <w:tab w:leader="none" w:pos="1369"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all requisite corporate power and authority to execute and deliver this Agreement and the Related Documents and to consummate the Contemplated Transactions. The execution and delivery of this Agreement and the Related Documents by Buyer and the consummation by Buyer of the Contemplated Transactions have been duly authorized by all necessary corporate action on the part of Buyer and no other corporate proceedings on the part of Buyer are necessary to authorize this Agreement, the Related Documents or to consummate the Contemplated Transactions. Each of this Agreement and the Related Documents has been duly executed and delivered by Buyer and, assuming the due authorization, execution and delivery by Seller, constitutes an Enforceable obligation of Buyer in accordance with its terms.</w:t>
      </w:r>
    </w:p>
    <w:p>
      <w:pPr>
        <w:spacing w:after="0" w:line="183" w:lineRule="exact"/>
        <w:rPr>
          <w:rFonts w:ascii="Times New Roman" w:cs="Times New Roman" w:eastAsia="Times New Roman" w:hAnsi="Times New Roman"/>
          <w:sz w:val="22"/>
          <w:szCs w:val="22"/>
          <w:color w:val="auto"/>
        </w:rPr>
      </w:pPr>
    </w:p>
    <w:p>
      <w:pPr>
        <w:jc w:val="both"/>
        <w:ind w:left="-760" w:firstLine="1705"/>
        <w:spacing w:after="0" w:line="234" w:lineRule="auto"/>
        <w:tabs>
          <w:tab w:leader="none" w:pos="1369"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of this Agreement and the Related Documents by Buyer do not, and the consummation of the Contemplated Transactions and compliance by Buyer with the provisions of this Agreement and the Related Documents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Lien in or upon any of the properties or other assets of Buyer under (i) the certificate of incorporation or bylaws of Buyer, (ii) any Contract to which Buyer is a party or any of its respective properties or other assets is subject or (iii) any Law or Order, except in the cases of clauses (ii) and (iii), where the conflict, violation, breach, default, termination, cancellation, acceleration or creation of a Lien, individually or in the aggregate, would prevent, materially impede or materially delay the consummation by Buyer of the Contemplated Transactions (including the payments required to be made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760" w:right="20" w:firstLine="1705"/>
        <w:spacing w:after="0" w:line="244" w:lineRule="auto"/>
        <w:tabs>
          <w:tab w:leader="none" w:pos="1369"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Order or authorization of, action by or in respect of, or registration, declaration or filing with, any Governmental Authority is required by or with respect to Buyer in connection with the execution and delivery of this Agreement by Buyer or the consummation by Buyer of the Contemplated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22"/>
          <w:szCs w:val="22"/>
          <w:u w:val="single" w:color="auto"/>
          <w:color w:val="auto"/>
        </w:rPr>
        <w:t>Buyer Capitalization; Valid Issuance.</w:t>
      </w:r>
    </w:p>
    <w:p>
      <w:pPr>
        <w:spacing w:after="0" w:line="206" w:lineRule="exact"/>
        <w:rPr>
          <w:sz w:val="20"/>
          <w:szCs w:val="20"/>
          <w:color w:val="auto"/>
        </w:rPr>
      </w:pPr>
    </w:p>
    <w:p>
      <w:pPr>
        <w:jc w:val="both"/>
        <w:ind w:left="-760" w:firstLine="1705"/>
        <w:spacing w:after="0" w:line="244" w:lineRule="auto"/>
        <w:tabs>
          <w:tab w:leader="none" w:pos="136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Buyer consists of 120,000,000 shares of Solid Shares and 10,000,000 shares of Solid Preferred Stock. Buyer’s disclosure of its issued and outstanding capital stock in its most recent SEC Filing containing such disclosure was accurate in all material respects as of the date indicated in such SEC Filing.</w:t>
      </w:r>
    </w:p>
    <w:p>
      <w:pPr>
        <w:spacing w:after="0" w:line="173" w:lineRule="exact"/>
        <w:rPr>
          <w:rFonts w:ascii="Times New Roman" w:cs="Times New Roman" w:eastAsia="Times New Roman" w:hAnsi="Times New Roman"/>
          <w:sz w:val="22"/>
          <w:szCs w:val="22"/>
          <w:color w:val="auto"/>
        </w:rPr>
      </w:pPr>
    </w:p>
    <w:p>
      <w:pPr>
        <w:jc w:val="both"/>
        <w:ind w:left="-760" w:firstLine="1705"/>
        <w:spacing w:after="0" w:line="235" w:lineRule="auto"/>
        <w:tabs>
          <w:tab w:leader="none" w:pos="136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outstanding shares of Solid Capital Stock have been duly authorized and validly issued and are fully paid, non-assessable; none of such shares were issued in violation of any preemptive rights or similar rights; and such shares were issued in compliance in all material respects with applicable state and federal securities laws and any rights of third parties. Except for (a) stock options and restricted stock units approved pursuant to Buyer stock- based compensation plans described in the SEC Filings and (b) warrants disclosed in the SEC Filings, there are no outstanding warrants, options, convertible securities or other rights, agreements or arrangements of any character under which Buyer is or may be obligated to issue any equity securities of any kind, except as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1012825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35" w:right="339" w:bottom="1440" w:gutter="0" w:footer="0" w:header="0"/>
        </w:sectPr>
      </w:pPr>
    </w:p>
    <w:bookmarkStart w:id="320" w:name="page321"/>
    <w:bookmarkEnd w:id="320"/>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4.4</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Buyer has, and at the Closing shall have, sufficient funds, funding options and/or existing liquidity facilities to permit Buyer to consummate the Contemplated Transactions, and with respect to the payment of Royalties and Milestone Consideration, as of the date hereof, Buyer has sufficient funds, funding options and existing liquidity facilities to permit Buyer to pay each Royalty and Milestone Consideration if, as and when payable.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there is no Action pending (or, to the knowledge of Buyer, threatened in writing) against Buyer that would, or would be reasonably likely to materially delay, restrain, prevent, enjoin or otherwise prohibit the execution, delivery and performance by Buyer of this Agreement and the Contemplated Transactions.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22"/>
          <w:szCs w:val="22"/>
          <w:u w:val="single" w:color="auto"/>
          <w:color w:val="auto"/>
        </w:rPr>
        <w:t>No Buyer Vote Required</w:t>
      </w:r>
      <w:r>
        <w:rPr>
          <w:rFonts w:ascii="Times New Roman" w:cs="Times New Roman" w:eastAsia="Times New Roman" w:hAnsi="Times New Roman"/>
          <w:sz w:val="22"/>
          <w:szCs w:val="22"/>
          <w:color w:val="auto"/>
        </w:rPr>
        <w:t xml:space="preserve">. No vote or action of the stockholders of Buyer is required by applicable Law, the Buyer Charter or otherwise, in order for Buyer to consummate the Contemplated Transactions, including the payment or issuance of the Milestone Consideration or payment of Royalties, if and when payable or issuable in accordance with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2.6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2.7, respectively.</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4.7</w:t>
      </w:r>
      <w:r>
        <w:rPr>
          <w:rFonts w:ascii="Times New Roman" w:cs="Times New Roman" w:eastAsia="Times New Roman" w:hAnsi="Times New Roman"/>
          <w:sz w:val="22"/>
          <w:szCs w:val="22"/>
          <w:u w:val="single" w:color="auto"/>
          <w:color w:val="auto"/>
        </w:rPr>
        <w:t>Issuance of Solid Shares</w:t>
      </w:r>
      <w:r>
        <w:rPr>
          <w:rFonts w:ascii="Times New Roman" w:cs="Times New Roman" w:eastAsia="Times New Roman" w:hAnsi="Times New Roman"/>
          <w:sz w:val="22"/>
          <w:szCs w:val="22"/>
          <w:color w:val="auto"/>
        </w:rPr>
        <w:t>. The issuance and delivery of Solid Shares in accordance with this Agreement has been, or will be prior to such issuance, duly authorized by all necessary corporate action on the part of Buyer and, when issued as contemplated hereby, such Solid Shares shall be duly and validly issued, fully paid and nonassessable. Such Solid Shares when so issued and delivered in accordance with the provisions of this Agreement, shall be free and clear of all Liens, other than restrictions on transfer created by applicable securities Laws or the terms of this Agreement and will not have been issued in violation of applicable Laws, applicable Nasdaq rules or regulations, or any preemptive rights or rights of first refusal or similar rights.</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4.8</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financial statements included in each SEC Filing filed prior to the date hereof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Buyer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GAAP (except as may be disclosed therein or in the notes thereto, and except that the unaudited financial statements may not contain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footnotes required by GAAP, and, in the case of quarterly financial statements, except as permitted by Form 10-Q under the Exchange Act). Except as set forth in the financial statements of Buyer included in the SEC Filings filed prior to the date hereof, Buyer has not incurred any liabilities, contingent or otherwise, except those incurred in the ordinary course of business, consistent (as to amount and nature) with past practices since the date of such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1" w:name="page322"/>
    <w:bookmarkEnd w:id="321"/>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Section 4.9</w:t>
      </w:r>
      <w:r>
        <w:rPr>
          <w:rFonts w:ascii="Times New Roman" w:cs="Times New Roman" w:eastAsia="Times New Roman" w:hAnsi="Times New Roman"/>
          <w:sz w:val="22"/>
          <w:szCs w:val="22"/>
          <w:u w:val="single" w:color="auto"/>
          <w:color w:val="auto"/>
        </w:rPr>
        <w:t>Compliance with Nasdaq Continued Listing Requirements</w:t>
      </w:r>
      <w:r>
        <w:rPr>
          <w:rFonts w:ascii="Times New Roman" w:cs="Times New Roman" w:eastAsia="Times New Roman" w:hAnsi="Times New Roman"/>
          <w:sz w:val="22"/>
          <w:szCs w:val="22"/>
          <w:color w:val="auto"/>
        </w:rPr>
        <w:t>. Buyer is in compliance with all applicable Nasdaq continued listing requirements as of the date 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4.10</w:t>
      </w:r>
      <w:r>
        <w:rPr>
          <w:rFonts w:ascii="Times New Roman" w:cs="Times New Roman" w:eastAsia="Times New Roman" w:hAnsi="Times New Roman"/>
          <w:sz w:val="22"/>
          <w:szCs w:val="22"/>
          <w:u w:val="single" w:color="auto"/>
          <w:color w:val="auto"/>
        </w:rPr>
        <w:t>SEC Filings; Securities Law and Other Matters.</w:t>
      </w:r>
    </w:p>
    <w:p>
      <w:pPr>
        <w:spacing w:after="0" w:line="206" w:lineRule="exact"/>
        <w:rPr>
          <w:sz w:val="20"/>
          <w:szCs w:val="20"/>
          <w:color w:val="auto"/>
        </w:rPr>
      </w:pPr>
    </w:p>
    <w:p>
      <w:pPr>
        <w:jc w:val="both"/>
        <w:ind w:firstLine="1705"/>
        <w:spacing w:after="0" w:line="235" w:lineRule="auto"/>
        <w:tabs>
          <w:tab w:leader="none" w:pos="2129"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filed or furnished, as applicable, on a timely basis, all reports, schedules, forms, statements and other documents required to be filed by Buyer under the Securities Act and the Exchange Act, including pursuant to Section 13(a) or 15(d) thereof, for the three-year period preceding the date hereof (collectively, the “</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At the time of filing thereof, the SEC Filings complied as to form in all material respects with the requirements of the Securities Act or the Exchange Act, as applicable, and the rules and regulations of the SEC thereunder, and none of the SEC Filings, when filed or furnished,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eligible to register securities on Form S-3 under the Securities Act.</w:t>
      </w:r>
    </w:p>
    <w:p>
      <w:pPr>
        <w:spacing w:after="0" w:line="206" w:lineRule="exact"/>
        <w:rPr>
          <w:rFonts w:ascii="Times New Roman" w:cs="Times New Roman" w:eastAsia="Times New Roman" w:hAnsi="Times New Roman"/>
          <w:sz w:val="22"/>
          <w:szCs w:val="22"/>
          <w:color w:val="auto"/>
        </w:rPr>
      </w:pPr>
    </w:p>
    <w:p>
      <w:pPr>
        <w:jc w:val="both"/>
        <w:ind w:firstLine="1705"/>
        <w:spacing w:after="0" w:line="238" w:lineRule="auto"/>
        <w:tabs>
          <w:tab w:leader="none" w:pos="2129"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Solid Shares are registered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12(b) of the Exchange Act and are listed on Nasdaq and Buyer has taken no action designed to, and will not take any action to, terminate the registration of the Solid Shares under the Exchange Act or delisting the Solid Shares from Nasdaq in a manner intended to deprive Seller of any consideration payable to Seller in respect of such shares, nor has Buyer received any notification that the SEC or Nasdaq is contemplating terminating such registration or listing.</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4.11</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THE REPRESENTATIONS AND WARRANTIES CONTAINED IN THIS ARTICLE IV (AS MODIFIED BY THE BUYER DISCLOSURE LETTER OR ANY ANNEX), IN ANY RELATED DOCUMENT TO WHICH BUYER IS A PARTY OR IN ANY CERTIFICATE DELIVERED HERETO OR THERETO, CONSTITUTE THE EXCLUSIVE REPRESENTATIONS AND WARRANTIES OF BUYER IN CONNECTION WITH, ARISING OUT OF, OR WITH RESPECT TO, THE CONTEMPLATED TRANSACTIONS.</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4.12</w:t>
      </w:r>
      <w:r>
        <w:rPr>
          <w:rFonts w:ascii="Times New Roman" w:cs="Times New Roman" w:eastAsia="Times New Roman" w:hAnsi="Times New Roman"/>
          <w:sz w:val="22"/>
          <w:szCs w:val="22"/>
          <w:u w:val="single" w:color="auto"/>
          <w:color w:val="auto"/>
        </w:rPr>
        <w:t>Non-Reliance</w:t>
      </w:r>
      <w:r>
        <w:rPr>
          <w:rFonts w:ascii="Times New Roman" w:cs="Times New Roman" w:eastAsia="Times New Roman" w:hAnsi="Times New Roman"/>
          <w:sz w:val="22"/>
          <w:szCs w:val="22"/>
          <w:color w:val="auto"/>
        </w:rPr>
        <w:t xml:space="preserve">. BUYER HEREBY ACKNOWLEDGES AND AGREES THAT, EXCEPT FOR THE REPRESENTATIONS AND WARRANTIES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 THE OTHER RELATED DOCUMENTS TO WHICH SELLER IS A PARTY AND EACH SELLER REPRESENTATION LETTER (IN EACH CASE, OR IN ANY CERTIFICATE DELIVERED THERETO), NEITHER SELLER NOR ANY OTHER PERSON ON BEHALF OF SELLER MAKES ANY EXPRESS OR IMPLIED REPRESENTATION OR WARRANTY WITH RESPECT TO SELLER, AND (SUBJECT TO THE EXPRESS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 THE OTHER RELATED DOCUMENTS TO WHICH SELLER IS A PARTY AND EACH SELLER REPRESENTATION LETTER (IN EACH CASE, OR IN ANY CERTIFICATE DELIVERED THERETO), IN EACH CASE, AS QUALIFIED AND LIMITED BY THE SELLER DISCLOSURE SCHEDULES, BUYER HAS NOT RELIED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2" w:name="page323"/>
    <w:bookmarkEnd w:id="322"/>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ON ANY SUCH INFORMATION (INCLUDING THE ACCURACY OR COMPLETENESS THEREOF). NOTWITHSTANDING THE FOREGOING, NOTHING IN THIS AGREEMENT, INCLUDING IN THIS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SHALL LIMIT THE RIGHTS OF BUYER TO BRING A CLAIM FOR FRAUD.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22"/>
          <w:szCs w:val="22"/>
          <w:u w:val="single" w:color="auto"/>
          <w:color w:val="auto"/>
        </w:rPr>
        <w:t>Diligence Efforts</w:t>
      </w:r>
      <w:r>
        <w:rPr>
          <w:rFonts w:ascii="Times New Roman" w:cs="Times New Roman" w:eastAsia="Times New Roman" w:hAnsi="Times New Roman"/>
          <w:sz w:val="22"/>
          <w:szCs w:val="22"/>
          <w:color w:val="auto"/>
        </w:rPr>
        <w:t>. Buyer, itself or through its Affiliates or licensees, will use Commercially Reasonable Efforts to develop and seek Regulatory Approval for at least one Product in the Field in each of the US Territory and the European Territory and, to the extent that Regulatory Approval is received in the US Territory or the European Territory, to commercialize such Product in the Field in such territory. Buyer shall not knowingly take any action (or fail to take any action) for the primary purpose of avoiding (a) the achievement of any of the Milestone Event or (b) payment of any Milestone Consideration.</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22"/>
          <w:szCs w:val="22"/>
          <w:u w:val="single" w:color="auto"/>
          <w:color w:val="auto"/>
        </w:rPr>
        <w:t>Anti-Shelving</w:t>
      </w:r>
      <w:r>
        <w:rPr>
          <w:rFonts w:ascii="Times New Roman" w:cs="Times New Roman" w:eastAsia="Times New Roman" w:hAnsi="Times New Roman"/>
          <w:sz w:val="22"/>
          <w:szCs w:val="22"/>
          <w:color w:val="auto"/>
        </w:rPr>
        <w:t xml:space="preserve">. In the event Buyer and its Affiliates cease all research, development, and commercialization activities and other Exploitation with respect to any Product for a period of at least [**], and such cessation is not due to a fact, circumstance or requirement outside of Buyer’s reasonable control, including a requirement of a Regulatory Authority, such cessation shall be deemed a material breach of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Seller shall have the right to exercise the Reversion Rights provided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22"/>
          <w:szCs w:val="22"/>
          <w:u w:val="single" w:color="auto"/>
          <w:color w:val="auto"/>
        </w:rPr>
        <w:t>Joint Steering Committee.</w:t>
      </w:r>
    </w:p>
    <w:p>
      <w:pPr>
        <w:spacing w:after="0" w:line="206" w:lineRule="exact"/>
        <w:rPr>
          <w:sz w:val="20"/>
          <w:szCs w:val="20"/>
          <w:color w:val="auto"/>
        </w:rPr>
      </w:pPr>
    </w:p>
    <w:p>
      <w:pPr>
        <w:ind w:left="2140" w:hanging="435"/>
        <w:spacing w:after="0"/>
        <w:tabs>
          <w:tab w:leader="none" w:pos="2140" w:val="left"/>
        </w:tabs>
        <w:numPr>
          <w:ilvl w:val="1"/>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Establishment and Responsibilities. The Parties will establish a joint steering committee (“</w:t>
      </w:r>
      <w:r>
        <w:rPr>
          <w:rFonts w:ascii="Times New Roman" w:cs="Times New Roman" w:eastAsia="Times New Roman" w:hAnsi="Times New Roman"/>
          <w:sz w:val="21"/>
          <w:szCs w:val="21"/>
          <w:u w:val="single" w:color="auto"/>
          <w:color w:val="auto"/>
        </w:rPr>
        <w:t>JSC</w:t>
      </w:r>
      <w:r>
        <w:rPr>
          <w:rFonts w:ascii="Times New Roman" w:cs="Times New Roman" w:eastAsia="Times New Roman" w:hAnsi="Times New Roman"/>
          <w:sz w:val="21"/>
          <w:szCs w:val="21"/>
          <w:color w:val="auto"/>
        </w:rPr>
        <w:t>”) within</w:t>
      </w:r>
    </w:p>
    <w:p>
      <w:pPr>
        <w:spacing w:after="0" w:line="25" w:lineRule="exact"/>
        <w:rPr>
          <w:rFonts w:ascii="Times New Roman" w:cs="Times New Roman" w:eastAsia="Times New Roman" w:hAnsi="Times New Roman"/>
          <w:sz w:val="21"/>
          <w:szCs w:val="21"/>
          <w:color w:val="auto"/>
        </w:rPr>
      </w:pPr>
    </w:p>
    <w:p>
      <w:pPr>
        <w:ind w:firstLine="8"/>
        <w:spacing w:after="0" w:line="237" w:lineRule="auto"/>
        <w:tabs>
          <w:tab w:leader="none" w:pos="41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Date. The JSC will (i) serve as a forum for the exchange of information regarding the development of the FA Asset and Products, and (ii) oversee the conduct of the Technology Transfer.</w:t>
      </w:r>
    </w:p>
    <w:p>
      <w:pPr>
        <w:spacing w:after="0" w:line="178"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Membership.  The JSC will consist of an equal number of representatives for each Party, with at least</w:t>
      </w:r>
    </w:p>
    <w:p>
      <w:pPr>
        <w:spacing w:after="0" w:line="14" w:lineRule="exact"/>
        <w:rPr>
          <w:rFonts w:ascii="Times New Roman" w:cs="Times New Roman" w:eastAsia="Times New Roman" w:hAnsi="Times New Roman"/>
          <w:sz w:val="22"/>
          <w:szCs w:val="22"/>
          <w:color w:val="auto"/>
        </w:rPr>
      </w:pPr>
    </w:p>
    <w:p>
      <w:pPr>
        <w:jc w:val="both"/>
        <w:ind w:right="20" w:firstLine="8"/>
        <w:spacing w:after="0" w:line="234" w:lineRule="auto"/>
        <w:tabs>
          <w:tab w:leader="none" w:pos="42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representatives appointed by each Party. A Party may change any of its representatives on the JSC at any time with a new person (with appropriate expertise to replace the outgoing member) by giving written notice to the other Party. One member of the JSC will serve as secretary of the JSC at each JSC meeting, and the secretary will alternate from meeting to meeting between a Seller member and a Buyer JSC member.</w:t>
      </w:r>
    </w:p>
    <w:p>
      <w:pPr>
        <w:spacing w:after="0" w:line="177" w:lineRule="exact"/>
        <w:rPr>
          <w:rFonts w:ascii="Times New Roman" w:cs="Times New Roman" w:eastAsia="Times New Roman" w:hAnsi="Times New Roman"/>
          <w:sz w:val="22"/>
          <w:szCs w:val="22"/>
          <w:color w:val="auto"/>
        </w:rPr>
      </w:pPr>
    </w:p>
    <w:p>
      <w:pPr>
        <w:jc w:val="both"/>
        <w:ind w:firstLine="1705"/>
        <w:spacing w:after="0" w:line="236" w:lineRule="auto"/>
        <w:tabs>
          <w:tab w:leader="none" w:pos="2129"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Meetings. Once established, the JSC will meet as frequently as Seller and Buyer mutually agree upon as appropriate, but no less than [**] per calendar year. Meetings of the JSC will be effective only if at least one (1) representative of each Party is present or participating. The JSC may meet either (i) in person at either Party’s facilities (alternating between the facilities of Seller and Buyer) or at such locations as the Parties may otherwise agree or (ii) by audio or video teleconference. Other representatives of each Party may attend meetings as non- voting participants, subject to the confidentiality provisions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3" w:name="page324"/>
    <w:bookmarkEnd w:id="323"/>
    <w:p>
      <w:pPr>
        <w:jc w:val="both"/>
        <w:ind w:firstLine="1705"/>
        <w:spacing w:after="0" w:line="236" w:lineRule="auto"/>
        <w:tabs>
          <w:tab w:leader="none" w:pos="2129"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Decision-Making. The JSC will serve as a forum for exchange of information relating to the development of the FA Asset and Products, and will have no decision-making authority. The JSC will not have any power to (i) modify or amend the terms and conditions of this Agreement, (ii) waive either Party’s compliance with, or determine that either Party has or has not fulfilled, the terms and conditions of this Agreement, or (iii) determine any issue in a manner that would conflict with, expand, or reduce the express terms and conditions of this Agreement. Buyer shall consider any comments and recommendations from Seller’s members of the JSC in good faith.</w:t>
      </w:r>
    </w:p>
    <w:p>
      <w:pPr>
        <w:spacing w:after="0" w:line="181" w:lineRule="exact"/>
        <w:rPr>
          <w:rFonts w:ascii="Times New Roman" w:cs="Times New Roman" w:eastAsia="Times New Roman" w:hAnsi="Times New Roman"/>
          <w:sz w:val="22"/>
          <w:szCs w:val="22"/>
          <w:color w:val="auto"/>
        </w:rPr>
      </w:pPr>
    </w:p>
    <w:p>
      <w:pPr>
        <w:jc w:val="both"/>
        <w:ind w:firstLine="1705"/>
        <w:spacing w:after="0" w:line="238" w:lineRule="auto"/>
        <w:tabs>
          <w:tab w:leader="none" w:pos="2129"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of Information</w:t>
      </w:r>
      <w:r>
        <w:rPr>
          <w:rFonts w:ascii="Times New Roman" w:cs="Times New Roman" w:eastAsia="Times New Roman" w:hAnsi="Times New Roman"/>
          <w:sz w:val="22"/>
          <w:szCs w:val="22"/>
          <w:color w:val="auto"/>
        </w:rPr>
        <w:t>. Buyer will keep Seller reasonably informed as to its progress and activities in material aspects relating to the development of the Product in the Territory, by way of updates to JSC at their meetings. In connection therewith, Buyer will provide to Seller high-level progress reports in the form and containing the same substance as provided to UPenn under the UPenn License (with the same frequency as provided thereto), within [**] following the provision of such reports to UPenn.</w:t>
      </w:r>
    </w:p>
    <w:p>
      <w:pPr>
        <w:spacing w:after="0" w:line="176" w:lineRule="exact"/>
        <w:rPr>
          <w:rFonts w:ascii="Times New Roman" w:cs="Times New Roman" w:eastAsia="Times New Roman" w:hAnsi="Times New Roman"/>
          <w:sz w:val="22"/>
          <w:szCs w:val="22"/>
          <w:color w:val="auto"/>
        </w:rPr>
      </w:pPr>
    </w:p>
    <w:p>
      <w:pPr>
        <w:ind w:left="2200" w:hanging="495"/>
        <w:spacing w:after="0"/>
        <w:tabs>
          <w:tab w:leader="none" w:pos="22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Discontinuation</w:t>
      </w:r>
      <w:r>
        <w:rPr>
          <w:rFonts w:ascii="Times New Roman" w:cs="Times New Roman" w:eastAsia="Times New Roman" w:hAnsi="Times New Roman"/>
          <w:sz w:val="22"/>
          <w:szCs w:val="22"/>
          <w:color w:val="auto"/>
        </w:rPr>
        <w:t>.  The JSC will disband and will have no further authority hereunder upon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completion of the [**].</w:t>
      </w:r>
    </w:p>
    <w:p>
      <w:pPr>
        <w:spacing w:after="0" w:line="182" w:lineRule="exact"/>
        <w:rPr>
          <w:rFonts w:ascii="Times New Roman" w:cs="Times New Roman" w:eastAsia="Times New Roman" w:hAnsi="Times New Roman"/>
          <w:sz w:val="22"/>
          <w:szCs w:val="22"/>
          <w:color w:val="auto"/>
        </w:rPr>
      </w:pPr>
    </w:p>
    <w:p>
      <w:pPr>
        <w:ind w:firstLine="1705"/>
        <w:spacing w:after="0" w:line="258" w:lineRule="auto"/>
        <w:tabs>
          <w:tab w:leader="none" w:pos="2169"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Each Party will be responsible for all of its own expenses incurred in connection with participating in the JSC meetings.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22"/>
          <w:szCs w:val="22"/>
          <w:u w:val="single" w:color="auto"/>
          <w:color w:val="auto"/>
        </w:rPr>
        <w:t>Technology Transfer and Assistance.</w:t>
      </w:r>
    </w:p>
    <w:p>
      <w:pPr>
        <w:spacing w:after="0" w:line="206" w:lineRule="exact"/>
        <w:rPr>
          <w:sz w:val="20"/>
          <w:szCs w:val="20"/>
          <w:color w:val="auto"/>
        </w:rPr>
      </w:pPr>
    </w:p>
    <w:p>
      <w:pPr>
        <w:jc w:val="both"/>
        <w:ind w:firstLine="1705"/>
        <w:spacing w:after="0" w:line="233" w:lineRule="auto"/>
        <w:tabs>
          <w:tab w:leader="none" w:pos="2129"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Technology Transfer. Seller will transfer or make available to (or will use commercially reasonable efforts to cause its vendors and contractors to transfer or make available to, as applicable), Buyer or its designee (i) all Books and Records described on </w:t>
      </w:r>
      <w:r>
        <w:rPr>
          <w:rFonts w:ascii="Times New Roman" w:cs="Times New Roman" w:eastAsia="Times New Roman" w:hAnsi="Times New Roman"/>
          <w:sz w:val="22"/>
          <w:szCs w:val="22"/>
          <w:u w:val="single" w:color="auto"/>
          <w:color w:val="auto"/>
        </w:rPr>
        <w:t>Annex 1.1(a)</w:t>
      </w:r>
      <w:r>
        <w:rPr>
          <w:rFonts w:ascii="Times New Roman" w:cs="Times New Roman" w:eastAsia="Times New Roman" w:hAnsi="Times New Roman"/>
          <w:sz w:val="22"/>
          <w:szCs w:val="22"/>
          <w:color w:val="auto"/>
        </w:rPr>
        <w:t xml:space="preserve">, (ii) all Product Inventory set forth on </w:t>
      </w:r>
      <w:r>
        <w:rPr>
          <w:rFonts w:ascii="Times New Roman" w:cs="Times New Roman" w:eastAsia="Times New Roman" w:hAnsi="Times New Roman"/>
          <w:sz w:val="22"/>
          <w:szCs w:val="22"/>
          <w:u w:val="single" w:color="auto"/>
          <w:color w:val="auto"/>
        </w:rPr>
        <w:t>Annex 1.1(b)</w:t>
      </w:r>
      <w:r>
        <w:rPr>
          <w:rFonts w:ascii="Times New Roman" w:cs="Times New Roman" w:eastAsia="Times New Roman" w:hAnsi="Times New Roman"/>
          <w:sz w:val="22"/>
          <w:szCs w:val="22"/>
          <w:color w:val="auto"/>
        </w:rPr>
        <w:t xml:space="preserve">, (iii) all tangible embodiments of the Seller Intellectual Property set forth on </w:t>
      </w:r>
      <w:r>
        <w:rPr>
          <w:rFonts w:ascii="Times New Roman" w:cs="Times New Roman" w:eastAsia="Times New Roman" w:hAnsi="Times New Roman"/>
          <w:sz w:val="22"/>
          <w:szCs w:val="22"/>
          <w:u w:val="single" w:color="auto"/>
          <w:color w:val="auto"/>
        </w:rPr>
        <w:t>Annex 1.1(c)</w:t>
      </w:r>
      <w:r>
        <w:rPr>
          <w:rFonts w:ascii="Times New Roman" w:cs="Times New Roman" w:eastAsia="Times New Roman" w:hAnsi="Times New Roman"/>
          <w:sz w:val="22"/>
          <w:szCs w:val="22"/>
          <w:color w:val="auto"/>
        </w:rPr>
        <w:t xml:space="preserve"> and (iv) the FA Asset sequence set forth on </w:t>
      </w:r>
      <w:r>
        <w:rPr>
          <w:rFonts w:ascii="Times New Roman" w:cs="Times New Roman" w:eastAsia="Times New Roman" w:hAnsi="Times New Roman"/>
          <w:sz w:val="22"/>
          <w:szCs w:val="22"/>
          <w:u w:val="single" w:color="auto"/>
          <w:color w:val="auto"/>
        </w:rPr>
        <w:t>Annex 1.1(d)</w:t>
      </w:r>
      <w:r>
        <w:rPr>
          <w:rFonts w:ascii="Times New Roman" w:cs="Times New Roman" w:eastAsia="Times New Roman" w:hAnsi="Times New Roman"/>
          <w:sz w:val="22"/>
          <w:szCs w:val="22"/>
          <w:color w:val="auto"/>
        </w:rPr>
        <w:t xml:space="preserve">, in each case, to the extent within Seller’s possession and control, promptly following the Closing Date, and in no event more than [**] after the receipt of the consideration set forth in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Technology Transfer</w:t>
      </w:r>
      <w:r>
        <w:rPr>
          <w:rFonts w:ascii="Times New Roman" w:cs="Times New Roman" w:eastAsia="Times New Roman" w:hAnsi="Times New Roman"/>
          <w:sz w:val="22"/>
          <w:szCs w:val="22"/>
          <w:color w:val="auto"/>
        </w:rPr>
        <w:t>”). Seller will effect the Technology Transfer to Buyer (or its applicable designee(s)), through the method of delivery reasonably agreed upon by Seller and Buyer in advance of the Closing, which shall be through (x) electronic delivery or (y) access to Seller’s “</w:t>
      </w:r>
      <w:r>
        <w:rPr>
          <w:rFonts w:ascii="Times New Roman" w:cs="Times New Roman" w:eastAsia="Times New Roman" w:hAnsi="Times New Roman"/>
          <w:sz w:val="22"/>
          <w:szCs w:val="22"/>
          <w:u w:val="single" w:color="auto"/>
          <w:color w:val="auto"/>
        </w:rPr>
        <w:t>data room</w:t>
      </w:r>
      <w:r>
        <w:rPr>
          <w:rFonts w:ascii="Times New Roman" w:cs="Times New Roman" w:eastAsia="Times New Roman" w:hAnsi="Times New Roman"/>
          <w:sz w:val="22"/>
          <w:szCs w:val="22"/>
          <w:color w:val="auto"/>
        </w:rPr>
        <w:t>” or other cloud-based storage software (in the case of (x) and (y), all electronically stored files within Seller’s possession and control must be able to be downloaded by Buyer, and any documents that may require edits or modifications upon transfer to Buyer shall be provided in Microsoft Word format).</w:t>
      </w:r>
    </w:p>
    <w:p>
      <w:pPr>
        <w:spacing w:after="0" w:line="187" w:lineRule="exact"/>
        <w:rPr>
          <w:rFonts w:ascii="Times New Roman" w:cs="Times New Roman" w:eastAsia="Times New Roman" w:hAnsi="Times New Roman"/>
          <w:sz w:val="22"/>
          <w:szCs w:val="22"/>
          <w:color w:val="auto"/>
        </w:rPr>
      </w:pPr>
    </w:p>
    <w:p>
      <w:pPr>
        <w:jc w:val="both"/>
        <w:ind w:firstLine="1705"/>
        <w:spacing w:after="0" w:line="238" w:lineRule="auto"/>
        <w:tabs>
          <w:tab w:leader="none" w:pos="2129"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From the Closing Date until the later of (i) the date of IND Clearance for the first Product by the FDA or (ii) the date that is [**] following the Closing Date, Seller will make available to Buyer or its designees such personnel of Seller as may reasonably be requested by Buyer to assist Buyer in connection with understanding the content, or implementing or using the content, of the Technology Transfer. In addition, at the request of Buyer, Seller will use reasonable efforts to facilitate the (i) cooperation of any Seller vendor or contractor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4" w:name="page325"/>
    <w:bookmarkEnd w:id="324"/>
    <w:p>
      <w:pPr>
        <w:ind w:right="20"/>
        <w:spacing w:after="0" w:line="258" w:lineRule="auto"/>
        <w:rPr>
          <w:sz w:val="20"/>
          <w:szCs w:val="20"/>
          <w:color w:val="auto"/>
        </w:rPr>
      </w:pPr>
      <w:r>
        <w:rPr>
          <w:rFonts w:ascii="Times New Roman" w:cs="Times New Roman" w:eastAsia="Times New Roman" w:hAnsi="Times New Roman"/>
          <w:sz w:val="22"/>
          <w:szCs w:val="22"/>
          <w:color w:val="auto"/>
        </w:rPr>
        <w:t>connection with providing such assistance and (ii) UPenn’s [**], in the case of clause (ii), to the extent not completed prior to the Closing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22"/>
          <w:szCs w:val="22"/>
          <w:u w:val="single" w:color="auto"/>
          <w:color w:val="auto"/>
        </w:rPr>
        <w:t>Confidentiality; Non-Solicitation.</w:t>
      </w:r>
    </w:p>
    <w:p>
      <w:pPr>
        <w:spacing w:after="0" w:line="206" w:lineRule="exact"/>
        <w:rPr>
          <w:sz w:val="20"/>
          <w:szCs w:val="20"/>
          <w:color w:val="auto"/>
        </w:rPr>
      </w:pPr>
    </w:p>
    <w:p>
      <w:pPr>
        <w:ind w:left="2140" w:hanging="435"/>
        <w:spacing w:after="0"/>
        <w:tabs>
          <w:tab w:leader="none" w:pos="21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Buyer and Seller acknowledges that the information provided to them in connection with this Agreement and the consummation of the Contemplated Transactions is subject to the terms of the Confidentiality Agreement. Effective upon, and only upon, the Closing, the Confidentiality Agreement will terminate with respect to information included in or related to the Purchased Assets, and such information will be deemed to have been provided under this Agreement and subject to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will include any and all confidential or proprietary information, whether or not patentable and in any form (written, oral, photographic, electronic, magnetic, or otherwise), including information of Third Parties, that a Party (or an Affiliate or representative of such Party) discloses or otherwise makes available to the other Party (or to an Affiliate or representative of such Party) in connection with this Agreement. Notwithstanding the foregoing, any information, knowledge and data contained or included in the Purchased Assets or related to the Business, including Seller Intellectual Property, will be the Confidential Information of Buyer, regardless of which Party is the disclosing Party with respect to such information, knowledge or data. The terms and conditions of this Agreement will be the Confidential Information of both Parties.</w:t>
      </w:r>
    </w:p>
    <w:p>
      <w:pPr>
        <w:spacing w:after="0" w:line="178"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for a period of [**] following receipt of Confidential Information, it will keep confidential and will not publish or otherwise disclose and will not use for any purpose other than as provided for in this Agreement or any Reversion Agreement (including for the exercise of the rights granted to such Party hereunder) any Confidential Information of the other Party, except to the extent expressly agreed in writing by the other Party. The foregoing confidentiality and non-use obligations will not apply with respect to any information that the receiving Party can demonstrate by competent written proof:</w:t>
      </w:r>
    </w:p>
    <w:p>
      <w:pPr>
        <w:spacing w:after="0" w:line="181" w:lineRule="exact"/>
        <w:rPr>
          <w:sz w:val="20"/>
          <w:szCs w:val="20"/>
          <w:color w:val="auto"/>
        </w:rPr>
      </w:pPr>
    </w:p>
    <w:p>
      <w:pPr>
        <w:jc w:val="both"/>
        <w:ind w:left="2260" w:hanging="6"/>
        <w:spacing w:after="0" w:line="238" w:lineRule="auto"/>
        <w:tabs>
          <w:tab w:leader="none" w:pos="2692"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 the lawful knowledge and possession of the receiving Party prior to the time it was disclosed by the disclosing Party to the receiving Party, or was otherwise developed independently by or for the receiving Party without use of or reference to the disclosing Party’s Confidential Information, as evidenced by written records kept in the ordinary course of business, or other documentary proof of actual use by the receiving Party;</w:t>
      </w:r>
    </w:p>
    <w:p>
      <w:pPr>
        <w:spacing w:after="0" w:line="176" w:lineRule="exact"/>
        <w:rPr>
          <w:rFonts w:ascii="Times New Roman" w:cs="Times New Roman" w:eastAsia="Times New Roman" w:hAnsi="Times New Roman"/>
          <w:sz w:val="22"/>
          <w:szCs w:val="22"/>
          <w:color w:val="auto"/>
        </w:rPr>
      </w:pPr>
    </w:p>
    <w:p>
      <w:pPr>
        <w:ind w:left="2260" w:right="40" w:hanging="6"/>
        <w:spacing w:after="0" w:line="258" w:lineRule="auto"/>
        <w:tabs>
          <w:tab w:leader="none" w:pos="2692"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158" w:lineRule="exact"/>
        <w:rPr>
          <w:rFonts w:ascii="Times New Roman" w:cs="Times New Roman" w:eastAsia="Times New Roman" w:hAnsi="Times New Roman"/>
          <w:sz w:val="22"/>
          <w:szCs w:val="22"/>
          <w:color w:val="auto"/>
        </w:rPr>
      </w:pPr>
    </w:p>
    <w:p>
      <w:pPr>
        <w:ind w:left="2260" w:right="20" w:hanging="6"/>
        <w:spacing w:after="0" w:line="282" w:lineRule="auto"/>
        <w:tabs>
          <w:tab w:leader="none" w:pos="2692"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became generally available to the public or otherwise part of the public domain after its disclosure and other than through any act or omission of the receiving Party in breach of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5" w:name="page326"/>
    <w:bookmarkEnd w:id="325"/>
    <w:p>
      <w:pPr>
        <w:jc w:val="both"/>
        <w:ind w:left="1140" w:hanging="6"/>
        <w:spacing w:after="0" w:line="244" w:lineRule="auto"/>
        <w:tabs>
          <w:tab w:leader="none" w:pos="157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disclosed to the receiving Party, other than under an obligation of confidentiality, by a Third Party who, to the knowledge of the receiving Party, had no obligation to the disclosing Party not to disclose such information to others.</w:t>
      </w:r>
    </w:p>
    <w:p>
      <w:pPr>
        <w:spacing w:after="0" w:line="173" w:lineRule="exact"/>
        <w:rPr>
          <w:sz w:val="20"/>
          <w:szCs w:val="20"/>
          <w:color w:val="auto"/>
        </w:rPr>
      </w:pPr>
    </w:p>
    <w:p>
      <w:pPr>
        <w:jc w:val="both"/>
        <w:ind w:left="-1120" w:firstLine="2254"/>
        <w:spacing w:after="0" w:line="246" w:lineRule="auto"/>
        <w:tabs>
          <w:tab w:leader="none" w:pos="1558" w:val="left"/>
        </w:tabs>
        <w:numPr>
          <w:ilvl w:val="1"/>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Party is required by applicable Law or judicial or administrative process to disclose Confidential Information that is subject to the non-disclosure provisions of this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 xml:space="preserve">, such Party may disclose such Confidential Information as so required; provided, that such Party will to the extent reasonably practicable inform the other Party of the disclosure that is being sought in order to provide such other Party an opportunity to challenge or limit the disclosure obligations, and, if requested by the other Party, cooperate in all reasonable respects with the other Party’s efforts to obtain confidential treatment or a protective order with respect to any such disclosure. Confidential Information that is disclosed as required by applicable Law or by judicial or administrative process will remain otherwise subject to the confidentiality and non-use provisions of this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 and the Party so disclosing Confidential Information will (A) take all steps reasonably necessary to endeavor to ensure the continued confidential treatment of such Confidential Information and (B) disclose such Confidential Information only to the extent required by such applicable Law or judicial or administrative process.</w:t>
      </w:r>
    </w:p>
    <w:p>
      <w:pPr>
        <w:spacing w:after="0" w:line="170" w:lineRule="exact"/>
        <w:rPr>
          <w:rFonts w:ascii="Times New Roman" w:cs="Times New Roman" w:eastAsia="Times New Roman" w:hAnsi="Times New Roman"/>
          <w:sz w:val="21"/>
          <w:szCs w:val="21"/>
          <w:color w:val="auto"/>
        </w:rPr>
      </w:pPr>
    </w:p>
    <w:p>
      <w:pPr>
        <w:jc w:val="both"/>
        <w:ind w:left="-1120" w:firstLine="2254"/>
        <w:spacing w:after="0" w:line="233" w:lineRule="auto"/>
        <w:tabs>
          <w:tab w:leader="none" w:pos="1558"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the receiving Party may disclose the disclosing Party’s Confidential Information if and to the extent such disclosure is reasonably necessary in the following instances: (A) to its actual or potential acquirors, investors, lenders or other similar sources of financing solely for the purpose of evaluating or carrying out an actual or potential investment, loan, financing or acquisition; (B) to its Affiliates, employees, consultants, agents, and, in the case of Buyer, actual or potential licensees or contractors to exercise its rights or perform its obligations in accordance with the terms of this Agreement; and (C) to its external attorneys, independent accountants or financial advisors solely for the purpose of enabling such attorneys, independent accountants or financial advisors to provide advice to it with respect to this Agreement or the activities contemplated hereunder; provided, that in each case ((A) through (C)) such Person is subject to a written agreement containing obligations of confidentiality and non-use at least as stringent as those herein (or without such agreement for recipients that are financial or legal advisors under a professional code of conduct giving rise to an expectation of confidentiality and non-use at least as restrictive as those set forth in this Agreement), and where the applicable disclosure is of the terms of this Agreement, each Party will redact confidential or commercially sensitive information or other information that is not relevant to the purpose of the applicable disclosure.</w:t>
      </w:r>
    </w:p>
    <w:p>
      <w:pPr>
        <w:spacing w:after="0" w:line="182" w:lineRule="exact"/>
        <w:rPr>
          <w:rFonts w:ascii="Times New Roman" w:cs="Times New Roman" w:eastAsia="Times New Roman" w:hAnsi="Times New Roman"/>
          <w:sz w:val="22"/>
          <w:szCs w:val="22"/>
          <w:color w:val="auto"/>
        </w:rPr>
      </w:pPr>
    </w:p>
    <w:p>
      <w:pPr>
        <w:jc w:val="both"/>
        <w:ind w:left="-1120" w:firstLine="1705"/>
        <w:spacing w:after="0" w:line="235" w:lineRule="auto"/>
        <w:tabs>
          <w:tab w:leader="none" w:pos="100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Seller agrees that for a period of [**] commencing upon the Closing Date, Seller will not, directly or indirectly, recruit or otherwise solicit any employee of Buyer or any of its Affiliates (each, a “</w:t>
      </w:r>
      <w:r>
        <w:rPr>
          <w:rFonts w:ascii="Times New Roman" w:cs="Times New Roman" w:eastAsia="Times New Roman" w:hAnsi="Times New Roman"/>
          <w:sz w:val="22"/>
          <w:szCs w:val="22"/>
          <w:u w:val="single" w:color="auto"/>
          <w:color w:val="auto"/>
        </w:rPr>
        <w:t>Business Partner</w:t>
      </w:r>
      <w:r>
        <w:rPr>
          <w:rFonts w:ascii="Times New Roman" w:cs="Times New Roman" w:eastAsia="Times New Roman" w:hAnsi="Times New Roman"/>
          <w:sz w:val="22"/>
          <w:szCs w:val="22"/>
          <w:color w:val="auto"/>
        </w:rPr>
        <w:t>”) to terminate or diminish its employment relationship with Buyer or any of its Affiliates after the Closing; provided, (i) nothing herein shall prohibit Seller from hiring, retaining, employing or otherwise engaging, or attempting to hire, retain, employ or engage, any Business Partner who was terminated by Buyer or its Affiliates at least [**] prior to Seller’s initial contact with such Business Partner for the purpose of attempting to hire, retain, employ or otherwise engage such Business Partner, and (ii) placing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1012825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35" w:right="339" w:bottom="1440" w:gutter="0" w:footer="0" w:header="0"/>
        </w:sectPr>
      </w:pPr>
    </w:p>
    <w:bookmarkStart w:id="326" w:name="page327"/>
    <w:bookmarkEnd w:id="326"/>
    <w:p>
      <w:pPr>
        <w:ind w:right="20"/>
        <w:spacing w:after="0" w:line="258" w:lineRule="auto"/>
        <w:rPr>
          <w:sz w:val="20"/>
          <w:szCs w:val="20"/>
          <w:color w:val="auto"/>
        </w:rPr>
      </w:pPr>
      <w:r>
        <w:rPr>
          <w:rFonts w:ascii="Times New Roman" w:cs="Times New Roman" w:eastAsia="Times New Roman" w:hAnsi="Times New Roman"/>
          <w:sz w:val="22"/>
          <w:szCs w:val="22"/>
          <w:color w:val="auto"/>
        </w:rPr>
        <w:t>general solicitation, advertisement or posting not targeting the employees, independent contractors or consultants of Buyer or its Affiliates.</w:t>
      </w:r>
    </w:p>
    <w:p>
      <w:pPr>
        <w:spacing w:after="0" w:line="158" w:lineRule="exact"/>
        <w:rPr>
          <w:sz w:val="20"/>
          <w:szCs w:val="20"/>
          <w:color w:val="auto"/>
        </w:rPr>
      </w:pPr>
    </w:p>
    <w:p>
      <w:pPr>
        <w:jc w:val="both"/>
        <w:ind w:firstLine="1705"/>
        <w:spacing w:after="0" w:line="236" w:lineRule="auto"/>
        <w:tabs>
          <w:tab w:leader="none" w:pos="2129"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xml:space="preserve">. Each Party understands that a breach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5.4 by the other Party may cause irreparable harm which may not be adequately compensated by money damages. Accordingly, in the event of a breach or threatened breach by either Party of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the non-breaching Party or, as applicable, any of its Affiliates will be entitled to seek injunctive or other equitable relief to enforce the provisions hereof (without need to post bond), in addition to and not in the alternative to such other remedies to which such Party or its Affiliates may be entitled, including the recovery of money damages.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22"/>
          <w:szCs w:val="22"/>
          <w:u w:val="single" w:color="auto"/>
          <w:color w:val="auto"/>
        </w:rPr>
        <w:t>Certain Tax Matters.</w:t>
      </w:r>
    </w:p>
    <w:p>
      <w:pPr>
        <w:spacing w:after="0" w:line="206" w:lineRule="exact"/>
        <w:rPr>
          <w:sz w:val="20"/>
          <w:szCs w:val="20"/>
          <w:color w:val="auto"/>
        </w:rPr>
      </w:pPr>
    </w:p>
    <w:p>
      <w:pPr>
        <w:jc w:val="both"/>
        <w:ind w:firstLine="1705"/>
        <w:spacing w:after="0" w:line="236" w:lineRule="auto"/>
        <w:tabs>
          <w:tab w:leader="none" w:pos="2142"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All recordation, transfer, documentary, sales, value added, use, stamp, conveyance or other similar Taxes, duties or governmental charges, and all recording or filing fees or similar costs, imposed or levied by reason of, in connection with or attributable to this Agreement or the Acquisition (collectively,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will be borne equally between Seller and Buyer. Transfer Taxes will be timely paid, and all applicable filings, reports and returns will be filed, as provided by applicable Law. The paying Party (if not specified as the responsible Party therefor) will be entitled to reimbursement from the non-paying Party in accordance with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705"/>
        <w:spacing w:after="0" w:line="246" w:lineRule="auto"/>
        <w:tabs>
          <w:tab w:leader="none" w:pos="2129"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Proration of Taxes</w:t>
      </w:r>
      <w:r>
        <w:rPr>
          <w:rFonts w:ascii="Times New Roman" w:cs="Times New Roman" w:eastAsia="Times New Roman" w:hAnsi="Times New Roman"/>
          <w:sz w:val="22"/>
          <w:szCs w:val="22"/>
          <w:color w:val="auto"/>
        </w:rPr>
        <w:t xml:space="preserve">. All real and personal property Taxes, and other </w:t>
      </w:r>
      <w:r>
        <w:rPr>
          <w:rFonts w:ascii="Times New Roman" w:cs="Times New Roman" w:eastAsia="Times New Roman" w:hAnsi="Times New Roman"/>
          <w:sz w:val="22"/>
          <w:szCs w:val="22"/>
          <w:i w:val="1"/>
          <w:iCs w:val="1"/>
          <w:color w:val="auto"/>
        </w:rPr>
        <w:t>ad valorem</w:t>
      </w:r>
      <w:r>
        <w:rPr>
          <w:rFonts w:ascii="Times New Roman" w:cs="Times New Roman" w:eastAsia="Times New Roman" w:hAnsi="Times New Roman"/>
          <w:sz w:val="22"/>
          <w:szCs w:val="22"/>
          <w:color w:val="auto"/>
        </w:rPr>
        <w:t xml:space="preserve"> Taxes with respect to the Purchased Assets for a taxable period that includes (but does not end on) the Closing Date will be prorated on a </w:t>
      </w:r>
      <w:r>
        <w:rPr>
          <w:rFonts w:ascii="Times New Roman" w:cs="Times New Roman" w:eastAsia="Times New Roman" w:hAnsi="Times New Roman"/>
          <w:sz w:val="22"/>
          <w:szCs w:val="22"/>
          <w:i w:val="1"/>
          <w:iCs w:val="1"/>
          <w:color w:val="auto"/>
        </w:rPr>
        <w:t>per diem</w:t>
      </w:r>
      <w:r>
        <w:rPr>
          <w:rFonts w:ascii="Times New Roman" w:cs="Times New Roman" w:eastAsia="Times New Roman" w:hAnsi="Times New Roman"/>
          <w:sz w:val="22"/>
          <w:szCs w:val="22"/>
          <w:color w:val="auto"/>
        </w:rPr>
        <w:t xml:space="preserve"> basis between Seller and Buyer on the Closing Date.</w:t>
      </w:r>
    </w:p>
    <w:p>
      <w:pPr>
        <w:spacing w:after="0" w:line="171" w:lineRule="exact"/>
        <w:rPr>
          <w:rFonts w:ascii="Times New Roman" w:cs="Times New Roman" w:eastAsia="Times New Roman" w:hAnsi="Times New Roman"/>
          <w:sz w:val="22"/>
          <w:szCs w:val="22"/>
          <w:color w:val="auto"/>
        </w:rPr>
      </w:pPr>
    </w:p>
    <w:p>
      <w:pPr>
        <w:jc w:val="both"/>
        <w:ind w:firstLine="1705"/>
        <w:spacing w:after="0" w:line="247" w:lineRule="auto"/>
        <w:tabs>
          <w:tab w:leader="none" w:pos="2156"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Buyer and any other applicable withholding agent will be entitled to deduct and withhold, or cause to be deducted and withheld, from any amounts payable pursuant to or as contemplated by this Agreement or any Related Document any Taxes or other amounts required under the Code or any applicable Law to be deducted and withheld. To the extent that any such amounts are so deducted or withheld and properly remitted to the appropriate Taxing Authority, such amounts will be treated for all purposes of this Agreement and any Related Document as having been paid to the Person in respect of which such deduction and withholding was made. Notwithstanding anything to the contrary in this Agreement, any compensatory amounts payable pursuant to or as contemplated by this Agreement will be remitted by the applicable payer to the applicable employer for payment through such employer’s payroll procedure in accordance with applicable Law.</w:t>
      </w:r>
    </w:p>
    <w:p>
      <w:pPr>
        <w:spacing w:after="0" w:line="171" w:lineRule="exact"/>
        <w:rPr>
          <w:rFonts w:ascii="Times New Roman" w:cs="Times New Roman" w:eastAsia="Times New Roman" w:hAnsi="Times New Roman"/>
          <w:sz w:val="21"/>
          <w:szCs w:val="21"/>
          <w:color w:val="auto"/>
        </w:rPr>
      </w:pPr>
    </w:p>
    <w:p>
      <w:pPr>
        <w:jc w:val="both"/>
        <w:ind w:firstLine="1705"/>
        <w:spacing w:after="0" w:line="238" w:lineRule="auto"/>
        <w:tabs>
          <w:tab w:leader="none" w:pos="215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and Exchange of Information</w:t>
      </w:r>
      <w:r>
        <w:rPr>
          <w:rFonts w:ascii="Times New Roman" w:cs="Times New Roman" w:eastAsia="Times New Roman" w:hAnsi="Times New Roman"/>
          <w:sz w:val="22"/>
          <w:szCs w:val="22"/>
          <w:color w:val="auto"/>
        </w:rPr>
        <w:t>. To the extent relevant to the Business or the Purchased Assets, each of Seller and Buyer will (i) provide the other with such assistance as may reasonably be requested by the other Party in connection with the preparation of any Tax Return, audit or other examination by any Taxing Authority or Action relating to liability for Taxes in connection with the Business or the Purchased Assets, (ii) retain (for a period of [**] after the Closing) and provide the other with any records or other information that may be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7" w:name="page328"/>
    <w:bookmarkEnd w:id="327"/>
    <w:p>
      <w:pPr>
        <w:jc w:val="both"/>
        <w:spacing w:after="0" w:line="244" w:lineRule="auto"/>
        <w:rPr>
          <w:sz w:val="20"/>
          <w:szCs w:val="20"/>
          <w:color w:val="auto"/>
        </w:rPr>
      </w:pPr>
      <w:r>
        <w:rPr>
          <w:rFonts w:ascii="Times New Roman" w:cs="Times New Roman" w:eastAsia="Times New Roman" w:hAnsi="Times New Roman"/>
          <w:sz w:val="22"/>
          <w:szCs w:val="22"/>
          <w:color w:val="auto"/>
        </w:rPr>
        <w:t>to such Tax Return, audit or examination, Action or determination and (iii) provide the other with any final determination of any such audit or examination, Action or determination that affects any amount required to be shown on any Tax Return of the other for any period.</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Seller and its Affiliates will not issue any press release or otherwise make any public statement with respect to the provisions of this Agreement or the Contemplated Transactions without the prior written consent of Buyer. Buyer or its Affiliates may issue a press release or otherwise make any public statement with respect to the provisions of this Agreement or the Contemplated Transactions without the prior written consent of Seller, as long as Buyer provides Seller with (i) a copy of such press release or public statement prior to the issuance thereof and (ii) a reasonable opportunity to comment thereon, which comments Buyer will consider in good faith. Notwithstanding anything to the contrary in this Agreement or any Related Document, either Party may issue a press release or make a public statement with respect to the Contemplated Transactions as may be required by Law or any listing agreement with any applicable securities exchange or market, in which case such Party shall use reasonable best efforts to consult with the other Party regarding the contents thereof prior to issuing any such press release or making any such public statement or public announcement and shall consider in good faith any comments proposed by such other Party. The foregoing will not limit any non-public equity holder communication of either Party or any disclosure made in connection with a court pleading.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5.8</w:t>
      </w:r>
      <w:r>
        <w:rPr>
          <w:rFonts w:ascii="Times New Roman" w:cs="Times New Roman" w:eastAsia="Times New Roman" w:hAnsi="Times New Roman"/>
          <w:sz w:val="22"/>
          <w:szCs w:val="22"/>
          <w:u w:val="single" w:color="auto"/>
          <w:color w:val="auto"/>
        </w:rPr>
        <w:t>Expenses; UPenn IND Payment.</w:t>
      </w:r>
    </w:p>
    <w:p>
      <w:pPr>
        <w:spacing w:after="0" w:line="206" w:lineRule="exact"/>
        <w:rPr>
          <w:sz w:val="20"/>
          <w:szCs w:val="20"/>
          <w:color w:val="auto"/>
        </w:rPr>
      </w:pPr>
    </w:p>
    <w:p>
      <w:pPr>
        <w:ind w:right="40" w:firstLine="1705"/>
        <w:spacing w:after="0" w:line="258" w:lineRule="auto"/>
        <w:tabs>
          <w:tab w:leader="none" w:pos="2129"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each of Seller and Buyer will bear its own costs and expenses incurred in connection with this Agreement and the Contemplated Transactions.</w:t>
      </w:r>
    </w:p>
    <w:p>
      <w:pPr>
        <w:spacing w:after="0" w:line="158" w:lineRule="exact"/>
        <w:rPr>
          <w:rFonts w:ascii="Times New Roman" w:cs="Times New Roman" w:eastAsia="Times New Roman" w:hAnsi="Times New Roman"/>
          <w:sz w:val="22"/>
          <w:szCs w:val="22"/>
          <w:color w:val="auto"/>
        </w:rPr>
      </w:pPr>
    </w:p>
    <w:p>
      <w:pPr>
        <w:jc w:val="both"/>
        <w:ind w:firstLine="1705"/>
        <w:spacing w:after="0" w:line="244" w:lineRule="auto"/>
        <w:tabs>
          <w:tab w:leader="none" w:pos="2129"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UPenn IND Payment becoming due pursuant to the Second UPenn Amendment, Buyer will provide an invoice to Seller and Seller will promptly, but in any event within [**] of receipt of such invoice or notice, pay such UPenn IND Payment directly to UPenn by wire transfer of immediately available funds.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22"/>
          <w:szCs w:val="22"/>
          <w:u w:val="single" w:color="auto"/>
          <w:color w:val="auto"/>
        </w:rPr>
        <w:t>Further Assurances and Approvals.</w:t>
      </w:r>
    </w:p>
    <w:p>
      <w:pPr>
        <w:spacing w:after="0" w:line="206" w:lineRule="exact"/>
        <w:rPr>
          <w:sz w:val="20"/>
          <w:szCs w:val="20"/>
          <w:color w:val="auto"/>
        </w:rPr>
      </w:pPr>
    </w:p>
    <w:p>
      <w:pPr>
        <w:jc w:val="both"/>
        <w:ind w:firstLine="1705"/>
        <w:spacing w:after="0" w:line="235" w:lineRule="auto"/>
        <w:tabs>
          <w:tab w:leader="none" w:pos="2129"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will at any time and from time to time after the Closing Date and for no further consideration, upon the request of Buyer, execute, acknowledge, deliver and file, or cause to be done, executed, acknowledged, delivered or filed, all such further acts, deeds, transfers, conveyances, assignments or assurances as may be reasonably required for the better transferring, conveying, assigning, assuring and vesting to and in Buyer, or for the aiding and assisting in the reducing to possession by Buyer of, Seller’s right, title and interest in and to any of the Purchased Assets or Assumed Liabilities, or as may otherwise be necessary to carry out the purposes of this Agreement and the Related Documents and the consummation of the Contemplated Transactions (including transferring (or upon Buyer’s request, providing Buyer or its Affiliates with access to the premises or systems of Seller to so transfer), at no additional cost to Buyer, Seller’s right,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8" w:name="page329"/>
    <w:bookmarkEnd w:id="328"/>
    <w:p>
      <w:pPr>
        <w:spacing w:after="0" w:line="258" w:lineRule="auto"/>
        <w:rPr>
          <w:sz w:val="20"/>
          <w:szCs w:val="20"/>
          <w:color w:val="auto"/>
        </w:rPr>
      </w:pPr>
      <w:r>
        <w:rPr>
          <w:rFonts w:ascii="Times New Roman" w:cs="Times New Roman" w:eastAsia="Times New Roman" w:hAnsi="Times New Roman"/>
          <w:sz w:val="22"/>
          <w:szCs w:val="22"/>
          <w:color w:val="auto"/>
        </w:rPr>
        <w:t>and interest in and to any Purchased Asset or Assumed Liability contemplated by this Agreement to be transferred to Buyer at the Closing and that was not so transferred at the Closing).</w:t>
      </w:r>
    </w:p>
    <w:p>
      <w:pPr>
        <w:spacing w:after="0" w:line="158" w:lineRule="exact"/>
        <w:rPr>
          <w:sz w:val="20"/>
          <w:szCs w:val="20"/>
          <w:color w:val="auto"/>
        </w:rPr>
      </w:pPr>
    </w:p>
    <w:p>
      <w:pPr>
        <w:jc w:val="both"/>
        <w:ind w:firstLine="1705"/>
        <w:spacing w:after="0" w:line="244" w:lineRule="auto"/>
        <w:tabs>
          <w:tab w:leader="none" w:pos="21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Buyer or any of its Affiliates possesses any Excluded Asset, Buyer will, or will cause its Affiliates to, transfer such asset to Seller at no cost to Seller. If, after the Closing, Seller or any of its Affiliates possesses any Purchased Asset, Seller will, or will cause its Affiliates to, transfer such asset to Buyer at no cost to Buyer.</w:t>
      </w:r>
    </w:p>
    <w:p>
      <w:pPr>
        <w:spacing w:after="0" w:line="173" w:lineRule="exact"/>
        <w:rPr>
          <w:rFonts w:ascii="Times New Roman" w:cs="Times New Roman" w:eastAsia="Times New Roman" w:hAnsi="Times New Roman"/>
          <w:sz w:val="22"/>
          <w:szCs w:val="22"/>
          <w:color w:val="auto"/>
        </w:rPr>
      </w:pPr>
    </w:p>
    <w:p>
      <w:pPr>
        <w:jc w:val="both"/>
        <w:ind w:firstLine="1705"/>
        <w:spacing w:after="0" w:line="239" w:lineRule="auto"/>
        <w:tabs>
          <w:tab w:leader="none" w:pos="21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Seller will refer all inquiries and other communications (whether written or oral) in respect of the Business to Buyer, and will promptly inform Buyer of such inquiries and communications. At Buyer’s request, Seller will reasonably cooperate with Buyer to facilitate Buyer’s communication with such Person’s inquiry or other communication in respect of the Business.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22"/>
          <w:szCs w:val="22"/>
          <w:u w:val="single" w:color="auto"/>
          <w:color w:val="auto"/>
        </w:rPr>
        <w:t>Lock-Up.</w:t>
      </w:r>
    </w:p>
    <w:p>
      <w:pPr>
        <w:spacing w:after="0" w:line="206" w:lineRule="exact"/>
        <w:rPr>
          <w:sz w:val="20"/>
          <w:szCs w:val="20"/>
          <w:color w:val="auto"/>
        </w:rPr>
      </w:pPr>
    </w:p>
    <w:p>
      <w:pPr>
        <w:jc w:val="both"/>
        <w:ind w:firstLine="1705"/>
        <w:spacing w:after="0" w:line="244" w:lineRule="auto"/>
        <w:tabs>
          <w:tab w:leader="none" w:pos="2129"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each period commencing on the date on which Buyer has received all of the following from Seller: (i) a Milestone Invoice, (ii) all necessary documentation from Seller reasonably required by Buyer to issue the Solid Shares (including, without limitation, “</w:t>
      </w:r>
      <w:r>
        <w:rPr>
          <w:rFonts w:ascii="Times New Roman" w:cs="Times New Roman" w:eastAsia="Times New Roman" w:hAnsi="Times New Roman"/>
          <w:sz w:val="21"/>
          <w:szCs w:val="21"/>
          <w:u w:val="single" w:color="auto"/>
          <w:color w:val="auto"/>
        </w:rPr>
        <w:t>live validation</w:t>
      </w:r>
      <w:r>
        <w:rPr>
          <w:rFonts w:ascii="Times New Roman" w:cs="Times New Roman" w:eastAsia="Times New Roman" w:hAnsi="Times New Roman"/>
          <w:sz w:val="21"/>
          <w:szCs w:val="21"/>
          <w:color w:val="auto"/>
        </w:rPr>
        <w:t>” and all account and other similar information required by Buyer to transfer the Solid Shares to Seller) and (iii) in the case of the First Stock Consideration Issuance, Seller’s delivery of a signature page to the Voting Rights Agreement; and ending on the earlier of (A) the date that is [**] following such date or (B) the date upon which Buyer files for, or becomes subject to a proceeding for, bankruptcy, reorganization, liquidation, dissolution or similar process (each, a “</w:t>
      </w:r>
      <w:r>
        <w:rPr>
          <w:rFonts w:ascii="Times New Roman" w:cs="Times New Roman" w:eastAsia="Times New Roman" w:hAnsi="Times New Roman"/>
          <w:sz w:val="21"/>
          <w:szCs w:val="21"/>
          <w:u w:val="single" w:color="auto"/>
          <w:color w:val="auto"/>
        </w:rPr>
        <w:t>Lock-Up Period</w:t>
      </w:r>
      <w:r>
        <w:rPr>
          <w:rFonts w:ascii="Times New Roman" w:cs="Times New Roman" w:eastAsia="Times New Roman" w:hAnsi="Times New Roman"/>
          <w:sz w:val="21"/>
          <w:szCs w:val="21"/>
          <w:color w:val="auto"/>
        </w:rPr>
        <w:t>”), Seller will not directly or indirectly, in any single transaction or series of related transactions, sell, assign, pledge, hypothecate or otherwise transfer (or enter into an obligation or agreement regarding the future sale, assignment, pledge or transfer of)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(I) more than [**] of the aggregate Solid Shares then held by Seller during the first [**] of the Lock-Up Period, or (II) more than [**] of the remaining aggregate Solid Shares then held by Seller during any subsequent [**] period of the Lock-Up Period, in either case ((I) or (II)), other than (1) any Transfer of Solid Shares by Seller to an Affiliate of Seller, (2) any Transfer required by Law or (3) any Transfer that has ben approved in advance by the Board of Directors of Buyer or a duly authorized committee thereof. Any attempted Transfer in violation of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will be of no effect and null and void, regardless of whether the purported transferee has any actual or constructive knowledge of the Transfer restrictions set forth herein. For the avoidance of doubt, a new Lock-Up Period with respect to the Solid Shares held by Seller will commence after any payment by Buyer to Seller of Milestone Shares as Milestone Consideration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right="20" w:firstLine="1705"/>
        <w:spacing w:after="0" w:line="244" w:lineRule="auto"/>
        <w:tabs>
          <w:tab w:leader="none" w:pos="2129"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Lock-Up Period, Seller will be entitled to Transfer any Solid Shares in its sole discretion, provided that Seller will not directly or indirectly, in any single transaction or series of related transactions, Transfer any Solid Shares:</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accordance with all applicable Laws and the other terms and conditions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29" w:name="page330"/>
    <w:bookmarkEnd w:id="329"/>
    <w:p>
      <w:pPr>
        <w:jc w:val="both"/>
        <w:ind w:left="-760" w:firstLine="2254"/>
        <w:spacing w:after="0" w:line="235" w:lineRule="auto"/>
        <w:tabs>
          <w:tab w:leader="none" w:pos="1918"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who has filed or is party of a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(as defined in Section 13(d) of the Exchange Act) that has filed a Schedule 13D with the SEC in respect of Solid Shares; provided, that such restriction will not apply to Transfers (A) into the public market pursuant to a bona fide, broadly distributed public offering, in each case made pursuant to the registration rights herein, (B) through a bona fide sale into the public market without registration effectuated pursuant to Rule 144 under the Securities Act or (C) in connection with a merger, tender offer or exchange offer or other business combination, acquisition of assets or similar transaction or any change of control transaction involving Buyer (which such transaction has been approved by the Board of Directors of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5339715</wp:posOffset>
            </wp:positionH>
            <wp:positionV relativeFrom="paragraph">
              <wp:posOffset>-954405</wp:posOffset>
            </wp:positionV>
            <wp:extent cx="431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22"/>
          <w:szCs w:val="22"/>
          <w:u w:val="single" w:color="auto"/>
          <w:color w:val="auto"/>
        </w:rPr>
        <w:t>Reversion Rights.</w:t>
      </w:r>
    </w:p>
    <w:p>
      <w:pPr>
        <w:spacing w:after="0" w:line="206" w:lineRule="exact"/>
        <w:rPr>
          <w:sz w:val="20"/>
          <w:szCs w:val="20"/>
          <w:color w:val="auto"/>
        </w:rPr>
      </w:pPr>
    </w:p>
    <w:p>
      <w:pPr>
        <w:jc w:val="both"/>
        <w:ind w:left="-760" w:firstLine="1705"/>
        <w:spacing w:after="0" w:line="251" w:lineRule="auto"/>
        <w:tabs>
          <w:tab w:leader="none" w:pos="1369"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Buyer’s (i) material breach of its diligence obligations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5.1 that remains uncured [**] after Buyer’s receipt of notice of such breach from Seller, (ii) public announcement that it intends to terminate all Exploitation of Products or (iii) written notice to Seller that it intends to terminate all Exploitation of Products, then Seller may in Seller’s sole discretion, upon written notice to Buyer (a “</w:t>
      </w:r>
      <w:r>
        <w:rPr>
          <w:rFonts w:ascii="Times New Roman" w:cs="Times New Roman" w:eastAsia="Times New Roman" w:hAnsi="Times New Roman"/>
          <w:sz w:val="21"/>
          <w:szCs w:val="21"/>
          <w:u w:val="single" w:color="auto"/>
          <w:color w:val="auto"/>
        </w:rPr>
        <w:t>Reversion Notice</w:t>
      </w:r>
      <w:r>
        <w:rPr>
          <w:rFonts w:ascii="Times New Roman" w:cs="Times New Roman" w:eastAsia="Times New Roman" w:hAnsi="Times New Roman"/>
          <w:sz w:val="21"/>
          <w:szCs w:val="21"/>
          <w:color w:val="auto"/>
        </w:rPr>
        <w:t xml:space="preserve">”), elect to exercise the reversion rights set forth in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Reversion Rights</w:t>
      </w:r>
      <w:r>
        <w:rPr>
          <w:rFonts w:ascii="Times New Roman" w:cs="Times New Roman" w:eastAsia="Times New Roman" w:hAnsi="Times New Roman"/>
          <w:sz w:val="21"/>
          <w:szCs w:val="21"/>
          <w:color w:val="auto"/>
        </w:rPr>
        <w:t>”), effective as of the date Seller delivers the Reversion Notice to Buyer. In such event:</w:t>
      </w:r>
    </w:p>
    <w:p>
      <w:pPr>
        <w:spacing w:after="0" w:line="168" w:lineRule="exact"/>
        <w:rPr>
          <w:rFonts w:ascii="Times New Roman" w:cs="Times New Roman" w:eastAsia="Times New Roman" w:hAnsi="Times New Roman"/>
          <w:sz w:val="21"/>
          <w:szCs w:val="21"/>
          <w:color w:val="auto"/>
        </w:rPr>
      </w:pPr>
    </w:p>
    <w:p>
      <w:pPr>
        <w:jc w:val="both"/>
        <w:ind w:left="-760" w:firstLine="2254"/>
        <w:spacing w:after="0" w:line="244" w:lineRule="auto"/>
        <w:tabs>
          <w:tab w:leader="none" w:pos="1918"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will promptly, for a period not to exceed [**] following Buyer’s receipt of a Reversion Notice, provided that such period shall be automatically extended for an additional [**] so long as the Parties continue to negotiate in good faith (such period, the “</w:t>
      </w:r>
      <w:r>
        <w:rPr>
          <w:rFonts w:ascii="Times New Roman" w:cs="Times New Roman" w:eastAsia="Times New Roman" w:hAnsi="Times New Roman"/>
          <w:sz w:val="21"/>
          <w:szCs w:val="21"/>
          <w:u w:val="single" w:color="auto"/>
          <w:color w:val="auto"/>
        </w:rPr>
        <w:t>Negotiation Period</w:t>
      </w:r>
      <w:r>
        <w:rPr>
          <w:rFonts w:ascii="Times New Roman" w:cs="Times New Roman" w:eastAsia="Times New Roman" w:hAnsi="Times New Roman"/>
          <w:sz w:val="21"/>
          <w:szCs w:val="21"/>
          <w:color w:val="auto"/>
        </w:rPr>
        <w:t>”), negotiate in good faith a written agreement (the “</w:t>
      </w:r>
      <w:r>
        <w:rPr>
          <w:rFonts w:ascii="Times New Roman" w:cs="Times New Roman" w:eastAsia="Times New Roman" w:hAnsi="Times New Roman"/>
          <w:sz w:val="21"/>
          <w:szCs w:val="21"/>
          <w:u w:val="single" w:color="auto"/>
          <w:color w:val="auto"/>
        </w:rPr>
        <w:t>Reversion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pursuant to which: (A) Buyer would transfer and assign to Seller (I) all of Buyer’s right, title and interest in and to the Purchased Assets (including the UPenn License and the Technology licensed pursuant thereto) and (II) all Regulatory Documentation and Regulatory Approvals relating to any Reversion Product(s); (B) at Seller’s election and request, Buyer would grant to Seller and its Affiliates a license under the Grant-Back Intellectual Property solely to the extent necessary for Seller and its Affiliates to Exploit any Reversion Product in the Field in the Territory, (C) Buyer would orderly wind-down or transfer, at Seller’s election, the conduct of any ongoing Clinical Trials for any Product(s), in accordance with applicable Law and taking into account patient safety matters, and (D) Buyer would transfer to Seller any Product Inventory transferred to Buyer pursuant to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that (I) has not been used in [**] or (II) has been used only for [**]. Without limiting the foregoing, the license grant set forth in the foregoing clause (B) will be royalty-bearing, and the Parties will negotiate in good faith a reasonable royalty on Annual Net Sales (as such term applies to the sale of Reversion Products that use or incorporate Grant-Back Intellectual Property by or on behalf of Seller or any of its Affiliates or licensees or sublicensees,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of such Reversion Products by or on behalf of Seller or any of its Affiliates or licensees or sublicensees in the Territory.</w:t>
      </w:r>
    </w:p>
    <w:p>
      <w:pPr>
        <w:spacing w:after="0" w:line="178" w:lineRule="exact"/>
        <w:rPr>
          <w:rFonts w:ascii="Times New Roman" w:cs="Times New Roman" w:eastAsia="Times New Roman" w:hAnsi="Times New Roman"/>
          <w:sz w:val="21"/>
          <w:szCs w:val="21"/>
          <w:color w:val="auto"/>
        </w:rPr>
      </w:pPr>
    </w:p>
    <w:p>
      <w:pPr>
        <w:jc w:val="both"/>
        <w:ind w:left="-760" w:firstLine="2254"/>
        <w:spacing w:after="0" w:line="239" w:lineRule="auto"/>
        <w:tabs>
          <w:tab w:leader="none" w:pos="1918"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Seller exercises the Reversion Right prior to the achievement of Milestone Event No. 1, Buyer will promptly pay Seller the prorated costs of any Product Inventory transferred to Buyer pursuant to clause (D)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5.11(a)(i)</w:t>
      </w:r>
      <w:r>
        <w:rPr>
          <w:rFonts w:ascii="Times New Roman" w:cs="Times New Roman" w:eastAsia="Times New Roman" w:hAnsi="Times New Roman"/>
          <w:sz w:val="22"/>
          <w:szCs w:val="22"/>
          <w:color w:val="auto"/>
        </w:rPr>
        <w:t xml:space="preserve"> that is not in usable condition at the time of transfer to Seller due to Buyer’s (or its Affiliates’, Subsidiaries or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1010920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35"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22"/>
          <w:szCs w:val="22"/>
          <w:color w:val="auto"/>
        </w:rPr>
        <w:t>vendors’) failure to use, store, handle, or transport such Product Inventory in accordance with applicable Law.</w:t>
      </w:r>
    </w:p>
    <w:p>
      <w:pPr>
        <w:spacing w:after="0" w:line="206" w:lineRule="exact"/>
        <w:rPr>
          <w:sz w:val="20"/>
          <w:szCs w:val="20"/>
          <w:color w:val="auto"/>
        </w:rPr>
      </w:pPr>
    </w:p>
    <w:p>
      <w:pPr>
        <w:jc w:val="both"/>
        <w:ind w:firstLine="2254"/>
        <w:spacing w:after="0" w:line="249" w:lineRule="auto"/>
        <w:tabs>
          <w:tab w:leader="none" w:pos="2678"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at the request of any Third Party licensee of Buyer under the Purchased Assets, Seller will grant to such former licensee a direct license on the same terms granted to such licensee by Buyer, taking into account any difference in license scope, territory and duration of sublicense grant, provided, that (i) such former licensee is not then in default of its license agreement, (ii) agrees in writing to comply with the terms of such new license agreement and (iii) such license agreement with any such former licensee was in effect prior to the date of the Reversion Notice and was entered into on commercially reasonable terms and negotiated on an arm’s length basis.</w:t>
      </w:r>
    </w:p>
    <w:p>
      <w:pPr>
        <w:spacing w:after="0" w:line="170" w:lineRule="exact"/>
        <w:rPr>
          <w:rFonts w:ascii="Times New Roman" w:cs="Times New Roman" w:eastAsia="Times New Roman" w:hAnsi="Times New Roman"/>
          <w:sz w:val="21"/>
          <w:szCs w:val="21"/>
          <w:color w:val="auto"/>
        </w:rPr>
      </w:pPr>
    </w:p>
    <w:p>
      <w:pPr>
        <w:jc w:val="both"/>
        <w:ind w:firstLine="2254"/>
        <w:spacing w:after="0" w:line="235" w:lineRule="auto"/>
        <w:tabs>
          <w:tab w:leader="none" w:pos="2678"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Reversion Agreement (including any obligation set forth in the Reversion Agreement for Buyer to transfer, rather than wind-down, any ongoing Clinical Trials), Buyer will be responsible for the prompt wind-down of Buyer’s, its Affiliates’ and its and their licensees’ Exploitation of any Reversion Product(s) in compliance with applicable Law; provided, that during the [**] period following the effective date of termination, Buyer and its Affiliates and its and their licensees will have the right to sell or otherwise dispose of all any Reversion Product(s) then in its or their respective inventory and any in-progress inventory, provided, further, that Buyer will continue to make payments to Seller on Annual Net Sales of such Reversion Product(s)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if Buyer disputes in good faith the existence or materiality of a breach specified in a Reversion Notice, and Buyer provides Seller notice of such dispute within [**], then Seller will not have the Reversion Rights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unless and until it is determined in accordance with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that Buyer has materially breached it diligence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of this Agreement and has failed to cure such breach within [**] from the date of the Reversion Notice.</w:t>
      </w:r>
    </w:p>
    <w:p>
      <w:pPr>
        <w:spacing w:after="0" w:line="176" w:lineRule="exact"/>
        <w:rPr>
          <w:rFonts w:ascii="Times New Roman" w:cs="Times New Roman" w:eastAsia="Times New Roman" w:hAnsi="Times New Roman"/>
          <w:sz w:val="22"/>
          <w:szCs w:val="22"/>
          <w:color w:val="auto"/>
        </w:rPr>
      </w:pPr>
    </w:p>
    <w:p>
      <w:pPr>
        <w:jc w:val="both"/>
        <w:ind w:firstLine="1705"/>
        <w:spacing w:after="0" w:line="249" w:lineRule="auto"/>
        <w:tabs>
          <w:tab w:leader="none" w:pos="2129"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Seller delivers a Reversion Notice to Buyer, then Seller agrees that the Reversion Right shall be its sole and exclusive remedy for such material breach, announcement or notice, provided that the Parties enter into a Reversion Agreement as provided by </w:t>
      </w:r>
      <w:r>
        <w:rPr>
          <w:rFonts w:ascii="Times New Roman" w:cs="Times New Roman" w:eastAsia="Times New Roman" w:hAnsi="Times New Roman"/>
          <w:sz w:val="21"/>
          <w:szCs w:val="21"/>
          <w:u w:val="single" w:color="auto"/>
          <w:color w:val="auto"/>
        </w:rPr>
        <w:t>Section 5.11(a)</w:t>
      </w:r>
      <w:r>
        <w:rPr>
          <w:rFonts w:ascii="Times New Roman" w:cs="Times New Roman" w:eastAsia="Times New Roman" w:hAnsi="Times New Roman"/>
          <w:sz w:val="21"/>
          <w:szCs w:val="21"/>
          <w:color w:val="auto"/>
        </w:rPr>
        <w:t xml:space="preserve"> within the Negotiation Period. In the event Parties are unable to enter into a Reversion Agreement within the Negotiation Period, the delivery of a Reversion Notice to Buyer shall have no impact on, and the rights set forth in this </w:t>
      </w:r>
      <w:r>
        <w:rPr>
          <w:rFonts w:ascii="Times New Roman" w:cs="Times New Roman" w:eastAsia="Times New Roman" w:hAnsi="Times New Roman"/>
          <w:sz w:val="21"/>
          <w:szCs w:val="21"/>
          <w:b w:val="1"/>
          <w:bCs w:val="1"/>
          <w:u w:val="single" w:color="auto"/>
          <w:color w:val="auto"/>
        </w:rPr>
        <w:t>Section 5.11</w:t>
      </w:r>
      <w:r>
        <w:rPr>
          <w:rFonts w:ascii="Times New Roman" w:cs="Times New Roman" w:eastAsia="Times New Roman" w:hAnsi="Times New Roman"/>
          <w:sz w:val="21"/>
          <w:szCs w:val="21"/>
          <w:color w:val="auto"/>
        </w:rPr>
        <w:t xml:space="preserve"> shall be in addition to any other rights or remedies to which Seller is entitled at law or in equity (including the Seller’s ability to receive legal damages or equitable relief, with respect to any material breach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6.1</w:t>
      </w:r>
      <w:r>
        <w:rPr>
          <w:rFonts w:ascii="Times New Roman" w:cs="Times New Roman" w:eastAsia="Times New Roman" w:hAnsi="Times New Roman"/>
          <w:sz w:val="22"/>
          <w:szCs w:val="22"/>
          <w:u w:val="single" w:color="auto"/>
          <w:color w:val="auto"/>
        </w:rPr>
        <w:t>Indemnification of Buyer.</w:t>
      </w:r>
    </w:p>
    <w:p>
      <w:pPr>
        <w:spacing w:after="0" w:line="206" w:lineRule="exact"/>
        <w:rPr>
          <w:sz w:val="20"/>
          <w:szCs w:val="20"/>
          <w:color w:val="auto"/>
        </w:rPr>
      </w:pPr>
    </w:p>
    <w:p>
      <w:pPr>
        <w:ind w:firstLine="1705"/>
        <w:spacing w:after="0" w:line="258" w:lineRule="auto"/>
        <w:tabs>
          <w:tab w:leader="none" w:pos="212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from and after the Closing, Seller will indemnify and hold harmless each of Buyer and its Affiliates and each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1" w:name="page332"/>
    <w:bookmarkEnd w:id="331"/>
    <w:p>
      <w:pPr>
        <w:jc w:val="both"/>
        <w:spacing w:after="0" w:line="239" w:lineRule="auto"/>
        <w:rPr>
          <w:sz w:val="20"/>
          <w:szCs w:val="20"/>
          <w:color w:val="auto"/>
        </w:rPr>
      </w:pPr>
      <w:r>
        <w:rPr>
          <w:rFonts w:ascii="Times New Roman" w:cs="Times New Roman" w:eastAsia="Times New Roman" w:hAnsi="Times New Roman"/>
          <w:sz w:val="22"/>
          <w:szCs w:val="22"/>
          <w:color w:val="auto"/>
        </w:rPr>
        <w:t>respective officers, directors, employees, equity holders, agents, Affiliates and Representatives (each, a “</w:t>
      </w:r>
      <w:r>
        <w:rPr>
          <w:rFonts w:ascii="Times New Roman" w:cs="Times New Roman" w:eastAsia="Times New Roman" w:hAnsi="Times New Roman"/>
          <w:sz w:val="22"/>
          <w:szCs w:val="22"/>
          <w:u w:val="single" w:color="auto"/>
          <w:color w:val="auto"/>
        </w:rPr>
        <w:t>Buyer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from and against, and compensate and reimburse each Buyer Indemnified Party for, the aggregate amount of any Losses incurred by such Buyer Indemnified Party, whether or not arising from, relating to or otherwise in connection with a claim of a Third Party (each,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as a result of, arising out of or from, directly or indirectly:</w:t>
      </w:r>
    </w:p>
    <w:p>
      <w:pPr>
        <w:spacing w:after="0" w:line="180" w:lineRule="exact"/>
        <w:rPr>
          <w:sz w:val="20"/>
          <w:szCs w:val="20"/>
          <w:color w:val="auto"/>
        </w:rPr>
      </w:pPr>
    </w:p>
    <w:p>
      <w:pPr>
        <w:jc w:val="both"/>
        <w:ind w:firstLine="2254"/>
        <w:spacing w:after="0" w:line="261" w:lineRule="auto"/>
        <w:tabs>
          <w:tab w:leader="none" w:pos="2678"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breach of or inaccuracy in any representation or warranty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(other than Fundamental Representations) or in any Seller Representation Letter as such representation or warranty would read had all references to “</w:t>
      </w: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materiality,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substantial compliance</w:t>
      </w:r>
      <w:r>
        <w:rPr>
          <w:rFonts w:ascii="Times New Roman" w:cs="Times New Roman" w:eastAsia="Times New Roman" w:hAnsi="Times New Roman"/>
          <w:sz w:val="21"/>
          <w:szCs w:val="21"/>
          <w:color w:val="auto"/>
        </w:rPr>
        <w:t>” or any similar materiality qualifications, been deleted therefrom;</w:t>
      </w:r>
    </w:p>
    <w:p>
      <w:pPr>
        <w:spacing w:after="0" w:line="157"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Seller of any Fundamental Representation;</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violation of, or failure to perform by Seller of any covenant or agreement of Seller contained in this Agreement or any Related Document or Seller Representation Letter;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of Fraud committed by Seller solely in respect of (A) a breach of the representations and 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(B) the negotiation, execution, delivery, or performance of this Agreement;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Liabilities or Excluded Assets; and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any Transfer Taxes and prorated Taxes allocated to Seller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Buyer Indemnified Party will be entitled to be indemnified pursuant to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unless and until the aggregate of all Losses for which the Buyer Indemnified Parties would, but for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6.1(b), be entitled to indemnification hereunder exceeds on a cumulative basis $[**] (the “</w:t>
      </w:r>
      <w:r>
        <w:rPr>
          <w:rFonts w:ascii="Times New Roman" w:cs="Times New Roman" w:eastAsia="Times New Roman" w:hAnsi="Times New Roman"/>
          <w:sz w:val="22"/>
          <w:szCs w:val="22"/>
          <w:u w:val="single" w:color="auto"/>
          <w:color w:val="auto"/>
        </w:rPr>
        <w:t>Seller Indemnity Threshold</w:t>
      </w:r>
      <w:r>
        <w:rPr>
          <w:rFonts w:ascii="Times New Roman" w:cs="Times New Roman" w:eastAsia="Times New Roman" w:hAnsi="Times New Roman"/>
          <w:sz w:val="22"/>
          <w:szCs w:val="22"/>
          <w:color w:val="auto"/>
        </w:rPr>
        <w:t xml:space="preserve">”), at which time the Buyer Indemnified Parties will be entitled to be indemnified and held harmless by Seller for and against the full amount of such aggregate Losses, including the amount of the Seller Indemnity Threshold; provided, however, that the foregoing Seller Indemnity Threshold of this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will not apply to Losses for which the Buyer Indemnified Parties may be entitled pursuant to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6.1(a)(iv)</w:t>
      </w:r>
      <w:r>
        <w:rPr>
          <w:rFonts w:ascii="Times New Roman" w:cs="Times New Roman" w:eastAsia="Times New Roman" w:hAnsi="Times New Roman"/>
          <w:sz w:val="22"/>
          <w:szCs w:val="22"/>
          <w:color w:val="auto"/>
        </w:rPr>
        <w:t>; and</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Losses for which the Buyer Indemnified Parties may be entitled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6.1(a)(iv)</w:t>
      </w:r>
      <w:r>
        <w:rPr>
          <w:rFonts w:ascii="Times New Roman" w:cs="Times New Roman" w:eastAsia="Times New Roman" w:hAnsi="Times New Roman"/>
          <w:sz w:val="22"/>
          <w:szCs w:val="22"/>
          <w:color w:val="auto"/>
        </w:rPr>
        <w:t xml:space="preserve"> in no event will the aggregate amount of Losses for which the Buyer Indemnified Parties will be indemnified and held harmless and entitled to recover (i) under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exceed [**] percent ([**]%) of the Indemnity Liability Cap; (ii) pursuant to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exceed the Indemnity Liability Cap; or (iii) under </w:t>
      </w:r>
      <w:r>
        <w:rPr>
          <w:rFonts w:ascii="Times New Roman" w:cs="Times New Roman" w:eastAsia="Times New Roman" w:hAnsi="Times New Roman"/>
          <w:sz w:val="22"/>
          <w:szCs w:val="22"/>
          <w:u w:val="single" w:color="auto"/>
          <w:color w:val="auto"/>
        </w:rPr>
        <w:t>Section 6.1(a)(iii)</w:t>
      </w:r>
      <w:r>
        <w:rPr>
          <w:rFonts w:ascii="Times New Roman" w:cs="Times New Roman" w:eastAsia="Times New Roman" w:hAnsi="Times New Roman"/>
          <w:sz w:val="22"/>
          <w:szCs w:val="22"/>
          <w:color w:val="auto"/>
        </w:rPr>
        <w:t xml:space="preserve"> exceed an amount equal to the Greater Liability Cap.</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6.2</w:t>
      </w:r>
      <w:r>
        <w:rPr>
          <w:rFonts w:ascii="Times New Roman" w:cs="Times New Roman" w:eastAsia="Times New Roman" w:hAnsi="Times New Roman"/>
          <w:sz w:val="22"/>
          <w:szCs w:val="22"/>
          <w:u w:val="single" w:color="auto"/>
          <w:color w:val="auto"/>
        </w:rPr>
        <w:t>Indemnification of Seller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2" w:name="page333"/>
    <w:bookmarkEnd w:id="332"/>
    <w:p>
      <w:pPr>
        <w:jc w:val="both"/>
        <w:ind w:firstLine="1705"/>
        <w:spacing w:after="0" w:line="238" w:lineRule="auto"/>
        <w:tabs>
          <w:tab w:leader="none" w:pos="2129"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from and after the Closing, Buyer will indemnify Seller and its Affiliates and each of their respective officers, managers, directors, employees, equity holders, agents, Affiliates and Representatives (each a “</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from and against, and compensate and reimburse each Seller Indemnified Party for, any Losses incurred by such Seller Indemnified Party, whether or not arising from, relating to or otherwise in connection with a Third Party Claim, as a result of, arising out of or from, directly or indirectly:</w:t>
      </w:r>
    </w:p>
    <w:p>
      <w:pPr>
        <w:spacing w:after="0" w:line="17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or inaccuracy in any representation or warranty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in any Buyer Representation Letter, as such representation or warranty would read had all references to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materiality,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substantial compliance</w:t>
      </w:r>
      <w:r>
        <w:rPr>
          <w:rFonts w:ascii="Times New Roman" w:cs="Times New Roman" w:eastAsia="Times New Roman" w:hAnsi="Times New Roman"/>
          <w:sz w:val="22"/>
          <w:szCs w:val="22"/>
          <w:color w:val="auto"/>
        </w:rPr>
        <w:t>” or any similar materiality qualifications, been deleted therefrom;</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violation of, or failure to perform by Buyer of any covenant or agreement of Buyer contained in this Agreement or any Related Document;</w:t>
      </w:r>
    </w:p>
    <w:p>
      <w:pPr>
        <w:spacing w:after="0" w:line="158"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of Fraud committed by Buyer solely in respect of (A) a breach of the representations and warranties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(B) the negotiation, execution, delivery, or performance of this Agreement;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any Transfer Taxes and prorated Taxes allocated to Buyer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Liabilities.</w:t>
      </w:r>
    </w:p>
    <w:p>
      <w:pPr>
        <w:spacing w:after="0" w:line="206" w:lineRule="exact"/>
        <w:rPr>
          <w:rFonts w:ascii="Times New Roman" w:cs="Times New Roman" w:eastAsia="Times New Roman" w:hAnsi="Times New Roman"/>
          <w:sz w:val="22"/>
          <w:szCs w:val="22"/>
          <w:color w:val="auto"/>
        </w:rPr>
      </w:pPr>
    </w:p>
    <w:p>
      <w:pPr>
        <w:ind w:left="2140" w:hanging="435"/>
        <w:spacing w:after="0"/>
        <w:tabs>
          <w:tab w:leader="none" w:pos="214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Indemnified Party will be entitled to be indemnified pursuant to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xml:space="preserve"> unless and until the aggregate amount of all Losses for which Seller Indemnified Parties would, but for this </w:t>
      </w:r>
      <w:r>
        <w:rPr>
          <w:rFonts w:ascii="Times New Roman" w:cs="Times New Roman" w:eastAsia="Times New Roman" w:hAnsi="Times New Roman"/>
          <w:sz w:val="22"/>
          <w:szCs w:val="22"/>
          <w:u w:val="single" w:color="auto"/>
          <w:color w:val="auto"/>
        </w:rPr>
        <w:t>Section 6.2(b)(i)</w:t>
      </w:r>
      <w:r>
        <w:rPr>
          <w:rFonts w:ascii="Times New Roman" w:cs="Times New Roman" w:eastAsia="Times New Roman" w:hAnsi="Times New Roman"/>
          <w:sz w:val="22"/>
          <w:szCs w:val="22"/>
          <w:color w:val="auto"/>
        </w:rPr>
        <w:t>, be entitled to indemnification hereunder exceeds on a cumulative basis $[**] (the “</w:t>
      </w:r>
      <w:r>
        <w:rPr>
          <w:rFonts w:ascii="Times New Roman" w:cs="Times New Roman" w:eastAsia="Times New Roman" w:hAnsi="Times New Roman"/>
          <w:sz w:val="22"/>
          <w:szCs w:val="22"/>
          <w:u w:val="single" w:color="auto"/>
          <w:color w:val="auto"/>
        </w:rPr>
        <w:t>Buyer Indemnity Threshold</w:t>
      </w:r>
      <w:r>
        <w:rPr>
          <w:rFonts w:ascii="Times New Roman" w:cs="Times New Roman" w:eastAsia="Times New Roman" w:hAnsi="Times New Roman"/>
          <w:sz w:val="22"/>
          <w:szCs w:val="22"/>
          <w:color w:val="auto"/>
        </w:rPr>
        <w:t xml:space="preserve">”), at which point the Seller Indemnified Parties will be entitled to be indemnified and held harmless by Buyer for and against the full amount of such Losses, including the amount of the Buyer Indemnity Threshold; provided, however, that the foregoing Buyer Indemnity Threshold of this </w:t>
      </w:r>
      <w:r>
        <w:rPr>
          <w:rFonts w:ascii="Times New Roman" w:cs="Times New Roman" w:eastAsia="Times New Roman" w:hAnsi="Times New Roman"/>
          <w:sz w:val="22"/>
          <w:szCs w:val="22"/>
          <w:u w:val="single" w:color="auto"/>
          <w:color w:val="auto"/>
        </w:rPr>
        <w:t>Section 6.2(b)(i)</w:t>
      </w:r>
      <w:r>
        <w:rPr>
          <w:rFonts w:ascii="Times New Roman" w:cs="Times New Roman" w:eastAsia="Times New Roman" w:hAnsi="Times New Roman"/>
          <w:sz w:val="22"/>
          <w:szCs w:val="22"/>
          <w:color w:val="auto"/>
        </w:rPr>
        <w:t xml:space="preserve"> will not apply to Losses for which the Seller Indemnified Parties may be entitled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6.2(a) (iii); and</w:t>
      </w:r>
    </w:p>
    <w:p>
      <w:pPr>
        <w:spacing w:after="0" w:line="183"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Losses for which the Seller Indemnified Parties may be entitled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6.2(a)(iii)</w:t>
      </w:r>
      <w:r>
        <w:rPr>
          <w:rFonts w:ascii="Times New Roman" w:cs="Times New Roman" w:eastAsia="Times New Roman" w:hAnsi="Times New Roman"/>
          <w:sz w:val="22"/>
          <w:szCs w:val="22"/>
          <w:color w:val="auto"/>
        </w:rPr>
        <w:t xml:space="preserve"> in no event will the aggregate amount for which Seller Indemnified Parties will be indemnified and held harmless and entitled to recover (i) under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xml:space="preserve"> exceed the Indemnity Liability Cap; or (ii) under </w:t>
      </w:r>
      <w:r>
        <w:rPr>
          <w:rFonts w:ascii="Times New Roman" w:cs="Times New Roman" w:eastAsia="Times New Roman" w:hAnsi="Times New Roman"/>
          <w:sz w:val="22"/>
          <w:szCs w:val="22"/>
          <w:u w:val="single" w:color="auto"/>
          <w:color w:val="auto"/>
        </w:rPr>
        <w:t>Section 6.2(a)(ii)</w:t>
      </w:r>
      <w:r>
        <w:rPr>
          <w:rFonts w:ascii="Times New Roman" w:cs="Times New Roman" w:eastAsia="Times New Roman" w:hAnsi="Times New Roman"/>
          <w:sz w:val="22"/>
          <w:szCs w:val="22"/>
          <w:color w:val="auto"/>
        </w:rPr>
        <w:t xml:space="preserve">, exceed an amount equal to the Greater Liability Cap. For clarity, the Greater Liability Cap will not be construed hereunder as a limitation on any payment obligation otherwise due and payable by Buyer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2.6 (with respect to an achieved Milestone Event) 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(with respect to earned Royalties).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6.3</w:t>
      </w:r>
      <w:r>
        <w:rPr>
          <w:rFonts w:ascii="Times New Roman" w:cs="Times New Roman" w:eastAsia="Times New Roman" w:hAnsi="Times New Roman"/>
          <w:sz w:val="22"/>
          <w:szCs w:val="22"/>
          <w:u w:val="single" w:color="auto"/>
          <w:color w:val="auto"/>
        </w:rPr>
        <w:t>Indemnification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3" w:name="page334"/>
    <w:bookmarkEnd w:id="333"/>
    <w:p>
      <w:pPr>
        <w:jc w:val="both"/>
        <w:ind w:left="-8" w:firstLine="1705"/>
        <w:spacing w:after="0" w:line="243" w:lineRule="auto"/>
        <w:tabs>
          <w:tab w:leader="none" w:pos="2121"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for a Buyer Indemnified Party or a Seller Indemnified Party (an “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xml:space="preserve">”) to be entitled to any indemnification provided for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in respect of, arising out of or involving a Third Party Claim, such Indemnified Party must notify, with respect to a claim for indemnification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Seller, or, with respect to a claim for indemnification pursuant to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Buyer (each, an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in writing of the Third Party Claim (including in such notice a brief description of the applicable claim(s), including damages sought or estimated, to the extent actually known by such Indemnified Party) within [**] after receipt by such Indemnified Party of actual notice of the Third Party Claim; provided, however, that failure to give such notification or any deficiency in such notification will not affect the indemnification provided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except to the extent that the Indemnifying Party has been actually prejudiced as a result of such failure or deficiency. The Indemnifying Party will have the right to undertake the defense or opposition to such Third Party Claim (at the Indemnifying Party’s expense) with counsel selected by it and reasonably satisfactory to the Indemnified Party so long as (i) the Indemnifying Party gives written notice to the Indemnified Party within</w:t>
      </w:r>
    </w:p>
    <w:p>
      <w:pPr>
        <w:spacing w:after="0" w:line="7" w:lineRule="exact"/>
        <w:rPr>
          <w:rFonts w:ascii="Times New Roman" w:cs="Times New Roman" w:eastAsia="Times New Roman" w:hAnsi="Times New Roman"/>
          <w:sz w:val="21"/>
          <w:szCs w:val="21"/>
          <w:color w:val="auto"/>
        </w:rPr>
      </w:pPr>
    </w:p>
    <w:p>
      <w:pPr>
        <w:jc w:val="both"/>
        <w:ind w:left="-8" w:firstLine="8"/>
        <w:spacing w:after="0" w:line="242" w:lineRule="auto"/>
        <w:tabs>
          <w:tab w:leader="none" w:pos="418"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it has been notified of the Third Party Claim that it will defend the Indemnified Party against such Third Party Claim and the Indemnifying Party acknowledges its obligation to indemnify the Indemnified Party for all Losses related to such Third Party Claim, (ii) the Third Party Claim involves only money damages and does not seek an injunction or other equitable relief against the Indemnified Party, (iii) the Third Party Claim does not relate to or arise in connection with Taxes, any purported class action, or any criminal or regulatory enforcement Action, (iv) the amount claimed in such Third Party Claim, taken together with the reasonably estimated costs of defense thereof and the claimed amount with respect to any unresolved claims for indemnification under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then pending, is (A) greater than the Seller Indemnity Threshold (if Seller is the Indemnifying Party) or the Buyer Indemnity Threshold (if Buyer is the Indemnifying Party) and (B) if applicable, less than the Indemnity Liability Cap, (v) the Indemnified Party has not been advised in writing by outside counsel that a legal conflict exists between the Indemnified Party and the Indemnifying Party in connection with conducting the defense of the Third Party Claim, (vi) the Third Party Claim does not allege the infringement of the Intellectual Property Rights of any Person by the Indemnified Party, (vii) settlement of, an adverse Order with respect to, or conduct of the defense of the Third Party Claim by the Indemnifying Party is not, in the good faith judgment of the Indemnified Party, likely to be materially adverse to the Indemnified Party’s or its Affiliates’ reputation or continuing business interests (including its relationships with current or potential customers, licensors, distributors, suppliers or other parties material to the conduct of its business) and (viii) the Indemnifying Party diligently and vigorously and in good faith conducts the defense of the Third Party Claim. The Indemnifying Party may not settle any Third Party Claim without the prior written consent of the Indemnified Party unless (1) the claimant in such Third Party Claim provides to the Buyer Indemnified Parties or Seller Indemnified Parties, as applicable, a full, general and unqualified release from all liability in respect of such Third Party Claim, (2) such settlement does not involve any injunctive relief, (3) such settlement does not create a Lien on any of the assets of the applicable Indemnified Parties or impose any restriction or condition that would apply to or materially affect the applicable Indemnified Parties or the conduct of the applicable Indemnified Parties’ businesses and (4) such settlement does not involve any finding or admission of liability or wrongdoing.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1011555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35" w:right="339" w:bottom="1440" w:gutter="0" w:footer="0" w:header="0"/>
        </w:sectPr>
      </w:pPr>
    </w:p>
    <w:bookmarkStart w:id="334" w:name="page335"/>
    <w:bookmarkEnd w:id="334"/>
    <w:p>
      <w:pPr>
        <w:jc w:val="both"/>
        <w:ind w:firstLine="1705"/>
        <w:spacing w:after="0" w:line="232" w:lineRule="auto"/>
        <w:tabs>
          <w:tab w:leader="none" w:pos="2129"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for an Indemnified Party to be entitled to any indemnification provided for under this Agreement other than in respect of, arising out of or involving a Third Party Claim, such Indemnified Party will deliver notice of such claim to the Indemnifying Party (including in such notice a brief description of the applicable claim(s), including damages sought or estimated, to the extent actually known by such Indemnified Party); provided, however, that failure to give such notification or any deficiency in such notification will not affect the indemnification provided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except to the extent that the Indemnifying Party has been actually prejudiced as a result of such failure or deficiency. If the Indemnifying Party does not notify the Indemnified Party within [**] following its receipt of such notice that the Indemnifying Party disputes the indemnity claimed by the Indemnified Party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such indemnity claim specified by the Indemnified Party in such notice will be conclusively deemed a liability to be indemnified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6.1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6.2 and the Indemnified Party will be indemnified for the amount of the Losses stated in such notice to the Indemnified Party on demand or, in the case of any notice in which the Losses (or any portion thereof) are estimated, on such later date when the amount of such Losses (or such portion thereof) becomes finally determined, but in all cases subject to the Seller Indemnity Threshold, the Buyer Indemnity Threshold, and the Indemnity Liability Cap, to the extent applicable. If the Indemnifying Party objects in writing to such claim, then the Indemnifying Party and Indemnified Party shall attempt in good faith to agree upon the rights of the respective parties with respect to any such claims within [**] after such objection. If the Indemnifying Party and the Indemnified Party should so agree on a claim during such [**] period, a written memorandum setting forth such agreement with respect to the Losses sought shall be prepared and signed by such parties. If no agreement can be reached after good faith negotiation between the Indemnifying Party and Indemnified Party pursuant to this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then applicable Indemnified Party shall each have the right to submit such dispute to a court of competent jurisdiction in accordance with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right="60" w:firstLine="1705"/>
        <w:spacing w:after="0" w:line="258" w:lineRule="auto"/>
        <w:tabs>
          <w:tab w:leader="none" w:pos="2129"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agreed or finally determined amount of Losses for which an Indemnified Party is responsible pursuant to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shall be deemed the “</w:t>
      </w:r>
      <w:r>
        <w:rPr>
          <w:rFonts w:ascii="Times New Roman" w:cs="Times New Roman" w:eastAsia="Times New Roman" w:hAnsi="Times New Roman"/>
          <w:sz w:val="22"/>
          <w:szCs w:val="22"/>
          <w:u w:val="single" w:color="auto"/>
          <w:color w:val="auto"/>
        </w:rPr>
        <w:t>Owed Damages.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6.4</w:t>
      </w:r>
      <w:r>
        <w:rPr>
          <w:rFonts w:ascii="Times New Roman" w:cs="Times New Roman" w:eastAsia="Times New Roman" w:hAnsi="Times New Roman"/>
          <w:sz w:val="22"/>
          <w:szCs w:val="22"/>
          <w:u w:val="single" w:color="auto"/>
          <w:color w:val="auto"/>
        </w:rPr>
        <w:t>Termination of Indemnification Obligations.</w:t>
      </w:r>
    </w:p>
    <w:p>
      <w:pPr>
        <w:spacing w:after="0" w:line="206" w:lineRule="exact"/>
        <w:rPr>
          <w:sz w:val="20"/>
          <w:szCs w:val="20"/>
          <w:color w:val="auto"/>
        </w:rPr>
      </w:pPr>
    </w:p>
    <w:p>
      <w:pPr>
        <w:jc w:val="both"/>
        <w:ind w:firstLine="1705"/>
        <w:spacing w:after="0" w:line="253" w:lineRule="auto"/>
        <w:tabs>
          <w:tab w:leader="none" w:pos="2129"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to indemnify and hold harmless an Indemnified Party hereto (i)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6.1(a)(i)</w:t>
      </w:r>
      <w:r>
        <w:rPr>
          <w:rFonts w:ascii="Times New Roman" w:cs="Times New Roman" w:eastAsia="Times New Roman" w:hAnsi="Times New Roman"/>
          <w:sz w:val="21"/>
          <w:szCs w:val="21"/>
          <w:color w:val="auto"/>
        </w:rPr>
        <w:t xml:space="preserve"> (excluding with respect to the representations and warranties set forth in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(Intellectual Property)) and </w:t>
      </w:r>
      <w:r>
        <w:rPr>
          <w:rFonts w:ascii="Times New Roman" w:cs="Times New Roman" w:eastAsia="Times New Roman" w:hAnsi="Times New Roman"/>
          <w:sz w:val="21"/>
          <w:szCs w:val="21"/>
          <w:u w:val="single" w:color="auto"/>
          <w:color w:val="auto"/>
        </w:rPr>
        <w:t>Section</w:t>
      </w: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6.2(a)(i)</w:t>
      </w:r>
      <w:r>
        <w:rPr>
          <w:rFonts w:ascii="Times New Roman" w:cs="Times New Roman" w:eastAsia="Times New Roman" w:hAnsi="Times New Roman"/>
          <w:sz w:val="22"/>
          <w:szCs w:val="22"/>
          <w:color w:val="auto"/>
        </w:rPr>
        <w:t xml:space="preserve"> will terminate when the applicable representation or warranty terminates pursuant to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(ii) pursuant to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with respect to the representations and warranties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(Intellectual Property), will terminate when the applicable representation or warranty terminates pursuant to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(iii) pursuant to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will terminate when the applicable representation or warranty terminates pursuant to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and (iv) pursuant to the other clauses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will not terminate; provided, however, that as to clauses (i)-(iv) above such obligation to indemnify and hold harmless will not terminate with respect to any claims as to which the Indemnified Party will have, before the expiration of the applicable period, previously delivered a notice of such claim to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5" w:name="page336"/>
    <w:bookmarkEnd w:id="335"/>
    <w:p>
      <w:pPr>
        <w:jc w:val="both"/>
        <w:ind w:left="-8" w:firstLine="1705"/>
        <w:spacing w:after="0" w:line="247" w:lineRule="auto"/>
        <w:tabs>
          <w:tab w:leader="none" w:pos="2121"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representations and warranties contained in this Agreement will survive the Closing; provided, however, that except in the case of Fraud (to the extent a Party may claim indemnification pursuant to </w:t>
      </w:r>
      <w:r>
        <w:rPr>
          <w:rFonts w:ascii="Times New Roman" w:cs="Times New Roman" w:eastAsia="Times New Roman" w:hAnsi="Times New Roman"/>
          <w:sz w:val="21"/>
          <w:szCs w:val="21"/>
          <w:u w:val="single" w:color="auto"/>
          <w:color w:val="auto"/>
        </w:rPr>
        <w:t>Section 6.1(a)(iv)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6.2(a)(iii)</w:t>
      </w:r>
      <w:r>
        <w:rPr>
          <w:rFonts w:ascii="Times New Roman" w:cs="Times New Roman" w:eastAsia="Times New Roman" w:hAnsi="Times New Roman"/>
          <w:sz w:val="21"/>
          <w:szCs w:val="21"/>
          <w:color w:val="auto"/>
        </w:rPr>
        <w:t>, as applicable, with respect to such Fraud), (i) the Fundamental Representations will terminate on the date that is [**] after the expiration of the applicable statute of limitation (taking into account any tolling periods and other extensions) and</w:t>
      </w:r>
    </w:p>
    <w:p>
      <w:pPr>
        <w:spacing w:after="0" w:line="1" w:lineRule="exact"/>
        <w:rPr>
          <w:rFonts w:ascii="Times New Roman" w:cs="Times New Roman" w:eastAsia="Times New Roman" w:hAnsi="Times New Roman"/>
          <w:sz w:val="21"/>
          <w:szCs w:val="21"/>
          <w:color w:val="auto"/>
        </w:rPr>
      </w:pPr>
    </w:p>
    <w:p>
      <w:pPr>
        <w:jc w:val="both"/>
        <w:ind w:left="-8" w:firstLine="8"/>
        <w:spacing w:after="0" w:line="234" w:lineRule="auto"/>
        <w:tabs>
          <w:tab w:leader="none" w:pos="32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this Agreement (other than the Fundamental Representations) will terminate on the date that is [**] following the Closing Date. Notwithstanding the foregoing, all representations and warranties contained in a Buyer Representation Letter or a Seller Representation Letter, as applicable, will terminate on the date that is [**] following the date thereof.</w:t>
      </w:r>
    </w:p>
    <w:p>
      <w:pPr>
        <w:spacing w:after="0" w:line="177" w:lineRule="exact"/>
        <w:rPr>
          <w:rFonts w:ascii="Times New Roman" w:cs="Times New Roman" w:eastAsia="Times New Roman" w:hAnsi="Times New Roman"/>
          <w:sz w:val="22"/>
          <w:szCs w:val="22"/>
          <w:color w:val="auto"/>
        </w:rPr>
      </w:pPr>
    </w:p>
    <w:p>
      <w:pPr>
        <w:jc w:val="both"/>
        <w:ind w:left="-8" w:right="20" w:firstLine="1705"/>
        <w:spacing w:after="0" w:line="244" w:lineRule="auto"/>
        <w:tabs>
          <w:tab w:leader="none" w:pos="2121"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the time periods set forth in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for the assertion of claims under this Agreement are the result of arms’-length negotiation among the Parties and that they intend for the time periods to be enforced as agreed by the Parties.</w:t>
      </w:r>
    </w:p>
    <w:p>
      <w:pPr>
        <w:spacing w:after="0" w:line="17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Section 6.5</w:t>
      </w:r>
      <w:r>
        <w:rPr>
          <w:rFonts w:ascii="Times New Roman" w:cs="Times New Roman" w:eastAsia="Times New Roman" w:hAnsi="Times New Roman"/>
          <w:sz w:val="22"/>
          <w:szCs w:val="22"/>
          <w:u w:val="single" w:color="auto"/>
          <w:color w:val="auto"/>
        </w:rPr>
        <w:t>Damages; Remedies.</w:t>
      </w:r>
    </w:p>
    <w:p>
      <w:pPr>
        <w:spacing w:after="0" w:line="206" w:lineRule="exact"/>
        <w:rPr>
          <w:sz w:val="20"/>
          <w:szCs w:val="20"/>
          <w:color w:val="auto"/>
        </w:rPr>
      </w:pPr>
    </w:p>
    <w:p>
      <w:pPr>
        <w:jc w:val="both"/>
        <w:ind w:left="-8" w:firstLine="1705"/>
        <w:spacing w:after="0" w:line="236" w:lineRule="auto"/>
        <w:tabs>
          <w:tab w:leader="none" w:pos="212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any claims involving Fraud against any Person who has committed such Fraud, from and after the Closing Date, the rights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(Reversion Rights) shall be the sole and exclusive remedy of the Indemnified Parties with respect to a breach of a representation or warranty, covenant or obligation set forth in this Agreement. For clarity, the Greater Liability Cap (as applied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will not be construed hereunder as a limitation on any payment obligation otherwise due and payable by Buyer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(with respect to an achieved Milestone Event) 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(with respect to earned Royalties).</w:t>
      </w:r>
    </w:p>
    <w:p>
      <w:pPr>
        <w:spacing w:after="0" w:line="181" w:lineRule="exact"/>
        <w:rPr>
          <w:rFonts w:ascii="Times New Roman" w:cs="Times New Roman" w:eastAsia="Times New Roman" w:hAnsi="Times New Roman"/>
          <w:sz w:val="22"/>
          <w:szCs w:val="22"/>
          <w:color w:val="auto"/>
        </w:rPr>
      </w:pPr>
    </w:p>
    <w:p>
      <w:pPr>
        <w:jc w:val="both"/>
        <w:ind w:left="-8" w:firstLine="1705"/>
        <w:spacing w:after="0" w:line="236" w:lineRule="auto"/>
        <w:tabs>
          <w:tab w:leader="none" w:pos="212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all Losses shall be calculated after giving effect to any amounts actually recovered from third parties, including amounts recovered under insurance policies (for the avoidance of doubt, excluding any self-insurance program or similar arrangement) with respect to such Losses, and net of any costs to recover such amounts. Any Losses for which indemnification is sought under this Agreement shall be determined without duplication of recovery due to the facts giving rise to such Losses forming a basis for a claim for recovery under multiple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 breach of more than one representation, warranty, covenant or agreement.</w:t>
      </w:r>
    </w:p>
    <w:p>
      <w:pPr>
        <w:spacing w:after="0" w:line="181" w:lineRule="exact"/>
        <w:rPr>
          <w:rFonts w:ascii="Times New Roman" w:cs="Times New Roman" w:eastAsia="Times New Roman" w:hAnsi="Times New Roman"/>
          <w:sz w:val="22"/>
          <w:szCs w:val="22"/>
          <w:color w:val="auto"/>
        </w:rPr>
      </w:pPr>
    </w:p>
    <w:p>
      <w:pPr>
        <w:jc w:val="both"/>
        <w:ind w:left="-8" w:firstLine="1705"/>
        <w:spacing w:after="0" w:line="244" w:lineRule="auto"/>
        <w:tabs>
          <w:tab w:leader="none" w:pos="212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herein, the rights of each Indemnified Party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are cumulative, and each Indemnified Party will have the right in any particular circumstance, in its sole discretion, to enforce any provision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without regard to the availability of a remedy under any other provision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8" w:firstLine="1705"/>
        <w:spacing w:after="0" w:line="244" w:lineRule="auto"/>
        <w:tabs>
          <w:tab w:leader="none" w:pos="212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of any Indemnified Party to indemnification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will not be affected by any investigation conducted or knowledge acquired (or capable of being acquired) at any time, whether before or after the execution and delivery of this Agreement or the Closing, with respect to the accuracy of any representation or warranty,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1006475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35" w:right="339" w:bottom="1440" w:gutter="0" w:footer="0" w:header="0"/>
        </w:sectPr>
      </w:pPr>
    </w:p>
    <w:bookmarkStart w:id="336" w:name="page337"/>
    <w:bookmarkEnd w:id="33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performance of or compliance with any covenant or agreement. The waiver of any condition contained in this Agreement based on the breach of any such representation or warranty, or on the performance of or compliance with any such covenant or agreement, will not affect the right of any Indemnified Party to indemnification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based on such representation, warranty, covenant or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6.6</w:t>
      </w:r>
      <w:r>
        <w:rPr>
          <w:rFonts w:ascii="Times New Roman" w:cs="Times New Roman" w:eastAsia="Times New Roman" w:hAnsi="Times New Roman"/>
          <w:sz w:val="22"/>
          <w:szCs w:val="22"/>
          <w:u w:val="single" w:color="auto"/>
          <w:color w:val="auto"/>
        </w:rPr>
        <w:t>Right of Set-off.</w:t>
      </w:r>
    </w:p>
    <w:p>
      <w:pPr>
        <w:spacing w:after="0" w:line="206" w:lineRule="exact"/>
        <w:rPr>
          <w:sz w:val="20"/>
          <w:szCs w:val="20"/>
          <w:color w:val="auto"/>
        </w:rPr>
      </w:pPr>
    </w:p>
    <w:p>
      <w:pPr>
        <w:jc w:val="both"/>
        <w:ind w:firstLine="1705"/>
        <w:spacing w:after="0" w:line="233" w:lineRule="auto"/>
        <w:tabs>
          <w:tab w:leader="none" w:pos="21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Buyer is entitled to indemnification for Owed Damages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subject to the limitations contained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6.6, Buyer shall be and hereby is expressly entitled to set off and withhold the amount of any outstanding or unsatisfied indemnity claim made by a Buyer Indemnified Party or payable by Seller hereunder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against any payments that are or may become payable by Buyer either at the time of such setoff or at any future time to Seller pursuant to this Agreement, including any Milestone Consideration or Royalties, subject to the requirements of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(which set off shall be allocated and applied against the next Milestone Consideration or the next Royalty, that is or becomes payable to Seller hereunder (if any), and if such Milestone Consideration or Royalty is insufficient to cover the full amount of Owed Damages, then Buyer shall offset such amount against each subsequent Milestone Consideration, that is or becomes payable to Seller hereunder, if any, until such Owed Damages are satisfied in full and if such Milestone Consideration is insufficient to cover the full amount of Owed Damages, then Buyer shall offset such amount against any Royalties that is or become available in the order in which such Milestone Consideration or Royalty becomes payable to Seller pursuant to the terms hereof); provided that the foregoing shall not in any manner limit the right to recover or method of recovery by Buyer of Losses hereunder.</w:t>
      </w:r>
    </w:p>
    <w:p>
      <w:pPr>
        <w:spacing w:after="0" w:line="182" w:lineRule="exact"/>
        <w:rPr>
          <w:rFonts w:ascii="Times New Roman" w:cs="Times New Roman" w:eastAsia="Times New Roman" w:hAnsi="Times New Roman"/>
          <w:sz w:val="22"/>
          <w:szCs w:val="22"/>
          <w:color w:val="auto"/>
        </w:rPr>
      </w:pPr>
    </w:p>
    <w:p>
      <w:pPr>
        <w:jc w:val="both"/>
        <w:ind w:firstLine="1705"/>
        <w:spacing w:after="0" w:line="235" w:lineRule="auto"/>
        <w:tabs>
          <w:tab w:leader="none" w:pos="21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Buyer must seek to recover Owed Damages as follows: (i) first, the Seller shall pay to an account designated by Buyer or the applicable Buyer Indemnified Party, an amount in cash and/or a number of Solid Shares (which Solid Shares will be valued at the VWAP (with the date of measurement being the date that the applicable Milestone Shares were issued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equal to the Owed Damages, and (ii) second, if Seller fails to pay, in the aggregate, an amount in cash and/or a number of Solid Shares (which Solid Shares will be valued at the VWAP (with the date of measurement being the date that the applicable Milestone Shares were issued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equal to the Owed Damages within [**], then Buyer may offset the Owed Damages from any Milestone Consideration or Royalties that become due and payable to Seller pursuant to this Agreement for the unpaid portion of the Owed Damages.</w:t>
      </w:r>
    </w:p>
    <w:p>
      <w:pPr>
        <w:spacing w:after="0" w:line="178" w:lineRule="exact"/>
        <w:rPr>
          <w:rFonts w:ascii="Times New Roman" w:cs="Times New Roman" w:eastAsia="Times New Roman" w:hAnsi="Times New Roman"/>
          <w:sz w:val="22"/>
          <w:szCs w:val="22"/>
          <w:color w:val="auto"/>
        </w:rPr>
      </w:pPr>
    </w:p>
    <w:p>
      <w:pPr>
        <w:jc w:val="both"/>
        <w:ind w:firstLine="1705"/>
        <w:spacing w:after="0" w:line="236" w:lineRule="auto"/>
        <w:tabs>
          <w:tab w:leader="none" w:pos="21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Buyer exercises its right of setoff under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then Buyer will provide written notice to Seller thereof (including in such notice a summary of the applicable claim(s), including Owed Damages subject to such offset to the extent actually known by Buyer); provided, however, that failure to give such notification or any deficiency in such notification will not affect Buyer’s rights under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Seller must notify Buyer within [**] following its receipt of such notice that Seller disputes Buyer’s right of set-off under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and such amount claimed by Buyer will be held by Buyer, to be released to Buyer or Seller,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7" w:name="page338"/>
    <w:bookmarkEnd w:id="337"/>
    <w:p>
      <w:pPr>
        <w:jc w:val="both"/>
        <w:spacing w:after="0" w:line="238" w:lineRule="auto"/>
        <w:rPr>
          <w:sz w:val="20"/>
          <w:szCs w:val="20"/>
          <w:color w:val="auto"/>
        </w:rPr>
      </w:pPr>
      <w:r>
        <w:rPr>
          <w:rFonts w:ascii="Times New Roman" w:cs="Times New Roman" w:eastAsia="Times New Roman" w:hAnsi="Times New Roman"/>
          <w:sz w:val="22"/>
          <w:szCs w:val="22"/>
          <w:color w:val="auto"/>
        </w:rPr>
        <w:t>after such dispute is finally determined in accordance with the dispute resolution procedures set forth herein. In the case of the exercise of the right to setoff against the payment of any Milestone Shares hereunder, the amount of Owed Damages which may be offset against such payment of Milestone Shares shall be determined as such number of Solid Shares equal to the applicable amount of Owed Damages divided by the VWAP for the Solid Shares (with the date of measurement being the date that the applicable claim for indemnification was made).</w:t>
      </w:r>
    </w:p>
    <w:p>
      <w:pPr>
        <w:spacing w:after="0" w:line="17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Section 6.7</w:t>
      </w:r>
      <w:r>
        <w:rPr>
          <w:rFonts w:ascii="Times New Roman" w:cs="Times New Roman" w:eastAsia="Times New Roman" w:hAnsi="Times New Roman"/>
          <w:sz w:val="21"/>
          <w:szCs w:val="21"/>
          <w:u w:val="single" w:color="auto"/>
          <w:color w:val="auto"/>
        </w:rPr>
        <w:t>Purchase Price Adjustments</w:t>
      </w:r>
      <w:r>
        <w:rPr>
          <w:rFonts w:ascii="Times New Roman" w:cs="Times New Roman" w:eastAsia="Times New Roman" w:hAnsi="Times New Roman"/>
          <w:sz w:val="21"/>
          <w:szCs w:val="21"/>
          <w:color w:val="auto"/>
        </w:rPr>
        <w:t xml:space="preserve">. To the extent permitted by applicable Law, any amounts payable under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will be treated by Buyer and Seller as an adjustment to the purchase price for United States federal income Tax purposes.</w:t>
      </w:r>
    </w:p>
    <w:p>
      <w:pPr>
        <w:spacing w:after="0" w:line="13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6.8</w:t>
      </w:r>
      <w:r>
        <w:rPr>
          <w:rFonts w:ascii="Times New Roman" w:cs="Times New Roman" w:eastAsia="Times New Roman" w:hAnsi="Times New Roman"/>
          <w:sz w:val="22"/>
          <w:szCs w:val="22"/>
          <w:u w:val="single" w:color="auto"/>
          <w:color w:val="auto"/>
        </w:rPr>
        <w:t>Indemnity Payments</w:t>
      </w:r>
      <w:r>
        <w:rPr>
          <w:rFonts w:ascii="Times New Roman" w:cs="Times New Roman" w:eastAsia="Times New Roman" w:hAnsi="Times New Roman"/>
          <w:sz w:val="22"/>
          <w:szCs w:val="22"/>
          <w:color w:val="auto"/>
        </w:rPr>
        <w:t xml:space="preserve">. In the event that an Indemnifying Party agrees to or is determined to have an obligation to reimburse an Indemnified Party for Losses as provided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the Indemnifying Party will promptly pay such amount to the Indemnified Party in Dollars by wire transfer of immediately available funds to the accounts specified in writing by the Indemnified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7.1</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The Parties agree that they have been represented by counsel during the negotiation and execution of this Agreement and have together drafted this Agreement and, therefore, waive the application of any Law, regulation, holding or rule of construction providing that ambiguities in an agreement or other document will be construed against the Party drafting such agreement or document.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7.2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will be given (and will be deemed to have been duly given upon receipt) (a) by hand delivery, (b) by prepaid overnight courier (providing written proof of delivery), (c) by certified or registered mail (return receipt requested and first class postage prepaid), addressed as follows (or at such other address for a Party as will be specified by like notice), or (d) by electronic mail (followed by confirmation via one of the methods set forth in the foregoing (a) - (c)):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Buyer,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Rutherford Ave, 3rd Floor</w:t>
      </w:r>
    </w:p>
    <w:p>
      <w:pPr>
        <w:spacing w:after="0" w:line="230" w:lineRule="auto"/>
        <w:rPr>
          <w:sz w:val="20"/>
          <w:szCs w:val="20"/>
          <w:color w:val="auto"/>
        </w:rPr>
      </w:pPr>
      <w:r>
        <w:rPr>
          <w:rFonts w:ascii="Times New Roman" w:cs="Times New Roman" w:eastAsia="Times New Roman" w:hAnsi="Times New Roman"/>
          <w:sz w:val="22"/>
          <w:szCs w:val="22"/>
          <w:color w:val="auto"/>
        </w:rPr>
        <w:t>Charlestown, MA 02129</w:t>
      </w:r>
    </w:p>
    <w:p>
      <w:pPr>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Ropes &amp; Gray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2"/>
          <w:szCs w:val="22"/>
          <w:color w:val="auto"/>
        </w:rPr>
        <w:t>800 Boylston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 02199</w:t>
      </w:r>
    </w:p>
    <w:p>
      <w:pPr>
        <w:spacing w:after="0" w:line="230" w:lineRule="auto"/>
        <w:rPr>
          <w:sz w:val="20"/>
          <w:szCs w:val="20"/>
          <w:color w:val="auto"/>
        </w:rPr>
      </w:pPr>
      <w:r>
        <w:rPr>
          <w:rFonts w:ascii="Times New Roman" w:cs="Times New Roman" w:eastAsia="Times New Roman" w:hAnsi="Times New Roman"/>
          <w:sz w:val="22"/>
          <w:szCs w:val="22"/>
          <w:color w:val="auto"/>
        </w:rPr>
        <w:t>Attention: Abigail Gregor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Abigail.Gregor@ropesgray.com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Seller,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FA212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Thomas E. Hamilton</w:t>
      </w:r>
    </w:p>
    <w:p>
      <w:pPr>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Commerce Square</w:t>
      </w:r>
    </w:p>
    <w:p>
      <w:pPr>
        <w:spacing w:after="0" w:line="230" w:lineRule="auto"/>
        <w:rPr>
          <w:sz w:val="20"/>
          <w:szCs w:val="20"/>
          <w:color w:val="auto"/>
        </w:rPr>
      </w:pPr>
      <w:r>
        <w:rPr>
          <w:rFonts w:ascii="Times New Roman" w:cs="Times New Roman" w:eastAsia="Times New Roman" w:hAnsi="Times New Roman"/>
          <w:sz w:val="22"/>
          <w:szCs w:val="22"/>
          <w:color w:val="auto"/>
        </w:rPr>
        <w:t>2005 Market Street, 32nd Floor</w:t>
      </w:r>
    </w:p>
    <w:p>
      <w:pPr>
        <w:spacing w:after="0" w:line="231" w:lineRule="auto"/>
        <w:rPr>
          <w:sz w:val="20"/>
          <w:szCs w:val="20"/>
          <w:color w:val="auto"/>
        </w:rPr>
      </w:pPr>
      <w:r>
        <w:rPr>
          <w:rFonts w:ascii="Times New Roman" w:cs="Times New Roman" w:eastAsia="Times New Roman" w:hAnsi="Times New Roman"/>
          <w:sz w:val="22"/>
          <w:szCs w:val="22"/>
          <w:color w:val="auto"/>
        </w:rPr>
        <w:t>Philadelphia, PA 19103</w:t>
      </w:r>
    </w:p>
    <w:p>
      <w:pPr>
        <w:spacing w:after="0" w:line="230" w:lineRule="auto"/>
        <w:rPr>
          <w:sz w:val="20"/>
          <w:szCs w:val="20"/>
          <w:color w:val="auto"/>
        </w:rPr>
      </w:pPr>
      <w:r>
        <w:rPr>
          <w:rFonts w:ascii="Times New Roman" w:cs="Times New Roman" w:eastAsia="Times New Roman" w:hAnsi="Times New Roman"/>
          <w:sz w:val="22"/>
          <w:szCs w:val="22"/>
          <w:color w:val="auto"/>
        </w:rPr>
        <w:t>Attention: Rachael M. Bushey; Allison P. Nicklin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RBushey@goodwinlaw.com; ANicklin@goodwinlaw.com</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provided that any notice received at the addressee’s location (or, if sent by electronic mail, to the appropriate email addresses set forth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on any Business Day after 5:00 p.m. (addressee’s local time) will be deemed to have been received at 9:00 a.m. (addressee’s local time) on the next Business Day.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7.3</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For any matter under this Agreement requiring the consent or approval of either Party to be valid and binding on the Party, such consent or approval must be in writing.</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7.4</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facsimile .pdf or other electronically transmitted signatures), all of which will be considered one and the same agreement and will become effective when one or more counterparts have been signed by each of the Parties and delivered to the other Party.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7.5</w:t>
      </w:r>
      <w:r>
        <w:rPr>
          <w:rFonts w:ascii="Times New Roman" w:cs="Times New Roman" w:eastAsia="Times New Roman" w:hAnsi="Times New Roman"/>
          <w:sz w:val="22"/>
          <w:szCs w:val="22"/>
          <w:u w:val="single" w:color="auto"/>
          <w:color w:val="auto"/>
        </w:rPr>
        <w:t>Entire Agreement; No Third-Party Beneficiaries</w:t>
      </w:r>
      <w:r>
        <w:rPr>
          <w:rFonts w:ascii="Times New Roman" w:cs="Times New Roman" w:eastAsia="Times New Roman" w:hAnsi="Times New Roman"/>
          <w:sz w:val="22"/>
          <w:szCs w:val="22"/>
          <w:color w:val="auto"/>
        </w:rPr>
        <w:t xml:space="preserve">. This Agreement, the Confidentiality Agreement and the other Related Documents (a) constitute the entire agreement, and supersede all prior agreements and understandings, both written and oral, among the Parties with respect to the subject matter of this Agreement, the Related Documents, and the Confidentiality Agreement and (b) other than in respect of any Indemnified Party pursuant to the terms of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are not intended to and do not confer upon any Person other than the Parties any legal or equitable rights or remedies.</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Section 7.6</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Neither this Agreement nor any of the rights, interests or obligations hereunder will be assigned, in whole or in part, by operation of Law or otherwise by either of the Parties without the prior written consent of the other Party, and any assignment without such consent will be null and void, except that (a) either Party may assigns any of 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39" w:name="page340"/>
    <w:bookmarkEnd w:id="33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its rights, interests and obligations under this Agreement to one or more of its Affiliates or to a successor in interest in connection with a merger, acquisition, sale of all or substantially all of the assets of such party or other similar transaction, and (b) Seller may assign may assign to a Third Party its right to receive the Milestone Consideration under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or the Royalties under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provided, that the Third Party to which the right to receive payments is assigned is subject to confidentiality obligations and non-use restrictions that are substantially similar to the obligations of confidentiality and non-use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Subject to the preceding sentences, this Agreement will be binding upon, inure to the benefit of, and be Enforceable by, the Parties and their respective successors and assigns.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7.7</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IN ACCORDANCE WITH, THE LAWS OF THE STATE OF NEW YORK, REGARDLESS OF THE LAWS THAT MIGHT OTHERWISE GOVERN UNDER APPLICABLE PRINCIPLES OF CONFLICTS OF LAWS THEREOF.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7.8</w:t>
      </w:r>
      <w:r>
        <w:rPr>
          <w:rFonts w:ascii="Times New Roman" w:cs="Times New Roman" w:eastAsia="Times New Roman" w:hAnsi="Times New Roman"/>
          <w:sz w:val="22"/>
          <w:szCs w:val="22"/>
          <w:u w:val="single" w:color="auto"/>
          <w:color w:val="auto"/>
        </w:rPr>
        <w:t>Dispute Resolution; Enforcement; Waiver of Jury Trial.</w:t>
      </w:r>
    </w:p>
    <w:p>
      <w:pPr>
        <w:spacing w:after="0" w:line="206" w:lineRule="exact"/>
        <w:rPr>
          <w:sz w:val="20"/>
          <w:szCs w:val="20"/>
          <w:color w:val="auto"/>
        </w:rPr>
      </w:pPr>
    </w:p>
    <w:p>
      <w:pPr>
        <w:jc w:val="both"/>
        <w:ind w:firstLine="1705"/>
        <w:spacing w:after="0" w:line="233" w:lineRule="auto"/>
        <w:tabs>
          <w:tab w:leader="none" w:pos="212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irrevocably submits to the exclusive jurisdiction of (i) the courts of the State of New York located in New York, NY, and (ii) the United States District Court for the Southern District of New York, for the purposes of any suit, Action or other proceeding arising out of this Agreement or the Contemplated Transactions. Each Party agrees to commence any such Action, suit or proceeding either in the United States District Court for the Southern District of New York or if such Action may not be brought in such court for jurisdictional reasons, in the courts of the State of New York located in New York, NY. Each Party further agrees that service of any process, summons, notice or document by the United States registered mail to such Party’s respective address set forth above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will be effective service of process for any Action, suit or proceeding in New York with respect to any matters to which it has submitted to jurisdiction in this </w:t>
      </w:r>
      <w:r>
        <w:rPr>
          <w:rFonts w:ascii="Times New Roman" w:cs="Times New Roman" w:eastAsia="Times New Roman" w:hAnsi="Times New Roman"/>
          <w:sz w:val="22"/>
          <w:szCs w:val="22"/>
          <w:u w:val="single" w:color="auto"/>
          <w:color w:val="auto"/>
        </w:rPr>
        <w:t>Section 7.8(a)</w:t>
      </w:r>
      <w:r>
        <w:rPr>
          <w:rFonts w:ascii="Times New Roman" w:cs="Times New Roman" w:eastAsia="Times New Roman" w:hAnsi="Times New Roman"/>
          <w:sz w:val="22"/>
          <w:szCs w:val="22"/>
          <w:color w:val="auto"/>
        </w:rPr>
        <w:t>. Each Party irrevocably and unconditionally waives any objection to the laying of venue of any Action, suit or proceeding arising out of this Agreement or the Contemplated Transactions in (x) the courts of the State of New York located in New York, NY, and (y) the United States District Court for the Southern District of New York, and hereby and thereby further irrevocably and unconditionally waives and agrees not to plead or claim in any such court that any such Action, suit or proceeding brought in any such court has been brought in an inconvenient forum.</w:t>
      </w:r>
    </w:p>
    <w:p>
      <w:pPr>
        <w:spacing w:after="0" w:line="182" w:lineRule="exact"/>
        <w:rPr>
          <w:rFonts w:ascii="Times New Roman" w:cs="Times New Roman" w:eastAsia="Times New Roman" w:hAnsi="Times New Roman"/>
          <w:sz w:val="22"/>
          <w:szCs w:val="22"/>
          <w:color w:val="auto"/>
        </w:rPr>
      </w:pPr>
    </w:p>
    <w:p>
      <w:pPr>
        <w:jc w:val="both"/>
        <w:ind w:firstLine="1705"/>
        <w:spacing w:after="0" w:line="255" w:lineRule="auto"/>
        <w:tabs>
          <w:tab w:leader="none" w:pos="2129"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WAIVES ITS RIGHT TO TRIAL OF ANY ISSUE BY JURY. Each Party (i) certifies that no Representative, agent or attorney of the other Party has represented, expressly or otherwise, that such Party would not, in the event of any Action, suit or proceeding, seek to enforce the foregoing waiver and (ii) acknowledges that it and the other Party has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7.8(b)</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7.9</w:t>
      </w:r>
      <w:r>
        <w:rPr>
          <w:rFonts w:ascii="Times New Roman" w:cs="Times New Roman" w:eastAsia="Times New Roman" w:hAnsi="Times New Roman"/>
          <w:sz w:val="22"/>
          <w:szCs w:val="22"/>
          <w:u w:val="single" w:color="auto"/>
          <w:color w:val="auto"/>
        </w:rPr>
        <w:t>Specific Enforcement</w:t>
      </w:r>
      <w:r>
        <w:rPr>
          <w:rFonts w:ascii="Times New Roman" w:cs="Times New Roman" w:eastAsia="Times New Roman" w:hAnsi="Times New Roman"/>
          <w:sz w:val="22"/>
          <w:szCs w:val="22"/>
          <w:color w:val="auto"/>
        </w:rPr>
        <w:t>. The Parties agree that irreparable damage may occur and that the Parties may not have any adequate remedy at law if any of the provisions of this Agreement were not performed in accordance with their specific terms or were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40" w:name="page341"/>
    <w:bookmarkEnd w:id="340"/>
    <w:p>
      <w:pPr>
        <w:jc w:val="both"/>
        <w:spacing w:after="0" w:line="236" w:lineRule="auto"/>
        <w:rPr>
          <w:sz w:val="20"/>
          <w:szCs w:val="20"/>
          <w:color w:val="auto"/>
        </w:rPr>
      </w:pPr>
      <w:r>
        <w:rPr>
          <w:rFonts w:ascii="Times New Roman" w:cs="Times New Roman" w:eastAsia="Times New Roman" w:hAnsi="Times New Roman"/>
          <w:sz w:val="22"/>
          <w:szCs w:val="22"/>
          <w:color w:val="auto"/>
        </w:rPr>
        <w:t>breached. Notwithstanding anything to the contrary herein, it is accordingly agreed that the Parties will be entitled to an injunction or injunctions to prevent breaches of this Agreement and to enforce specifically the terms and provisions of this Agreement in the state courts of New York located in New York, NY, and the United States District Court for the Southern District of New York, this being in addition to any other remedy to which they are entitled at law or in equity. Each Party hereby covenants and agrees not to raise, and irrevocably waives, any objections to the availability of such relief that a remedy at law would be adequate and that a bond or other security will be required.</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7.10</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or any Related Document is invalid, illegal or incapable of being enforced by any rule of Law or public policy, all other conditions and provisions of this Agreement or such Related Document will nevertheless remain in full force and effect. Upon such determination that any term or other provision is invalid, illegal or incapable of being enforced, the Parties will negotiate in good faith to modify this Agreement or such Related Document so as to effect the original intent of the Parties as closely as possible to the fullest extent permitted by applicable Law in an acceptable manner to the end that the Contemplated Transactions are fulfilled to the extent possible.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7.11</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by the Parties at any time by an instrument in writing signed on behalf of each of the Parties.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7.12</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Effective as of the Closing, each of Seller and Buyer, on behalf of itself and their respective Affiliates, successors and assigns (collectively, as applicable to Seller and Buyer, the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hereby release, acquit and forever discharge, to the fullest extent permitted by Law, the other Party and its Affiliates (each, a “</w:t>
      </w:r>
      <w:r>
        <w:rPr>
          <w:rFonts w:ascii="Times New Roman" w:cs="Times New Roman" w:eastAsia="Times New Roman" w:hAnsi="Times New Roman"/>
          <w:sz w:val="22"/>
          <w:szCs w:val="22"/>
          <w:u w:val="single" w:color="auto"/>
          <w:color w:val="auto"/>
        </w:rPr>
        <w:t>Releasee</w:t>
      </w:r>
      <w:r>
        <w:rPr>
          <w:rFonts w:ascii="Times New Roman" w:cs="Times New Roman" w:eastAsia="Times New Roman" w:hAnsi="Times New Roman"/>
          <w:sz w:val="22"/>
          <w:szCs w:val="22"/>
          <w:color w:val="auto"/>
        </w:rPr>
        <w:t xml:space="preserve">”) of, from and against any and all Actions, causes of Action, claims, demands, damages, judgments, debts, dues and suits of every kind, nature and description whatsoever, in law or in equity, which such Releasor ever had, now has or may in the future have on or by reason of any matter, cause or thing whatsoever related to the Business and the Purchased Assets. Each Releasor covenants and agrees not to assert any claim released hereby against any Releasee. Notwithstanding anything contained in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to the contrary, the release set forth in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will not affect or release the obligations of the Parties under this Agreement or the Related Documents.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41" w:name="page342"/>
    <w:bookmarkEnd w:id="341"/>
    <w:p>
      <w:pPr>
        <w:ind w:firstLine="8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Asset Purchase Agreement to be signed by their respective officers hereunto duly authorized, all as of the date first written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FA212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Thomas E. Hamilton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E. Hamilton</w:t>
      </w:r>
    </w:p>
    <w:p>
      <w:pPr>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42" w:name="page343"/>
    <w:bookmarkEnd w:id="342"/>
    <w:p>
      <w:pPr>
        <w:ind w:firstLine="8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Asset Purchase Agreement to be signed by their respective officers hereunto duly authorized, all as of the date first written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Bo Cumbo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Bo Cumbo</w:t>
      </w:r>
    </w:p>
    <w:p>
      <w:pPr>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43" w:name="page344"/>
    <w:bookmarkEnd w:id="343"/>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ASSET PURCHASE AGREEMENT</w:t>
      </w:r>
    </w:p>
    <w:p>
      <w:pPr>
        <w:spacing w:after="0" w:line="23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Amendment (this “Amendment”), entered into as of October 31, 2025 (the “Amendment Effective Date”), amends the Asset Purchase Agreement dated as of September 19, 2024 (the “Agreement”), by and between Solid Biosciences Inc. (the “Buyer”) and FA212 LLC (the “Seller”). Each of the Buyer and the Seller shall be considered individually as a “Party” and collectively as the “Parties”. Capitalized terms used but not otherwise defined herein shall have the meanings ascribed to such terms in the Agreement.</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Agreement as set forth herein.</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hereby agree as follows:</w:t>
      </w:r>
    </w:p>
    <w:p>
      <w:pPr>
        <w:spacing w:after="0" w:line="177" w:lineRule="exact"/>
        <w:rPr>
          <w:sz w:val="20"/>
          <w:szCs w:val="20"/>
          <w:color w:val="auto"/>
        </w:rPr>
      </w:pPr>
    </w:p>
    <w:p>
      <w:pPr>
        <w:ind w:left="760" w:hanging="752"/>
        <w:spacing w:after="0" w:line="262" w:lineRule="auto"/>
        <w:tabs>
          <w:tab w:leader="none" w:pos="760"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The first sentence of Section 2.6(d)(v) of the Agreement is hereby deleted in its entirety and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inserted in lieu thereof:</w:t>
      </w:r>
    </w:p>
    <w:p>
      <w:pPr>
        <w:spacing w:after="0" w:line="180" w:lineRule="exact"/>
        <w:rPr>
          <w:rFonts w:ascii="Times New Roman" w:cs="Times New Roman" w:eastAsia="Times New Roman" w:hAnsi="Times New Roman"/>
          <w:sz w:val="22"/>
          <w:szCs w:val="22"/>
          <w:b w:val="1"/>
          <w:bCs w:val="1"/>
          <w:color w:val="auto"/>
        </w:rPr>
      </w:pPr>
    </w:p>
    <w:p>
      <w:pPr>
        <w:jc w:val="both"/>
        <w:ind w:left="76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Solid Shares are issued as Milestone Consideration to Seller, then Buyer shall file a registration statement on Form S-3 (or any successor form to Form S-3) (or, (i) in the event that Form S-3 is not available for the registration of the resale of the Registrable Securities, another appropriate form reasonably acceptable to Seller or (ii) if available, include the Registrable Securities in a prospectus supplement under an already effective registration statement of Buyer) registering the resale of such Solid Shares (the “</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by Seller (a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no later than one (1) Business Day after Buyer files its Annual Report on Form 10-K or Quarterly Report on Form 10-Q, as applicable, for the fiscal quarter in which such Solid Shares were issued (Buyer’s fourth fiscal quarter in the case of the Annual Report on Form 10-K).”</w:t>
      </w:r>
    </w:p>
    <w:p>
      <w:pPr>
        <w:spacing w:after="0" w:line="201"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37" w:lineRule="exact"/>
        <w:rPr>
          <w:rFonts w:ascii="Times New Roman" w:cs="Times New Roman" w:eastAsia="Times New Roman" w:hAnsi="Times New Roman"/>
          <w:sz w:val="22"/>
          <w:szCs w:val="22"/>
          <w:b w:val="1"/>
          <w:bCs w:val="1"/>
          <w:color w:val="auto"/>
        </w:rPr>
      </w:pPr>
    </w:p>
    <w:p>
      <w:pPr>
        <w:ind w:left="760" w:right="2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2.1 The Parties hereby confirm and agree that, as amended hereby, the Agreement remains in full force and effect and is a binding obligation of the Parties.</w:t>
      </w:r>
    </w:p>
    <w:p>
      <w:pPr>
        <w:spacing w:after="0" w:line="185" w:lineRule="exact"/>
        <w:rPr>
          <w:rFonts w:ascii="Times New Roman" w:cs="Times New Roman" w:eastAsia="Times New Roman" w:hAnsi="Times New Roman"/>
          <w:sz w:val="22"/>
          <w:szCs w:val="22"/>
          <w:b w:val="1"/>
          <w:bCs w:val="1"/>
          <w:color w:val="auto"/>
        </w:rPr>
      </w:pPr>
    </w:p>
    <w:p>
      <w:pPr>
        <w:ind w:left="76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2.2 This Amendment may be executed in any number of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4" w:name="page345"/>
    <w:bookmarkEnd w:id="344"/>
    <w:p>
      <w:pPr>
        <w:jc w:val="both"/>
        <w:spacing w:after="0" w:line="244" w:lineRule="auto"/>
        <w:rPr>
          <w:sz w:val="20"/>
          <w:szCs w:val="20"/>
          <w:color w:val="auto"/>
        </w:rPr>
      </w:pPr>
      <w:r>
        <w:rPr>
          <w:rFonts w:ascii="Times New Roman" w:cs="Times New Roman" w:eastAsia="Times New Roman" w:hAnsi="Times New Roman"/>
          <w:sz w:val="22"/>
          <w:szCs w:val="22"/>
          <w:color w:val="auto"/>
        </w:rPr>
        <w:t>2.3 THIS AMENDMENT WILL BE GOVERNED BY, AND CONSTRUED IN ACCORDANCE WITH, THE LAWS OF THE STATE OF NEW YORK, REGARDLESS OF THE LAWS THAT MIGHT OTHERWISE GOVERN UNDER APPLICABLE PRINCIPLES OF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1006475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35" w:right="339" w:bottom="1440" w:gutter="0" w:footer="0" w:header="0"/>
        </w:sectPr>
      </w:pPr>
    </w:p>
    <w:bookmarkStart w:id="345" w:name="page346"/>
    <w:bookmarkEnd w:id="345"/>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duly authorized representatives.</w:t>
      </w:r>
    </w:p>
    <w:p>
      <w:pPr>
        <w:spacing w:after="0" w:line="181" w:lineRule="exact"/>
        <w:rPr>
          <w:sz w:val="20"/>
          <w:szCs w:val="20"/>
          <w:color w:val="auto"/>
        </w:rPr>
      </w:pPr>
    </w:p>
    <w:p>
      <w:pPr>
        <w:ind w:left="100"/>
        <w:spacing w:after="0"/>
        <w:tabs>
          <w:tab w:leader="none" w:pos="5200" w:val="left"/>
        </w:tabs>
        <w:rPr>
          <w:sz w:val="20"/>
          <w:szCs w:val="20"/>
          <w:color w:val="auto"/>
        </w:rPr>
      </w:pPr>
      <w:r>
        <w:rPr>
          <w:rFonts w:ascii="Times New Roman" w:cs="Times New Roman" w:eastAsia="Times New Roman" w:hAnsi="Times New Roman"/>
          <w:sz w:val="22"/>
          <w:szCs w:val="22"/>
          <w:b w:val="1"/>
          <w:bCs w:val="1"/>
          <w:color w:val="auto"/>
        </w:rPr>
        <w:t>SOLID BIOSCIENCES INC.</w:t>
      </w:r>
      <w:r>
        <w:rPr>
          <w:sz w:val="20"/>
          <w:szCs w:val="20"/>
          <w:color w:val="auto"/>
        </w:rPr>
        <w:tab/>
      </w:r>
      <w:r>
        <w:rPr>
          <w:rFonts w:ascii="Times New Roman" w:cs="Times New Roman" w:eastAsia="Times New Roman" w:hAnsi="Times New Roman"/>
          <w:sz w:val="21"/>
          <w:szCs w:val="21"/>
          <w:b w:val="1"/>
          <w:bCs w:val="1"/>
          <w:color w:val="auto"/>
        </w:rPr>
        <w:t>FA212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By:__/s/ Bo Cumbo______________</w:t>
            </w:r>
          </w:p>
        </w:tc>
        <w:tc>
          <w:tcPr>
            <w:tcW w:w="6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By:_/s/ Thomas E. Hamilton_________</w:t>
            </w:r>
          </w:p>
        </w:tc>
      </w:tr>
      <w:tr>
        <w:trPr>
          <w:trHeight w:val="20"/>
        </w:trPr>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518"/>
        </w:trPr>
        <w:tc>
          <w:tcPr>
            <w:tcW w:w="45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Bo Cumbo</w:t>
            </w:r>
          </w:p>
        </w:tc>
        <w:tc>
          <w:tcPr>
            <w:tcW w:w="6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Name: Thomas E. Hamilton</w:t>
            </w:r>
          </w:p>
        </w:tc>
      </w:tr>
      <w:tr>
        <w:trPr>
          <w:trHeight w:val="486"/>
        </w:trPr>
        <w:tc>
          <w:tcPr>
            <w:tcW w:w="45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c>
          <w:tcPr>
            <w:tcW w:w="6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Title: Co-Founder</w:t>
            </w:r>
          </w:p>
        </w:tc>
      </w:tr>
      <w:tr>
        <w:trPr>
          <w:trHeight w:val="3073"/>
        </w:trPr>
        <w:tc>
          <w:tcPr>
            <w:tcW w:w="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0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Subsidiaries of Solid Biosciences Inc.</w:t>
            </w:r>
          </w:p>
        </w:tc>
      </w:tr>
      <w:tr>
        <w:trPr>
          <w:trHeight w:val="466"/>
        </w:trPr>
        <w:tc>
          <w:tcPr>
            <w:tcW w:w="5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28"/>
        </w:trPr>
        <w:tc>
          <w:tcPr>
            <w:tcW w:w="58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AavantiBio, Inc.</w:t>
            </w:r>
          </w:p>
        </w:tc>
        <w:tc>
          <w:tcPr>
            <w:tcW w:w="2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9"/>
                <w:szCs w:val="19"/>
                <w:color w:val="auto"/>
              </w:rPr>
            </w:pPr>
          </w:p>
        </w:tc>
      </w:tr>
      <w:tr>
        <w:trPr>
          <w:trHeight w:val="414"/>
        </w:trPr>
        <w:tc>
          <w:tcPr>
            <w:tcW w:w="5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Solid Biosciences Securities Corporation</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184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300"/>
        <w:spacing w:after="0" w:line="24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333-287325, 333-285613, 333-285611, 333,277871, 333-276764, 333-269424, 333-254310 and 333-233594) and Form S-8 (Nos. 333-288022, 333-285603, 333-280116, 333-277869, 333-272456, 333-270765, 333-269162, 333-268643, 333-265351, 333-258856, 333-241370 and 333-222763) of Solid Biosciences Inc. of our report dated March 19, 2026, relating to the financial statements, which appears in this Form 10-K.</w:t>
      </w:r>
    </w:p>
    <w:p>
      <w:pPr>
        <w:spacing w:after="0" w:line="10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Cumbo, certify that:</w:t>
      </w:r>
    </w:p>
    <w:p>
      <w:pPr>
        <w:spacing w:after="0" w:line="225" w:lineRule="exact"/>
        <w:rPr>
          <w:sz w:val="20"/>
          <w:szCs w:val="20"/>
          <w:color w:val="auto"/>
        </w:rPr>
      </w:pPr>
    </w:p>
    <w:p>
      <w:pPr>
        <w:ind w:left="180" w:hanging="172"/>
        <w:spacing w:after="0"/>
        <w:tabs>
          <w:tab w:leader="none" w:pos="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Solid Biosciences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60" w:firstLine="8"/>
        <w:spacing w:after="0" w:line="282" w:lineRule="auto"/>
        <w:tabs>
          <w:tab w:leader="none" w:pos="18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19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7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Alexander Cumbo</w:t>
            </w:r>
          </w:p>
        </w:tc>
      </w:tr>
      <w:tr>
        <w:trPr>
          <w:trHeight w:val="191"/>
        </w:trPr>
        <w:tc>
          <w:tcPr>
            <w:tcW w:w="39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Alexander Cumbo</w:t>
            </w:r>
          </w:p>
        </w:tc>
      </w:tr>
      <w:tr>
        <w:trPr>
          <w:trHeight w:val="216"/>
        </w:trPr>
        <w:tc>
          <w:tcPr>
            <w:tcW w:w="3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317"/>
        </w:trPr>
        <w:tc>
          <w:tcPr>
            <w:tcW w:w="39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Tan, certify that:</w:t>
      </w:r>
    </w:p>
    <w:p>
      <w:pPr>
        <w:spacing w:after="0" w:line="225" w:lineRule="exact"/>
        <w:rPr>
          <w:sz w:val="20"/>
          <w:szCs w:val="20"/>
          <w:color w:val="auto"/>
        </w:rPr>
      </w:pPr>
    </w:p>
    <w:p>
      <w:pPr>
        <w:ind w:left="180" w:hanging="172"/>
        <w:spacing w:after="0"/>
        <w:tabs>
          <w:tab w:leader="none" w:pos="1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Solid Biosciences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60" w:firstLine="8"/>
        <w:spacing w:after="0" w:line="282" w:lineRule="auto"/>
        <w:tabs>
          <w:tab w:leader="none" w:pos="1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1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Tan</w:t>
            </w:r>
          </w:p>
        </w:tc>
      </w:tr>
      <w:tr>
        <w:trPr>
          <w:trHeight w:val="191"/>
        </w:trPr>
        <w:tc>
          <w:tcPr>
            <w:tcW w:w="39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Kevin Tan</w:t>
            </w:r>
          </w:p>
        </w:tc>
      </w:tr>
      <w:tr>
        <w:trPr>
          <w:trHeight w:val="216"/>
        </w:trPr>
        <w:tc>
          <w:tcPr>
            <w:tcW w:w="3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317"/>
        </w:trPr>
        <w:tc>
          <w:tcPr>
            <w:tcW w:w="39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Solid Biosciences Inc. (the “Company”) on Form 10-K for the year ended December 31, 2025 as filed with the Securities and Exchange Commission on the date hereof (the “Report”), I, Alexander Cumbo,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020" w:hanging="503"/>
        <w:spacing w:after="0"/>
        <w:tabs>
          <w:tab w:leader="none" w:pos="10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19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Alexander Cumbo</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Alexander Cumbo</w:t>
            </w:r>
          </w:p>
        </w:tc>
      </w:tr>
      <w:tr>
        <w:trPr>
          <w:trHeight w:val="216"/>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316"/>
        </w:trPr>
        <w:tc>
          <w:tcPr>
            <w:tcW w:w="3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Solid Biosciences Inc. (the “Company”) on Form 10-K for the year ended December 31, 2025 as filed with the Securities and Exchange Commission on the date hereof (the “Report”), I, Kevin Tan,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900" w:hanging="359"/>
        <w:spacing w:after="0"/>
        <w:tabs>
          <w:tab w:leader="none" w:pos="9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19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Tan</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Kevin Tan</w:t>
            </w:r>
          </w:p>
        </w:tc>
      </w:tr>
      <w:tr>
        <w:trPr>
          <w:trHeight w:val="216"/>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1316"/>
        </w:trPr>
        <w:tc>
          <w:tcPr>
            <w:tcW w:w="3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2" w:name="page353"/>
    <w:bookmarkEnd w:id="3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7180B0B"/>
    <w:multiLevelType w:val="hybridMultilevel"/>
    <w:lvl w:ilvl="0">
      <w:lvlJc w:val="left"/>
      <w:lvlText w:val="☒"/>
      <w:numFmt w:val="bullet"/>
      <w:start w:val="1"/>
    </w:lvl>
  </w:abstractNum>
  <w:abstractNum w:abstractNumId="1">
    <w:nsid w:val="579328B9"/>
    <w:multiLevelType w:val="hybridMultilevel"/>
    <w:lvl w:ilvl="0">
      <w:lvlJc w:val="left"/>
      <w:lvlText w:val="☐"/>
      <w:numFmt w:val="bullet"/>
      <w:start w:val="1"/>
    </w:lvl>
  </w:abstractNum>
  <w:abstractNum w:abstractNumId="2">
    <w:nsid w:val="5D205E20"/>
    <w:multiLevelType w:val="hybridMultilevel"/>
    <w:lvl w:ilvl="0">
      <w:lvlJc w:val="left"/>
      <w:lvlText w:val="•"/>
      <w:numFmt w:val="bullet"/>
      <w:start w:val="1"/>
    </w:lvl>
  </w:abstractNum>
  <w:abstractNum w:abstractNumId="3">
    <w:nsid w:val="11CCA8BA"/>
    <w:multiLevelType w:val="hybridMultilevel"/>
    <w:lvl w:ilvl="0">
      <w:lvlJc w:val="left"/>
      <w:lvlText w:val="•"/>
      <w:numFmt w:val="bullet"/>
      <w:start w:val="1"/>
    </w:lvl>
  </w:abstractNum>
  <w:abstractNum w:abstractNumId="4">
    <w:nsid w:val="4D32AB86"/>
    <w:multiLevelType w:val="hybridMultilevel"/>
    <w:lvl w:ilvl="0">
      <w:lvlJc w:val="left"/>
      <w:lvlText w:val="•"/>
      <w:numFmt w:val="bullet"/>
      <w:start w:val="1"/>
    </w:lvl>
  </w:abstractNum>
  <w:abstractNum w:abstractNumId="5">
    <w:nsid w:val="3F07ACC3"/>
    <w:multiLevelType w:val="hybridMultilevel"/>
    <w:lvl w:ilvl="0">
      <w:lvlJc w:val="left"/>
      <w:lvlText w:val="•"/>
      <w:numFmt w:val="bullet"/>
      <w:start w:val="1"/>
    </w:lvl>
  </w:abstractNum>
  <w:abstractNum w:abstractNumId="6">
    <w:nsid w:val="6B47F63E"/>
    <w:multiLevelType w:val="hybridMultilevel"/>
    <w:lvl w:ilvl="0">
      <w:lvlJc w:val="left"/>
      <w:lvlText w:val="•"/>
      <w:numFmt w:val="bullet"/>
      <w:start w:val="1"/>
    </w:lvl>
  </w:abstractNum>
  <w:abstractNum w:abstractNumId="7">
    <w:nsid w:val="5CB44A05"/>
    <w:multiLevelType w:val="hybridMultilevel"/>
    <w:lvl w:ilvl="0">
      <w:lvlJc w:val="left"/>
      <w:lvlText w:val="•"/>
      <w:numFmt w:val="bullet"/>
      <w:start w:val="1"/>
    </w:lvl>
  </w:abstractNum>
  <w:abstractNum w:abstractNumId="8">
    <w:nsid w:val="16CF80F1"/>
    <w:multiLevelType w:val="hybridMultilevel"/>
    <w:lvl w:ilvl="0">
      <w:lvlJc w:val="left"/>
      <w:lvlText w:val="•"/>
      <w:numFmt w:val="bullet"/>
      <w:start w:val="1"/>
    </w:lvl>
  </w:abstractNum>
  <w:abstractNum w:abstractNumId="9">
    <w:nsid w:val="1C695DEC"/>
    <w:multiLevelType w:val="hybridMultilevel"/>
    <w:lvl w:ilvl="0">
      <w:lvlJc w:val="left"/>
      <w:lvlText w:val="•"/>
      <w:numFmt w:val="bullet"/>
      <w:start w:val="1"/>
    </w:lvl>
  </w:abstractNum>
  <w:abstractNum w:abstractNumId="10">
    <w:nsid w:val="3FCFAED9"/>
    <w:multiLevelType w:val="hybridMultilevel"/>
    <w:lvl w:ilvl="0">
      <w:lvlJc w:val="left"/>
      <w:lvlText w:val="•"/>
      <w:numFmt w:val="bullet"/>
      <w:start w:val="1"/>
    </w:lvl>
  </w:abstractNum>
  <w:abstractNum w:abstractNumId="11">
    <w:nsid w:val="F856867"/>
    <w:multiLevelType w:val="hybridMultilevel"/>
    <w:lvl w:ilvl="0">
      <w:lvlJc w:val="left"/>
      <w:lvlText w:val="•"/>
      <w:numFmt w:val="bullet"/>
      <w:start w:val="1"/>
    </w:lvl>
  </w:abstractNum>
  <w:abstractNum w:abstractNumId="12">
    <w:nsid w:val="11B1CC33"/>
    <w:multiLevelType w:val="hybridMultilevel"/>
    <w:lvl w:ilvl="0">
      <w:lvlJc w:val="left"/>
      <w:lvlText w:val="•"/>
      <w:numFmt w:val="bullet"/>
      <w:start w:val="1"/>
    </w:lvl>
  </w:abstractNum>
  <w:abstractNum w:abstractNumId="13">
    <w:nsid w:val="2E22FBB7"/>
    <w:multiLevelType w:val="hybridMultilevel"/>
    <w:lvl w:ilvl="0">
      <w:lvlJc w:val="left"/>
      <w:lvlText w:val="•"/>
      <w:numFmt w:val="bullet"/>
      <w:start w:val="1"/>
    </w:lvl>
  </w:abstractNum>
  <w:abstractNum w:abstractNumId="14">
    <w:nsid w:val="29934699"/>
    <w:multiLevelType w:val="hybridMultilevel"/>
    <w:lvl w:ilvl="0">
      <w:lvlJc w:val="left"/>
      <w:lvlText w:val="•"/>
      <w:numFmt w:val="bullet"/>
      <w:start w:val="1"/>
    </w:lvl>
  </w:abstractNum>
  <w:abstractNum w:abstractNumId="15">
    <w:nsid w:val="77485850"/>
    <w:multiLevelType w:val="hybridMultilevel"/>
    <w:lvl w:ilvl="0">
      <w:lvlJc w:val="left"/>
      <w:lvlText w:val="•"/>
      <w:numFmt w:val="bullet"/>
      <w:start w:val="1"/>
    </w:lvl>
    <w:lvl w:ilvl="1">
      <w:lvlJc w:val="left"/>
      <w:lvlText w:val="•"/>
      <w:numFmt w:val="bullet"/>
      <w:start w:val="1"/>
    </w:lvl>
  </w:abstractNum>
  <w:abstractNum w:abstractNumId="16">
    <w:nsid w:val="744939A3"/>
    <w:multiLevelType w:val="hybridMultilevel"/>
    <w:lvl w:ilvl="0">
      <w:lvlJc w:val="left"/>
      <w:lvlText w:val="•"/>
      <w:numFmt w:val="bullet"/>
      <w:start w:val="1"/>
    </w:lvl>
  </w:abstractNum>
  <w:abstractNum w:abstractNumId="17">
    <w:nsid w:val="4FA0D2E3"/>
    <w:multiLevelType w:val="hybridMultilevel"/>
    <w:lvl w:ilvl="0">
      <w:lvlJc w:val="left"/>
      <w:lvlText w:val="•"/>
      <w:numFmt w:val="bullet"/>
      <w:start w:val="1"/>
    </w:lvl>
  </w:abstractNum>
  <w:abstractNum w:abstractNumId="18">
    <w:nsid w:val="6B1D2C14"/>
    <w:multiLevelType w:val="hybridMultilevel"/>
    <w:lvl w:ilvl="0">
      <w:lvlJc w:val="left"/>
      <w:lvlText w:val="•"/>
      <w:numFmt w:val="bullet"/>
      <w:start w:val="1"/>
    </w:lvl>
  </w:abstractNum>
  <w:abstractNum w:abstractNumId="19">
    <w:nsid w:val="68B867D3"/>
    <w:multiLevelType w:val="hybridMultilevel"/>
    <w:lvl w:ilvl="0">
      <w:lvlJc w:val="left"/>
      <w:lvlText w:val="•"/>
      <w:numFmt w:val="bullet"/>
      <w:start w:val="1"/>
    </w:lvl>
  </w:abstractNum>
  <w:abstractNum w:abstractNumId="20">
    <w:nsid w:val="3F7F5DD9"/>
    <w:multiLevelType w:val="hybridMultilevel"/>
    <w:lvl w:ilvl="0">
      <w:lvlJc w:val="left"/>
      <w:lvlText w:val="•"/>
      <w:numFmt w:val="bullet"/>
      <w:start w:val="1"/>
    </w:lvl>
  </w:abstractNum>
  <w:abstractNum w:abstractNumId="21">
    <w:nsid w:val="2AE05A34"/>
    <w:multiLevelType w:val="hybridMultilevel"/>
    <w:lvl w:ilvl="0">
      <w:lvlJc w:val="left"/>
      <w:lvlText w:val="•"/>
      <w:numFmt w:val="bullet"/>
      <w:start w:val="1"/>
    </w:lvl>
    <w:lvl w:ilvl="1">
      <w:lvlJc w:val="left"/>
      <w:lvlText w:val="•"/>
      <w:numFmt w:val="bullet"/>
      <w:start w:val="1"/>
    </w:lvl>
  </w:abstractNum>
  <w:abstractNum w:abstractNumId="22">
    <w:nsid w:val="32794FF7"/>
    <w:multiLevelType w:val="hybridMultilevel"/>
    <w:lvl w:ilvl="0">
      <w:lvlJc w:val="left"/>
      <w:lvlText w:val="•"/>
      <w:numFmt w:val="bullet"/>
      <w:start w:val="1"/>
    </w:lvl>
  </w:abstractNum>
  <w:abstractNum w:abstractNumId="23">
    <w:nsid w:val="5454945E"/>
    <w:multiLevelType w:val="hybridMultilevel"/>
    <w:lvl w:ilvl="0">
      <w:lvlJc w:val="left"/>
      <w:lvlText w:val="•"/>
      <w:numFmt w:val="bullet"/>
      <w:start w:val="1"/>
    </w:lvl>
  </w:abstractNum>
  <w:abstractNum w:abstractNumId="24">
    <w:nsid w:val="4DEFDFA0"/>
    <w:multiLevelType w:val="hybridMultilevel"/>
    <w:lvl w:ilvl="0">
      <w:lvlJc w:val="left"/>
      <w:lvlText w:val="•"/>
      <w:numFmt w:val="bullet"/>
      <w:start w:val="1"/>
    </w:lvl>
  </w:abstractNum>
  <w:abstractNum w:abstractNumId="25">
    <w:nsid w:val="2123D5F2"/>
    <w:multiLevelType w:val="hybridMultilevel"/>
    <w:lvl w:ilvl="0">
      <w:lvlJc w:val="left"/>
      <w:lvlText w:val="•"/>
      <w:numFmt w:val="bullet"/>
      <w:start w:val="1"/>
    </w:lvl>
  </w:abstractNum>
  <w:abstractNum w:abstractNumId="26">
    <w:nsid w:val="135B8110"/>
    <w:multiLevelType w:val="hybridMultilevel"/>
    <w:lvl w:ilvl="0">
      <w:lvlJc w:val="left"/>
      <w:lvlText w:val="•"/>
      <w:numFmt w:val="bullet"/>
      <w:start w:val="1"/>
    </w:lvl>
  </w:abstractNum>
  <w:abstractNum w:abstractNumId="27">
    <w:nsid w:val="94927A8"/>
    <w:multiLevelType w:val="hybridMultilevel"/>
    <w:lvl w:ilvl="0">
      <w:lvlJc w:val="left"/>
      <w:lvlText w:val="•"/>
      <w:numFmt w:val="bullet"/>
      <w:start w:val="1"/>
    </w:lvl>
  </w:abstractNum>
  <w:abstractNum w:abstractNumId="28">
    <w:nsid w:val="DCDF8F6"/>
    <w:multiLevelType w:val="hybridMultilevel"/>
    <w:lvl w:ilvl="0">
      <w:lvlJc w:val="left"/>
      <w:lvlText w:val="•"/>
      <w:numFmt w:val="bullet"/>
      <w:start w:val="1"/>
    </w:lvl>
  </w:abstractNum>
  <w:abstractNum w:abstractNumId="29">
    <w:nsid w:val="52D7B105"/>
    <w:multiLevelType w:val="hybridMultilevel"/>
    <w:lvl w:ilvl="0">
      <w:lvlJc w:val="left"/>
      <w:lvlText w:val="•"/>
      <w:numFmt w:val="bullet"/>
      <w:start w:val="1"/>
    </w:lvl>
  </w:abstractNum>
  <w:abstractNum w:abstractNumId="30">
    <w:nsid w:val="2E8A6394"/>
    <w:multiLevelType w:val="hybridMultilevel"/>
    <w:lvl w:ilvl="0">
      <w:lvlJc w:val="left"/>
      <w:lvlText w:val="•"/>
      <w:numFmt w:val="bullet"/>
      <w:start w:val="1"/>
    </w:lvl>
  </w:abstractNum>
  <w:abstractNum w:abstractNumId="31">
    <w:nsid w:val="24E60401"/>
    <w:multiLevelType w:val="hybridMultilevel"/>
    <w:lvl w:ilvl="0">
      <w:lvlJc w:val="left"/>
      <w:lvlText w:val="•"/>
      <w:numFmt w:val="bullet"/>
      <w:start w:val="1"/>
    </w:lvl>
  </w:abstractNum>
  <w:abstractNum w:abstractNumId="32">
    <w:nsid w:val="2A6AD9BE"/>
    <w:multiLevelType w:val="hybridMultilevel"/>
    <w:lvl w:ilvl="0">
      <w:lvlJc w:val="left"/>
      <w:lvlText w:val="•"/>
      <w:numFmt w:val="bullet"/>
      <w:start w:val="1"/>
    </w:lvl>
  </w:abstractNum>
  <w:abstractNum w:abstractNumId="33">
    <w:nsid w:val="BAAC1B4"/>
    <w:multiLevelType w:val="hybridMultilevel"/>
    <w:lvl w:ilvl="0">
      <w:lvlJc w:val="left"/>
      <w:lvlText w:val="•"/>
      <w:numFmt w:val="bullet"/>
      <w:start w:val="1"/>
    </w:lvl>
  </w:abstractNum>
  <w:abstractNum w:abstractNumId="34">
    <w:nsid w:val="36B2ACBC"/>
    <w:multiLevelType w:val="hybridMultilevel"/>
    <w:lvl w:ilvl="0">
      <w:lvlJc w:val="left"/>
      <w:lvlText w:val="•"/>
      <w:numFmt w:val="bullet"/>
      <w:start w:val="1"/>
    </w:lvl>
  </w:abstractNum>
  <w:abstractNum w:abstractNumId="35">
    <w:nsid w:val="779D8544"/>
    <w:multiLevelType w:val="hybridMultilevel"/>
    <w:lvl w:ilvl="0">
      <w:lvlJc w:val="left"/>
      <w:lvlText w:val="•"/>
      <w:numFmt w:val="bullet"/>
      <w:start w:val="1"/>
    </w:lvl>
    <w:lvl w:ilvl="1">
      <w:lvlJc w:val="left"/>
      <w:lvlText w:val="•"/>
      <w:numFmt w:val="bullet"/>
      <w:start w:val="1"/>
    </w:lvl>
  </w:abstractNum>
  <w:abstractNum w:abstractNumId="36">
    <w:nsid w:val="4AB26E78"/>
    <w:multiLevelType w:val="hybridMultilevel"/>
    <w:lvl w:ilvl="0">
      <w:lvlJc w:val="left"/>
      <w:lvlText w:val="•"/>
      <w:numFmt w:val="bullet"/>
      <w:start w:val="1"/>
    </w:lvl>
  </w:abstractNum>
  <w:abstractNum w:abstractNumId="37">
    <w:nsid w:val="21FAA2FA"/>
    <w:multiLevelType w:val="hybridMultilevel"/>
    <w:lvl w:ilvl="0">
      <w:lvlJc w:val="left"/>
      <w:lvlText w:val="•"/>
      <w:numFmt w:val="bullet"/>
      <w:start w:val="1"/>
    </w:lvl>
  </w:abstractNum>
  <w:abstractNum w:abstractNumId="38">
    <w:nsid w:val="5451CF49"/>
    <w:multiLevelType w:val="hybridMultilevel"/>
    <w:lvl w:ilvl="0">
      <w:lvlJc w:val="left"/>
      <w:lvlText w:val="•"/>
      <w:numFmt w:val="bullet"/>
      <w:start w:val="1"/>
    </w:lvl>
  </w:abstractNum>
  <w:abstractNum w:abstractNumId="39">
    <w:nsid w:val="6181EF69"/>
    <w:multiLevelType w:val="hybridMultilevel"/>
    <w:lvl w:ilvl="0">
      <w:lvlJc w:val="left"/>
      <w:lvlText w:val="•"/>
      <w:numFmt w:val="bullet"/>
      <w:start w:val="1"/>
    </w:lvl>
  </w:abstractNum>
  <w:abstractNum w:abstractNumId="40">
    <w:nsid w:val="3E6400E6"/>
    <w:multiLevelType w:val="hybridMultilevel"/>
    <w:lvl w:ilvl="0">
      <w:lvlJc w:val="left"/>
      <w:lvlText w:val="•"/>
      <w:numFmt w:val="bullet"/>
      <w:start w:val="1"/>
    </w:lvl>
  </w:abstractNum>
  <w:abstractNum w:abstractNumId="41">
    <w:nsid w:val="14217E23"/>
    <w:multiLevelType w:val="hybridMultilevel"/>
    <w:lvl w:ilvl="0">
      <w:lvlJc w:val="left"/>
      <w:lvlText w:val="•"/>
      <w:numFmt w:val="bullet"/>
      <w:start w:val="1"/>
    </w:lvl>
  </w:abstractNum>
  <w:abstractNum w:abstractNumId="42">
    <w:nsid w:val="710757D0"/>
    <w:multiLevelType w:val="hybridMultilevel"/>
    <w:lvl w:ilvl="0">
      <w:lvlJc w:val="left"/>
      <w:lvlText w:val="•"/>
      <w:numFmt w:val="bullet"/>
      <w:start w:val="1"/>
    </w:lvl>
  </w:abstractNum>
  <w:abstractNum w:abstractNumId="43">
    <w:nsid w:val="5015CD1A"/>
    <w:multiLevelType w:val="hybridMultilevel"/>
    <w:lvl w:ilvl="0">
      <w:lvlJc w:val="left"/>
      <w:lvlText w:val="•"/>
      <w:numFmt w:val="bullet"/>
      <w:start w:val="1"/>
    </w:lvl>
  </w:abstractNum>
  <w:abstractNum w:abstractNumId="44">
    <w:nsid w:val="424479DA"/>
    <w:multiLevelType w:val="hybridMultilevel"/>
    <w:lvl w:ilvl="0">
      <w:lvlJc w:val="left"/>
      <w:lvlText w:val="•"/>
      <w:numFmt w:val="bullet"/>
      <w:start w:val="1"/>
    </w:lvl>
  </w:abstractNum>
  <w:abstractNum w:abstractNumId="45">
    <w:nsid w:val="1A9A9E69"/>
    <w:multiLevelType w:val="hybridMultilevel"/>
    <w:lvl w:ilvl="0">
      <w:lvlJc w:val="left"/>
      <w:lvlText w:val="•"/>
      <w:numFmt w:val="bullet"/>
      <w:start w:val="1"/>
    </w:lvl>
  </w:abstractNum>
  <w:abstractNum w:abstractNumId="46">
    <w:nsid w:val="475E256A"/>
    <w:multiLevelType w:val="hybridMultilevel"/>
    <w:lvl w:ilvl="0">
      <w:lvlJc w:val="left"/>
      <w:lvlText w:val="•"/>
      <w:numFmt w:val="bullet"/>
      <w:start w:val="1"/>
    </w:lvl>
  </w:abstractNum>
  <w:abstractNum w:abstractNumId="47">
    <w:nsid w:val="368DB37E"/>
    <w:multiLevelType w:val="hybridMultilevel"/>
    <w:lvl w:ilvl="0">
      <w:lvlJc w:val="left"/>
      <w:lvlText w:val="•"/>
      <w:numFmt w:val="bullet"/>
      <w:start w:val="1"/>
    </w:lvl>
  </w:abstractNum>
  <w:abstractNum w:abstractNumId="48">
    <w:nsid w:val="6A3B714C"/>
    <w:multiLevelType w:val="hybridMultilevel"/>
    <w:lvl w:ilvl="0">
      <w:lvlJc w:val="left"/>
      <w:lvlText w:val="•"/>
      <w:numFmt w:val="bullet"/>
      <w:start w:val="1"/>
    </w:lvl>
  </w:abstractNum>
  <w:abstractNum w:abstractNumId="49">
    <w:nsid w:val="327B517E"/>
    <w:multiLevelType w:val="hybridMultilevel"/>
    <w:lvl w:ilvl="0">
      <w:lvlJc w:val="left"/>
      <w:lvlText w:val="•"/>
      <w:numFmt w:val="bullet"/>
      <w:start w:val="1"/>
    </w:lvl>
  </w:abstractNum>
  <w:abstractNum w:abstractNumId="50">
    <w:nsid w:val="1F461B51"/>
    <w:multiLevelType w:val="hybridMultilevel"/>
    <w:lvl w:ilvl="0">
      <w:lvlJc w:val="left"/>
      <w:lvlText w:val="•"/>
      <w:numFmt w:val="bullet"/>
      <w:start w:val="1"/>
    </w:lvl>
  </w:abstractNum>
  <w:abstractNum w:abstractNumId="51">
    <w:nsid w:val="29BACF25"/>
    <w:multiLevelType w:val="hybridMultilevel"/>
    <w:lvl w:ilvl="0">
      <w:lvlJc w:val="left"/>
      <w:lvlText w:val="•"/>
      <w:numFmt w:val="bullet"/>
      <w:start w:val="1"/>
    </w:lvl>
  </w:abstractNum>
  <w:abstractNum w:abstractNumId="52">
    <w:nsid w:val="5D5BABB3"/>
    <w:multiLevelType w:val="hybridMultilevel"/>
    <w:lvl w:ilvl="0">
      <w:lvlJc w:val="left"/>
      <w:lvlText w:val="•"/>
      <w:numFmt w:val="bullet"/>
      <w:start w:val="1"/>
    </w:lvl>
  </w:abstractNum>
  <w:abstractNum w:abstractNumId="53">
    <w:nsid w:val="51BF6B48"/>
    <w:multiLevelType w:val="hybridMultilevel"/>
    <w:lvl w:ilvl="0">
      <w:lvlJc w:val="left"/>
      <w:lvlText w:val="•"/>
      <w:numFmt w:val="bullet"/>
      <w:start w:val="1"/>
    </w:lvl>
  </w:abstractNum>
  <w:abstractNum w:abstractNumId="54">
    <w:nsid w:val="7E0F6384"/>
    <w:multiLevelType w:val="hybridMultilevel"/>
    <w:lvl w:ilvl="0">
      <w:lvlJc w:val="left"/>
      <w:lvlText w:val="(%1)"/>
      <w:numFmt w:val="decimal"/>
      <w:start w:val="3"/>
    </w:lvl>
  </w:abstractNum>
  <w:abstractNum w:abstractNumId="55">
    <w:nsid w:val="2B4B8B53"/>
    <w:multiLevelType w:val="hybridMultilevel"/>
    <w:lvl w:ilvl="0">
      <w:lvlJc w:val="left"/>
      <w:lvlText w:val="*"/>
      <w:numFmt w:val="bullet"/>
      <w:start w:val="1"/>
    </w:lvl>
    <w:lvl w:ilvl="1">
      <w:lvlJc w:val="left"/>
      <w:lvlText w:val="%2"/>
      <w:numFmt w:val="decimal"/>
      <w:start w:val="104"/>
    </w:lvl>
  </w:abstractNum>
  <w:abstractNum w:abstractNumId="56">
    <w:nsid w:val="72E3413A"/>
    <w:multiLevelType w:val="hybridMultilevel"/>
    <w:lvl w:ilvl="0">
      <w:lvlJc w:val="left"/>
      <w:lvlText w:val="**"/>
      <w:numFmt w:val="bullet"/>
      <w:start w:val="1"/>
    </w:lvl>
    <w:lvl w:ilvl="1">
      <w:lvlJc w:val="left"/>
      <w:lvlText w:val="%2"/>
      <w:numFmt w:val="decimal"/>
      <w:start w:val="1"/>
    </w:lvl>
  </w:abstractNum>
  <w:abstractNum w:abstractNumId="57">
    <w:nsid w:val="116AE494"/>
    <w:multiLevelType w:val="hybridMultilevel"/>
    <w:lvl w:ilvl="0">
      <w:lvlJc w:val="left"/>
      <w:lvlText w:val="#"/>
      <w:numFmt w:val="bullet"/>
      <w:start w:val="1"/>
    </w:lvl>
  </w:abstractNum>
  <w:abstractNum w:abstractNumId="58">
    <w:nsid w:val="3494B2FB"/>
    <w:multiLevelType w:val="hybridMultilevel"/>
    <w:lvl w:ilvl="0">
      <w:lvlJc w:val="left"/>
      <w:lvlText w:val="•"/>
      <w:numFmt w:val="bullet"/>
      <w:start w:val="1"/>
    </w:lvl>
  </w:abstractNum>
  <w:abstractNum w:abstractNumId="59">
    <w:nsid w:val="B13A31"/>
    <w:multiLevelType w:val="hybridMultilevel"/>
    <w:lvl w:ilvl="0">
      <w:lvlJc w:val="left"/>
      <w:lvlText w:val="(%1)"/>
      <w:numFmt w:val="decimal"/>
      <w:start w:val="1"/>
    </w:lvl>
  </w:abstractNum>
  <w:abstractNum w:abstractNumId="60">
    <w:nsid w:val="64429599"/>
    <w:multiLevelType w:val="hybridMultilevel"/>
    <w:lvl w:ilvl="0">
      <w:lvlJc w:val="left"/>
      <w:lvlText w:val="%1"/>
      <w:numFmt w:val="decimal"/>
      <w:start w:val="1"/>
    </w:lvl>
    <w:lvl w:ilvl="1">
      <w:lvlJc w:val="left"/>
      <w:lvlText w:val="(%2)"/>
      <w:numFmt w:val="decimal"/>
      <w:start w:val="2"/>
    </w:lvl>
  </w:abstractNum>
  <w:abstractNum w:abstractNumId="61">
    <w:nsid w:val="631F1690"/>
    <w:multiLevelType w:val="hybridMultilevel"/>
    <w:lvl w:ilvl="0">
      <w:lvlJc w:val="left"/>
      <w:lvlText w:val="%1."/>
      <w:numFmt w:val="decimal"/>
      <w:start w:val="16"/>
    </w:lvl>
    <w:lvl w:ilvl="1">
      <w:lvlJc w:val="left"/>
      <w:lvlText w:val="%2"/>
      <w:numFmt w:val="decimal"/>
      <w:start w:val="1"/>
    </w:lvl>
  </w:abstractNum>
  <w:abstractNum w:abstractNumId="62">
    <w:nsid w:val="25973E32"/>
    <w:multiLevelType w:val="hybridMultilevel"/>
    <w:lvl w:ilvl="0">
      <w:lvlJc w:val="left"/>
      <w:lvlText w:val="%1."/>
      <w:numFmt w:val="decimal"/>
      <w:start w:val="1"/>
    </w:lvl>
  </w:abstractNum>
  <w:abstractNum w:abstractNumId="63">
    <w:nsid w:val="EAD6F57"/>
    <w:multiLevelType w:val="hybridMultilevel"/>
    <w:lvl w:ilvl="0">
      <w:lvlJc w:val="left"/>
      <w:lvlText w:val="%1."/>
      <w:numFmt w:val="decimal"/>
      <w:start w:val="3"/>
    </w:lvl>
    <w:lvl w:ilvl="1">
      <w:lvlJc w:val="left"/>
      <w:lvlText w:val="(%2)"/>
      <w:numFmt w:val="lowerLetter"/>
      <w:start w:val="1"/>
    </w:lvl>
  </w:abstractNum>
  <w:abstractNum w:abstractNumId="64">
    <w:nsid w:val="6EC9D844"/>
    <w:multiLevelType w:val="hybridMultilevel"/>
    <w:lvl w:ilvl="0">
      <w:lvlJc w:val="left"/>
      <w:lvlText w:val="(%1)"/>
      <w:numFmt w:val="lowerLetter"/>
      <w:start w:val="2"/>
    </w:lvl>
    <w:lvl w:ilvl="1">
      <w:lvlJc w:val="left"/>
      <w:lvlText w:val="%2."/>
      <w:numFmt w:val="decimal"/>
      <w:start w:val="5"/>
    </w:lvl>
  </w:abstractNum>
  <w:abstractNum w:abstractNumId="65">
    <w:nsid w:val="5C49EAEE"/>
    <w:multiLevelType w:val="hybridMultilevel"/>
    <w:lvl w:ilvl="0">
      <w:lvlJc w:val="left"/>
      <w:lvlText w:val="%1."/>
      <w:numFmt w:val="decimal"/>
      <w:start w:val="7"/>
    </w:lvl>
  </w:abstractNum>
  <w:abstractNum w:abstractNumId="66">
    <w:nsid w:val="64AF49B"/>
    <w:multiLevelType w:val="hybridMultilevel"/>
    <w:lvl w:ilvl="0">
      <w:lvlJc w:val="left"/>
      <w:lvlText w:val="(%1)"/>
      <w:numFmt w:val="lowerRoman"/>
      <w:start w:val="1"/>
    </w:lvl>
  </w:abstractNum>
  <w:abstractNum w:abstractNumId="67">
    <w:nsid w:val="397C46BC"/>
    <w:multiLevelType w:val="hybridMultilevel"/>
    <w:lvl w:ilvl="0">
      <w:lvlJc w:val="left"/>
      <w:lvlText w:val="•"/>
      <w:numFmt w:val="bullet"/>
      <w:start w:val="1"/>
    </w:lvl>
  </w:abstractNum>
  <w:abstractNum w:abstractNumId="68">
    <w:nsid w:val="7E448DE9"/>
    <w:multiLevelType w:val="hybridMultilevel"/>
    <w:lvl w:ilvl="0">
      <w:lvlJc w:val="left"/>
      <w:lvlText w:val="%1."/>
      <w:numFmt w:val="decimal"/>
      <w:start w:val="1"/>
    </w:lvl>
  </w:abstractNum>
  <w:abstractNum w:abstractNumId="69">
    <w:nsid w:val="5A9CC3E5"/>
    <w:multiLevelType w:val="hybridMultilevel"/>
    <w:lvl w:ilvl="0">
      <w:lvlJc w:val="left"/>
      <w:lvlText w:val="%1."/>
      <w:numFmt w:val="decimal"/>
      <w:start w:val="3"/>
    </w:lvl>
  </w:abstractNum>
  <w:abstractNum w:abstractNumId="70">
    <w:nsid w:val="1AFE3625"/>
    <w:multiLevelType w:val="hybridMultilevel"/>
    <w:lvl w:ilvl="0">
      <w:lvlJc w:val="left"/>
      <w:lvlText w:val="%1."/>
      <w:numFmt w:val="decimal"/>
      <w:start w:val="1"/>
    </w:lvl>
  </w:abstractNum>
  <w:abstractNum w:abstractNumId="71">
    <w:nsid w:val="3CA88ECF"/>
    <w:multiLevelType w:val="hybridMultilevel"/>
    <w:lvl w:ilvl="0">
      <w:lvlJc w:val="left"/>
      <w:lvlText w:val="%1."/>
      <w:numFmt w:val="decimal"/>
      <w:start w:val="4"/>
    </w:lvl>
  </w:abstractNum>
  <w:abstractNum w:abstractNumId="72">
    <w:nsid w:val="6EBE4208"/>
    <w:multiLevelType w:val="hybridMultilevel"/>
    <w:lvl w:ilvl="0">
      <w:lvlJc w:val="left"/>
      <w:lvlText w:val="%1."/>
      <w:numFmt w:val="decimal"/>
      <w:start w:val="1"/>
    </w:lvl>
  </w:abstractNum>
  <w:abstractNum w:abstractNumId="73">
    <w:nsid w:val="C058DF5"/>
    <w:multiLevelType w:val="hybridMultilevel"/>
    <w:lvl w:ilvl="0">
      <w:lvlJc w:val="left"/>
      <w:lvlText w:val="%1."/>
      <w:numFmt w:val="decimal"/>
      <w:start w:val="4"/>
    </w:lvl>
  </w:abstractNum>
  <w:abstractNum w:abstractNumId="74">
    <w:nsid w:val="CBE5BE9"/>
    <w:multiLevelType w:val="hybridMultilevel"/>
    <w:lvl w:ilvl="0">
      <w:lvlJc w:val="left"/>
      <w:lvlText w:val="%1."/>
      <w:numFmt w:val="decimal"/>
      <w:start w:val="1"/>
    </w:lvl>
  </w:abstractNum>
  <w:abstractNum w:abstractNumId="75">
    <w:nsid w:val="3102BBE2"/>
    <w:multiLevelType w:val="hybridMultilevel"/>
    <w:lvl w:ilvl="0">
      <w:lvlJc w:val="left"/>
      <w:lvlText w:val="%1."/>
      <w:numFmt w:val="decimal"/>
      <w:start w:val="4"/>
    </w:lvl>
  </w:abstractNum>
  <w:abstractNum w:abstractNumId="76">
    <w:nsid w:val="26A02C5E"/>
    <w:multiLevelType w:val="hybridMultilevel"/>
    <w:lvl w:ilvl="0">
      <w:lvlJc w:val="left"/>
      <w:lvlText w:val="%1."/>
      <w:numFmt w:val="decimal"/>
      <w:start w:val="1"/>
    </w:lvl>
  </w:abstractNum>
  <w:abstractNum w:abstractNumId="77">
    <w:nsid w:val="541C815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67906F6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79">
    <w:nsid w:val="10DB9DAA"/>
    <w:multiLevelType w:val="hybridMultilevel"/>
    <w:lvl w:ilvl="0">
      <w:lvlJc w:val="left"/>
      <w:lvlText w:val="%1."/>
      <w:numFmt w:val="decimal"/>
      <w:start w:val="5"/>
    </w:lvl>
    <w:lvl w:ilvl="1">
      <w:lvlJc w:val="left"/>
      <w:lvlText w:val="(%2)"/>
      <w:numFmt w:val="lowerRoman"/>
    </w:lvl>
    <w:lvl w:ilvl="2">
      <w:lvlJc w:val="left"/>
      <w:lvlText w:val="(%3)"/>
      <w:numFmt w:val="lowerLetter"/>
      <w:start w:val="1"/>
    </w:lvl>
  </w:abstractNum>
  <w:abstractNum w:abstractNumId="80">
    <w:nsid w:val="697D2D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81">
    <w:nsid w:val="6D68AB2"/>
    <w:multiLevelType w:val="hybridMultilevel"/>
    <w:lvl w:ilvl="0">
      <w:lvlJc w:val="left"/>
      <w:lvlText w:val="(%1)"/>
      <w:numFmt w:val="lowerRoman"/>
      <w:start w:val="1"/>
    </w:lvl>
  </w:abstractNum>
  <w:abstractNum w:abstractNumId="82">
    <w:nsid w:val="3A966CD0"/>
    <w:multiLevelType w:val="hybridMultilevel"/>
    <w:lvl w:ilvl="0">
      <w:lvlJc w:val="left"/>
      <w:lvlText w:val="(%1)"/>
      <w:numFmt w:val="lowerRoman"/>
      <w:start w:val="3"/>
    </w:lvl>
  </w:abstractNum>
  <w:abstractNum w:abstractNumId="83">
    <w:nsid w:val="63F37E85"/>
    <w:multiLevelType w:val="hybridMultilevel"/>
    <w:lvl w:ilvl="0">
      <w:lvlJc w:val="left"/>
      <w:lvlText w:val="%1."/>
      <w:numFmt w:val="decimal"/>
      <w:start w:val="7"/>
    </w:lvl>
    <w:lvl w:ilvl="1">
      <w:lvlJc w:val="left"/>
      <w:lvlText w:val="(%2)"/>
      <w:numFmt w:val="lowerLetter"/>
      <w:start w:val="1"/>
    </w:lvl>
  </w:abstractNum>
  <w:abstractNum w:abstractNumId="84">
    <w:nsid w:val="5895F5FA"/>
    <w:multiLevelType w:val="hybridMultilevel"/>
    <w:lvl w:ilvl="0">
      <w:lvlJc w:val="left"/>
      <w:lvlText w:val="(%1)"/>
      <w:numFmt w:val="lowerLetter"/>
      <w:start w:val="4"/>
    </w:lvl>
  </w:abstractNum>
  <w:abstractNum w:abstractNumId="85">
    <w:nsid w:val="38A5D05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6">
    <w:nsid w:val="F3F09D8"/>
    <w:multiLevelType w:val="hybridMultilevel"/>
    <w:lvl w:ilvl="0">
      <w:lvlJc w:val="left"/>
      <w:lvlText w:val="%1"/>
      <w:numFmt w:val="decimal"/>
      <w:start w:val="1"/>
    </w:lvl>
    <w:lvl w:ilvl="1">
      <w:lvlJc w:val="left"/>
      <w:lvlText w:val="(%2)"/>
      <w:numFmt w:val="lowerLetter"/>
      <w:start w:val="5"/>
    </w:lvl>
  </w:abstractNum>
  <w:abstractNum w:abstractNumId="87">
    <w:nsid w:val="4B793735"/>
    <w:multiLevelType w:val="hybridMultilevel"/>
    <w:lvl w:ilvl="0">
      <w:lvlJc w:val="left"/>
      <w:lvlText w:val="%1."/>
      <w:numFmt w:val="decimal"/>
      <w:start w:val="9"/>
    </w:lvl>
    <w:lvl w:ilvl="1">
      <w:lvlJc w:val="left"/>
      <w:lvlText w:val="%2"/>
      <w:numFmt w:val="lowerLetter"/>
      <w:start w:val="1"/>
    </w:lvl>
  </w:abstractNum>
  <w:abstractNum w:abstractNumId="88">
    <w:nsid w:val="4A10B4E8"/>
    <w:multiLevelType w:val="hybridMultilevel"/>
    <w:lvl w:ilvl="0">
      <w:lvlJc w:val="left"/>
      <w:lvlText w:val="%1."/>
      <w:numFmt w:val="decimal"/>
      <w:start w:val="12"/>
    </w:lvl>
  </w:abstractNum>
  <w:abstractNum w:abstractNumId="89">
    <w:nsid w:val="43D3BCD4"/>
    <w:multiLevelType w:val="hybridMultilevel"/>
    <w:lvl w:ilvl="0">
      <w:lvlJc w:val="left"/>
      <w:lvlText w:val="%1."/>
      <w:numFmt w:val="decimal"/>
      <w:start w:val="20"/>
    </w:lvl>
  </w:abstractNum>
  <w:abstractNum w:abstractNumId="90">
    <w:nsid w:val="4C2A716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91">
    <w:nsid w:val="2E534A8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92">
    <w:nsid w:val="26F2D36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93">
    <w:nsid w:val="71C1AF98"/>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94">
    <w:nsid w:val="3D00B9D9"/>
    <w:multiLevelType w:val="hybridMultilevel"/>
    <w:lvl w:ilvl="0">
      <w:lvlJc w:val="left"/>
      <w:lvlText w:val="%1."/>
      <w:numFmt w:val="decimal"/>
      <w:start w:val="4"/>
    </w:lvl>
  </w:abstractNum>
  <w:abstractNum w:abstractNumId="95">
    <w:nsid w:val="15BCABA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96">
    <w:nsid w:val="4E0B9A87"/>
    <w:multiLevelType w:val="hybridMultilevel"/>
    <w:lvl w:ilvl="0">
      <w:lvlJc w:val="left"/>
      <w:lvlText w:val="%1."/>
      <w:numFmt w:val="decimal"/>
      <w:start w:val="3"/>
    </w:lvl>
    <w:lvl w:ilvl="1">
      <w:lvlJc w:val="left"/>
      <w:lvlText w:val="(%2)"/>
      <w:numFmt w:val="lowerLetter"/>
      <w:start w:val="4"/>
    </w:lvl>
  </w:abstractNum>
  <w:abstractNum w:abstractNumId="97">
    <w:nsid w:val="434BAE75"/>
    <w:multiLevelType w:val="hybridMultilevel"/>
    <w:lvl w:ilvl="0">
      <w:lvlJc w:val="left"/>
      <w:lvlText w:val="%1."/>
      <w:numFmt w:val="decimal"/>
      <w:start w:val="1"/>
    </w:lvl>
  </w:abstractNum>
  <w:abstractNum w:abstractNumId="98">
    <w:nsid w:val="4F38F265"/>
    <w:multiLevelType w:val="hybridMultilevel"/>
    <w:lvl w:ilvl="0">
      <w:lvlJc w:val="left"/>
      <w:lvlText w:val="%1."/>
      <w:numFmt w:val="decimal"/>
      <w:start w:val="3"/>
    </w:lvl>
    <w:lvl w:ilvl="1">
      <w:lvlJc w:val="left"/>
      <w:lvlText w:val="(%2)"/>
      <w:numFmt w:val="lowerLetter"/>
      <w:start w:val="1"/>
    </w:lvl>
  </w:abstractNum>
  <w:abstractNum w:abstractNumId="99">
    <w:nsid w:val="4C502870"/>
    <w:multiLevelType w:val="hybridMultilevel"/>
    <w:lvl w:ilvl="0">
      <w:lvlJc w:val="left"/>
      <w:lvlText w:val="(%1)"/>
      <w:numFmt w:val="lowerRoman"/>
      <w:start w:val="1"/>
    </w:lvl>
  </w:abstractNum>
  <w:abstractNum w:abstractNumId="100">
    <w:nsid w:val="1DE8725A"/>
    <w:multiLevelType w:val="hybridMultilevel"/>
    <w:lvl w:ilvl="0">
      <w:lvlJc w:val="left"/>
      <w:lvlText w:val="(%1)"/>
      <w:numFmt w:val="lowerLetter"/>
      <w:start w:val="4"/>
    </w:lvl>
  </w:abstractNum>
  <w:abstractNum w:abstractNumId="101">
    <w:nsid w:val="6A37288A"/>
    <w:multiLevelType w:val="hybridMultilevel"/>
    <w:lvl w:ilvl="0">
      <w:lvlJc w:val="left"/>
      <w:lvlText w:val="%1."/>
      <w:numFmt w:val="decimal"/>
      <w:start w:val="5"/>
    </w:lvl>
  </w:abstractNum>
  <w:abstractNum w:abstractNumId="102">
    <w:nsid w:val="8F8B73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3">
    <w:nsid w:val="CA6B462"/>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4"/>
    </w:lvl>
  </w:abstractNum>
  <w:abstractNum w:abstractNumId="104">
    <w:nsid w:val="763CB680"/>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1"/>
    </w:lvl>
  </w:abstractNum>
  <w:abstractNum w:abstractNumId="105">
    <w:nsid w:val="15B71329"/>
    <w:multiLevelType w:val="hybridMultilevel"/>
    <w:lvl w:ilvl="0">
      <w:lvlJc w:val="left"/>
      <w:lvlText w:val="(%1)"/>
      <w:numFmt w:val="lowerRoman"/>
      <w:start w:val="7"/>
    </w:lvl>
  </w:abstractNum>
  <w:abstractNum w:abstractNumId="106">
    <w:nsid w:val="3DA97044"/>
    <w:multiLevelType w:val="hybridMultilevel"/>
    <w:lvl w:ilvl="0">
      <w:lvlJc w:val="left"/>
      <w:lvlText w:val="(%1)"/>
      <w:numFmt w:val="lowerLetter"/>
      <w:start w:val="3"/>
    </w:lvl>
    <w:lvl w:ilvl="1">
      <w:lvlJc w:val="left"/>
      <w:lvlText w:val="(%2)"/>
      <w:numFmt w:val="lowerLetter"/>
      <w:start w:val="9"/>
    </w:lvl>
  </w:abstractNum>
  <w:abstractNum w:abstractNumId="107">
    <w:nsid w:val="1CDCE2DE"/>
    <w:multiLevelType w:val="hybridMultilevel"/>
    <w:lvl w:ilvl="0">
      <w:lvlJc w:val="left"/>
      <w:lvlText w:val="(%1)"/>
      <w:numFmt w:val="lowerRoman"/>
      <w:start w:val="2"/>
    </w:lvl>
  </w:abstractNum>
  <w:abstractNum w:abstractNumId="108">
    <w:nsid w:val="69D3947C"/>
    <w:multiLevelType w:val="hybridMultilevel"/>
    <w:lvl w:ilvl="0">
      <w:lvlJc w:val="left"/>
      <w:lvlText w:val="(%1)"/>
      <w:numFmt w:val="lowerRoman"/>
      <w:start w:val="3"/>
    </w:lvl>
    <w:lvl w:ilvl="1">
      <w:lvlJc w:val="left"/>
      <w:lvlText w:val="(%2)"/>
      <w:numFmt w:val="decimal"/>
      <w:start w:val="50"/>
    </w:lvl>
  </w:abstractNum>
  <w:abstractNum w:abstractNumId="109">
    <w:nsid w:val="2539DFA5"/>
    <w:multiLevelType w:val="hybridMultilevel"/>
    <w:lvl w:ilvl="0">
      <w:lvlJc w:val="left"/>
      <w:lvlText w:val="%1"/>
      <w:numFmt w:val="decimal"/>
      <w:start w:val="1"/>
    </w:lvl>
    <w:lvl w:ilvl="1">
      <w:lvlJc w:val="left"/>
      <w:lvlText w:val="(%2)"/>
      <w:numFmt w:val="decimal"/>
      <w:start w:val="60"/>
    </w:lvl>
    <w:lvl w:ilvl="2">
      <w:lvlJc w:val="left"/>
      <w:lvlText w:val="%3"/>
      <w:numFmt w:val="lowerLetter"/>
      <w:start w:val="1"/>
    </w:lvl>
  </w:abstractNum>
  <w:abstractNum w:abstractNumId="110">
    <w:nsid w:val="2DB88089"/>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111">
    <w:nsid w:val="706B674E"/>
    <w:multiLevelType w:val="hybridMultilevel"/>
    <w:lvl w:ilvl="0">
      <w:lvlJc w:val="left"/>
      <w:lvlText w:val="%1"/>
      <w:numFmt w:val="lowerRoman"/>
      <w:start w:val="1"/>
    </w:lvl>
    <w:lvl w:ilvl="1">
      <w:lvlJc w:val="left"/>
      <w:lvlText w:val="(%2)"/>
      <w:numFmt w:val="lowerLetter"/>
      <w:start w:val="2"/>
    </w:lvl>
  </w:abstractNum>
  <w:abstractNum w:abstractNumId="112">
    <w:nsid w:val="2C106A57"/>
    <w:multiLevelType w:val="hybridMultilevel"/>
    <w:lvl w:ilvl="0">
      <w:lvlJc w:val="left"/>
      <w:lvlText w:val="(%1)"/>
      <w:numFmt w:val="lowerRoman"/>
      <w:start w:val="4"/>
    </w:lvl>
    <w:lvl w:ilvl="1">
      <w:lvlJc w:val="left"/>
      <w:lvlText w:val="%2"/>
      <w:numFmt w:val="lowerLetter"/>
      <w:start w:val="1"/>
    </w:lvl>
  </w:abstractNum>
  <w:abstractNum w:abstractNumId="113">
    <w:nsid w:val="684EED59"/>
    <w:multiLevelType w:val="hybridMultilevel"/>
    <w:lvl w:ilvl="0">
      <w:lvlJc w:val="left"/>
      <w:lvlText w:val="(%1)"/>
      <w:numFmt w:val="lowerLetter"/>
      <w:start w:val="4"/>
    </w:lvl>
  </w:abstractNum>
  <w:abstractNum w:abstractNumId="114">
    <w:nsid w:val="545EE5D3"/>
    <w:multiLevelType w:val="hybridMultilevel"/>
    <w:lvl w:ilvl="0">
      <w:lvlJc w:val="left"/>
      <w:lvlText w:val="(%1)"/>
      <w:numFmt w:val="lowerLetter"/>
      <w:start w:val="5"/>
    </w:lvl>
  </w:abstractNum>
  <w:abstractNum w:abstractNumId="115">
    <w:nsid w:val="4A6605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16">
    <w:nsid w:val="20F4BDAD"/>
    <w:multiLevelType w:val="hybridMultilevel"/>
    <w:lvl w:ilvl="0">
      <w:lvlJc w:val="left"/>
      <w:lvlText w:val="%1"/>
      <w:numFmt w:val="decimal"/>
      <w:start w:val="1"/>
    </w:lvl>
    <w:lvl w:ilvl="1">
      <w:lvlJc w:val="left"/>
      <w:lvlText w:val="(%2)"/>
      <w:numFmt w:val="lowerLetter"/>
      <w:start w:val="4"/>
    </w:lvl>
  </w:abstractNum>
  <w:abstractNum w:abstractNumId="117">
    <w:nsid w:val="639DEFAC"/>
    <w:multiLevelType w:val="hybridMultilevel"/>
    <w:lvl w:ilvl="0">
      <w:lvlJc w:val="left"/>
      <w:lvlText w:val="(%1)"/>
      <w:numFmt w:val="decimal"/>
      <w:start w:val="60"/>
    </w:lvl>
    <w:lvl w:ilvl="1">
      <w:lvlJc w:val="left"/>
      <w:lvlText w:val="(%2)"/>
      <w:numFmt w:val="lowerLetter"/>
      <w:start w:val="5"/>
    </w:lvl>
  </w:abstractNum>
  <w:abstractNum w:abstractNumId="118">
    <w:nsid w:val="501F9786"/>
    <w:multiLevelType w:val="hybridMultilevel"/>
    <w:lvl w:ilvl="0">
      <w:lvlJc w:val="left"/>
      <w:lvlText w:val="%1"/>
      <w:numFmt w:val="decimal"/>
      <w:start w:val="1"/>
    </w:lvl>
    <w:lvl w:ilvl="1">
      <w:lvlJc w:val="left"/>
      <w:lvlText w:val="(%2)"/>
      <w:numFmt w:val="lowerLetter"/>
      <w:start w:val="6"/>
    </w:lvl>
  </w:abstractNum>
  <w:abstractNum w:abstractNumId="119">
    <w:nsid w:val="6B057295"/>
    <w:multiLevelType w:val="hybridMultilevel"/>
    <w:lvl w:ilvl="0">
      <w:lvlJc w:val="left"/>
      <w:lvlText w:val="%1."/>
      <w:numFmt w:val="decimal"/>
      <w:start w:val="9"/>
    </w:lvl>
    <w:lvl w:ilvl="1">
      <w:lvlJc w:val="left"/>
      <w:lvlText w:val="(%2)"/>
      <w:numFmt w:val="lowerLetter"/>
      <w:start w:val="1"/>
    </w:lvl>
  </w:abstractNum>
  <w:abstractNum w:abstractNumId="120">
    <w:nsid w:val="2771AC80"/>
    <w:multiLevelType w:val="hybridMultilevel"/>
    <w:lvl w:ilvl="0">
      <w:lvlJc w:val="left"/>
      <w:lvlText w:val="%1."/>
      <w:numFmt w:val="decimal"/>
      <w:start w:val="13"/>
    </w:lvl>
  </w:abstractNum>
  <w:abstractNum w:abstractNumId="121">
    <w:nsid w:val="1C4A08EC"/>
    <w:multiLevelType w:val="hybridMultilevel"/>
    <w:lvl w:ilvl="0">
      <w:lvlJc w:val="left"/>
      <w:lvlText w:val="%1."/>
      <w:numFmt w:val="decimal"/>
      <w:start w:val="18"/>
    </w:lvl>
  </w:abstractNum>
  <w:abstractNum w:abstractNumId="122">
    <w:nsid w:val="1958BD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4E647FE4"/>
    <w:multiLevelType w:val="hybridMultilevel"/>
    <w:lvl w:ilvl="0">
      <w:lvlJc w:val="left"/>
      <w:lvlText w:val="%1."/>
      <w:numFmt w:val="decimal"/>
      <w:start w:val="2"/>
    </w:lvl>
  </w:abstractNum>
  <w:abstractNum w:abstractNumId="124">
    <w:nsid w:val="E0BB885"/>
    <w:multiLevelType w:val="hybridMultilevel"/>
    <w:lvl w:ilvl="0">
      <w:lvlJc w:val="left"/>
      <w:lvlText w:val="%1."/>
      <w:numFmt w:val="decimal"/>
      <w:start w:val="5"/>
    </w:lvl>
  </w:abstractNum>
  <w:abstractNum w:abstractNumId="125">
    <w:nsid w:val="565976F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2"/>
    </w:lvl>
  </w:abstractNum>
  <w:abstractNum w:abstractNumId="126">
    <w:nsid w:val="64212B8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27">
    <w:nsid w:val="5C17530C"/>
    <w:multiLevelType w:val="hybridMultilevel"/>
    <w:lvl w:ilvl="0">
      <w:lvlJc w:val="left"/>
      <w:lvlText w:val="%1."/>
      <w:numFmt w:val="decimal"/>
      <w:start w:val="3"/>
    </w:lvl>
  </w:abstractNum>
  <w:abstractNum w:abstractNumId="128">
    <w:nsid w:val="19A52566"/>
    <w:multiLevelType w:val="hybridMultilevel"/>
    <w:lvl w:ilvl="0">
      <w:lvlJc w:val="left"/>
      <w:lvlText w:val="(%1)"/>
      <w:numFmt w:val="lowerLetter"/>
      <w:start w:val="2"/>
    </w:lvl>
  </w:abstractNum>
  <w:abstractNum w:abstractNumId="129">
    <w:nsid w:val="335A1DF1"/>
    <w:multiLevelType w:val="hybridMultilevel"/>
    <w:lvl w:ilvl="0">
      <w:lvlJc w:val="left"/>
      <w:lvlText w:val="(%1)"/>
      <w:numFmt w:val="lowerLetter"/>
      <w:start w:val="4"/>
    </w:lvl>
  </w:abstractNum>
  <w:abstractNum w:abstractNumId="130">
    <w:nsid w:val="28677B7C"/>
    <w:multiLevelType w:val="hybridMultilevel"/>
    <w:lvl w:ilvl="0">
      <w:lvlJc w:val="left"/>
      <w:lvlText w:val="(%1)"/>
      <w:numFmt w:val="lowerLetter"/>
      <w:start w:val="1"/>
    </w:lvl>
  </w:abstractNum>
  <w:abstractNum w:abstractNumId="131">
    <w:nsid w:val="378D97C0"/>
    <w:multiLevelType w:val="hybridMultilevel"/>
    <w:lvl w:ilvl="0">
      <w:lvlJc w:val="left"/>
      <w:lvlText w:val="(%1)"/>
      <w:numFmt w:val="lowerRoman"/>
      <w:start w:val="1"/>
    </w:lvl>
  </w:abstractNum>
  <w:abstractNum w:abstractNumId="132">
    <w:nsid w:val="1D91467C"/>
    <w:multiLevelType w:val="hybridMultilevel"/>
    <w:lvl w:ilvl="0">
      <w:lvlJc w:val="left"/>
      <w:lvlText w:val="(%1)"/>
      <w:numFmt w:val="lowerRoman"/>
      <w:start w:val="2"/>
    </w:lvl>
  </w:abstractNum>
  <w:abstractNum w:abstractNumId="133">
    <w:nsid w:val="316032BB"/>
    <w:multiLevelType w:val="hybridMultilevel"/>
    <w:lvl w:ilvl="0">
      <w:lvlJc w:val="left"/>
      <w:lvlText w:val="(%1)"/>
      <w:numFmt w:val="lowerRoman"/>
      <w:start w:val="7"/>
    </w:lvl>
  </w:abstractNum>
  <w:abstractNum w:abstractNumId="134">
    <w:nsid w:val="44344C22"/>
    <w:multiLevelType w:val="hybridMultilevel"/>
    <w:lvl w:ilvl="0">
      <w:lvlJc w:val="left"/>
      <w:lvlText w:val="%1"/>
      <w:numFmt w:val="lowerRoman"/>
      <w:start w:val="1"/>
    </w:lvl>
    <w:lvl w:ilvl="1">
      <w:lvlJc w:val="left"/>
      <w:lvlText w:val="(%2)"/>
      <w:numFmt w:val="lowerLetter"/>
      <w:start w:val="3"/>
    </w:lvl>
  </w:abstractNum>
  <w:abstractNum w:abstractNumId="135">
    <w:nsid w:val="13CDFCFC"/>
    <w:multiLevelType w:val="hybridMultilevel"/>
    <w:lvl w:ilvl="0">
      <w:lvlJc w:val="left"/>
      <w:lvlText w:val="(%1)"/>
      <w:numFmt w:val="lowerRoman"/>
      <w:start w:val="1"/>
    </w:lvl>
    <w:lvl w:ilvl="1">
      <w:lvlJc w:val="left"/>
      <w:lvlText w:val="%2"/>
      <w:numFmt w:val="lowerLetter"/>
      <w:start w:val="1"/>
    </w:lvl>
  </w:abstractNum>
  <w:abstractNum w:abstractNumId="136">
    <w:nsid w:val="471745E4"/>
    <w:multiLevelType w:val="hybridMultilevel"/>
    <w:lvl w:ilvl="0">
      <w:lvlJc w:val="left"/>
      <w:lvlText w:val="(%1)"/>
      <w:numFmt w:val="decimal"/>
      <w:start w:val="30"/>
    </w:lvl>
    <w:lvl w:ilvl="1">
      <w:lvlJc w:val="left"/>
      <w:lvlText w:val="(%2)"/>
      <w:numFmt w:val="lowerLetter"/>
      <w:start w:val="1"/>
    </w:lvl>
  </w:abstractNum>
  <w:abstractNum w:abstractNumId="137">
    <w:nsid w:val="1DDBC66"/>
    <w:multiLevelType w:val="hybridMultilevel"/>
    <w:lvl w:ilvl="0">
      <w:lvlJc w:val="left"/>
      <w:lvlText w:val="(%1)"/>
      <w:numFmt w:val="lowerLetter"/>
      <w:start w:val="3"/>
    </w:lvl>
  </w:abstractNum>
  <w:abstractNum w:abstractNumId="138">
    <w:nsid w:val="30AADFDA"/>
    <w:multiLevelType w:val="hybridMultilevel"/>
    <w:lvl w:ilvl="0">
      <w:lvlJc w:val="left"/>
      <w:lvlText w:val="(%1)"/>
      <w:numFmt w:val="lowerLetter"/>
      <w:start w:val="4"/>
    </w:lvl>
  </w:abstractNum>
  <w:abstractNum w:abstractNumId="139">
    <w:nsid w:val="30EADA61"/>
    <w:multiLevelType w:val="hybridMultilevel"/>
    <w:lvl w:ilvl="0">
      <w:lvlJc w:val="left"/>
      <w:lvlText w:val="(%1)"/>
      <w:numFmt w:val="lowerLetter"/>
      <w:start w:val="25"/>
    </w:lvl>
  </w:abstractNum>
  <w:abstractNum w:abstractNumId="140">
    <w:nsid w:val="27179C0B"/>
    <w:multiLevelType w:val="hybridMultilevel"/>
    <w:lvl w:ilvl="0">
      <w:lvlJc w:val="left"/>
      <w:lvlText w:val="(%1)"/>
      <w:numFmt w:val="lowerLetter"/>
      <w:start w:val="1"/>
    </w:lvl>
  </w:abstractNum>
  <w:abstractNum w:abstractNumId="141">
    <w:nsid w:val="5E636063"/>
    <w:multiLevelType w:val="hybridMultilevel"/>
    <w:lvl w:ilvl="0">
      <w:lvlJc w:val="left"/>
      <w:lvlText w:val="(%1)"/>
      <w:numFmt w:val="lowerLetter"/>
      <w:start w:val="3"/>
    </w:lvl>
  </w:abstractNum>
  <w:abstractNum w:abstractNumId="142">
    <w:nsid w:val="215641AF"/>
    <w:multiLevelType w:val="hybridMultilevel"/>
    <w:lvl w:ilvl="0">
      <w:lvlJc w:val="left"/>
      <w:lvlText w:val="%1"/>
      <w:numFmt w:val="decimal"/>
      <w:start w:val="1"/>
    </w:lvl>
    <w:lvl w:ilvl="1">
      <w:lvlJc w:val="left"/>
      <w:lvlText w:val="(%2)"/>
      <w:numFmt w:val="lowerLetter"/>
      <w:start w:val="4"/>
    </w:lvl>
  </w:abstractNum>
  <w:abstractNum w:abstractNumId="143">
    <w:nsid w:val="53280662"/>
    <w:multiLevelType w:val="hybridMultilevel"/>
    <w:lvl w:ilvl="0">
      <w:lvlJc w:val="left"/>
      <w:lvlText w:val="(%1)"/>
      <w:numFmt w:val="decimal"/>
      <w:start w:val="2"/>
    </w:lvl>
    <w:lvl w:ilvl="1">
      <w:lvlJc w:val="left"/>
      <w:lvlText w:val="%2"/>
      <w:numFmt w:val="lowerLetter"/>
      <w:start w:val="1"/>
    </w:lvl>
  </w:abstractNum>
  <w:abstractNum w:abstractNumId="144">
    <w:nsid w:val="46B24DBC"/>
    <w:multiLevelType w:val="hybridMultilevel"/>
    <w:lvl w:ilvl="0">
      <w:lvlJc w:val="left"/>
      <w:lvlText w:val="(%1)"/>
      <w:numFmt w:val="decimal"/>
      <w:start w:val="30"/>
    </w:lvl>
    <w:lvl w:ilvl="1">
      <w:lvlJc w:val="left"/>
      <w:lvlText w:val="%2"/>
      <w:numFmt w:val="lowerLetter"/>
      <w:start w:val="1"/>
    </w:lvl>
  </w:abstractNum>
  <w:abstractNum w:abstractNumId="145">
    <w:nsid w:val="75B52783"/>
    <w:multiLevelType w:val="hybridMultilevel"/>
    <w:lvl w:ilvl="0">
      <w:lvlJc w:val="left"/>
      <w:lvlText w:val="(%1)"/>
      <w:numFmt w:val="lowerLetter"/>
      <w:start w:val="5"/>
    </w:lvl>
  </w:abstractNum>
  <w:abstractNum w:abstractNumId="146">
    <w:nsid w:val="57CE66B4"/>
    <w:multiLevelType w:val="hybridMultilevel"/>
    <w:lvl w:ilvl="0">
      <w:lvlJc w:val="left"/>
      <w:lvlText w:val="(%1)"/>
      <w:numFmt w:val="lowerLetter"/>
      <w:start w:val="6"/>
    </w:lvl>
  </w:abstractNum>
  <w:abstractNum w:abstractNumId="147">
    <w:nsid w:val="67A70B69"/>
    <w:multiLevelType w:val="hybridMultilevel"/>
    <w:lvl w:ilvl="0">
      <w:lvlJc w:val="left"/>
      <w:lvlText w:val="%1."/>
      <w:numFmt w:val="decimal"/>
      <w:start w:val="1"/>
    </w:lvl>
  </w:abstractNum>
  <w:abstractNum w:abstractNumId="148">
    <w:nsid w:val="5953172F"/>
    <w:multiLevelType w:val="hybridMultilevel"/>
    <w:lvl w:ilvl="0">
      <w:lvlJc w:val="left"/>
      <w:lvlText w:val="(%1)"/>
      <w:numFmt w:val="lowerRoman"/>
      <w:start w:val="1"/>
    </w:lvl>
  </w:abstractNum>
  <w:abstractNum w:abstractNumId="149">
    <w:nsid w:val="27EDFE3A"/>
    <w:multiLevelType w:val="hybridMultilevel"/>
    <w:lvl w:ilvl="0">
      <w:lvlJc w:val="left"/>
      <w:lvlText w:val="%1."/>
      <w:numFmt w:val="decimal"/>
      <w:start w:val="2"/>
    </w:lvl>
  </w:abstractNum>
  <w:abstractNum w:abstractNumId="150">
    <w:nsid w:val="52AC7DFF"/>
    <w:multiLevelType w:val="hybridMultilevel"/>
    <w:lvl w:ilvl="0">
      <w:lvlJc w:val="left"/>
      <w:lvlText w:val="%1."/>
      <w:numFmt w:val="decimal"/>
      <w:start w:val="1"/>
    </w:lvl>
  </w:abstractNum>
  <w:abstractNum w:abstractNumId="151">
    <w:nsid w:val="C4C3AF"/>
    <w:multiLevelType w:val="hybridMultilevel"/>
    <w:lvl w:ilvl="0">
      <w:lvlJc w:val="left"/>
      <w:lvlText w:val="%1."/>
      <w:numFmt w:val="decimal"/>
      <w:start w:val="2"/>
    </w:lvl>
  </w:abstractNum>
  <w:abstractNum w:abstractNumId="152">
    <w:nsid w:val="44380727"/>
    <w:multiLevelType w:val="hybridMultilevel"/>
    <w:lvl w:ilvl="0">
      <w:lvlJc w:val="left"/>
      <w:lvlText w:val="%1."/>
      <w:numFmt w:val="decimal"/>
      <w:start w:val="3"/>
    </w:lvl>
  </w:abstractNum>
  <w:abstractNum w:abstractNumId="153">
    <w:nsid w:val="6C053B16"/>
    <w:multiLevelType w:val="hybridMultilevel"/>
    <w:lvl w:ilvl="0">
      <w:lvlJc w:val="left"/>
      <w:lvlText w:val="%1."/>
      <w:numFmt w:val="decimal"/>
      <w:start w:val="4"/>
    </w:lvl>
  </w:abstractNum>
  <w:abstractNum w:abstractNumId="154">
    <w:nsid w:val="4F294393"/>
    <w:multiLevelType w:val="hybridMultilevel"/>
    <w:lvl w:ilvl="0">
      <w:lvlJc w:val="left"/>
      <w:lvlText w:val="%1."/>
      <w:numFmt w:val="decimal"/>
      <w:start w:val="5"/>
    </w:lvl>
  </w:abstractNum>
  <w:abstractNum w:abstractNumId="155">
    <w:nsid w:val="5243BFAC"/>
    <w:multiLevelType w:val="hybridMultilevel"/>
    <w:lvl w:ilvl="0">
      <w:lvlJc w:val="left"/>
      <w:lvlText w:val="%1."/>
      <w:numFmt w:val="decimal"/>
      <w:start w:val="6"/>
    </w:lvl>
  </w:abstractNum>
  <w:abstractNum w:abstractNumId="156">
    <w:nsid w:val="425EB207"/>
    <w:multiLevelType w:val="hybridMultilevel"/>
    <w:lvl w:ilvl="0">
      <w:lvlJc w:val="left"/>
      <w:lvlText w:val="%1."/>
      <w:numFmt w:val="decimal"/>
      <w:start w:val="7"/>
    </w:lvl>
  </w:abstractNum>
  <w:abstractNum w:abstractNumId="157">
    <w:nsid w:val="334A6F1F"/>
    <w:multiLevelType w:val="hybridMultilevel"/>
    <w:lvl w:ilvl="0">
      <w:lvlJc w:val="left"/>
      <w:lvlText w:val="%1."/>
      <w:numFmt w:val="decimal"/>
      <w:start w:val="8"/>
    </w:lvl>
  </w:abstractNum>
  <w:abstractNum w:abstractNumId="158">
    <w:nsid w:val="2E5B12B8"/>
    <w:multiLevelType w:val="hybridMultilevel"/>
    <w:lvl w:ilvl="0">
      <w:lvlJc w:val="left"/>
      <w:lvlText w:val="%1."/>
      <w:numFmt w:val="decimal"/>
      <w:start w:val="9"/>
    </w:lvl>
  </w:abstractNum>
  <w:abstractNum w:abstractNumId="159">
    <w:nsid w:val="5C03D76D"/>
    <w:multiLevelType w:val="hybridMultilevel"/>
    <w:lvl w:ilvl="0">
      <w:lvlJc w:val="left"/>
      <w:lvlText w:val="%1."/>
      <w:numFmt w:val="decimal"/>
      <w:start w:val="10"/>
    </w:lvl>
  </w:abstractNum>
  <w:abstractNum w:abstractNumId="160">
    <w:nsid w:val="66A48D11"/>
    <w:multiLevelType w:val="hybridMultilevel"/>
    <w:lvl w:ilvl="0">
      <w:lvlJc w:val="left"/>
      <w:lvlText w:val="%1."/>
      <w:numFmt w:val="decimal"/>
      <w:start w:val="1"/>
    </w:lvl>
  </w:abstractNum>
  <w:abstractNum w:abstractNumId="161">
    <w:nsid w:val="56C28E34"/>
    <w:multiLevelType w:val="hybridMultilevel"/>
    <w:lvl w:ilvl="0">
      <w:lvlJc w:val="left"/>
      <w:lvlText w:val="(%1)"/>
      <w:numFmt w:val="lowerLetter"/>
      <w:start w:val="2"/>
    </w:lvl>
    <w:lvl w:ilvl="1">
      <w:lvlJc w:val="left"/>
      <w:lvlText w:val="%2."/>
      <w:numFmt w:val="lowerRoman"/>
      <w:start w:val="1"/>
    </w:lvl>
  </w:abstractNum>
  <w:abstractNum w:abstractNumId="162">
    <w:nsid w:val="13916F2D"/>
    <w:multiLevelType w:val="hybridMultilevel"/>
    <w:lvl w:ilvl="0">
      <w:lvlJc w:val="left"/>
      <w:lvlText w:val="%1."/>
      <w:numFmt w:val="lowerRoman"/>
      <w:start w:val="3"/>
    </w:lvl>
  </w:abstractNum>
  <w:abstractNum w:abstractNumId="163">
    <w:nsid w:val="435D38D"/>
    <w:multiLevelType w:val="hybridMultilevel"/>
    <w:lvl w:ilvl="0">
      <w:lvlJc w:val="left"/>
      <w:lvlText w:val="%1."/>
      <w:numFmt w:val="decimal"/>
      <w:start w:val="3"/>
    </w:lvl>
    <w:lvl w:ilvl="1">
      <w:lvlJc w:val="left"/>
      <w:lvlText w:val="(%2)"/>
      <w:numFmt w:val="lowerLetter"/>
      <w:start w:val="1"/>
    </w:lvl>
  </w:abstractNum>
  <w:abstractNum w:abstractNumId="164">
    <w:nsid w:val="822C0EF"/>
    <w:multiLevelType w:val="hybridMultilevel"/>
    <w:lvl w:ilvl="0">
      <w:lvlJc w:val="left"/>
      <w:lvlText w:val="(%1)"/>
      <w:numFmt w:val="decimal"/>
      <w:start w:val="10"/>
    </w:lvl>
  </w:abstractNum>
  <w:abstractNum w:abstractNumId="165">
    <w:nsid w:val="57C5BB4F"/>
    <w:multiLevelType w:val="hybridMultilevel"/>
    <w:lvl w:ilvl="0">
      <w:lvlJc w:val="left"/>
      <w:lvlText w:val="(%1)"/>
      <w:numFmt w:val="decimal"/>
      <w:start w:val="7"/>
    </w:lvl>
  </w:abstractNum>
  <w:abstractNum w:abstractNumId="166">
    <w:nsid w:val="1803D089"/>
    <w:multiLevelType w:val="hybridMultilevel"/>
    <w:lvl w:ilvl="0">
      <w:lvlJc w:val="left"/>
      <w:lvlText w:val="•"/>
      <w:numFmt w:val="bullet"/>
      <w:start w:val="1"/>
    </w:lvl>
  </w:abstractNum>
  <w:abstractNum w:abstractNumId="167">
    <w:nsid w:val="4F3A06D4"/>
    <w:multiLevelType w:val="hybridMultilevel"/>
    <w:lvl w:ilvl="0">
      <w:lvlJc w:val="left"/>
      <w:lvlText w:val="•"/>
      <w:numFmt w:val="bullet"/>
      <w:start w:val="1"/>
    </w:lvl>
  </w:abstractNum>
  <w:abstractNum w:abstractNumId="168">
    <w:nsid w:val="59A377B6"/>
    <w:multiLevelType w:val="hybridMultilevel"/>
    <w:lvl w:ilvl="0">
      <w:lvlJc w:val="left"/>
      <w:lvlText w:val="%1."/>
      <w:numFmt w:val="decimal"/>
      <w:start w:val="1"/>
    </w:lvl>
  </w:abstractNum>
  <w:abstractNum w:abstractNumId="169">
    <w:nsid w:val="48AEB063"/>
    <w:multiLevelType w:val="hybridMultilevel"/>
    <w:lvl w:ilvl="0">
      <w:lvlJc w:val="left"/>
      <w:lvlText w:val="%1."/>
      <w:numFmt w:val="decimal"/>
      <w:start w:val="2"/>
    </w:lvl>
  </w:abstractNum>
  <w:abstractNum w:abstractNumId="170">
    <w:nsid w:val="24E135"/>
    <w:multiLevelType w:val="hybridMultilevel"/>
    <w:lvl w:ilvl="0">
      <w:lvlJc w:val="left"/>
      <w:lvlText w:val="%1"/>
      <w:numFmt w:val="decimal"/>
      <w:start w:val="29"/>
    </w:lvl>
  </w:abstractNum>
  <w:abstractNum w:abstractNumId="171">
    <w:nsid w:val="BB13C1"/>
    <w:multiLevelType w:val="hybridMultilevel"/>
    <w:lvl w:ilvl="0">
      <w:lvlJc w:val="left"/>
      <w:lvlText w:val="%1."/>
      <w:numFmt w:val="decimal"/>
      <w:start w:val="3"/>
    </w:lvl>
  </w:abstractNum>
  <w:abstractNum w:abstractNumId="172">
    <w:nsid w:val="271210C7"/>
    <w:multiLevelType w:val="hybridMultilevel"/>
    <w:lvl w:ilvl="0">
      <w:lvlJc w:val="left"/>
      <w:lvlText w:val="%1."/>
      <w:numFmt w:val="decimal"/>
      <w:start w:val="4"/>
    </w:lvl>
  </w:abstractNum>
  <w:abstractNum w:abstractNumId="173">
    <w:nsid w:val="217B22E4"/>
    <w:multiLevelType w:val="hybridMultilevel"/>
    <w:lvl w:ilvl="0">
      <w:lvlJc w:val="left"/>
      <w:lvlText w:val="%1."/>
      <w:numFmt w:val="decimal"/>
      <w:start w:val="7"/>
    </w:lvl>
  </w:abstractNum>
  <w:abstractNum w:abstractNumId="174">
    <w:nsid w:val="53E31A24"/>
    <w:multiLevelType w:val="hybridMultilevel"/>
    <w:lvl w:ilvl="0">
      <w:lvlJc w:val="left"/>
      <w:lvlText w:val="%1."/>
      <w:numFmt w:val="decimal"/>
      <w:start w:val="8"/>
    </w:lvl>
  </w:abstractNum>
  <w:abstractNum w:abstractNumId="175">
    <w:nsid w:val="6DC45E83"/>
    <w:multiLevelType w:val="hybridMultilevel"/>
    <w:lvl w:ilvl="0">
      <w:lvlJc w:val="left"/>
      <w:lvlText w:val="%1."/>
      <w:numFmt w:val="decimal"/>
      <w:start w:val="11"/>
    </w:lvl>
  </w:abstractNum>
  <w:abstractNum w:abstractNumId="176">
    <w:nsid w:val="17304A67"/>
    <w:multiLevelType w:val="hybridMultilevel"/>
    <w:lvl w:ilvl="0">
      <w:lvlJc w:val="left"/>
      <w:lvlText w:val="%1."/>
      <w:numFmt w:val="decimal"/>
      <w:start w:val="12"/>
    </w:lvl>
  </w:abstractNum>
  <w:abstractNum w:abstractNumId="177">
    <w:nsid w:val="2BB180D8"/>
    <w:multiLevelType w:val="hybridMultilevel"/>
    <w:lvl w:ilvl="0">
      <w:lvlJc w:val="left"/>
      <w:lvlText w:val="%1."/>
      <w:numFmt w:val="decimal"/>
      <w:start w:val="17"/>
    </w:lvl>
  </w:abstractNum>
  <w:abstractNum w:abstractNumId="178">
    <w:nsid w:val="556B69ED"/>
    <w:multiLevelType w:val="hybridMultilevel"/>
    <w:lvl w:ilvl="0">
      <w:lvlJc w:val="left"/>
      <w:lvlText w:val="%1."/>
      <w:numFmt w:val="decimal"/>
      <w:start w:val="18"/>
    </w:lvl>
  </w:abstractNum>
  <w:abstractNum w:abstractNumId="179">
    <w:nsid w:val="7083619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180">
    <w:nsid w:val="539F7F12"/>
    <w:multiLevelType w:val="hybridMultilevel"/>
    <w:lvl w:ilvl="0">
      <w:lvlJc w:val="left"/>
      <w:lvlText w:val="%1."/>
      <w:numFmt w:val="decimal"/>
      <w:start w:val="3"/>
    </w:lvl>
    <w:lvl w:ilvl="1">
      <w:lvlJc w:val="left"/>
      <w:lvlText w:val="(%2)"/>
      <w:numFmt w:val="lowerLetter"/>
      <w:start w:val="4"/>
    </w:lvl>
  </w:abstractNum>
  <w:abstractNum w:abstractNumId="181">
    <w:nsid w:val="2817E7EC"/>
    <w:multiLevelType w:val="hybridMultilevel"/>
    <w:lvl w:ilvl="0">
      <w:lvlJc w:val="left"/>
      <w:lvlText w:val="%1."/>
      <w:numFmt w:val="decimal"/>
      <w:start w:val="1"/>
    </w:lvl>
  </w:abstractNum>
  <w:abstractNum w:abstractNumId="182">
    <w:nsid w:val="71482545"/>
    <w:multiLevelType w:val="hybridMultilevel"/>
    <w:lvl w:ilvl="0">
      <w:lvlJc w:val="left"/>
      <w:lvlText w:val="(%1)"/>
      <w:numFmt w:val="lowerLetter"/>
      <w:start w:val="2"/>
    </w:lvl>
    <w:lvl w:ilvl="1">
      <w:lvlJc w:val="left"/>
      <w:lvlText w:val="%2"/>
      <w:numFmt w:val="lowerRoman"/>
      <w:start w:val="1"/>
    </w:lvl>
  </w:abstractNum>
  <w:abstractNum w:abstractNumId="183">
    <w:nsid w:val="17D78639"/>
    <w:multiLevelType w:val="hybridMultilevel"/>
    <w:lvl w:ilvl="0">
      <w:lvlJc w:val="left"/>
      <w:lvlText w:val="(%1)"/>
      <w:numFmt w:val="lowerLetter"/>
      <w:start w:val="9"/>
    </w:lvl>
    <w:lvl w:ilvl="1">
      <w:lvlJc w:val="left"/>
      <w:lvlText w:val="%2"/>
      <w:numFmt w:val="lowerRoman"/>
      <w:start w:val="1"/>
    </w:lvl>
  </w:abstractNum>
  <w:abstractNum w:abstractNumId="184">
    <w:nsid w:val="141D2302"/>
    <w:multiLevelType w:val="hybridMultilevel"/>
    <w:lvl w:ilvl="0">
      <w:lvlJc w:val="left"/>
      <w:lvlText w:val="(%1)"/>
      <w:numFmt w:val="lowerRoman"/>
      <w:start w:val="2"/>
    </w:lvl>
  </w:abstractNum>
  <w:abstractNum w:abstractNumId="185">
    <w:nsid w:val="407168D8"/>
    <w:multiLevelType w:val="hybridMultilevel"/>
    <w:lvl w:ilvl="0">
      <w:lvlJc w:val="left"/>
      <w:lvlText w:val="(%1)"/>
      <w:numFmt w:val="lowerLetter"/>
      <w:start w:val="4"/>
    </w:lvl>
  </w:abstractNum>
  <w:abstractNum w:abstractNumId="186">
    <w:nsid w:val="6A1B45E5"/>
    <w:multiLevelType w:val="hybridMultilevel"/>
    <w:lvl w:ilvl="0">
      <w:lvlJc w:val="left"/>
      <w:lvlText w:val="%1."/>
      <w:numFmt w:val="decimal"/>
      <w:start w:val="5"/>
    </w:lvl>
    <w:lvl w:ilvl="1">
      <w:lvlJc w:val="left"/>
      <w:lvlText w:val="(%2)"/>
      <w:numFmt w:val="lowerLetter"/>
      <w:start w:val="1"/>
    </w:lvl>
  </w:abstractNum>
  <w:abstractNum w:abstractNumId="187">
    <w:nsid w:val="567BD50A"/>
    <w:multiLevelType w:val="hybridMultilevel"/>
    <w:lvl w:ilvl="0">
      <w:lvlJc w:val="left"/>
      <w:lvlText w:val="(%1)"/>
      <w:numFmt w:val="lowerLetter"/>
      <w:start w:val="2"/>
    </w:lvl>
  </w:abstractNum>
  <w:abstractNum w:abstractNumId="188">
    <w:nsid w:val="73BBD7F8"/>
    <w:multiLevelType w:val="hybridMultilevel"/>
    <w:lvl w:ilvl="0">
      <w:lvlJc w:val="left"/>
      <w:lvlText w:val="(%1)"/>
      <w:numFmt w:val="lowerRoman"/>
      <w:start w:val="1"/>
    </w:lvl>
  </w:abstractNum>
  <w:abstractNum w:abstractNumId="189">
    <w:nsid w:val="1876589D"/>
    <w:multiLevelType w:val="hybridMultilevel"/>
    <w:lvl w:ilvl="0">
      <w:lvlJc w:val="left"/>
      <w:lvlText w:val="(%1)"/>
      <w:numFmt w:val="lowerLetter"/>
      <w:start w:val="3"/>
    </w:lvl>
  </w:abstractNum>
  <w:abstractNum w:abstractNumId="190">
    <w:nsid w:val="327FAC77"/>
    <w:multiLevelType w:val="hybridMultilevel"/>
    <w:lvl w:ilvl="0">
      <w:lvlJc w:val="left"/>
      <w:lvlText w:val="(%1)"/>
      <w:numFmt w:val="lowerRoman"/>
      <w:start w:val="1"/>
    </w:lvl>
  </w:abstractNum>
  <w:abstractNum w:abstractNumId="191">
    <w:nsid w:val="5A606509"/>
    <w:multiLevelType w:val="hybridMultilevel"/>
    <w:lvl w:ilvl="0">
      <w:lvlJc w:val="left"/>
      <w:lvlText w:val="(%1)"/>
      <w:numFmt w:val="lowerRoman"/>
      <w:start w:val="3"/>
    </w:lvl>
  </w:abstractNum>
  <w:abstractNum w:abstractNumId="192">
    <w:nsid w:val="6F38E6D1"/>
    <w:multiLevelType w:val="hybridMultilevel"/>
    <w:lvl w:ilvl="0">
      <w:lvlJc w:val="left"/>
      <w:lvlText w:val="%1."/>
      <w:numFmt w:val="decimal"/>
      <w:start w:val="7"/>
    </w:lvl>
    <w:lvl w:ilvl="1">
      <w:lvlJc w:val="left"/>
      <w:lvlText w:val="(%2)"/>
      <w:numFmt w:val="lowerLetter"/>
      <w:start w:val="1"/>
    </w:lvl>
  </w:abstractNum>
  <w:abstractNum w:abstractNumId="193">
    <w:nsid w:val="46111BA5"/>
    <w:multiLevelType w:val="hybridMultilevel"/>
    <w:lvl w:ilvl="0">
      <w:lvlJc w:val="left"/>
      <w:lvlText w:val="(%1)"/>
      <w:numFmt w:val="lowerLetter"/>
      <w:start w:val="3"/>
    </w:lvl>
  </w:abstractNum>
  <w:abstractNum w:abstractNumId="194">
    <w:nsid w:val="5E963896"/>
    <w:multiLevelType w:val="hybridMultilevel"/>
    <w:lvl w:ilvl="0">
      <w:lvlJc w:val="left"/>
      <w:lvlText w:val="(%1)"/>
      <w:numFmt w:val="lowerRoman"/>
      <w:start w:val="10"/>
    </w:lvl>
  </w:abstractNum>
  <w:abstractNum w:abstractNumId="195">
    <w:nsid w:val="775BA7C1"/>
    <w:multiLevelType w:val="hybridMultilevel"/>
    <w:lvl w:ilvl="0">
      <w:lvlJc w:val="left"/>
      <w:lvlText w:val="%1."/>
      <w:numFmt w:val="decimal"/>
      <w:start w:val="8"/>
    </w:lvl>
    <w:lvl w:ilvl="1">
      <w:lvlJc w:val="left"/>
      <w:lvlText w:val="(%2)"/>
      <w:numFmt w:val="lowerLetter"/>
      <w:start w:val="1"/>
    </w:lvl>
  </w:abstractNum>
  <w:abstractNum w:abstractNumId="196">
    <w:nsid w:val="1DD6D6F4"/>
    <w:multiLevelType w:val="hybridMultilevel"/>
    <w:lvl w:ilvl="0">
      <w:lvlJc w:val="left"/>
      <w:lvlText w:val="(%1)"/>
      <w:numFmt w:val="lowerLetter"/>
      <w:start w:val="2"/>
    </w:lvl>
  </w:abstractNum>
  <w:abstractNum w:abstractNumId="197">
    <w:nsid w:val="769A091F"/>
    <w:multiLevelType w:val="hybridMultilevel"/>
    <w:lvl w:ilvl="0">
      <w:lvlJc w:val="left"/>
      <w:lvlText w:val="(%1)"/>
      <w:numFmt w:val="lowerRoman"/>
      <w:start w:val="1"/>
    </w:lvl>
  </w:abstractNum>
  <w:abstractNum w:abstractNumId="198">
    <w:nsid w:val="4695AE95"/>
    <w:multiLevelType w:val="hybridMultilevel"/>
    <w:lvl w:ilvl="0">
      <w:lvlJc w:val="left"/>
      <w:lvlText w:val="(%1)"/>
      <w:numFmt w:val="lowerLetter"/>
      <w:start w:val="4"/>
    </w:lvl>
  </w:abstractNum>
  <w:abstractNum w:abstractNumId="199">
    <w:nsid w:val="777A4EAA"/>
    <w:multiLevelType w:val="hybridMultilevel"/>
    <w:lvl w:ilvl="0">
      <w:lvlJc w:val="left"/>
      <w:lvlText w:val="(%1)"/>
      <w:numFmt w:val="lowerLetter"/>
      <w:start w:val="5"/>
    </w:lvl>
  </w:abstractNum>
  <w:abstractNum w:abstractNumId="200">
    <w:nsid w:val="3F48B982"/>
    <w:multiLevelType w:val="hybridMultilevel"/>
    <w:lvl w:ilvl="0">
      <w:lvlJc w:val="left"/>
      <w:lvlText w:val="%1."/>
      <w:numFmt w:val="decimal"/>
      <w:start w:val="9"/>
    </w:lvl>
  </w:abstractNum>
  <w:abstractNum w:abstractNumId="201">
    <w:nsid w:val="46BA8FCA"/>
    <w:multiLevelType w:val="hybridMultilevel"/>
    <w:lvl w:ilvl="0">
      <w:lvlJc w:val="left"/>
      <w:lvlText w:val="%1."/>
      <w:numFmt w:val="decimal"/>
      <w:start w:val="10"/>
    </w:lvl>
  </w:abstractNum>
  <w:abstractNum w:abstractNumId="202">
    <w:nsid w:val="7835626C"/>
    <w:multiLevelType w:val="hybridMultilevel"/>
    <w:lvl w:ilvl="0">
      <w:lvlJc w:val="left"/>
      <w:lvlText w:val="%1."/>
      <w:numFmt w:val="decimal"/>
      <w:start w:val="12"/>
    </w:lvl>
  </w:abstractNum>
  <w:abstractNum w:abstractNumId="203">
    <w:nsid w:val="665ACA49"/>
    <w:multiLevelType w:val="hybridMultilevel"/>
    <w:lvl w:ilvl="0">
      <w:lvlJc w:val="left"/>
      <w:lvlText w:val="%1."/>
      <w:numFmt w:val="decimal"/>
      <w:start w:val="16"/>
    </w:lvl>
  </w:abstractNum>
  <w:abstractNum w:abstractNumId="204">
    <w:nsid w:val="6835B2AE"/>
    <w:multiLevelType w:val="hybridMultilevel"/>
    <w:lvl w:ilvl="0">
      <w:lvlJc w:val="left"/>
      <w:lvlText w:val="%1."/>
      <w:numFmt w:val="decimal"/>
      <w:start w:val="1"/>
    </w:lvl>
  </w:abstractNum>
  <w:abstractNum w:abstractNumId="205">
    <w:nsid w:val="4C187C90"/>
    <w:multiLevelType w:val="hybridMultilevel"/>
    <w:lvl w:ilvl="0">
      <w:lvlJc w:val="left"/>
      <w:lvlText w:val="%1"/>
      <w:numFmt w:val="lowerRoman"/>
      <w:start w:val="1"/>
    </w:lvl>
    <w:lvl w:ilvl="1">
      <w:lvlJc w:val="left"/>
      <w:lvlText w:val="(%2)"/>
      <w:numFmt w:val="lowerRoman"/>
      <w:start w:val="1"/>
    </w:lvl>
  </w:abstractNum>
  <w:abstractNum w:abstractNumId="206">
    <w:nsid w:val="541F28CD"/>
    <w:multiLevelType w:val="hybridMultilevel"/>
    <w:lvl w:ilvl="0">
      <w:lvlJc w:val="left"/>
      <w:lvlText w:val="(%1)"/>
      <w:numFmt w:val="lowerRoman"/>
      <w:start w:val="2"/>
    </w:lvl>
    <w:lvl w:ilvl="1">
      <w:lvlJc w:val="left"/>
      <w:lvlText w:val="%2"/>
      <w:numFmt w:val="lowerRoman"/>
      <w:start w:val="1"/>
    </w:lvl>
  </w:abstractNum>
  <w:abstractNum w:abstractNumId="207">
    <w:nsid w:val="7F65FD16"/>
    <w:multiLevelType w:val="hybridMultilevel"/>
    <w:lvl w:ilvl="0">
      <w:lvlJc w:val="left"/>
      <w:lvlText w:val="%1."/>
      <w:numFmt w:val="decimal"/>
      <w:start w:val="2"/>
    </w:lvl>
  </w:abstractNum>
  <w:abstractNum w:abstractNumId="208">
    <w:nsid w:val="77C9FD68"/>
    <w:multiLevelType w:val="hybridMultilevel"/>
    <w:lvl w:ilvl="0">
      <w:lvlJc w:val="left"/>
      <w:lvlText w:val="%1."/>
      <w:numFmt w:val="decimal"/>
      <w:start w:val="5"/>
    </w:lvl>
  </w:abstractNum>
  <w:abstractNum w:abstractNumId="209">
    <w:nsid w:val="298A92BA"/>
    <w:multiLevelType w:val="hybridMultilevel"/>
    <w:lvl w:ilvl="0">
      <w:lvlJc w:val="left"/>
      <w:lvlText w:val="%1."/>
      <w:numFmt w:val="decimal"/>
      <w:start w:val="1"/>
    </w:lvl>
  </w:abstractNum>
  <w:abstractNum w:abstractNumId="210">
    <w:nsid w:val="6FE95EAC"/>
    <w:multiLevelType w:val="hybridMultilevel"/>
    <w:lvl w:ilvl="0">
      <w:lvlJc w:val="left"/>
      <w:lvlText w:val="%1."/>
      <w:numFmt w:val="decimal"/>
      <w:start w:val="2"/>
    </w:lvl>
    <w:lvl w:ilvl="1">
      <w:lvlJc w:val="left"/>
      <w:lvlText w:val="(%2)"/>
      <w:numFmt w:val="lowerLetter"/>
      <w:start w:val="1"/>
    </w:lvl>
  </w:abstractNum>
  <w:abstractNum w:abstractNumId="211">
    <w:nsid w:val="4B697C7A"/>
    <w:multiLevelType w:val="hybridMultilevel"/>
    <w:lvl w:ilvl="0">
      <w:lvlJc w:val="left"/>
      <w:lvlText w:val="%1"/>
      <w:numFmt w:val="decimal"/>
      <w:start w:val="1"/>
    </w:lvl>
    <w:lvl w:ilvl="1">
      <w:lvlJc w:val="left"/>
      <w:lvlText w:val="(%2)"/>
      <w:numFmt w:val="lowerLetter"/>
      <w:start w:val="3"/>
    </w:lvl>
  </w:abstractNum>
  <w:abstractNum w:abstractNumId="212">
    <w:nsid w:val="51A27AA6"/>
    <w:multiLevelType w:val="hybridMultilevel"/>
    <w:lvl w:ilvl="0">
      <w:lvlJc w:val="left"/>
      <w:lvlText w:val="%1."/>
      <w:numFmt w:val="decimal"/>
      <w:start w:val="3"/>
    </w:lvl>
    <w:lvl w:ilvl="1">
      <w:lvlJc w:val="left"/>
      <w:lvlText w:val="(%2)"/>
      <w:numFmt w:val="lowerLetter"/>
      <w:start w:val="1"/>
    </w:lvl>
  </w:abstractNum>
  <w:abstractNum w:abstractNumId="213">
    <w:nsid w:val="613183F2"/>
    <w:multiLevelType w:val="hybridMultilevel"/>
    <w:lvl w:ilvl="0">
      <w:lvlJc w:val="left"/>
      <w:lvlText w:val="%1"/>
      <w:numFmt w:val="decimal"/>
      <w:start w:val="1"/>
    </w:lvl>
    <w:lvl w:ilvl="1">
      <w:lvlJc w:val="left"/>
      <w:lvlText w:val="(%2)"/>
      <w:numFmt w:val="lowerLetter"/>
      <w:start w:val="3"/>
    </w:lvl>
  </w:abstractNum>
  <w:abstractNum w:abstractNumId="214">
    <w:nsid w:val="634102B4"/>
    <w:multiLevelType w:val="hybridMultilevel"/>
    <w:lvl w:ilvl="0">
      <w:lvlJc w:val="left"/>
      <w:lvlText w:val="%1."/>
      <w:numFmt w:val="decimal"/>
      <w:start w:val="4"/>
    </w:lvl>
    <w:lvl w:ilvl="1">
      <w:lvlJc w:val="left"/>
      <w:lvlText w:val="%2"/>
      <w:numFmt w:val="lowerLetter"/>
      <w:start w:val="1"/>
    </w:lvl>
  </w:abstractNum>
  <w:abstractNum w:abstractNumId="215">
    <w:nsid w:val="65BF9DA8"/>
    <w:multiLevelType w:val="hybridMultilevel"/>
    <w:lvl w:ilvl="0">
      <w:lvlJc w:val="left"/>
      <w:lvlText w:val="%1."/>
      <w:numFmt w:val="decimal"/>
      <w:start w:val="5"/>
    </w:lvl>
  </w:abstractNum>
  <w:abstractNum w:abstractNumId="216">
    <w:nsid w:val="21A2ECCA"/>
    <w:multiLevelType w:val="hybridMultilevel"/>
    <w:lvl w:ilvl="0">
      <w:lvlJc w:val="left"/>
      <w:lvlText w:val="%1."/>
      <w:numFmt w:val="decimal"/>
      <w:start w:val="6"/>
    </w:lvl>
  </w:abstractNum>
  <w:abstractNum w:abstractNumId="217">
    <w:nsid w:val="4D5C4899"/>
    <w:multiLevelType w:val="hybridMultilevel"/>
    <w:lvl w:ilvl="0">
      <w:lvlJc w:val="left"/>
      <w:lvlText w:val="%1."/>
      <w:numFmt w:val="decimal"/>
      <w:start w:val="7"/>
    </w:lvl>
  </w:abstractNum>
  <w:abstractNum w:abstractNumId="218">
    <w:nsid w:val="3C3B72B2"/>
    <w:multiLevelType w:val="hybridMultilevel"/>
    <w:lvl w:ilvl="0">
      <w:lvlJc w:val="left"/>
      <w:lvlText w:val="%1."/>
      <w:numFmt w:val="decimal"/>
      <w:start w:val="8"/>
    </w:lvl>
    <w:lvl w:ilvl="1">
      <w:lvlJc w:val="left"/>
      <w:lvlText w:val="(%2)"/>
      <w:numFmt w:val="lowerLetter"/>
      <w:start w:val="1"/>
    </w:lvl>
  </w:abstractNum>
  <w:abstractNum w:abstractNumId="219">
    <w:nsid w:val="155EC4C2"/>
    <w:multiLevelType w:val="hybridMultilevel"/>
    <w:lvl w:ilvl="0">
      <w:lvlJc w:val="left"/>
      <w:lvlText w:val="(%1)"/>
      <w:numFmt w:val="lowerLetter"/>
      <w:start w:val="4"/>
    </w:lvl>
  </w:abstractNum>
  <w:abstractNum w:abstractNumId="220">
    <w:nsid w:val="65D2A137"/>
    <w:multiLevelType w:val="hybridMultilevel"/>
    <w:lvl w:ilvl="0">
      <w:lvlJc w:val="left"/>
      <w:lvlText w:val="(%1)"/>
      <w:numFmt w:val="lowerLetter"/>
      <w:start w:val="5"/>
    </w:lvl>
  </w:abstractNum>
  <w:abstractNum w:abstractNumId="221">
    <w:nsid w:val="6EBB1F2A"/>
    <w:multiLevelType w:val="hybridMultilevel"/>
    <w:lvl w:ilvl="0">
      <w:lvlJc w:val="left"/>
      <w:lvlText w:val="%1."/>
      <w:numFmt w:val="decimal"/>
      <w:start w:val="1"/>
    </w:lvl>
  </w:abstractNum>
  <w:abstractNum w:abstractNumId="222">
    <w:nsid w:val="6FBF29CB"/>
    <w:multiLevelType w:val="hybridMultilevel"/>
    <w:lvl w:ilvl="0">
      <w:lvlJc w:val="left"/>
      <w:lvlText w:val="(%1)"/>
      <w:numFmt w:val="lowerLetter"/>
      <w:start w:val="2"/>
    </w:lvl>
    <w:lvl w:ilvl="1">
      <w:lvlJc w:val="left"/>
      <w:lvlText w:val="%2."/>
      <w:numFmt w:val="lowerRoman"/>
      <w:start w:val="1"/>
    </w:lvl>
  </w:abstractNum>
  <w:abstractNum w:abstractNumId="223">
    <w:nsid w:val="550B8808"/>
    <w:multiLevelType w:val="hybridMultilevel"/>
    <w:lvl w:ilvl="0">
      <w:lvlJc w:val="left"/>
      <w:lvlText w:val="%1."/>
      <w:numFmt w:val="lowerRoman"/>
      <w:start w:val="3"/>
    </w:lvl>
  </w:abstractNum>
  <w:abstractNum w:abstractNumId="224">
    <w:nsid w:val="34CC3A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225">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226">
    <w:nsid w:val="4C672FC9"/>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Roman"/>
      <w:start w:val="1"/>
    </w:lvl>
  </w:abstractNum>
  <w:abstractNum w:abstractNumId="227">
    <w:nsid w:val="52A311C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28">
    <w:nsid w:val="44EF6B80"/>
    <w:multiLevelType w:val="hybridMultilevel"/>
    <w:lvl w:ilvl="0">
      <w:lvlJc w:val="left"/>
      <w:lvlText w:val="%1."/>
      <w:numFmt w:val="decimal"/>
      <w:start w:val="3"/>
    </w:lvl>
    <w:lvl w:ilvl="1">
      <w:lvlJc w:val="left"/>
      <w:lvlText w:val="(%2)"/>
      <w:numFmt w:val="lowerLetter"/>
      <w:start w:val="1"/>
    </w:lvl>
  </w:abstractNum>
  <w:abstractNum w:abstractNumId="229">
    <w:nsid w:val="12FCDE5E"/>
    <w:multiLevelType w:val="hybridMultilevel"/>
    <w:lvl w:ilvl="0">
      <w:lvlJc w:val="left"/>
      <w:lvlText w:val="(%1)"/>
      <w:numFmt w:val="lowerLetter"/>
      <w:start w:val="8"/>
    </w:lvl>
  </w:abstractNum>
  <w:abstractNum w:abstractNumId="230">
    <w:nsid w:val="4A1D606E"/>
    <w:multiLevelType w:val="hybridMultilevel"/>
    <w:lvl w:ilvl="0">
      <w:lvlJc w:val="left"/>
      <w:lvlText w:val="(%1)"/>
      <w:numFmt w:val="lowerLetter"/>
      <w:start w:val="9"/>
    </w:lvl>
    <w:lvl w:ilvl="1">
      <w:lvlJc w:val="left"/>
      <w:lvlText w:val="(%2)"/>
      <w:numFmt w:val="lowerLetter"/>
      <w:start w:val="9"/>
    </w:lvl>
  </w:abstractNum>
  <w:abstractNum w:abstractNumId="231">
    <w:nsid w:val="4382503"/>
    <w:multiLevelType w:val="hybridMultilevel"/>
    <w:lvl w:ilvl="0">
      <w:lvlJc w:val="left"/>
      <w:lvlText w:val="(%1)"/>
      <w:numFmt w:val="lowerLetter"/>
      <w:start w:val="11"/>
    </w:lvl>
  </w:abstractNum>
  <w:abstractNum w:abstractNumId="232">
    <w:nsid w:val="59B76E2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233">
    <w:nsid w:val="4252C2DA"/>
    <w:multiLevelType w:val="hybridMultilevel"/>
    <w:lvl w:ilvl="0">
      <w:lvlJc w:val="left"/>
      <w:lvlText w:val="%1."/>
      <w:numFmt w:val="decimal"/>
      <w:start w:val="3"/>
    </w:lvl>
  </w:abstractNum>
  <w:abstractNum w:abstractNumId="234">
    <w:nsid w:val="6A92EF4C"/>
    <w:multiLevelType w:val="hybridMultilevel"/>
    <w:lvl w:ilvl="0">
      <w:lvlJc w:val="left"/>
      <w:lvlText w:val="(%1)"/>
      <w:numFmt w:val="lowerLetter"/>
      <w:start w:val="2"/>
    </w:lvl>
  </w:abstractNum>
  <w:abstractNum w:abstractNumId="235">
    <w:nsid w:val="41ED20D7"/>
    <w:multiLevelType w:val="hybridMultilevel"/>
    <w:lvl w:ilvl="0">
      <w:lvlJc w:val="left"/>
      <w:lvlText w:val="(%1)"/>
      <w:numFmt w:val="lowerRoman"/>
      <w:start w:val="2"/>
    </w:lvl>
  </w:abstractNum>
  <w:abstractNum w:abstractNumId="236">
    <w:nsid w:val="E6B3F6A"/>
    <w:multiLevelType w:val="hybridMultilevel"/>
    <w:lvl w:ilvl="0">
      <w:lvlJc w:val="left"/>
      <w:lvlText w:val="(%1)"/>
      <w:numFmt w:val="lowerLetter"/>
      <w:start w:val="1"/>
    </w:lvl>
    <w:lvl w:ilvl="1">
      <w:lvlJc w:val="left"/>
      <w:lvlText w:val="(%2)"/>
      <w:numFmt w:val="lowerRoman"/>
      <w:start w:val="1"/>
    </w:lvl>
  </w:abstractNum>
  <w:abstractNum w:abstractNumId="237">
    <w:nsid w:val="3EB21819"/>
    <w:multiLevelType w:val="hybridMultilevel"/>
    <w:lvl w:ilvl="0">
      <w:lvlJc w:val="left"/>
      <w:lvlText w:val="(%1)"/>
      <w:numFmt w:val="lowerLetter"/>
      <w:start w:val="2"/>
    </w:lvl>
    <w:lvl w:ilvl="1">
      <w:lvlJc w:val="left"/>
      <w:lvlText w:val="(%2)"/>
      <w:numFmt w:val="lowerRoman"/>
      <w:start w:val="1"/>
    </w:lvl>
  </w:abstractNum>
  <w:abstractNum w:abstractNumId="238">
    <w:nsid w:val="41531DED"/>
    <w:multiLevelType w:val="hybridMultilevel"/>
    <w:lvl w:ilvl="0">
      <w:lvlJc w:val="left"/>
      <w:lvlText w:val="(%1)"/>
      <w:numFmt w:val="lowerLetter"/>
      <w:start w:val="1"/>
    </w:lvl>
  </w:abstractNum>
  <w:abstractNum w:abstractNumId="239">
    <w:nsid w:val="6353CD2"/>
    <w:multiLevelType w:val="hybridMultilevel"/>
    <w:lvl w:ilvl="0">
      <w:lvlJc w:val="left"/>
      <w:lvlText w:val="(%1)"/>
      <w:numFmt w:val="lowerLetter"/>
      <w:start w:val="1"/>
    </w:lvl>
  </w:abstractNum>
  <w:abstractNum w:abstractNumId="240">
    <w:nsid w:val="683CAAD3"/>
    <w:multiLevelType w:val="hybridMultilevel"/>
    <w:lvl w:ilvl="0">
      <w:lvlJc w:val="left"/>
      <w:lvlText w:val="(%1)"/>
      <w:numFmt w:val="lowerLetter"/>
      <w:start w:val="1"/>
    </w:lvl>
    <w:lvl w:ilvl="1">
      <w:lvlJc w:val="left"/>
      <w:lvlText w:val="(%2)"/>
      <w:numFmt w:val="lowerRoman"/>
      <w:start w:val="1"/>
    </w:lvl>
  </w:abstractNum>
  <w:abstractNum w:abstractNumId="241">
    <w:nsid w:val="313C7C99"/>
    <w:multiLevelType w:val="hybridMultilevel"/>
    <w:lvl w:ilvl="0">
      <w:lvlJc w:val="left"/>
      <w:lvlText w:val="[**]"/>
      <w:numFmt w:val="bullet"/>
      <w:start w:val="1"/>
    </w:lvl>
  </w:abstractNum>
  <w:abstractNum w:abstractNumId="242">
    <w:nsid w:val="519EB94C"/>
    <w:multiLevelType w:val="hybridMultilevel"/>
    <w:lvl w:ilvl="0">
      <w:lvlJc w:val="left"/>
      <w:lvlText w:val="(%1)"/>
      <w:numFmt w:val="lowerLetter"/>
      <w:start w:val="1"/>
    </w:lvl>
  </w:abstractNum>
  <w:abstractNum w:abstractNumId="243">
    <w:nsid w:val="39DF2579"/>
    <w:multiLevelType w:val="hybridMultilevel"/>
    <w:lvl w:ilvl="0">
      <w:lvlJc w:val="left"/>
      <w:lvlText w:val="(%1)"/>
      <w:numFmt w:val="lowerLetter"/>
      <w:start w:val="2"/>
    </w:lvl>
  </w:abstractNum>
  <w:abstractNum w:abstractNumId="244">
    <w:nsid w:val="126E008B"/>
    <w:multiLevelType w:val="hybridMultilevel"/>
    <w:lvl w:ilvl="0">
      <w:lvlJc w:val="left"/>
      <w:lvlText w:val="(%1)"/>
      <w:numFmt w:val="lowerLetter"/>
      <w:start w:val="3"/>
    </w:lvl>
    <w:lvl w:ilvl="1">
      <w:lvlJc w:val="left"/>
      <w:lvlText w:val="(%2)"/>
      <w:numFmt w:val="lowerRoman"/>
      <w:start w:val="1"/>
    </w:lvl>
  </w:abstractNum>
  <w:abstractNum w:abstractNumId="245">
    <w:nsid w:val="34DFBC00"/>
    <w:multiLevelType w:val="hybridMultilevel"/>
    <w:lvl w:ilvl="0">
      <w:lvlJc w:val="left"/>
      <w:lvlText w:val="(%1)"/>
      <w:numFmt w:val="lowerRoman"/>
      <w:start w:val="1"/>
    </w:lvl>
  </w:abstractNum>
  <w:abstractNum w:abstractNumId="246">
    <w:nsid w:val="1F9EC322"/>
    <w:multiLevelType w:val="hybridMultilevel"/>
    <w:lvl w:ilvl="0">
      <w:lvlJc w:val="left"/>
      <w:lvlText w:val="(%1)"/>
      <w:numFmt w:val="lowerRoman"/>
      <w:start w:val="5"/>
    </w:lvl>
  </w:abstractNum>
  <w:abstractNum w:abstractNumId="247">
    <w:nsid w:val="3410ED56"/>
    <w:multiLevelType w:val="hybridMultilevel"/>
    <w:lvl w:ilvl="0">
      <w:lvlJc w:val="left"/>
      <w:lvlText w:val="(%1)"/>
      <w:numFmt w:val="lowerLetter"/>
      <w:start w:val="5"/>
    </w:lvl>
  </w:abstractNum>
  <w:abstractNum w:abstractNumId="248">
    <w:nsid w:val="23C049A"/>
    <w:multiLevelType w:val="hybridMultilevel"/>
    <w:lvl w:ilvl="0">
      <w:lvlJc w:val="left"/>
      <w:lvlText w:val="(%1)"/>
      <w:numFmt w:val="lowerRoman"/>
      <w:start w:val="1"/>
    </w:lvl>
  </w:abstractNum>
  <w:abstractNum w:abstractNumId="249">
    <w:nsid w:val="5BDA35D4"/>
    <w:multiLevelType w:val="hybridMultilevel"/>
    <w:lvl w:ilvl="0">
      <w:lvlJc w:val="left"/>
      <w:lvlText w:val="(%1)"/>
      <w:numFmt w:val="lowerLetter"/>
      <w:start w:val="1"/>
    </w:lvl>
    <w:lvl w:ilvl="1">
      <w:lvlJc w:val="left"/>
      <w:lvlText w:val="(%2)"/>
      <w:numFmt w:val="lowerLetter"/>
      <w:start w:val="9"/>
    </w:lvl>
  </w:abstractNum>
  <w:abstractNum w:abstractNumId="250">
    <w:nsid w:val="496FB218"/>
    <w:multiLevelType w:val="hybridMultilevel"/>
    <w:lvl w:ilvl="0">
      <w:lvlJc w:val="left"/>
      <w:lvlText w:val="%1"/>
      <w:numFmt w:val="lowerLetter"/>
      <w:start w:val="1"/>
    </w:lvl>
    <w:lvl w:ilvl="1">
      <w:lvlJc w:val="left"/>
      <w:lvlText w:val="(%2)"/>
      <w:numFmt w:val="lowerLetter"/>
      <w:start w:val="35"/>
    </w:lvl>
  </w:abstractNum>
  <w:abstractNum w:abstractNumId="251">
    <w:nsid w:val="680EA5D1"/>
    <w:multiLevelType w:val="hybridMultilevel"/>
    <w:lvl w:ilvl="0">
      <w:lvlJc w:val="left"/>
      <w:lvlText w:val="(%1)"/>
      <w:numFmt w:val="lowerLetter"/>
      <w:start w:val="2"/>
    </w:lvl>
    <w:lvl w:ilvl="1">
      <w:lvlJc w:val="left"/>
      <w:lvlText w:val="%2"/>
      <w:numFmt w:val="lowerLetter"/>
      <w:start w:val="1"/>
    </w:lvl>
  </w:abstractNum>
  <w:abstractNum w:abstractNumId="252">
    <w:nsid w:val="4A9554FE"/>
    <w:multiLevelType w:val="hybridMultilevel"/>
    <w:lvl w:ilvl="0">
      <w:lvlJc w:val="left"/>
      <w:lvlText w:val="%1"/>
      <w:numFmt w:val="lowerLetter"/>
      <w:start w:val="1"/>
    </w:lvl>
    <w:lvl w:ilvl="1">
      <w:lvlJc w:val="left"/>
      <w:lvlText w:val="(%2)"/>
      <w:numFmt w:val="lowerLetter"/>
      <w:start w:val="1"/>
    </w:lvl>
  </w:abstractNum>
  <w:abstractNum w:abstractNumId="253">
    <w:nsid w:val="392EDBE4"/>
    <w:multiLevelType w:val="hybridMultilevel"/>
    <w:lvl w:ilvl="0">
      <w:lvlJc w:val="left"/>
      <w:lvlText w:val="(%1)"/>
      <w:numFmt w:val="lowerLetter"/>
      <w:start w:val="61"/>
    </w:lvl>
    <w:lvl w:ilvl="1">
      <w:lvlJc w:val="left"/>
      <w:lvlText w:val="%2"/>
      <w:numFmt w:val="lowerLetter"/>
      <w:start w:val="1"/>
    </w:lvl>
  </w:abstractNum>
  <w:abstractNum w:abstractNumId="254">
    <w:nsid w:val="3D1A2DD9"/>
    <w:multiLevelType w:val="hybridMultilevel"/>
    <w:lvl w:ilvl="0">
      <w:lvlJc w:val="left"/>
      <w:lvlText w:val="%1"/>
      <w:numFmt w:val="lowerLetter"/>
      <w:start w:val="1"/>
    </w:lvl>
    <w:lvl w:ilvl="1">
      <w:lvlJc w:val="left"/>
      <w:lvlText w:val="(%2)"/>
      <w:numFmt w:val="lowerLetter"/>
      <w:start w:val="3"/>
    </w:lvl>
  </w:abstractNum>
  <w:abstractNum w:abstractNumId="255">
    <w:nsid w:val="7F618FCD"/>
    <w:multiLevelType w:val="hybridMultilevel"/>
    <w:lvl w:ilvl="0">
      <w:lvlJc w:val="left"/>
      <w:lvlText w:val="(%1)"/>
      <w:numFmt w:val="lowerLetter"/>
      <w:start w:val="61"/>
    </w:lvl>
    <w:lvl w:ilvl="1">
      <w:lvlJc w:val="left"/>
      <w:lvlText w:val="%2"/>
      <w:numFmt w:val="lowerLetter"/>
      <w:start w:val="1"/>
    </w:lvl>
  </w:abstractNum>
  <w:abstractNum w:abstractNumId="256">
    <w:nsid w:val="7843E45"/>
    <w:multiLevelType w:val="hybridMultilevel"/>
    <w:lvl w:ilvl="0">
      <w:lvlJc w:val="left"/>
      <w:lvlText w:val="(%1)"/>
      <w:numFmt w:val="lowerLetter"/>
      <w:start w:val="1"/>
    </w:lvl>
  </w:abstractNum>
  <w:abstractNum w:abstractNumId="257">
    <w:nsid w:val="9815DA3"/>
    <w:multiLevelType w:val="hybridMultilevel"/>
    <w:lvl w:ilvl="0">
      <w:lvlJc w:val="left"/>
      <w:lvlText w:val="(%1)"/>
      <w:numFmt w:val="lowerLetter"/>
      <w:start w:val="2"/>
    </w:lvl>
  </w:abstractNum>
  <w:abstractNum w:abstractNumId="258">
    <w:nsid w:val="5204A191"/>
    <w:multiLevelType w:val="hybridMultilevel"/>
    <w:lvl w:ilvl="0">
      <w:lvlJc w:val="left"/>
      <w:lvlText w:val="(%1)"/>
      <w:numFmt w:val="lowerLetter"/>
      <w:start w:val="1"/>
    </w:lvl>
  </w:abstractNum>
  <w:abstractNum w:abstractNumId="259">
    <w:nsid w:val="4C73A9C6"/>
    <w:multiLevelType w:val="hybridMultilevel"/>
    <w:lvl w:ilvl="0">
      <w:lvlJc w:val="left"/>
      <w:lvlText w:val="(%1)"/>
      <w:numFmt w:val="lowerLetter"/>
      <w:start w:val="4"/>
    </w:lvl>
  </w:abstractNum>
  <w:abstractNum w:abstractNumId="260">
    <w:nsid w:val="1C7E3C01"/>
    <w:multiLevelType w:val="hybridMultilevel"/>
    <w:lvl w:ilvl="0">
      <w:lvlJc w:val="left"/>
      <w:lvlText w:val="(%1)"/>
      <w:numFmt w:val="lowerLetter"/>
      <w:start w:val="8"/>
    </w:lvl>
  </w:abstractNum>
  <w:abstractNum w:abstractNumId="261">
    <w:nsid w:val="1C2201FF"/>
    <w:multiLevelType w:val="hybridMultilevel"/>
    <w:lvl w:ilvl="0">
      <w:lvlJc w:val="left"/>
      <w:lvlText w:val="(%1)"/>
      <w:numFmt w:val="lowerLetter"/>
      <w:start w:val="1"/>
    </w:lvl>
  </w:abstractNum>
  <w:abstractNum w:abstractNumId="262">
    <w:nsid w:val="50ABCEC9"/>
    <w:multiLevelType w:val="hybridMultilevel"/>
    <w:lvl w:ilvl="0">
      <w:lvlJc w:val="left"/>
      <w:lvlText w:val="(%1)"/>
      <w:numFmt w:val="lowerLetter"/>
      <w:start w:val="1"/>
    </w:lvl>
  </w:abstractNum>
  <w:abstractNum w:abstractNumId="263">
    <w:nsid w:val="7635AA2A"/>
    <w:multiLevelType w:val="hybridMultilevel"/>
    <w:lvl w:ilvl="0">
      <w:lvlJc w:val="left"/>
      <w:lvlText w:val="(%1)"/>
      <w:numFmt w:val="lowerLetter"/>
      <w:start w:val="7"/>
    </w:lvl>
  </w:abstractNum>
  <w:abstractNum w:abstractNumId="264">
    <w:nsid w:val="5E74C4D9"/>
    <w:multiLevelType w:val="hybridMultilevel"/>
    <w:lvl w:ilvl="0">
      <w:lvlJc w:val="left"/>
      <w:lvlText w:val="(%1)"/>
      <w:numFmt w:val="lowerLetter"/>
      <w:start w:val="1"/>
    </w:lvl>
  </w:abstractNum>
  <w:abstractNum w:abstractNumId="265">
    <w:nsid w:val="3B3EBE15"/>
    <w:multiLevelType w:val="hybridMultilevel"/>
    <w:lvl w:ilvl="0">
      <w:lvlJc w:val="left"/>
      <w:lvlText w:val="(%1)"/>
      <w:numFmt w:val="lowerLetter"/>
      <w:start w:val="4"/>
    </w:lvl>
  </w:abstractNum>
  <w:abstractNum w:abstractNumId="266">
    <w:nsid w:val="3822CB01"/>
    <w:multiLevelType w:val="hybridMultilevel"/>
    <w:lvl w:ilvl="0">
      <w:lvlJc w:val="left"/>
      <w:lvlText w:val="(%1)"/>
      <w:numFmt w:val="lowerLetter"/>
      <w:start w:val="1"/>
    </w:lvl>
  </w:abstractNum>
  <w:abstractNum w:abstractNumId="267">
    <w:nsid w:val="6CE00443"/>
    <w:multiLevelType w:val="hybridMultilevel"/>
    <w:lvl w:ilvl="0">
      <w:lvlJc w:val="left"/>
      <w:lvlText w:val="(%1)"/>
      <w:numFmt w:val="lowerLetter"/>
      <w:start w:val="1"/>
    </w:lvl>
  </w:abstractNum>
  <w:abstractNum w:abstractNumId="268">
    <w:nsid w:val="79F0D62F"/>
    <w:multiLevelType w:val="hybridMultilevel"/>
    <w:lvl w:ilvl="0">
      <w:lvlJc w:val="left"/>
      <w:lvlText w:val="(%1)"/>
      <w:numFmt w:val="lowerLetter"/>
      <w:start w:val="1"/>
    </w:lvl>
  </w:abstractNum>
  <w:abstractNum w:abstractNumId="269">
    <w:nsid w:val="7975E8EE"/>
    <w:multiLevelType w:val="hybridMultilevel"/>
    <w:lvl w:ilvl="0">
      <w:lvlJc w:val="left"/>
      <w:lvlText w:val="(%1)"/>
      <w:numFmt w:val="lowerLetter"/>
      <w:start w:val="1"/>
    </w:lvl>
  </w:abstractNum>
  <w:abstractNum w:abstractNumId="270">
    <w:nsid w:val="73154115"/>
    <w:multiLevelType w:val="hybridMultilevel"/>
    <w:lvl w:ilvl="0">
      <w:lvlJc w:val="left"/>
      <w:lvlText w:val="(%1)"/>
      <w:numFmt w:val="lowerLetter"/>
      <w:start w:val="1"/>
    </w:lvl>
  </w:abstractNum>
  <w:abstractNum w:abstractNumId="271">
    <w:nsid w:val="622D8102"/>
    <w:multiLevelType w:val="hybridMultilevel"/>
    <w:lvl w:ilvl="0">
      <w:lvlJc w:val="left"/>
      <w:lvlText w:val="[**]"/>
      <w:numFmt w:val="bullet"/>
      <w:start w:val="1"/>
    </w:lvl>
    <w:lvl w:ilvl="1">
      <w:lvlJc w:val="left"/>
      <w:lvlText w:val="(%2)"/>
      <w:numFmt w:val="lowerLetter"/>
      <w:start w:val="1"/>
    </w:lvl>
  </w:abstractNum>
  <w:abstractNum w:abstractNumId="272">
    <w:nsid w:val="2AB26587"/>
    <w:multiLevelType w:val="hybridMultilevel"/>
    <w:lvl w:ilvl="0">
      <w:lvlJc w:val="left"/>
      <w:lvlText w:val="[**]"/>
      <w:numFmt w:val="bullet"/>
      <w:start w:val="1"/>
    </w:lvl>
    <w:lvl w:ilvl="1">
      <w:lvlJc w:val="left"/>
      <w:lvlText w:val="(%2)"/>
      <w:numFmt w:val="lowerLetter"/>
      <w:start w:val="2"/>
    </w:lvl>
  </w:abstractNum>
  <w:abstractNum w:abstractNumId="273">
    <w:nsid w:val="44B3FA61"/>
    <w:multiLevelType w:val="hybridMultilevel"/>
    <w:lvl w:ilvl="0">
      <w:lvlJc w:val="left"/>
      <w:lvlText w:val="[**]"/>
      <w:numFmt w:val="bullet"/>
      <w:start w:val="1"/>
    </w:lvl>
    <w:lvl w:ilvl="1">
      <w:lvlJc w:val="left"/>
      <w:lvlText w:val="(%2)"/>
      <w:numFmt w:val="lowerLetter"/>
      <w:start w:val="3"/>
    </w:lvl>
  </w:abstractNum>
  <w:abstractNum w:abstractNumId="274">
    <w:nsid w:val="1C0CA67C"/>
    <w:multiLevelType w:val="hybridMultilevel"/>
    <w:lvl w:ilvl="0">
      <w:lvlJc w:val="left"/>
      <w:lvlText w:val="(%1)"/>
      <w:numFmt w:val="lowerLetter"/>
      <w:start w:val="4"/>
    </w:lvl>
  </w:abstractNum>
  <w:abstractNum w:abstractNumId="275">
    <w:nsid w:val="3D206613"/>
    <w:multiLevelType w:val="hybridMultilevel"/>
    <w:lvl w:ilvl="0">
      <w:lvlJc w:val="left"/>
      <w:lvlText w:val="(%1)"/>
      <w:numFmt w:val="lowerLetter"/>
      <w:start w:val="1"/>
    </w:lvl>
  </w:abstractNum>
  <w:abstractNum w:abstractNumId="276">
    <w:nsid w:val="7993B662"/>
    <w:multiLevelType w:val="hybridMultilevel"/>
    <w:lvl w:ilvl="0">
      <w:lvlJc w:val="left"/>
      <w:lvlText w:val="(%1)"/>
      <w:numFmt w:val="lowerLetter"/>
      <w:start w:val="1"/>
    </w:lvl>
    <w:lvl w:ilvl="1">
      <w:lvlJc w:val="left"/>
      <w:lvlText w:val="(%2)"/>
      <w:numFmt w:val="lowerRoman"/>
      <w:start w:val="1"/>
    </w:lvl>
  </w:abstractNum>
  <w:abstractNum w:abstractNumId="277">
    <w:nsid w:val="3BAB699E"/>
    <w:multiLevelType w:val="hybridMultilevel"/>
    <w:lvl w:ilvl="0">
      <w:lvlJc w:val="left"/>
      <w:lvlText w:val="(%1)"/>
      <w:numFmt w:val="upperLetter"/>
      <w:start w:val="1"/>
    </w:lvl>
  </w:abstractNum>
  <w:abstractNum w:abstractNumId="278">
    <w:nsid w:val="71315369"/>
    <w:multiLevelType w:val="hybridMultilevel"/>
    <w:lvl w:ilvl="0">
      <w:lvlJc w:val="left"/>
      <w:lvlText w:val="(%1)"/>
      <w:numFmt w:val="upperLetter"/>
      <w:start w:val="4"/>
    </w:lvl>
  </w:abstractNum>
  <w:abstractNum w:abstractNumId="279">
    <w:nsid w:val="7BCFBAFC"/>
    <w:multiLevelType w:val="hybridMultilevel"/>
    <w:lvl w:ilvl="0">
      <w:lvlJc w:val="left"/>
      <w:lvlText w:val="%1"/>
      <w:numFmt w:val="lowerLetter"/>
      <w:start w:val="1"/>
    </w:lvl>
    <w:lvl w:ilvl="1">
      <w:lvlJc w:val="left"/>
      <w:lvlText w:val="(%2)"/>
      <w:numFmt w:val="lowerRoman"/>
      <w:start w:val="4"/>
    </w:lvl>
  </w:abstractNum>
  <w:abstractNum w:abstractNumId="280">
    <w:nsid w:val="17859F72"/>
    <w:multiLevelType w:val="hybridMultilevel"/>
    <w:lvl w:ilvl="0">
      <w:lvlJc w:val="left"/>
      <w:lvlText w:val="(%1)"/>
      <w:numFmt w:val="lowerLetter"/>
      <w:start w:val="2"/>
    </w:lvl>
    <w:lvl w:ilvl="1">
      <w:lvlJc w:val="left"/>
      <w:lvlText w:val="%2"/>
      <w:numFmt w:val="lowerRoman"/>
      <w:start w:val="1"/>
    </w:lvl>
  </w:abstractNum>
  <w:abstractNum w:abstractNumId="281">
    <w:nsid w:val="3AA10581"/>
    <w:multiLevelType w:val="hybridMultilevel"/>
    <w:lvl w:ilvl="0">
      <w:lvlJc w:val="left"/>
      <w:lvlText w:val="(%1)"/>
      <w:numFmt w:val="lowerLetter"/>
      <w:start w:val="3"/>
    </w:lvl>
  </w:abstractNum>
  <w:abstractNum w:abstractNumId="282">
    <w:nsid w:val="63DE60CD"/>
    <w:multiLevelType w:val="hybridMultilevel"/>
    <w:lvl w:ilvl="0">
      <w:lvlJc w:val="left"/>
      <w:lvlText w:val="(%1)"/>
      <w:numFmt w:val="lowerLetter"/>
      <w:start w:val="1"/>
    </w:lvl>
  </w:abstractNum>
  <w:abstractNum w:abstractNumId="283">
    <w:nsid w:val="621AF471"/>
    <w:multiLevelType w:val="hybridMultilevel"/>
    <w:lvl w:ilvl="0">
      <w:lvlJc w:val="left"/>
      <w:lvlText w:val="(%1)"/>
      <w:numFmt w:val="lowerLetter"/>
      <w:start w:val="1"/>
    </w:lvl>
  </w:abstractNum>
  <w:abstractNum w:abstractNumId="284">
    <w:nsid w:val="73CFE165"/>
    <w:multiLevelType w:val="hybridMultilevel"/>
    <w:lvl w:ilvl="0">
      <w:lvlJc w:val="left"/>
      <w:lvlText w:val="(%1)"/>
      <w:numFmt w:val="lowerLetter"/>
      <w:start w:val="1"/>
    </w:lvl>
  </w:abstractNum>
  <w:abstractNum w:abstractNumId="285">
    <w:nsid w:val="20F88EA6"/>
    <w:multiLevelType w:val="hybridMultilevel"/>
    <w:lvl w:ilvl="0">
      <w:lvlJc w:val="left"/>
      <w:lvlText w:val="(%1)"/>
      <w:numFmt w:val="lowerLetter"/>
      <w:start w:val="2"/>
    </w:lvl>
  </w:abstractNum>
  <w:abstractNum w:abstractNumId="286">
    <w:nsid w:val="617C843E"/>
    <w:multiLevelType w:val="hybridMultilevel"/>
    <w:lvl w:ilvl="0">
      <w:lvlJc w:val="left"/>
      <w:lvlText w:val="(%1)"/>
      <w:numFmt w:val="lowerLetter"/>
      <w:start w:val="1"/>
    </w:lvl>
    <w:lvl w:ilvl="1">
      <w:lvlJc w:val="left"/>
      <w:lvlText w:val="(%2)"/>
      <w:numFmt w:val="lowerLetter"/>
      <w:start w:val="9"/>
    </w:lvl>
  </w:abstractNum>
  <w:abstractNum w:abstractNumId="287">
    <w:nsid w:val="7B541FAB"/>
    <w:multiLevelType w:val="hybridMultilevel"/>
    <w:lvl w:ilvl="0">
      <w:lvlJc w:val="left"/>
      <w:lvlText w:val="(%1)"/>
      <w:numFmt w:val="lowerRoman"/>
      <w:start w:val="2"/>
    </w:lvl>
  </w:abstractNum>
  <w:abstractNum w:abstractNumId="288">
    <w:nsid w:val="2A79EC49"/>
    <w:multiLevelType w:val="hybridMultilevel"/>
    <w:lvl w:ilvl="0">
      <w:lvlJc w:val="left"/>
      <w:lvlText w:val="(%1)"/>
      <w:numFmt w:val="lowerLetter"/>
      <w:start w:val="1"/>
    </w:lvl>
    <w:lvl w:ilvl="1">
      <w:lvlJc w:val="left"/>
      <w:lvlText w:val="(%2)"/>
      <w:numFmt w:val="lowerRoman"/>
      <w:start w:val="1"/>
    </w:lvl>
  </w:abstractNum>
  <w:abstractNum w:abstractNumId="289">
    <w:nsid w:val="338125CF"/>
    <w:multiLevelType w:val="hybridMultilevel"/>
    <w:lvl w:ilvl="0">
      <w:lvlJc w:val="left"/>
      <w:lvlText w:val="%1"/>
      <w:numFmt w:val="lowerLetter"/>
      <w:start w:val="1"/>
    </w:lvl>
    <w:lvl w:ilvl="1">
      <w:lvlJc w:val="left"/>
      <w:lvlText w:val="(%2)"/>
      <w:numFmt w:val="lowerRoman"/>
      <w:start w:val="3"/>
    </w:lvl>
  </w:abstractNum>
  <w:abstractNum w:abstractNumId="290">
    <w:nsid w:val="47C7C971"/>
    <w:multiLevelType w:val="hybridMultilevel"/>
    <w:lvl w:ilvl="0">
      <w:lvlJc w:val="left"/>
      <w:lvlText w:val="(%1)"/>
      <w:numFmt w:val="lowerLetter"/>
      <w:start w:val="2"/>
    </w:lvl>
    <w:lvl w:ilvl="1">
      <w:lvlJc w:val="left"/>
      <w:lvlText w:val="%2"/>
      <w:numFmt w:val="lowerRoman"/>
      <w:start w:val="1"/>
    </w:lvl>
  </w:abstractNum>
  <w:abstractNum w:abstractNumId="291">
    <w:nsid w:val="46F8284B"/>
    <w:multiLevelType w:val="hybridMultilevel"/>
    <w:lvl w:ilvl="0">
      <w:lvlJc w:val="left"/>
      <w:lvlText w:val="(%1)"/>
      <w:numFmt w:val="lowerLetter"/>
      <w:start w:val="1"/>
    </w:lvl>
  </w:abstractNum>
  <w:abstractNum w:abstractNumId="292">
    <w:nsid w:val="4FA327CE"/>
    <w:multiLevelType w:val="hybridMultilevel"/>
    <w:lvl w:ilvl="0">
      <w:lvlJc w:val="left"/>
      <w:lvlText w:val="%1"/>
      <w:numFmt w:val="lowerLetter"/>
      <w:start w:val="1"/>
    </w:lvl>
    <w:lvl w:ilvl="1">
      <w:lvlJc w:val="left"/>
      <w:lvlText w:val="(%2)"/>
      <w:numFmt w:val="lowerRoman"/>
      <w:start w:val="1"/>
    </w:lvl>
  </w:abstractNum>
  <w:abstractNum w:abstractNumId="293">
    <w:nsid w:val="1873983A"/>
    <w:multiLevelType w:val="hybridMultilevel"/>
    <w:lvl w:ilvl="0">
      <w:lvlJc w:val="left"/>
      <w:lvlText w:val="(%1)"/>
      <w:numFmt w:val="lowerLetter"/>
      <w:start w:val="2"/>
    </w:lvl>
    <w:lvl w:ilvl="1">
      <w:lvlJc w:val="left"/>
      <w:lvlText w:val="(%2)"/>
      <w:numFmt w:val="lowerRoman"/>
      <w:start w:val="1"/>
    </w:lvl>
  </w:abstractNum>
  <w:abstractNum w:abstractNumId="294">
    <w:nsid w:val="3D2DD275"/>
    <w:multiLevelType w:val="hybridMultilevel"/>
    <w:lvl w:ilvl="0">
      <w:lvlJc w:val="left"/>
      <w:lvlText w:val="(%1)"/>
      <w:numFmt w:val="lowerLetter"/>
      <w:start w:val="1"/>
    </w:lvl>
    <w:lvl w:ilvl="1">
      <w:lvlJc w:val="left"/>
      <w:lvlText w:val="(%2)"/>
      <w:numFmt w:val="lowerRoman"/>
      <w:start w:val="1"/>
    </w:lvl>
  </w:abstractNum>
  <w:abstractNum w:abstractNumId="295">
    <w:nsid w:val="2E17ECA7"/>
    <w:multiLevelType w:val="hybridMultilevel"/>
    <w:lvl w:ilvl="0">
      <w:lvlJc w:val="left"/>
      <w:lvlText w:val="[**]"/>
      <w:numFmt w:val="bullet"/>
      <w:start w:val="1"/>
    </w:lvl>
    <w:lvl w:ilvl="1">
      <w:lvlJc w:val="left"/>
      <w:lvlText w:val="(%2)"/>
      <w:numFmt w:val="lowerLetter"/>
      <w:start w:val="1"/>
    </w:lvl>
  </w:abstractNum>
  <w:abstractNum w:abstractNumId="296">
    <w:nsid w:val="53B2564F"/>
    <w:multiLevelType w:val="hybridMultilevel"/>
    <w:lvl w:ilvl="0">
      <w:lvlJc w:val="left"/>
      <w:lvlText w:val="(%1)"/>
      <w:numFmt w:val="lowerLetter"/>
      <w:start w:val="2"/>
    </w:lvl>
  </w:abstractNum>
  <w:abstractNum w:abstractNumId="297">
    <w:nsid w:val="75509D76"/>
    <w:multiLevelType w:val="hybridMultilevel"/>
    <w:lvl w:ilvl="0">
      <w:lvlJc w:val="left"/>
      <w:lvlText w:val="(%1)"/>
      <w:numFmt w:val="lowerLetter"/>
      <w:start w:val="1"/>
    </w:lvl>
  </w:abstractNum>
  <w:abstractNum w:abstractNumId="298">
    <w:nsid w:val="1AF7F0EA"/>
    <w:multiLevelType w:val="hybridMultilevel"/>
    <w:lvl w:ilvl="0">
      <w:lvlJc w:val="left"/>
      <w:lvlText w:val="%1"/>
      <w:numFmt w:val="lowerLetter"/>
      <w:start w:val="1"/>
    </w:lvl>
    <w:lvl w:ilvl="1">
      <w:lvlJc w:val="left"/>
      <w:lvlText w:val="(%2)"/>
      <w:numFmt w:val="lowerLetter"/>
      <w:start w:val="2"/>
    </w:lvl>
  </w:abstractNum>
  <w:abstractNum w:abstractNumId="299">
    <w:nsid w:val="4DA32C7E"/>
    <w:multiLevelType w:val="hybridMultilevel"/>
    <w:lvl w:ilvl="0">
      <w:lvlJc w:val="left"/>
      <w:lvlText w:val="(%1)"/>
      <w:numFmt w:val="lowerLetter"/>
      <w:start w:val="35"/>
    </w:lvl>
    <w:lvl w:ilvl="1">
      <w:lvlJc w:val="left"/>
      <w:lvlText w:val="(%2)"/>
      <w:numFmt w:val="lowerLetter"/>
      <w:start w:val="3"/>
    </w:lvl>
  </w:abstractNum>
  <w:abstractNum w:abstractNumId="300">
    <w:nsid w:val="6EC68664"/>
    <w:multiLevelType w:val="hybridMultilevel"/>
    <w:lvl w:ilvl="0">
      <w:lvlJc w:val="left"/>
      <w:lvlText w:val="(%1)"/>
      <w:numFmt w:val="lowerLetter"/>
      <w:start w:val="1"/>
    </w:lvl>
  </w:abstractNum>
  <w:abstractNum w:abstractNumId="301">
    <w:nsid w:val="E0D31FF"/>
    <w:multiLevelType w:val="hybridMultilevel"/>
    <w:lvl w:ilvl="0">
      <w:lvlJc w:val="left"/>
      <w:lvlText w:val="(%1)"/>
      <w:numFmt w:val="lowerLetter"/>
      <w:start w:val="1"/>
    </w:lvl>
  </w:abstractNum>
  <w:abstractNum w:abstractNumId="302">
    <w:nsid w:val="2FD0AD81"/>
    <w:multiLevelType w:val="hybridMultilevel"/>
    <w:lvl w:ilvl="0">
      <w:lvlJc w:val="left"/>
      <w:lvlText w:val="(%1)"/>
      <w:numFmt w:val="lowerLetter"/>
      <w:start w:val="1"/>
    </w:lvl>
  </w:abstractNum>
  <w:abstractNum w:abstractNumId="303">
    <w:nsid w:val="1978EBEB"/>
    <w:multiLevelType w:val="hybridMultilevel"/>
    <w:lvl w:ilvl="0">
      <w:lvlJc w:val="left"/>
      <w:lvlText w:val="%1."/>
      <w:numFmt w:val="decimal"/>
      <w:start w:val="1"/>
    </w:lvl>
  </w:abstractNum>
  <w:abstractNum w:abstractNumId="304">
    <w:nsid w:val="52C12C61"/>
    <w:multiLevelType w:val="hybridMultilevel"/>
    <w:lvl w:ilvl="0">
      <w:lvlJc w:val="left"/>
      <w:lvlText w:val="%1."/>
      <w:numFmt w:val="decimal"/>
      <w:start w:val="1"/>
    </w:lvl>
  </w:abstractNum>
  <w:abstractNum w:abstractNumId="305">
    <w:nsid w:val="4BDD53FD"/>
    <w:multiLevelType w:val="hybridMultilevel"/>
    <w:lvl w:ilvl="0">
      <w:lvlJc w:val="left"/>
      <w:lvlText w:val="%1)"/>
      <w:numFmt w:val="lowerLetter"/>
      <w:start w:val="1"/>
    </w:lvl>
  </w:abstractNum>
  <w:abstractNum w:abstractNumId="306">
    <w:nsid w:val="569951FE"/>
    <w:multiLevelType w:val="hybridMultilevel"/>
    <w:lvl w:ilvl="0">
      <w:lvlJc w:val="left"/>
      <w:lvlText w:val="%1."/>
      <w:numFmt w:val="decimal"/>
      <w:start w:val="5"/>
    </w:lvl>
  </w:abstractNum>
  <w:abstractNum w:abstractNumId="307">
    <w:nsid w:val="4C54E2C3"/>
    <w:multiLevelType w:val="hybridMultilevel"/>
    <w:lvl w:ilvl="0">
      <w:lvlJc w:val="left"/>
      <w:lvlText w:val="%1)"/>
      <w:numFmt w:val="lowerLetter"/>
      <w:start w:val="1"/>
    </w:lvl>
  </w:abstractNum>
  <w:abstractNum w:abstractNumId="308">
    <w:nsid w:val="788BD9B"/>
    <w:multiLevelType w:val="hybridMultilevel"/>
    <w:lvl w:ilvl="0">
      <w:lvlJc w:val="left"/>
      <w:lvlText w:val="%1."/>
      <w:numFmt w:val="decimal"/>
      <w:start w:val="1"/>
    </w:lvl>
  </w:abstractNum>
  <w:abstractNum w:abstractNumId="309">
    <w:nsid w:val="47CAA567"/>
    <w:multiLevelType w:val="hybridMultilevel"/>
    <w:lvl w:ilvl="0">
      <w:lvlJc w:val="left"/>
      <w:lvlText w:val="%1)"/>
      <w:numFmt w:val="lowerLetter"/>
      <w:start w:val="1"/>
    </w:lvl>
  </w:abstractNum>
  <w:abstractNum w:abstractNumId="310">
    <w:nsid w:val="48249DBF"/>
    <w:multiLevelType w:val="hybridMultilevel"/>
    <w:lvl w:ilvl="0">
      <w:lvlJc w:val="left"/>
      <w:lvlText w:val="%1."/>
      <w:numFmt w:val="decimal"/>
      <w:start w:val="5"/>
    </w:lvl>
  </w:abstractNum>
  <w:abstractNum w:abstractNumId="311">
    <w:nsid w:val="1F0E5D0D"/>
    <w:multiLevelType w:val="hybridMultilevel"/>
    <w:lvl w:ilvl="0">
      <w:lvlJc w:val="left"/>
      <w:lvlText w:val="%1)"/>
      <w:numFmt w:val="lowerLetter"/>
      <w:start w:val="1"/>
    </w:lvl>
  </w:abstractNum>
  <w:abstractNum w:abstractNumId="312">
    <w:nsid w:val="26BAAE9"/>
    <w:multiLevelType w:val="hybridMultilevel"/>
    <w:lvl w:ilvl="0">
      <w:lvlJc w:val="left"/>
      <w:lvlText w:val="(%1)"/>
      <w:numFmt w:val="decimal"/>
      <w:start w:val="1"/>
    </w:lvl>
  </w:abstractNum>
  <w:abstractNum w:abstractNumId="313">
    <w:nsid w:val="2C02FE8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407" Type="http://schemas.openxmlformats.org/officeDocument/2006/relationships/image" Target="media/image350.png"/><Relationship Id="rId408" Type="http://schemas.openxmlformats.org/officeDocument/2006/relationships/image" Target="media/image351.png"/><Relationship Id="rId409" Type="http://schemas.openxmlformats.org/officeDocument/2006/relationships/image" Target="media/image352.png"/><Relationship Id="rId410" Type="http://schemas.openxmlformats.org/officeDocument/2006/relationships/image" Target="media/image353.png"/><Relationship Id="rId411" Type="http://schemas.openxmlformats.org/officeDocument/2006/relationships/image" Target="media/image354.png"/><Relationship Id="rId412" Type="http://schemas.openxmlformats.org/officeDocument/2006/relationships/image" Target="media/image355.png"/><Relationship Id="rId413" Type="http://schemas.openxmlformats.org/officeDocument/2006/relationships/image" Target="media/image356.png"/><Relationship Id="rId414" Type="http://schemas.openxmlformats.org/officeDocument/2006/relationships/image" Target="media/image357.png"/><Relationship Id="rId415" Type="http://schemas.openxmlformats.org/officeDocument/2006/relationships/image" Target="media/image358.png"/><Relationship Id="rId416" Type="http://schemas.openxmlformats.org/officeDocument/2006/relationships/image" Target="media/image359.png"/><Relationship Id="rId417" Type="http://schemas.openxmlformats.org/officeDocument/2006/relationships/image" Target="media/image360.png"/><Relationship Id="rId418" Type="http://schemas.openxmlformats.org/officeDocument/2006/relationships/image" Target="media/image361.png"/><Relationship Id="rId419" Type="http://schemas.openxmlformats.org/officeDocument/2006/relationships/image" Target="media/image362.png"/><Relationship Id="rId420" Type="http://schemas.openxmlformats.org/officeDocument/2006/relationships/image" Target="media/image363.png"/><Relationship Id="rId421" Type="http://schemas.openxmlformats.org/officeDocument/2006/relationships/image" Target="media/image364.png"/><Relationship Id="rId422" Type="http://schemas.openxmlformats.org/officeDocument/2006/relationships/image" Target="media/image365.png"/><Relationship Id="rId423" Type="http://schemas.openxmlformats.org/officeDocument/2006/relationships/image" Target="media/image366.png"/><Relationship Id="rId424" Type="http://schemas.openxmlformats.org/officeDocument/2006/relationships/image" Target="media/image367.png"/><Relationship Id="rId425" Type="http://schemas.openxmlformats.org/officeDocument/2006/relationships/image" Target="media/image368.png"/><Relationship Id="rId426" Type="http://schemas.openxmlformats.org/officeDocument/2006/relationships/image" Target="media/image369.png"/><Relationship Id="rId427" Type="http://schemas.openxmlformats.org/officeDocument/2006/relationships/image" Target="media/image370.png"/><Relationship Id="rId428" Type="http://schemas.openxmlformats.org/officeDocument/2006/relationships/image" Target="media/image371.png"/><Relationship Id="rId429" Type="http://schemas.openxmlformats.org/officeDocument/2006/relationships/image" Target="media/image372.png"/><Relationship Id="rId430" Type="http://schemas.openxmlformats.org/officeDocument/2006/relationships/image" Target="media/image373.png"/><Relationship Id="rId431" Type="http://schemas.openxmlformats.org/officeDocument/2006/relationships/image" Target="media/image374.png"/><Relationship Id="rId432" Type="http://schemas.openxmlformats.org/officeDocument/2006/relationships/image" Target="media/image375.png"/><Relationship Id="rId433" Type="http://schemas.openxmlformats.org/officeDocument/2006/relationships/image" Target="media/image376.png"/><Relationship Id="rId434" Type="http://schemas.openxmlformats.org/officeDocument/2006/relationships/image" Target="media/image377.png"/><Relationship Id="rId435" Type="http://schemas.openxmlformats.org/officeDocument/2006/relationships/image" Target="media/image378.png"/><Relationship Id="rId436" Type="http://schemas.openxmlformats.org/officeDocument/2006/relationships/image" Target="media/image379.png"/><Relationship Id="rId437" Type="http://schemas.openxmlformats.org/officeDocument/2006/relationships/image" Target="media/image380.png"/><Relationship Id="rId438" Type="http://schemas.openxmlformats.org/officeDocument/2006/relationships/image" Target="media/image381.png"/><Relationship Id="rId439" Type="http://schemas.openxmlformats.org/officeDocument/2006/relationships/image" Target="media/image382.png"/><Relationship Id="rId440" Type="http://schemas.openxmlformats.org/officeDocument/2006/relationships/image" Target="media/image383.png"/><Relationship Id="rId441" Type="http://schemas.openxmlformats.org/officeDocument/2006/relationships/image" Target="media/image384.png"/><Relationship Id="rId442" Type="http://schemas.openxmlformats.org/officeDocument/2006/relationships/image" Target="media/image385.png"/><Relationship Id="rId443" Type="http://schemas.openxmlformats.org/officeDocument/2006/relationships/image" Target="media/image386.png"/><Relationship Id="rId444" Type="http://schemas.openxmlformats.org/officeDocument/2006/relationships/image" Target="media/image387.png"/><Relationship Id="rId445" Type="http://schemas.openxmlformats.org/officeDocument/2006/relationships/image" Target="media/image388.png"/><Relationship Id="rId446" Type="http://schemas.openxmlformats.org/officeDocument/2006/relationships/image" Target="media/image389.png"/><Relationship Id="rId447" Type="http://schemas.openxmlformats.org/officeDocument/2006/relationships/image" Target="media/image390.png"/><Relationship Id="rId448" Type="http://schemas.openxmlformats.org/officeDocument/2006/relationships/image" Target="media/image391.png"/><Relationship Id="rId449" Type="http://schemas.openxmlformats.org/officeDocument/2006/relationships/image" Target="media/image392.png"/><Relationship Id="rId450" Type="http://schemas.openxmlformats.org/officeDocument/2006/relationships/image" Target="media/image393.png"/><Relationship Id="rId451" Type="http://schemas.openxmlformats.org/officeDocument/2006/relationships/image" Target="media/image394.png"/><Relationship Id="rId452" Type="http://schemas.openxmlformats.org/officeDocument/2006/relationships/image" Target="media/image395.png"/><Relationship Id="rId453" Type="http://schemas.openxmlformats.org/officeDocument/2006/relationships/image" Target="media/image396.png"/><Relationship Id="rId454" Type="http://schemas.openxmlformats.org/officeDocument/2006/relationships/image" Target="media/image397.png"/><Relationship Id="rId455" Type="http://schemas.openxmlformats.org/officeDocument/2006/relationships/image" Target="media/image398.png"/><Relationship Id="rId456" Type="http://schemas.openxmlformats.org/officeDocument/2006/relationships/image" Target="media/image399.png"/><Relationship Id="rId457" Type="http://schemas.openxmlformats.org/officeDocument/2006/relationships/image" Target="media/image400.png"/><Relationship Id="rId458" Type="http://schemas.openxmlformats.org/officeDocument/2006/relationships/image" Target="media/image401.png"/><Relationship Id="rId459" Type="http://schemas.openxmlformats.org/officeDocument/2006/relationships/image" Target="media/image402.png"/><Relationship Id="rId460" Type="http://schemas.openxmlformats.org/officeDocument/2006/relationships/image" Target="media/image403.png"/><Relationship Id="rId461" Type="http://schemas.openxmlformats.org/officeDocument/2006/relationships/image" Target="media/image404.png"/><Relationship Id="rId462" Type="http://schemas.openxmlformats.org/officeDocument/2006/relationships/image" Target="media/image405.png"/><Relationship Id="rId463" Type="http://schemas.openxmlformats.org/officeDocument/2006/relationships/image" Target="media/image406.png"/><Relationship Id="rId464" Type="http://schemas.openxmlformats.org/officeDocument/2006/relationships/image" Target="media/image407.png"/><Relationship Id="rId465" Type="http://schemas.openxmlformats.org/officeDocument/2006/relationships/image" Target="media/image408.png"/><Relationship Id="rId466" Type="http://schemas.openxmlformats.org/officeDocument/2006/relationships/image" Target="media/image409.png"/><Relationship Id="rId467" Type="http://schemas.openxmlformats.org/officeDocument/2006/relationships/image" Target="media/image410.png"/><Relationship Id="rId468" Type="http://schemas.openxmlformats.org/officeDocument/2006/relationships/image" Target="media/image411.png"/><Relationship Id="rId469" Type="http://schemas.openxmlformats.org/officeDocument/2006/relationships/image" Target="media/image412.png"/><Relationship Id="rId470" Type="http://schemas.openxmlformats.org/officeDocument/2006/relationships/image" Target="media/image413.png"/><Relationship Id="rId471" Type="http://schemas.openxmlformats.org/officeDocument/2006/relationships/image" Target="media/image414.png"/><Relationship Id="rId472" Type="http://schemas.openxmlformats.org/officeDocument/2006/relationships/image" Target="media/image415.png"/><Relationship Id="rId473" Type="http://schemas.openxmlformats.org/officeDocument/2006/relationships/image" Target="media/image416.png"/><Relationship Id="rId474" Type="http://schemas.openxmlformats.org/officeDocument/2006/relationships/image" Target="media/image417.png"/><Relationship Id="rId475" Type="http://schemas.openxmlformats.org/officeDocument/2006/relationships/image" Target="media/image418.png"/><Relationship Id="rId476" Type="http://schemas.openxmlformats.org/officeDocument/2006/relationships/image" Target="media/image419.png"/><Relationship Id="rId477" Type="http://schemas.openxmlformats.org/officeDocument/2006/relationships/image" Target="media/image420.png"/><Relationship Id="rId478" Type="http://schemas.openxmlformats.org/officeDocument/2006/relationships/image" Target="media/image421.png"/><Relationship Id="rId479" Type="http://schemas.openxmlformats.org/officeDocument/2006/relationships/image" Target="media/image422.png"/><Relationship Id="rId480" Type="http://schemas.openxmlformats.org/officeDocument/2006/relationships/image" Target="media/image423.png"/><Relationship Id="rId481" Type="http://schemas.openxmlformats.org/officeDocument/2006/relationships/image" Target="media/image424.png"/><Relationship Id="rId482" Type="http://schemas.openxmlformats.org/officeDocument/2006/relationships/image" Target="media/image425.png"/><Relationship Id="rId483" Type="http://schemas.openxmlformats.org/officeDocument/2006/relationships/image" Target="media/image426.png"/><Relationship Id="rId484" Type="http://schemas.openxmlformats.org/officeDocument/2006/relationships/image" Target="media/image427.png"/><Relationship Id="rId485" Type="http://schemas.openxmlformats.org/officeDocument/2006/relationships/image" Target="media/image428.png"/><Relationship Id="rId486" Type="http://schemas.openxmlformats.org/officeDocument/2006/relationships/image" Target="media/image429.png"/><Relationship Id="rId487" Type="http://schemas.openxmlformats.org/officeDocument/2006/relationships/image" Target="media/image430.png"/><Relationship Id="rId488" Type="http://schemas.openxmlformats.org/officeDocument/2006/relationships/image" Target="media/image431.png"/><Relationship Id="rId489" Type="http://schemas.openxmlformats.org/officeDocument/2006/relationships/image" Target="media/image432.png"/><Relationship Id="rId490" Type="http://schemas.openxmlformats.org/officeDocument/2006/relationships/image" Target="media/image433.png"/><Relationship Id="rId491" Type="http://schemas.openxmlformats.org/officeDocument/2006/relationships/image" Target="media/image434.png"/><Relationship Id="rId492" Type="http://schemas.openxmlformats.org/officeDocument/2006/relationships/image" Target="media/image435.png"/><Relationship Id="rId493" Type="http://schemas.openxmlformats.org/officeDocument/2006/relationships/image" Target="media/image436.png"/><Relationship Id="rId494" Type="http://schemas.openxmlformats.org/officeDocument/2006/relationships/image" Target="media/image437.png"/><Relationship Id="rId495" Type="http://schemas.openxmlformats.org/officeDocument/2006/relationships/image" Target="media/image438.png"/><Relationship Id="rId496" Type="http://schemas.openxmlformats.org/officeDocument/2006/relationships/image" Target="media/image439.png"/><Relationship Id="rId497" Type="http://schemas.openxmlformats.org/officeDocument/2006/relationships/image" Target="media/image440.png"/><Relationship Id="rId498" Type="http://schemas.openxmlformats.org/officeDocument/2006/relationships/image" Target="media/image441.png"/><Relationship Id="rId499" Type="http://schemas.openxmlformats.org/officeDocument/2006/relationships/image" Target="media/image442.png"/><Relationship Id="rId500" Type="http://schemas.openxmlformats.org/officeDocument/2006/relationships/image" Target="media/image443.png"/><Relationship Id="rId501" Type="http://schemas.openxmlformats.org/officeDocument/2006/relationships/image" Target="media/image444.png"/><Relationship Id="rId502" Type="http://schemas.openxmlformats.org/officeDocument/2006/relationships/image" Target="media/image445.png"/><Relationship Id="rId503" Type="http://schemas.openxmlformats.org/officeDocument/2006/relationships/image" Target="media/image446.png"/><Relationship Id="rId504" Type="http://schemas.openxmlformats.org/officeDocument/2006/relationships/image" Target="media/image447.png"/><Relationship Id="rId505" Type="http://schemas.openxmlformats.org/officeDocument/2006/relationships/image" Target="media/image448.png"/><Relationship Id="rId506" Type="http://schemas.openxmlformats.org/officeDocument/2006/relationships/image" Target="media/image449.png"/><Relationship Id="rId507" Type="http://schemas.openxmlformats.org/officeDocument/2006/relationships/image" Target="media/image450.png"/><Relationship Id="rId508" Type="http://schemas.openxmlformats.org/officeDocument/2006/relationships/image" Target="media/image451.png"/><Relationship Id="rId509" Type="http://schemas.openxmlformats.org/officeDocument/2006/relationships/image" Target="media/image452.png"/><Relationship Id="rId510" Type="http://schemas.openxmlformats.org/officeDocument/2006/relationships/image" Target="media/image453.png"/><Relationship Id="rId511" Type="http://schemas.openxmlformats.org/officeDocument/2006/relationships/image" Target="media/image454.png"/><Relationship Id="rId512" Type="http://schemas.openxmlformats.org/officeDocument/2006/relationships/image" Target="media/image455.png"/><Relationship Id="rId513" Type="http://schemas.openxmlformats.org/officeDocument/2006/relationships/image" Target="media/image456.png"/><Relationship Id="rId514" Type="http://schemas.openxmlformats.org/officeDocument/2006/relationships/image" Target="media/image457.png"/><Relationship Id="rId515" Type="http://schemas.openxmlformats.org/officeDocument/2006/relationships/image" Target="media/image458.png"/><Relationship Id="rId516" Type="http://schemas.openxmlformats.org/officeDocument/2006/relationships/image" Target="media/image459.png"/><Relationship Id="rId517" Type="http://schemas.openxmlformats.org/officeDocument/2006/relationships/image" Target="media/image460.png"/><Relationship Id="rId518" Type="http://schemas.openxmlformats.org/officeDocument/2006/relationships/image" Target="media/image461.png"/><Relationship Id="rId519" Type="http://schemas.openxmlformats.org/officeDocument/2006/relationships/image" Target="media/image462.png"/><Relationship Id="rId520" Type="http://schemas.openxmlformats.org/officeDocument/2006/relationships/image" Target="media/image463.png"/><Relationship Id="rId521" Type="http://schemas.openxmlformats.org/officeDocument/2006/relationships/image" Target="media/image464.png"/><Relationship Id="rId522" Type="http://schemas.openxmlformats.org/officeDocument/2006/relationships/image" Target="media/image465.png"/><Relationship Id="rId523" Type="http://schemas.openxmlformats.org/officeDocument/2006/relationships/image" Target="media/image466.png"/><Relationship Id="rId524" Type="http://schemas.openxmlformats.org/officeDocument/2006/relationships/image" Target="media/image467.png"/><Relationship Id="rId525" Type="http://schemas.openxmlformats.org/officeDocument/2006/relationships/image" Target="media/image468.png"/><Relationship Id="rId526" Type="http://schemas.openxmlformats.org/officeDocument/2006/relationships/image" Target="media/image469.png"/><Relationship Id="rId527" Type="http://schemas.openxmlformats.org/officeDocument/2006/relationships/image" Target="media/image470.png"/><Relationship Id="rId528" Type="http://schemas.openxmlformats.org/officeDocument/2006/relationships/image" Target="media/image471.png"/><Relationship Id="rId529" Type="http://schemas.openxmlformats.org/officeDocument/2006/relationships/image" Target="media/image472.png"/><Relationship Id="rId530" Type="http://schemas.openxmlformats.org/officeDocument/2006/relationships/image" Target="media/image473.png"/><Relationship Id="rId531" Type="http://schemas.openxmlformats.org/officeDocument/2006/relationships/image" Target="media/image474.png"/><Relationship Id="rId532" Type="http://schemas.openxmlformats.org/officeDocument/2006/relationships/image" Target="media/image475.png"/><Relationship Id="rId533" Type="http://schemas.openxmlformats.org/officeDocument/2006/relationships/image" Target="media/image476.png"/><Relationship Id="rId534" Type="http://schemas.openxmlformats.org/officeDocument/2006/relationships/image" Target="media/image477.png"/><Relationship Id="rId535" Type="http://schemas.openxmlformats.org/officeDocument/2006/relationships/image" Target="media/image478.png"/><Relationship Id="rId536" Type="http://schemas.openxmlformats.org/officeDocument/2006/relationships/image" Target="media/image479.png"/><Relationship Id="rId537" Type="http://schemas.openxmlformats.org/officeDocument/2006/relationships/image" Target="media/image480.png"/><Relationship Id="rId538" Type="http://schemas.openxmlformats.org/officeDocument/2006/relationships/image" Target="media/image481.png"/><Relationship Id="rId539" Type="http://schemas.openxmlformats.org/officeDocument/2006/relationships/image" Target="media/image482.png"/><Relationship Id="rId540" Type="http://schemas.openxmlformats.org/officeDocument/2006/relationships/image" Target="media/image483.png"/><Relationship Id="rId541" Type="http://schemas.openxmlformats.org/officeDocument/2006/relationships/image" Target="media/image484.png"/><Relationship Id="rId542" Type="http://schemas.openxmlformats.org/officeDocument/2006/relationships/image" Target="media/image485.png"/><Relationship Id="rId543" Type="http://schemas.openxmlformats.org/officeDocument/2006/relationships/image" Target="media/image486.png"/><Relationship Id="rId544" Type="http://schemas.openxmlformats.org/officeDocument/2006/relationships/image" Target="media/image487.png"/><Relationship Id="rId545" Type="http://schemas.openxmlformats.org/officeDocument/2006/relationships/image" Target="media/image488.png"/><Relationship Id="rId546" Type="http://schemas.openxmlformats.org/officeDocument/2006/relationships/image" Target="media/image489.png"/><Relationship Id="rId547" Type="http://schemas.openxmlformats.org/officeDocument/2006/relationships/image" Target="media/image490.png"/><Relationship Id="rId548" Type="http://schemas.openxmlformats.org/officeDocument/2006/relationships/image" Target="media/image491.png"/><Relationship Id="rId549" Type="http://schemas.openxmlformats.org/officeDocument/2006/relationships/image" Target="media/image492.png"/><Relationship Id="rId550" Type="http://schemas.openxmlformats.org/officeDocument/2006/relationships/image" Target="media/image493.png"/><Relationship Id="rId551" Type="http://schemas.openxmlformats.org/officeDocument/2006/relationships/image" Target="media/image494.png"/><Relationship Id="rId552" Type="http://schemas.openxmlformats.org/officeDocument/2006/relationships/image" Target="media/image495.png"/><Relationship Id="rId553" Type="http://schemas.openxmlformats.org/officeDocument/2006/relationships/image" Target="media/image496.png"/><Relationship Id="rId554" Type="http://schemas.openxmlformats.org/officeDocument/2006/relationships/image" Target="media/image497.png"/><Relationship Id="rId555" Type="http://schemas.openxmlformats.org/officeDocument/2006/relationships/image" Target="media/image498.png"/><Relationship Id="rId556" Type="http://schemas.openxmlformats.org/officeDocument/2006/relationships/image" Target="media/image499.png"/><Relationship Id="rId557" Type="http://schemas.openxmlformats.org/officeDocument/2006/relationships/image" Target="media/image500.png"/><Relationship Id="rId558" Type="http://schemas.openxmlformats.org/officeDocument/2006/relationships/image" Target="media/image501.png"/><Relationship Id="rId559" Type="http://schemas.openxmlformats.org/officeDocument/2006/relationships/image" Target="media/image502.png"/><Relationship Id="rId560" Type="http://schemas.openxmlformats.org/officeDocument/2006/relationships/image" Target="media/image503.png"/><Relationship Id="rId561" Type="http://schemas.openxmlformats.org/officeDocument/2006/relationships/image" Target="media/image504.png"/><Relationship Id="rId562" Type="http://schemas.openxmlformats.org/officeDocument/2006/relationships/image" Target="media/image505.png"/><Relationship Id="rId563" Type="http://schemas.openxmlformats.org/officeDocument/2006/relationships/image" Target="media/image506.png"/><Relationship Id="rId564" Type="http://schemas.openxmlformats.org/officeDocument/2006/relationships/image" Target="media/image507.png"/><Relationship Id="rId565" Type="http://schemas.openxmlformats.org/officeDocument/2006/relationships/image" Target="media/image508.png"/><Relationship Id="rId566" Type="http://schemas.openxmlformats.org/officeDocument/2006/relationships/image" Target="media/image509.png"/><Relationship Id="rId567" Type="http://schemas.openxmlformats.org/officeDocument/2006/relationships/image" Target="media/image510.png"/><Relationship Id="rId568" Type="http://schemas.openxmlformats.org/officeDocument/2006/relationships/image" Target="media/image511.png"/><Relationship Id="rId569" Type="http://schemas.openxmlformats.org/officeDocument/2006/relationships/image" Target="media/image512.png"/><Relationship Id="rId570" Type="http://schemas.openxmlformats.org/officeDocument/2006/relationships/image" Target="media/image513.png"/><Relationship Id="rId571" Type="http://schemas.openxmlformats.org/officeDocument/2006/relationships/image" Target="media/image514.png"/><Relationship Id="rId572" Type="http://schemas.openxmlformats.org/officeDocument/2006/relationships/image" Target="media/image515.png"/><Relationship Id="rId573" Type="http://schemas.openxmlformats.org/officeDocument/2006/relationships/image" Target="media/image516.png"/><Relationship Id="rId574" Type="http://schemas.openxmlformats.org/officeDocument/2006/relationships/image" Target="media/image517.png"/><Relationship Id="rId575" Type="http://schemas.openxmlformats.org/officeDocument/2006/relationships/image" Target="media/image518.png"/><Relationship Id="rId576" Type="http://schemas.openxmlformats.org/officeDocument/2006/relationships/image" Target="media/image519.png"/><Relationship Id="rId577" Type="http://schemas.openxmlformats.org/officeDocument/2006/relationships/image" Target="media/image520.png"/><Relationship Id="rId578" Type="http://schemas.openxmlformats.org/officeDocument/2006/relationships/image" Target="media/image521.png"/><Relationship Id="rId579" Type="http://schemas.openxmlformats.org/officeDocument/2006/relationships/image" Target="media/image522.png"/><Relationship Id="rId580" Type="http://schemas.openxmlformats.org/officeDocument/2006/relationships/image" Target="media/image523.png"/><Relationship Id="rId581" Type="http://schemas.openxmlformats.org/officeDocument/2006/relationships/image" Target="media/image524.png"/><Relationship Id="rId582" Type="http://schemas.openxmlformats.org/officeDocument/2006/relationships/image" Target="media/image525.png"/><Relationship Id="rId583" Type="http://schemas.openxmlformats.org/officeDocument/2006/relationships/image" Target="media/image526.png"/><Relationship Id="rId584" Type="http://schemas.openxmlformats.org/officeDocument/2006/relationships/image" Target="media/image527.png"/><Relationship Id="rId585" Type="http://schemas.openxmlformats.org/officeDocument/2006/relationships/image" Target="media/image528.png"/><Relationship Id="rId586" Type="http://schemas.openxmlformats.org/officeDocument/2006/relationships/image" Target="media/image529.png"/><Relationship Id="rId587" Type="http://schemas.openxmlformats.org/officeDocument/2006/relationships/image" Target="media/image530.png"/><Relationship Id="rId588" Type="http://schemas.openxmlformats.org/officeDocument/2006/relationships/image" Target="media/image531.png"/><Relationship Id="rId589" Type="http://schemas.openxmlformats.org/officeDocument/2006/relationships/image" Target="media/image532.png"/><Relationship Id="rId590" Type="http://schemas.openxmlformats.org/officeDocument/2006/relationships/image" Target="media/image533.png"/><Relationship Id="rId591" Type="http://schemas.openxmlformats.org/officeDocument/2006/relationships/image" Target="media/image534.png"/><Relationship Id="rId592" Type="http://schemas.openxmlformats.org/officeDocument/2006/relationships/image" Target="media/image535.png"/><Relationship Id="rId593" Type="http://schemas.openxmlformats.org/officeDocument/2006/relationships/image" Target="media/image536.png"/><Relationship Id="rId594" Type="http://schemas.openxmlformats.org/officeDocument/2006/relationships/image" Target="media/image537.png"/><Relationship Id="rId595" Type="http://schemas.openxmlformats.org/officeDocument/2006/relationships/image" Target="media/image538.png"/><Relationship Id="rId596" Type="http://schemas.openxmlformats.org/officeDocument/2006/relationships/image" Target="media/image539.png"/><Relationship Id="rId597" Type="http://schemas.openxmlformats.org/officeDocument/2006/relationships/image" Target="media/image540.png"/><Relationship Id="rId598" Type="http://schemas.openxmlformats.org/officeDocument/2006/relationships/image" Target="media/image541.png"/><Relationship Id="rId599" Type="http://schemas.openxmlformats.org/officeDocument/2006/relationships/image" Target="media/image542.png"/><Relationship Id="rId600" Type="http://schemas.openxmlformats.org/officeDocument/2006/relationships/image" Target="media/image543.png"/><Relationship Id="rId601" Type="http://schemas.openxmlformats.org/officeDocument/2006/relationships/image" Target="media/image544.png"/><Relationship Id="rId602" Type="http://schemas.openxmlformats.org/officeDocument/2006/relationships/image" Target="media/image545.png"/><Relationship Id="rId603" Type="http://schemas.openxmlformats.org/officeDocument/2006/relationships/image" Target="media/image546.png"/><Relationship Id="rId604" Type="http://schemas.openxmlformats.org/officeDocument/2006/relationships/image" Target="media/image547.png"/><Relationship Id="rId605" Type="http://schemas.openxmlformats.org/officeDocument/2006/relationships/image" Target="media/image548.png"/><Relationship Id="rId606" Type="http://schemas.openxmlformats.org/officeDocument/2006/relationships/image" Target="media/image549.png"/><Relationship Id="rId607" Type="http://schemas.openxmlformats.org/officeDocument/2006/relationships/image" Target="media/image550.png"/><Relationship Id="rId608" Type="http://schemas.openxmlformats.org/officeDocument/2006/relationships/image" Target="media/image551.png"/><Relationship Id="rId609" Type="http://schemas.openxmlformats.org/officeDocument/2006/relationships/image" Target="media/image552.png"/><Relationship Id="rId610" Type="http://schemas.openxmlformats.org/officeDocument/2006/relationships/image" Target="media/image553.png"/><Relationship Id="rId611" Type="http://schemas.openxmlformats.org/officeDocument/2006/relationships/image" Target="media/image554.png"/><Relationship Id="rId612" Type="http://schemas.openxmlformats.org/officeDocument/2006/relationships/image" Target="media/image555.png"/><Relationship Id="rId613" Type="http://schemas.openxmlformats.org/officeDocument/2006/relationships/image" Target="media/image556.png"/><Relationship Id="rId614" Type="http://schemas.openxmlformats.org/officeDocument/2006/relationships/image" Target="media/image557.png"/><Relationship Id="rId615" Type="http://schemas.openxmlformats.org/officeDocument/2006/relationships/image" Target="media/image558.png"/><Relationship Id="rId616" Type="http://schemas.openxmlformats.org/officeDocument/2006/relationships/image" Target="media/image559.png"/><Relationship Id="rId617" Type="http://schemas.openxmlformats.org/officeDocument/2006/relationships/image" Target="media/image560.png"/><Relationship Id="rId618" Type="http://schemas.openxmlformats.org/officeDocument/2006/relationships/image" Target="media/image561.png"/><Relationship Id="rId619" Type="http://schemas.openxmlformats.org/officeDocument/2006/relationships/image" Target="media/image562.png"/><Relationship Id="rId620" Type="http://schemas.openxmlformats.org/officeDocument/2006/relationships/image" Target="media/image563.png"/><Relationship Id="rId621" Type="http://schemas.openxmlformats.org/officeDocument/2006/relationships/image" Target="media/image564.png"/><Relationship Id="rId622" Type="http://schemas.openxmlformats.org/officeDocument/2006/relationships/image" Target="media/image565.png"/><Relationship Id="rId623" Type="http://schemas.openxmlformats.org/officeDocument/2006/relationships/image" Target="media/image566.png"/><Relationship Id="rId624" Type="http://schemas.openxmlformats.org/officeDocument/2006/relationships/image" Target="media/image567.png"/><Relationship Id="rId625" Type="http://schemas.openxmlformats.org/officeDocument/2006/relationships/image" Target="media/image568.png"/><Relationship Id="rId626" Type="http://schemas.openxmlformats.org/officeDocument/2006/relationships/image" Target="media/image569.png"/><Relationship Id="rId627" Type="http://schemas.openxmlformats.org/officeDocument/2006/relationships/image" Target="media/image570.png"/><Relationship Id="rId628" Type="http://schemas.openxmlformats.org/officeDocument/2006/relationships/image" Target="media/image571.png"/><Relationship Id="rId629" Type="http://schemas.openxmlformats.org/officeDocument/2006/relationships/image" Target="media/image572.png"/><Relationship Id="rId630" Type="http://schemas.openxmlformats.org/officeDocument/2006/relationships/image" Target="media/image573.png"/><Relationship Id="rId631" Type="http://schemas.openxmlformats.org/officeDocument/2006/relationships/image" Target="media/image574.png"/><Relationship Id="rId632" Type="http://schemas.openxmlformats.org/officeDocument/2006/relationships/image" Target="media/image575.png"/><Relationship Id="rId633" Type="http://schemas.openxmlformats.org/officeDocument/2006/relationships/image" Target="media/image576.png"/><Relationship Id="rId634" Type="http://schemas.openxmlformats.org/officeDocument/2006/relationships/image" Target="media/image577.png"/><Relationship Id="rId635" Type="http://schemas.openxmlformats.org/officeDocument/2006/relationships/image" Target="media/image578.png"/><Relationship Id="rId636" Type="http://schemas.openxmlformats.org/officeDocument/2006/relationships/image" Target="media/image579.png"/><Relationship Id="rId637" Type="http://schemas.openxmlformats.org/officeDocument/2006/relationships/image" Target="media/image580.png"/><Relationship Id="rId638" Type="http://schemas.openxmlformats.org/officeDocument/2006/relationships/image" Target="media/image581.png"/><Relationship Id="rId639" Type="http://schemas.openxmlformats.org/officeDocument/2006/relationships/image" Target="media/image582.png"/><Relationship Id="rId640" Type="http://schemas.openxmlformats.org/officeDocument/2006/relationships/image" Target="media/image583.png"/><Relationship Id="rId641" Type="http://schemas.openxmlformats.org/officeDocument/2006/relationships/image" Target="media/image584.png"/><Relationship Id="rId642" Type="http://schemas.openxmlformats.org/officeDocument/2006/relationships/image" Target="media/image585.png"/><Relationship Id="rId643" Type="http://schemas.openxmlformats.org/officeDocument/2006/relationships/image" Target="media/image586.png"/><Relationship Id="rId644" Type="http://schemas.openxmlformats.org/officeDocument/2006/relationships/image" Target="media/image587.png"/><Relationship Id="rId645" Type="http://schemas.openxmlformats.org/officeDocument/2006/relationships/image" Target="media/image588.png"/><Relationship Id="rId646" Type="http://schemas.openxmlformats.org/officeDocument/2006/relationships/image" Target="media/image589.png"/><Relationship Id="rId647" Type="http://schemas.openxmlformats.org/officeDocument/2006/relationships/image" Target="media/image590.png"/><Relationship Id="rId648" Type="http://schemas.openxmlformats.org/officeDocument/2006/relationships/image" Target="media/image591.png"/><Relationship Id="rId649" Type="http://schemas.openxmlformats.org/officeDocument/2006/relationships/image" Target="media/image592.png"/><Relationship Id="rId650" Type="http://schemas.openxmlformats.org/officeDocument/2006/relationships/image" Target="media/image593.png"/><Relationship Id="rId651" Type="http://schemas.openxmlformats.org/officeDocument/2006/relationships/image" Target="media/image594.png"/><Relationship Id="rId652" Type="http://schemas.openxmlformats.org/officeDocument/2006/relationships/image" Target="media/image595.png"/><Relationship Id="rId653" Type="http://schemas.openxmlformats.org/officeDocument/2006/relationships/image" Target="media/image596.png"/><Relationship Id="rId654" Type="http://schemas.openxmlformats.org/officeDocument/2006/relationships/image" Target="media/image597.png"/><Relationship Id="rId655" Type="http://schemas.openxmlformats.org/officeDocument/2006/relationships/image" Target="media/image598.png"/><Relationship Id="rId656" Type="http://schemas.openxmlformats.org/officeDocument/2006/relationships/image" Target="media/image599.png"/><Relationship Id="rId657" Type="http://schemas.openxmlformats.org/officeDocument/2006/relationships/image" Target="media/image600.png"/><Relationship Id="rId658" Type="http://schemas.openxmlformats.org/officeDocument/2006/relationships/image" Target="media/image601.png"/><Relationship Id="rId659" Type="http://schemas.openxmlformats.org/officeDocument/2006/relationships/image" Target="media/image602.png"/><Relationship Id="rId660" Type="http://schemas.openxmlformats.org/officeDocument/2006/relationships/image" Target="media/image603.png"/><Relationship Id="rId661" Type="http://schemas.openxmlformats.org/officeDocument/2006/relationships/image" Target="media/image604.png"/><Relationship Id="rId662" Type="http://schemas.openxmlformats.org/officeDocument/2006/relationships/image" Target="media/image605.png"/><Relationship Id="rId663" Type="http://schemas.openxmlformats.org/officeDocument/2006/relationships/image" Target="media/image606.png"/><Relationship Id="rId664" Type="http://schemas.openxmlformats.org/officeDocument/2006/relationships/image" Target="media/image607.png"/><Relationship Id="rId665" Type="http://schemas.openxmlformats.org/officeDocument/2006/relationships/image" Target="media/image608.png"/><Relationship Id="rId666" Type="http://schemas.openxmlformats.org/officeDocument/2006/relationships/image" Target="media/image609.png"/><Relationship Id="rId667" Type="http://schemas.openxmlformats.org/officeDocument/2006/relationships/image" Target="media/image610.png"/><Relationship Id="rId668" Type="http://schemas.openxmlformats.org/officeDocument/2006/relationships/image" Target="media/image611.png"/><Relationship Id="rId669" Type="http://schemas.openxmlformats.org/officeDocument/2006/relationships/image" Target="media/image612.png"/><Relationship Id="rId670" Type="http://schemas.openxmlformats.org/officeDocument/2006/relationships/image" Target="media/image613.png"/><Relationship Id="rId671" Type="http://schemas.openxmlformats.org/officeDocument/2006/relationships/image" Target="media/image614.png"/><Relationship Id="rId672" Type="http://schemas.openxmlformats.org/officeDocument/2006/relationships/image" Target="media/image615.png"/><Relationship Id="rId673" Type="http://schemas.openxmlformats.org/officeDocument/2006/relationships/image" Target="media/image616.png"/><Relationship Id="rId674" Type="http://schemas.openxmlformats.org/officeDocument/2006/relationships/image" Target="media/image617.png"/><Relationship Id="rId675" Type="http://schemas.openxmlformats.org/officeDocument/2006/relationships/image" Target="media/image618.png"/><Relationship Id="rId676" Type="http://schemas.openxmlformats.org/officeDocument/2006/relationships/image" Target="media/image619.png"/><Relationship Id="rId677" Type="http://schemas.openxmlformats.org/officeDocument/2006/relationships/image" Target="media/image620.png"/><Relationship Id="rId178" Type="http://schemas.openxmlformats.org/officeDocument/2006/relationships/hyperlink" Target="https://www.sec.gov/Archives/edgar/data/1707502/000119312522254807/d375823dex21.htm" TargetMode="External"/><Relationship Id="rId179" Type="http://schemas.openxmlformats.org/officeDocument/2006/relationships/hyperlink" Target="https://www.sec.gov/Archives/edgar/data/1707502/000095017025086128/sldb-ex4_1.htm" TargetMode="External"/><Relationship Id="rId180" Type="http://schemas.openxmlformats.org/officeDocument/2006/relationships/hyperlink" Target="https://www.sec.gov/Archives/edgar/data/1707502/000119312518023680/d538639dex42.htm" TargetMode="External"/><Relationship Id="rId181" Type="http://schemas.openxmlformats.org/officeDocument/2006/relationships/hyperlink" Target="https://www.sec.gov/Archives/edgar/data/1707502/000119312517383428/d404258dex41.htm" TargetMode="External"/><Relationship Id="rId182" Type="http://schemas.openxmlformats.org/officeDocument/2006/relationships/hyperlink" Target="https://www.sec.gov/Archives/edgar/data/1707502/000119312517383428/d404258dex1017.htm" TargetMode="External"/><Relationship Id="rId183" Type="http://schemas.openxmlformats.org/officeDocument/2006/relationships/hyperlink" Target="https://www.sec.gov/Archives/edgar/data/0001707502/000119312518100742/d530438dex107.htm" TargetMode="External"/><Relationship Id="rId184" Type="http://schemas.openxmlformats.org/officeDocument/2006/relationships/hyperlink" Target="https://www.sec.gov/Archives/edgar/data/1707502/000119312518023680/d538639dex991.htm" TargetMode="External"/><Relationship Id="rId185" Type="http://schemas.openxmlformats.org/officeDocument/2006/relationships/hyperlink" Target="https://www.sec.gov/Archives/edgar/data/0001707502/000156459019007462/sldb-ex107_216.htm" TargetMode="External"/><Relationship Id="rId186" Type="http://schemas.openxmlformats.org/officeDocument/2006/relationships/hyperlink" Target="https://www.sec.gov/Archives/edgar/data/0001707502/000156459019007462/sldb-ex108_217.htm" TargetMode="External"/><Relationship Id="rId187" Type="http://schemas.openxmlformats.org/officeDocument/2006/relationships/hyperlink" Target="https://www.sec.gov/Archives/edgar/data/1707502/000119312517383428/d404258dex109.htm" TargetMode="External"/><Relationship Id="rId188" Type="http://schemas.openxmlformats.org/officeDocument/2006/relationships/hyperlink" Target="https://www.sec.gov/Archives/edgar/data/1707502/000095017024030508/sldb-ex10_7.htm" TargetMode="External"/><Relationship Id="rId189" Type="http://schemas.openxmlformats.org/officeDocument/2006/relationships/hyperlink" Target="https://www.sec.gov/Archives/edgar/data/1707502/000095017024030508/sldb-ex10_8.htm" TargetMode="External"/><Relationship Id="rId190" Type="http://schemas.openxmlformats.org/officeDocument/2006/relationships/hyperlink" Target="https://www.sec.gov/Archives/edgar/data/1707502/000119312517383428/d404258dex1016.htm" TargetMode="External"/><Relationship Id="rId191" Type="http://schemas.openxmlformats.org/officeDocument/2006/relationships/hyperlink" Target="https://www.sec.gov/Archives/edgar/data/1707502/000095017025034644/sldb-ex10_10.htm" TargetMode="External"/><Relationship Id="rId192" Type="http://schemas.openxmlformats.org/officeDocument/2006/relationships/hyperlink" Target="https://www.sec.gov/Archives/edgar/data/0001707502/000119312519204157/d785130dex102.htm" TargetMode="External"/><Relationship Id="rId193" Type="http://schemas.openxmlformats.org/officeDocument/2006/relationships/hyperlink" Target="https://www.sec.gov/Archives/edgar/data/0001707502/000119312519204157/d785130dex103.htm" TargetMode="External"/><Relationship Id="rId194" Type="http://schemas.openxmlformats.org/officeDocument/2006/relationships/hyperlink" Target="https://www.sec.gov/Archives/edgar/data/0001707502/000156459021013153/sldb-ex1024_174.htm" TargetMode="External"/><Relationship Id="rId197" Type="http://schemas.openxmlformats.org/officeDocument/2006/relationships/hyperlink" Target="https://www.sec.gov/Archives/edgar/data/1707502/000095017025086128/sldb-ex99_1.htm" TargetMode="External"/><Relationship Id="rId198" Type="http://schemas.openxmlformats.org/officeDocument/2006/relationships/hyperlink" Target="https://www.sec.gov/Archives/edgar/data/1707502/000156459020037207/sldb-ex104_35.htm" TargetMode="External"/><Relationship Id="rId199" Type="http://schemas.openxmlformats.org/officeDocument/2006/relationships/hyperlink" Target="https://www.sec.gov/Archives/edgar/data/1707502/000156459022009963/sldb-ex1028_790.htm" TargetMode="External"/><Relationship Id="rId200" Type="http://schemas.openxmlformats.org/officeDocument/2006/relationships/hyperlink" Target="https://www.sec.gov/Archives/edgar/data/1707502/000156459020050874/sldb-ex102_110.htm" TargetMode="External"/><Relationship Id="rId201" Type="http://schemas.openxmlformats.org/officeDocument/2006/relationships/hyperlink" Target="https://www.sec.gov/Archives/edgar/data/1707502/000156459020050874/sldb-ex103_109.htm" TargetMode="External"/><Relationship Id="rId202" Type="http://schemas.openxmlformats.org/officeDocument/2006/relationships/hyperlink" Target="https://www.sec.gov/Archives/edgar/data/1707502/000156459020050874/sldb-ex104_108.htm" TargetMode="External"/><Relationship Id="rId203" Type="http://schemas.openxmlformats.org/officeDocument/2006/relationships/hyperlink" Target="https://www.sec.gov/Archives/edgar/data/1707502/000119312520315381/d77884dex102.htm" TargetMode="External"/><Relationship Id="rId204" Type="http://schemas.openxmlformats.org/officeDocument/2006/relationships/hyperlink" Target="https://www.sec.gov/Archives/edgar/data/0001707502/000156459021013153/sldb-ex1036_175.htm" TargetMode="External"/><Relationship Id="rId205" Type="http://schemas.openxmlformats.org/officeDocument/2006/relationships/hyperlink" Target="https://www.sec.gov/Archives/edgar/data/0001707502/000156459021044656/sldb-ex101_33.htm" TargetMode="External"/><Relationship Id="rId206" Type="http://schemas.openxmlformats.org/officeDocument/2006/relationships/hyperlink" Target="https://www.sec.gov/Archives/edgar/data/1707502/000095017024030508/sldb-ex10_27.htm" TargetMode="External"/><Relationship Id="rId207" Type="http://schemas.openxmlformats.org/officeDocument/2006/relationships/hyperlink" Target="https://www.sec.gov/Archives/edgar/data/0001707502/000156459021044656/sldb-ex104_34.htm" TargetMode="External"/><Relationship Id="rId208" Type="http://schemas.openxmlformats.org/officeDocument/2006/relationships/hyperlink" Target="https://www.sec.gov/Archives/edgar/data/1707502/000119312521247860/d192268dex995.htm" TargetMode="External"/><Relationship Id="rId209" Type="http://schemas.openxmlformats.org/officeDocument/2006/relationships/hyperlink" Target="https://www.sec.gov/Archives/edgar/data/1707502/000095017024030508/sldb-ex10_30.htm" TargetMode="External"/><Relationship Id="rId210" Type="http://schemas.openxmlformats.org/officeDocument/2006/relationships/hyperlink" Target="https://www.sec.gov/Archives/edgar/data/1707502/000119312522254807/d375823dex101.htm" TargetMode="External"/><Relationship Id="rId211" Type="http://schemas.openxmlformats.org/officeDocument/2006/relationships/hyperlink" Target="https://www.sec.gov/Archives/edgar/data/1707502/000119312522254807/d375823dex102.htm" TargetMode="External"/><Relationship Id="rId212" Type="http://schemas.openxmlformats.org/officeDocument/2006/relationships/hyperlink" Target="https://www.sec.gov/Archives/edgar/data/1707502/000119312522254807/d375823dex104.htm" TargetMode="External"/><Relationship Id="rId213" Type="http://schemas.openxmlformats.org/officeDocument/2006/relationships/hyperlink" Target="https://www.sec.gov/Archives/edgar/data/1707502/000119312522254807/d375823dex106.htm" TargetMode="External"/><Relationship Id="rId216" Type="http://schemas.openxmlformats.org/officeDocument/2006/relationships/hyperlink" Target="https://www.sec.gov/Archives/edgar/data/1707502/000095017023009318/sldb-ex10_42.htm" TargetMode="External"/><Relationship Id="rId217" Type="http://schemas.openxmlformats.org/officeDocument/2006/relationships/hyperlink" Target="https://www.sec.gov/Archives/edgar/data/1707502/000095017023009318/sldb-ex10_43.htm" TargetMode="External"/><Relationship Id="rId218" Type="http://schemas.openxmlformats.org/officeDocument/2006/relationships/hyperlink" Target="https://www.sec.gov/Archives/edgar/data/1707502/000119312524003882/d690167dex41.htm" TargetMode="External"/><Relationship Id="rId219" Type="http://schemas.openxmlformats.org/officeDocument/2006/relationships/hyperlink" Target="https://www.sec.gov/Archives/edgar/data/1707502/000119312524003882/d690167dex102.htm" TargetMode="External"/><Relationship Id="rId220" Type="http://schemas.openxmlformats.org/officeDocument/2006/relationships/hyperlink" Target="https://www.sec.gov/Archives/edgar/data/1707502/000095017024030508/sldb-ex10_49.htm" TargetMode="External"/><Relationship Id="rId221" Type="http://schemas.openxmlformats.org/officeDocument/2006/relationships/hyperlink" Target="https://www.sec.gov/Archives/edgar/data/1707502/000095017024030508/sldb-ex10_50.htm" TargetMode="External"/><Relationship Id="rId222" Type="http://schemas.openxmlformats.org/officeDocument/2006/relationships/hyperlink" Target="https://www.sec.gov/Archives/edgar/data/1707502/000095017024030508/sldb-ex10_51.htm" TargetMode="External"/><Relationship Id="rId223" Type="http://schemas.openxmlformats.org/officeDocument/2006/relationships/hyperlink" Target="https://www.sec.gov/Archives/edgar/data/1707502/000095017024030508/sldb-ex10_52.htm" TargetMode="External"/><Relationship Id="rId224" Type="http://schemas.openxmlformats.org/officeDocument/2006/relationships/hyperlink" Target="https://www.sec.gov/Archives/edgar/data/1707502/000095017024030508/sldb-ex10_53.htm" TargetMode="External"/><Relationship Id="rId225" Type="http://schemas.openxmlformats.org/officeDocument/2006/relationships/hyperlink" Target="https://www.sec.gov/Archives/edgar/data/1707502/000095017024030508/sldb-ex10_54.htm" TargetMode="External"/><Relationship Id="rId226" Type="http://schemas.openxmlformats.org/officeDocument/2006/relationships/hyperlink" Target="https://www.sec.gov/Archives/edgar/data/1707502/000095017024030508/sldb-ex10_55.htm" TargetMode="External"/><Relationship Id="rId227" Type="http://schemas.openxmlformats.org/officeDocument/2006/relationships/hyperlink" Target="https://www.sec.gov/Archives/edgar/data/1707502/000095017024030508/sldb-ex10_56.htm" TargetMode="External"/><Relationship Id="rId228" Type="http://schemas.openxmlformats.org/officeDocument/2006/relationships/hyperlink" Target="https://www.sec.gov/Archives/edgar/data/1707502/000095017025034644/sldb-ex10_50.htm" TargetMode="External"/><Relationship Id="rId229" Type="http://schemas.openxmlformats.org/officeDocument/2006/relationships/hyperlink" Target="https://www.sec.gov/Archives/edgar/data/1707502/000119312525028691/d908068dex41.htm" TargetMode="External"/><Relationship Id="rId230" Type="http://schemas.openxmlformats.org/officeDocument/2006/relationships/hyperlink" Target="https://www.sec.gov/Archives/edgar/data/1707502/000095017025034644/sldb-ex19_1.htm" TargetMode="External"/><Relationship Id="rId233" Type="http://schemas.openxmlformats.org/officeDocument/2006/relationships/hyperlink" Target="https://www.sec.gov/Archives/edgar/data/1707502/000095017024030508/sldb-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2026-03-19T15:28:34Z</dcterms:created>
  <dcterms:modified xsi:type="dcterms:W3CDTF">2026-03-19T15:28:34Z</dcterms:modified>
</cp:coreProperties>
</file>