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7047230" cy="8689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8689340"/>
                    </a:xfrm>
                    <a:prstGeom prst="rect">
                      <a:avLst/>
                    </a:prstGeom>
                    <a:noFill/>
                  </pic:spPr>
                </pic:pic>
              </a:graphicData>
            </a:graphic>
          </wp:anchor>
        </w:drawing>
      </w:r>
    </w:p>
    <w:p>
      <w:pPr>
        <w:spacing w:after="0" w:line="1231" w:lineRule="exact"/>
        <w:rPr>
          <w:sz w:val="24"/>
          <w:szCs w:val="24"/>
          <w:color w:val="auto"/>
        </w:rPr>
      </w:pPr>
    </w:p>
    <w:p>
      <w:pPr>
        <w:sectPr>
          <w:pgSz w:w="11900" w:h="16838" w:orient="portrait"/>
          <w:cols w:equalWidth="0" w:num="2">
            <w:col w:w="2300" w:space="300"/>
            <w:col w:w="848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PERCEPTIVE ADVISORS LLC</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51 ASTOR PLACE, 10TH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Solid Biosciences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SLDB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7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06/10/2026</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2"/>
        <w:spacing w:after="0"/>
        <w:tabs>
          <w:tab w:leader="none" w:pos="1721"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92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92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40" w:lineRule="exact"/>
        <w:rPr>
          <w:sz w:val="24"/>
          <w:szCs w:val="24"/>
          <w:color w:val="auto"/>
        </w:rPr>
      </w:pPr>
    </w:p>
    <w:p>
      <w:pPr>
        <w:sectPr>
          <w:pgSz w:w="11900" w:h="16838" w:orient="portrait"/>
          <w:cols w:equalWidth="0" w:num="3">
            <w:col w:w="3180" w:space="720"/>
            <w:col w:w="3118" w:space="720"/>
            <w:col w:w="3342"/>
          </w:cols>
          <w:pgMar w:left="460" w:top="217" w:right="359" w:bottom="0" w:gutter="0" w:footer="0" w:header="0"/>
          <w:type w:val="continuous"/>
        </w:sectPr>
      </w:pPr>
    </w:p>
    <w:p>
      <w:pPr>
        <w:spacing w:after="0" w:line="192"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10003</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18"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4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401" w:lineRule="exact"/>
        <w:rPr>
          <w:sz w:val="24"/>
          <w:szCs w:val="24"/>
          <w:color w:val="auto"/>
        </w:rPr>
      </w:pPr>
    </w:p>
    <w:p>
      <w:pPr>
        <w:sectPr>
          <w:pgSz w:w="11900" w:h="16838" w:orient="portrait"/>
          <w:cols w:equalWidth="0" w:num="2">
            <w:col w:w="3760" w:space="14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8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40"/>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5"/>
        </w:trPr>
        <w:tc>
          <w:tcPr>
            <w:tcW w:w="6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r>
    </w:tbl>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vMerge w:val="restart"/>
          </w:tcPr>
          <w:p>
            <w:pPr>
              <w:jc w:val="right"/>
              <w:ind w:right="147"/>
              <w:spacing w:after="0"/>
              <w:rPr>
                <w:sz w:val="20"/>
                <w:szCs w:val="20"/>
                <w:color w:val="auto"/>
              </w:rPr>
            </w:pPr>
            <w:r>
              <w:rPr>
                <w:rFonts w:ascii="Times New Roman" w:cs="Times New Roman" w:eastAsia="Times New Roman" w:hAnsi="Times New Roman"/>
                <w:sz w:val="11"/>
                <w:szCs w:val="11"/>
                <w:color w:val="008000"/>
              </w:rPr>
              <w:t>(1)</w:t>
            </w:r>
          </w:p>
        </w:tc>
        <w:tc>
          <w:tcPr>
            <w:tcW w:w="1460" w:type="dxa"/>
            <w:vAlign w:val="bottom"/>
            <w:vMerge w:val="restart"/>
          </w:tcPr>
          <w:p>
            <w:pPr>
              <w:ind w:left="92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restart"/>
          </w:tcPr>
          <w:p>
            <w:pPr>
              <w:jc w:val="right"/>
              <w:ind w:right="77"/>
              <w:spacing w:after="0"/>
              <w:rPr>
                <w:sz w:val="20"/>
                <w:szCs w:val="20"/>
                <w:color w:val="auto"/>
              </w:rPr>
            </w:pPr>
            <w:r>
              <w:rPr>
                <w:rFonts w:ascii="Times New Roman" w:cs="Times New Roman" w:eastAsia="Times New Roman" w:hAnsi="Times New Roman"/>
                <w:sz w:val="17"/>
                <w:szCs w:val="17"/>
                <w:color w:val="0000FF"/>
              </w:rPr>
              <w:t>77,500</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restart"/>
          </w:tcPr>
          <w:p>
            <w:pPr>
              <w:jc w:val="right"/>
              <w:ind w:right="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6.61</w:t>
            </w:r>
          </w:p>
        </w:tc>
        <w:tc>
          <w:tcPr>
            <w:tcW w:w="14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color w:val="0000FF"/>
              </w:rPr>
              <w:t>06/10/2026</w:t>
            </w:r>
          </w:p>
        </w:tc>
        <w:tc>
          <w:tcPr>
            <w:tcW w:w="1540" w:type="dxa"/>
            <w:vAlign w:val="bottom"/>
            <w:gridSpan w:val="3"/>
            <w:vMerge w:val="restart"/>
          </w:tcPr>
          <w:p>
            <w:pPr>
              <w:ind w:left="960"/>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vMerge w:val="restart"/>
          </w:tcPr>
          <w:p>
            <w:pPr>
              <w:jc w:val="right"/>
              <w:ind w:right="276"/>
              <w:spacing w:after="0"/>
              <w:rPr>
                <w:sz w:val="20"/>
                <w:szCs w:val="20"/>
                <w:color w:val="auto"/>
              </w:rPr>
            </w:pPr>
            <w:r>
              <w:rPr>
                <w:rFonts w:ascii="Times New Roman" w:cs="Times New Roman" w:eastAsia="Times New Roman" w:hAnsi="Times New Roman"/>
                <w:sz w:val="13"/>
                <w:szCs w:val="13"/>
                <w:color w:val="0000FF"/>
              </w:rPr>
              <w:t>77,500</w:t>
            </w:r>
          </w:p>
        </w:tc>
        <w:tc>
          <w:tcPr>
            <w:tcW w:w="660" w:type="dxa"/>
            <w:vAlign w:val="bottom"/>
            <w:vMerge w:val="continue"/>
          </w:tcPr>
          <w:p>
            <w:pPr>
              <w:spacing w:after="0"/>
              <w:rPr>
                <w:sz w:val="7"/>
                <w:szCs w:val="7"/>
                <w:color w:val="auto"/>
              </w:rPr>
            </w:pPr>
          </w:p>
        </w:tc>
        <w:tc>
          <w:tcPr>
            <w:tcW w:w="1460" w:type="dxa"/>
            <w:vAlign w:val="bottom"/>
            <w:vMerge w:val="restart"/>
          </w:tcPr>
          <w:p>
            <w:pPr>
              <w:ind w:left="200"/>
              <w:spacing w:after="0" w:line="154" w:lineRule="exact"/>
              <w:rPr>
                <w:sz w:val="20"/>
                <w:szCs w:val="20"/>
                <w:color w:val="auto"/>
              </w:rPr>
            </w:pPr>
            <w:r>
              <w:rPr>
                <w:rFonts w:ascii="Times New Roman" w:cs="Times New Roman" w:eastAsia="Times New Roman" w:hAnsi="Times New Roman"/>
                <w:sz w:val="10"/>
                <w:szCs w:val="10"/>
                <w:color w:val="0000FF"/>
              </w:rPr>
              <w:t xml:space="preserve">06/10/2036    </w:t>
            </w:r>
            <w:r>
              <w:rPr>
                <w:rFonts w:ascii="Times New Roman" w:cs="Times New Roman" w:eastAsia="Times New Roman" w:hAnsi="Times New Roman"/>
                <w:sz w:val="17"/>
                <w:szCs w:val="17"/>
                <w:color w:val="0000FF"/>
                <w:vertAlign w:val="subscript"/>
              </w:rPr>
              <w:t>Stock</w:t>
            </w:r>
          </w:p>
        </w:tc>
        <w:tc>
          <w:tcPr>
            <w:tcW w:w="700" w:type="dxa"/>
            <w:vAlign w:val="bottom"/>
            <w:vMerge w:val="continue"/>
          </w:tcPr>
          <w:p>
            <w:pPr>
              <w:spacing w:after="0"/>
              <w:rPr>
                <w:sz w:val="7"/>
                <w:szCs w:val="7"/>
                <w:color w:val="auto"/>
              </w:rPr>
            </w:pPr>
          </w:p>
        </w:tc>
        <w:tc>
          <w:tcPr>
            <w:tcW w:w="600" w:type="dxa"/>
            <w:vAlign w:val="bottom"/>
            <w:vMerge w:val="restart"/>
          </w:tcPr>
          <w:p>
            <w:pPr>
              <w:jc w:val="right"/>
              <w:ind w:right="2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jc w:val="right"/>
              <w:ind w:right="256"/>
              <w:spacing w:after="0"/>
              <w:rPr>
                <w:sz w:val="20"/>
                <w:szCs w:val="20"/>
                <w:color w:val="auto"/>
              </w:rPr>
            </w:pPr>
            <w:r>
              <w:rPr>
                <w:rFonts w:ascii="Times New Roman" w:cs="Times New Roman" w:eastAsia="Times New Roman" w:hAnsi="Times New Roman"/>
                <w:sz w:val="13"/>
                <w:szCs w:val="13"/>
                <w:color w:val="0000FF"/>
              </w:rPr>
              <w:t>77,500</w:t>
            </w:r>
          </w:p>
        </w:tc>
        <w:tc>
          <w:tcPr>
            <w:tcW w:w="5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I</w:t>
            </w:r>
          </w:p>
        </w:tc>
        <w:tc>
          <w:tcPr>
            <w:tcW w:w="960" w:type="dxa"/>
            <w:vAlign w:val="bottom"/>
            <w:vMerge w:val="restart"/>
          </w:tcPr>
          <w:p>
            <w:pPr>
              <w:ind w:left="200"/>
              <w:spacing w:after="0" w:line="154"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7"/>
                <w:szCs w:val="17"/>
                <w:color w:val="008000"/>
                <w:vertAlign w:val="superscript"/>
              </w:rPr>
              <w:t>(2)(3)</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540" w:type="dxa"/>
            <w:vAlign w:val="bottom"/>
            <w:gridSpan w:val="3"/>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gridSpan w:val="3"/>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3"/>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808080"/>
            </w:tcBorders>
          </w:tcPr>
          <w:p>
            <w:pPr>
              <w:spacing w:after="0"/>
              <w:rPr>
                <w:sz w:val="19"/>
                <w:szCs w:val="19"/>
                <w:color w:val="auto"/>
              </w:rPr>
            </w:pPr>
          </w:p>
        </w:tc>
        <w:tc>
          <w:tcPr>
            <w:tcW w:w="2820" w:type="dxa"/>
            <w:vAlign w:val="bottom"/>
            <w:tcBorders>
              <w:top w:val="single" w:sz="8" w:color="2C2C2C"/>
            </w:tcBorders>
            <w:gridSpan w:val="6"/>
          </w:tcPr>
          <w:p>
            <w:pPr>
              <w:ind w:left="60"/>
              <w:spacing w:after="0" w:line="22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20" w:type="dxa"/>
            <w:vAlign w:val="bottom"/>
            <w:tcBorders>
              <w:bottom w:val="single" w:sz="8" w:color="0000EE"/>
            </w:tcBorders>
            <w:gridSpan w:val="4"/>
          </w:tcPr>
          <w:p>
            <w:pPr>
              <w:spacing w:after="0" w:line="217"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PERCEPTIVE ADVISORS LLC</w:t>
              </w:r>
            </w:hyperlink>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540" w:type="dxa"/>
            <w:vAlign w:val="bottom"/>
            <w:gridSpan w:val="3"/>
          </w:tcPr>
          <w:p>
            <w:pPr>
              <w:ind w:left="60"/>
              <w:spacing w:after="0"/>
              <w:rPr>
                <w:sz w:val="20"/>
                <w:szCs w:val="20"/>
                <w:color w:val="auto"/>
              </w:rPr>
            </w:pPr>
            <w:r>
              <w:rPr>
                <w:rFonts w:ascii="Arial" w:cs="Arial" w:eastAsia="Arial" w:hAnsi="Arial"/>
                <w:sz w:val="13"/>
                <w:szCs w:val="13"/>
                <w:color w:val="auto"/>
              </w:rPr>
              <w:t>(Middle)</w:t>
            </w: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51 ASTOR PLACE, 10TH FLOOR</w:t>
            </w: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gridSpan w:val="2"/>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540" w:type="dxa"/>
            <w:vAlign w:val="bottom"/>
            <w:gridSpan w:val="3"/>
          </w:tcPr>
          <w:p>
            <w:pPr>
              <w:ind w:left="6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3"/>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40" w:type="dxa"/>
            <w:vAlign w:val="bottom"/>
          </w:tcPr>
          <w:p>
            <w:pPr>
              <w:spacing w:after="0"/>
              <w:rPr>
                <w:sz w:val="7"/>
                <w:szCs w:val="7"/>
                <w:color w:val="auto"/>
              </w:rPr>
            </w:pPr>
          </w:p>
        </w:tc>
        <w:tc>
          <w:tcPr>
            <w:tcW w:w="56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20" w:type="dxa"/>
            <w:vAlign w:val="bottom"/>
            <w:gridSpan w:val="4"/>
          </w:tcPr>
          <w:p>
            <w:pPr>
              <w:spacing w:after="0" w:line="217"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EDELMAN JOSEPH</w:t>
              </w:r>
            </w:hyperlink>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520" w:type="dxa"/>
            <w:vAlign w:val="bottom"/>
            <w:tcBorders>
              <w:top w:val="single" w:sz="8" w:color="0000EE"/>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540" w:type="dxa"/>
            <w:vAlign w:val="bottom"/>
            <w:gridSpan w:val="3"/>
          </w:tcPr>
          <w:p>
            <w:pPr>
              <w:ind w:left="60"/>
              <w:spacing w:after="0"/>
              <w:rPr>
                <w:sz w:val="20"/>
                <w:szCs w:val="20"/>
                <w:color w:val="auto"/>
              </w:rPr>
            </w:pPr>
            <w:r>
              <w:rPr>
                <w:rFonts w:ascii="Arial" w:cs="Arial" w:eastAsia="Arial" w:hAnsi="Arial"/>
                <w:sz w:val="13"/>
                <w:szCs w:val="13"/>
                <w:color w:val="auto"/>
              </w:rPr>
              <w:t>(Middle)</w:t>
            </w: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51 ASTOR PLACE, 10TH FLOOR</w:t>
            </w: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gridSpan w:val="2"/>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540" w:type="dxa"/>
            <w:vAlign w:val="bottom"/>
            <w:gridSpan w:val="3"/>
          </w:tcPr>
          <w:p>
            <w:pPr>
              <w:ind w:left="6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7">
        <w:r>
          <w:rPr>
            <w:rFonts w:ascii="Times New Roman" w:cs="Times New Roman" w:eastAsia="Times New Roman" w:hAnsi="Times New Roman"/>
            <w:sz w:val="20"/>
            <w:szCs w:val="20"/>
            <w:u w:val="single" w:color="auto"/>
            <w:color w:val="0000EE"/>
          </w:rPr>
          <w:t>PERCEPTIVE LIFE SCIENCES MASTER</w:t>
        </w:r>
      </w:hyperlink>
    </w:p>
    <w:p>
      <w:pPr>
        <w:spacing w:after="0" w:line="1" w:lineRule="exact"/>
        <w:rPr>
          <w:sz w:val="20"/>
          <w:szCs w:val="20"/>
          <w:color w:val="auto"/>
        </w:rPr>
      </w:pPr>
    </w:p>
    <w:p>
      <w:pPr>
        <w:ind w:left="120"/>
        <w:spacing w:after="0"/>
        <w:rPr>
          <w:rFonts w:ascii="Times New Roman" w:cs="Times New Roman" w:eastAsia="Times New Roman" w:hAnsi="Times New Roman"/>
          <w:sz w:val="20"/>
          <w:szCs w:val="20"/>
          <w:u w:val="single" w:color="auto"/>
          <w:color w:val="0000EE"/>
        </w:rPr>
      </w:pPr>
      <w:hyperlink r:id="rId17">
        <w:r>
          <w:rPr>
            <w:rFonts w:ascii="Times New Roman" w:cs="Times New Roman" w:eastAsia="Times New Roman" w:hAnsi="Times New Roman"/>
            <w:sz w:val="20"/>
            <w:szCs w:val="20"/>
            <w:u w:val="single" w:color="auto"/>
            <w:color w:val="0000EE"/>
          </w:rPr>
          <w:t>FUND LTD</w:t>
        </w:r>
      </w:hyperlink>
    </w:p>
    <w:p>
      <w:pPr>
        <w:sectPr>
          <w:pgSz w:w="11900" w:h="16838" w:orient="portrait"/>
          <w:cols w:equalWidth="0" w:num="1">
            <w:col w:w="11080"/>
          </w:cols>
          <w:pgMar w:left="460" w:top="217" w:right="359" w:bottom="0" w:gutter="0" w:footer="0" w:header="0"/>
          <w:type w:val="continuous"/>
        </w:sectPr>
      </w:pPr>
    </w:p>
    <w:p>
      <w:pPr>
        <w:spacing w:after="0" w:line="299" w:lineRule="exact"/>
        <w:rPr>
          <w:sz w:val="20"/>
          <w:szCs w:val="20"/>
          <w:color w:val="auto"/>
        </w:rPr>
      </w:pPr>
    </w:p>
    <w:p>
      <w:pPr>
        <w:ind w:left="120"/>
        <w:spacing w:after="0"/>
        <w:tabs>
          <w:tab w:leader="none" w:pos="150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7" w:right="359" w:bottom="0" w:gutter="0" w:footer="0" w:header="0"/>
          <w:type w:val="continuous"/>
        </w:sectPr>
      </w:pPr>
    </w:p>
    <w:bookmarkStart w:id="1" w:name="page2"/>
    <w:bookmarkEnd w:id="1"/>
    <w:p>
      <w:pPr>
        <w:ind w:left="80"/>
        <w:spacing w:after="0"/>
        <w:rPr>
          <w:sz w:val="20"/>
          <w:szCs w:val="20"/>
          <w:color w:val="auto"/>
        </w:rPr>
      </w:pPr>
      <w:r>
        <w:rPr>
          <w:rFonts w:ascii="Times New Roman" w:cs="Times New Roman" w:eastAsia="Times New Roman" w:hAnsi="Times New Roman"/>
          <w:sz w:val="17"/>
          <w:szCs w:val="17"/>
          <w:color w:val="0000FF"/>
        </w:rPr>
        <w:t>51 ASTOR PLACE, 10TH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-115570</wp:posOffset>
            </wp:positionV>
            <wp:extent cx="2806700" cy="9480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6700" cy="948055"/>
                    </a:xfrm>
                    <a:prstGeom prst="rect">
                      <a:avLst/>
                    </a:prstGeom>
                    <a:noFill/>
                  </pic:spPr>
                </pic:pic>
              </a:graphicData>
            </a:graphic>
          </wp:anchor>
        </w:drawing>
      </w: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NY</w:t>
            </w:r>
          </w:p>
        </w:tc>
        <w:tc>
          <w:tcPr>
            <w:tcW w:w="188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10003</w:t>
            </w:r>
          </w:p>
        </w:tc>
      </w:tr>
      <w:tr>
        <w:trPr>
          <w:trHeight w:val="148"/>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260"/>
              <w:spacing w:after="0"/>
              <w:rPr>
                <w:sz w:val="20"/>
                <w:szCs w:val="20"/>
                <w:color w:val="auto"/>
              </w:rPr>
            </w:pPr>
            <w:r>
              <w:rPr>
                <w:rFonts w:ascii="Arial" w:cs="Arial" w:eastAsia="Arial" w:hAnsi="Arial"/>
                <w:sz w:val="13"/>
                <w:szCs w:val="13"/>
                <w:color w:val="auto"/>
              </w:rPr>
              <w:t>(State)</w:t>
            </w:r>
          </w:p>
        </w:tc>
        <w:tc>
          <w:tcPr>
            <w:tcW w:w="188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firstLine="1"/>
        <w:spacing w:after="0" w:line="252" w:lineRule="auto"/>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10, 2026 and vests in full on the earlier to occur of the one-year anniversary of the grant date and immediately prior to the Issuer's next annual meeting of stockholders occurring after the grant date, and will vest automatically as to 100% of the unvested portion of such option upon specified change in control events.</w:t>
      </w:r>
    </w:p>
    <w:p>
      <w:pPr>
        <w:spacing w:after="0" w:line="19" w:lineRule="exact"/>
        <w:rPr>
          <w:rFonts w:ascii="Times New Roman" w:cs="Times New Roman" w:eastAsia="Times New Roman" w:hAnsi="Times New Roman"/>
          <w:sz w:val="13"/>
          <w:szCs w:val="13"/>
          <w:color w:val="008000"/>
        </w:rPr>
      </w:pPr>
    </w:p>
    <w:p>
      <w:pPr>
        <w:jc w:val="both"/>
        <w:ind w:right="20" w:firstLine="1"/>
        <w:spacing w:after="0" w:line="239" w:lineRule="auto"/>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options to purchase shares of the Issuer's common stock awarded to Adam Stone in connection with his role as a member of the Issuer's Board of Directors. Mr. Stone is the Chief Investment Officer of Perceptive Advisors, LLC (the "Advisor"). The Advisor may be deemed to have an indirect pecuniary interest in the options to purchase common stock of the Issuer reported herein because the Advisor has the right to receive the director compensation provided in respect of Mr. Stone's board service through a partial management fee offset.</w:t>
      </w:r>
    </w:p>
    <w:p>
      <w:pPr>
        <w:spacing w:after="0" w:line="27" w:lineRule="exact"/>
        <w:rPr>
          <w:rFonts w:ascii="Times New Roman" w:cs="Times New Roman" w:eastAsia="Times New Roman" w:hAnsi="Times New Roman"/>
          <w:sz w:val="13"/>
          <w:szCs w:val="13"/>
          <w:color w:val="008000"/>
        </w:rPr>
      </w:pPr>
    </w:p>
    <w:p>
      <w:pPr>
        <w:ind w:right="20" w:firstLine="1"/>
        <w:spacing w:after="0" w:line="239" w:lineRule="auto"/>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Joseph Edelman is the managing member of the Advisor. The Advisor serves as the investment manager to Perceptive Life Sciences Master Fund Ltd. (the "Master Fund"). Each of Mr. Edelman, the Advisor and the Master Fund disclaims, for purposes of Section 16 of the Securities Exchange Act of 1934, beneficial ownership of such securities, except to the extent of his/its indirect pecuniary interest therein, and this report shall not be deemed an admission that Mr. Edelman, the Advisor or the Master Fund is the beneficial owner of such securities for purposes of Section 16 or for any other purposes.</w:t>
      </w:r>
    </w:p>
    <w:p>
      <w:pPr>
        <w:sectPr>
          <w:pgSz w:w="11900" w:h="16838" w:orient="portrait"/>
          <w:cols w:equalWidth="0" w:num="1">
            <w:col w:w="10880"/>
          </w:cols>
          <w:pgMar w:left="500" w:top="127" w:right="519" w:bottom="1440" w:gutter="0" w:footer="0" w:header="0"/>
        </w:sectPr>
      </w:pPr>
    </w:p>
    <w:p>
      <w:pPr>
        <w:spacing w:after="0" w:line="5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Joseph Edelman -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-9525</wp:posOffset>
            </wp:positionV>
            <wp:extent cx="1027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027430"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Perceptive Advisors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-17145</wp:posOffset>
            </wp:positionV>
            <wp:extent cx="12858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Joseph Edelman,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-17145</wp:posOffset>
            </wp:positionV>
            <wp:extent cx="12858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-17145</wp:posOffset>
            </wp:positionV>
            <wp:extent cx="3460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346075" cy="8255"/>
                    </a:xfrm>
                    <a:prstGeom prst="rect">
                      <a:avLst/>
                    </a:prstGeom>
                    <a:noFill/>
                  </pic:spPr>
                </pic:pic>
              </a:graphicData>
            </a:graphic>
          </wp:anchor>
        </w:drawing>
      </w:r>
    </w:p>
    <w:p>
      <w:pPr>
        <w:spacing w:after="0" w:line="2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Joseph Edelman -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-9525</wp:posOffset>
            </wp:positionV>
            <wp:extent cx="10274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027430"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Perceptive Life Sciences 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-9525</wp:posOffset>
            </wp:positionV>
            <wp:extent cx="13646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364615"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Fund Ltd., By: Perceptive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-17145</wp:posOffset>
            </wp:positionV>
            <wp:extent cx="10953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0953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Advisors LLC, its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-17145</wp:posOffset>
            </wp:positionV>
            <wp:extent cx="12509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2509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manager, By: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-17145</wp:posOffset>
            </wp:positionV>
            <wp:extent cx="13081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3081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its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-17145</wp:posOffset>
            </wp:positionV>
            <wp:extent cx="9156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915670" cy="8255"/>
                    </a:xfrm>
                    <a:prstGeom prst="rect">
                      <a:avLst/>
                    </a:prstGeom>
                    <a:noFill/>
                  </pic:spPr>
                </pic:pic>
              </a:graphicData>
            </a:graphic>
          </wp:anchor>
        </w:drawing>
      </w:r>
    </w:p>
    <w:p>
      <w:pPr>
        <w:spacing w:after="0" w:line="2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-9525</wp:posOffset>
            </wp:positionV>
            <wp:extent cx="8159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8159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4775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4775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4775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47752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4775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477520" cy="8255"/>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8700" w:space="60"/>
            <w:col w:w="2120"/>
          </w:cols>
          <w:pgMar w:left="500" w:top="127"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80" w:firstLine="1"/>
        <w:spacing w:after="0" w:line="334"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13" Type="http://schemas.openxmlformats.org/officeDocument/2006/relationships/hyperlink" Target="http://www.sec.gov/cgi-bin/browse-edgar?action=getcompany&amp;CIK=0001224962" TargetMode="External"/><Relationship Id="rId14" Type="http://schemas.openxmlformats.org/officeDocument/2006/relationships/hyperlink" Target="http://www.sec.gov/cgi-bin/browse-edgar?action=getcompany&amp;CIK=0001707502" TargetMode="External"/><Relationship Id="rId16" Type="http://schemas.openxmlformats.org/officeDocument/2006/relationships/hyperlink" Target="http://www.sec.gov/cgi-bin/browse-edgar?action=getcompany&amp;CIK=0001164426" TargetMode="External"/><Relationship Id="rId17" Type="http://schemas.openxmlformats.org/officeDocument/2006/relationships/hyperlink" Target="http://www.sec.gov/cgi-bin/browse-edgar?action=getcompany&amp;CIK=00012496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2026-06-11T15:15:50Z</dcterms:created>
  <dcterms:modified xsi:type="dcterms:W3CDTF">2026-06-11T15:15:50Z</dcterms:modified>
</cp:coreProperties>
</file>