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115d424b5.htm"/>
        <w:bookmarkStart w:id="1" w:name="ksd36011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333-287325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(To Prospectus dated May 27, 2025)</w:t>
      </w:r>
    </w:p>
    <w:p>
      <w:pPr>
        <w:pStyle w:val="TextBody"/>
        <w:bidi w:val="0"/>
        <w:spacing w:before="240" w:after="0"/>
        <w:jc w:val="center"/>
        <w:rPr>
          <w:rFonts w:ascii="Times New Roman" w:hAnsi="Times New Roman"/>
          <w:b/>
          <w:sz w:val="36"/>
        </w:rPr>
      </w:pPr>
      <w:r>
        <w:rPr>
          <w:rFonts w:ascii="Times New Roman" w:hAnsi="Times New Roman"/>
          <w:b/>
          <w:sz w:val="36"/>
        </w:rPr>
        <w:t xml:space="preserve">$200,000,000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774950" cy="8712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4950" cy="871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We previously entered into a Sales Agreement, dated March 13, 2019, with Jefferies LLC, or Jefferies, which was amended and restated on March 13, 2024, or the sales agreement, relating to the sale of shares of our common stock. In accordance with the terms of the sales agreement, under this prospectus supplement we may offer and sell shares of our common stock, having an aggregate offering price of up to $200,000,000 from time to time through Jefferies, acting as our agent. We previously filed a prospectus supplement with the Securities and Exchange Commission, dated May 15, 2025, or the prior prospectus supplement, relating to the offering and sale pursuant to the sales agreement of shares of our common stock having an aggregate offering price of up to $85,000,000 through Jefferies, acting as our agent. As of the date of this prospectus supplement, we have issued and sold shares of our common stock for aggregate gross sale proceeds of approximately $84,993,553 pursuant to the sales agreement and the prior prospectus supplement, and $6,447 remained unsold under the prior prospectus supplement. The common stock remaining available to be sold under the prior prospectus supplement as of the date of this prospectus supplement will no longer be offered and sold under the prior prospectus supplement, but will instead be offered and sold under this prospectus supplement in addition to shares having an aggregate offering price of $199,993,553 that will be offered and sold under this prospectus supplement. Accordingly, this prospectus supplement covers the offer and sale of up to $200,000,000 of our common stock that may be sold under the sales agreement as of the date of this prospectus supplement. </w:t>
      </w:r>
    </w:p>
    <w:p>
      <w:pPr>
        <w:pStyle w:val="TextBody"/>
        <w:bidi w:val="0"/>
        <w:spacing w:before="240" w:after="0"/>
        <w:jc w:val="left"/>
        <w:rPr>
          <w:rFonts w:ascii="Times New Roman" w:hAnsi="Times New Roman"/>
          <w:sz w:val="19"/>
        </w:rPr>
      </w:pPr>
      <w:r>
        <w:rPr>
          <w:rFonts w:ascii="Times New Roman" w:hAnsi="Times New Roman"/>
          <w:sz w:val="19"/>
        </w:rPr>
        <w:t xml:space="preserve">Sales of our common stock, if any, under this prospectus supplement and the accompanying prospectus may be made by any method permitted by law that is deemed to be an “at the market offering” as defined in Rule 415(a)(4) under the Securities Act of 1933, as amended, or the Securities Act, including sales made directly on or through The Nasdaq Global Select Market, the existing trading market for our common stock. Jefferies is not required to sell any specific amount, but will act as our sales agent using commercially reasonable efforts, consistent with its normal trading and sales practices. There is no arrangement for funds to be received in an escrow, trust or similar arrangement. </w:t>
      </w:r>
    </w:p>
    <w:p>
      <w:pPr>
        <w:pStyle w:val="TextBody"/>
        <w:bidi w:val="0"/>
        <w:spacing w:before="240" w:after="0"/>
        <w:jc w:val="left"/>
        <w:rPr>
          <w:rFonts w:ascii="Times New Roman" w:hAnsi="Times New Roman"/>
          <w:sz w:val="19"/>
        </w:rPr>
      </w:pPr>
      <w:r>
        <w:rPr>
          <w:rFonts w:ascii="Times New Roman" w:hAnsi="Times New Roman"/>
          <w:sz w:val="19"/>
        </w:rPr>
        <w:t xml:space="preserve">Jefferies will be entitled to compensation at a commission rate of up to 3.0% of the gross sales price of the shares sold under the sales agreement. See “Plan of Distribution” beginning on page S-13 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civil liabilities under the Securities Act.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trades on The Nasdaq Global Select Market under the trading symbol “SLDB.” On August 5, 2026, the last sale price of our common stock as reported on The Nasdaq Global Select Market was $8.73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significant risks. See “</w:t>
      </w:r>
      <w:hyperlink w:anchor="supptx360115_5">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in the documents incorporated by reference in this prospectus supplement for a discussion of the factors you should carefully consider before deciding to purchase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supplement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36011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2">
              <w:r>
                <w:rPr>
                  <w:rStyle w:val="InternetLink"/>
                  <w:rFonts w:ascii="Times New Roman" w:hAnsi="Times New Roman"/>
                  <w:sz w:val="20"/>
                </w:rPr>
                <w:t>CAUTIONARY NOTE REGARDING FORWARD-LOOKING STATEMENTS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360115_12">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36011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6">
              <w:r>
                <w:rPr>
                  <w:rStyle w:val="InternetLink"/>
                  <w:rFonts w:ascii="Times New Roman" w:hAnsi="Times New Roman"/>
                  <w:sz w:val="20"/>
                </w:rPr>
                <w:t>SOLID BIOSCIENCES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0">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1">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3">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36011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common stock that we are offering, we urge you to carefully read this prospectus supplement and all of the documents incorporated by reference herein, as well as the additional information described under the headings “Where You Can Find More Information” and “Incorporation by Reference.”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Jefferies has not, authorized anyone to provide you with any information other than that contained or incorporated by reference in this prospectus supplement, the accompanying prospectus or in any related free writing prospectus that we authorize for use in connection with this offering and to which we have referred you. We and Jefferies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herein, and any other related prospectus supplement or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supplement to “Solid Biosciences” “we,” “our,” “us” and “the Company” refer, collectively, to Solid Biosciences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360115_2"/>
      <w:bookmarkEnd w:id="4"/>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objectives of management and expected market growth are forward-looking statements. The words “aim,” “anticipate,” “believe,” “continue,” “could,” “estimate,” “expect,” “intend,” “may,” “might,” “plan,” “possible,” “predict,” “project,” “seek,” “should,” “target,” “will,” “would” and similar expressions are intended to identify forward-looking statements, although not all forward-looking statements contain these identifying words.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included or incorporated by reference in this prospectus supplement and the accompanying prospectus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design and results of ongoing and planned preclinical studies and clinical trials for our neuromuscular (e.g., SGT-003, SGT-212), cardiac (e.g., SGT-501, SGT-601) or other future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U.S. and foreign regulatory approval of our neuromuscular (e.g., SGT-003, SGT-212), cardiac (e.g., SGT-501, SGT-601) or other future candidates, and the timing and scope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outcomes of regulatory interactions;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populations and potential market opportunity for our neuromuscular (e.g., SGT-003, SGT-212), cardiac (e.g., SGT-501, SGT-601) or other future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capacity constraints and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commercialize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neuromuscular (e.g., SGT-003, SGT-212), cardiac (e.g., SGT-501, SGT-601) or other future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sales, marketing and distribution capabilities and entry into agreements with third parties to market and sell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ongoing losses, future revenue, capital requirements, and need for and ability to obtain additional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and market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regulations, and global political and economic developments, including the imposition of tariffs or other trade restrictions, on our business, operations, strategy and goals;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Factors that may cause actual results to differ materially from current expectations include, among other things, those listed under the “Risk Factors” section of this prospectus supplement.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360115_3"/>
      <w:bookmarkEnd w:id="5"/>
      <w:r>
        <w:rPr>
          <w:rFonts w:ascii="Times New Roman" w:hAnsi="Times New Roman"/>
          <w:b/>
          <w:sz w:val="20"/>
        </w:rPr>
        <w:t xml:space="preserve">PROSPECTUS SUPPLEMENT 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contained elsewhere in this prospectus supplement and the accompanying prospectus and in the documents we incorporate by reference herein and therein. This summary does not contain all of the information you should consider before making an investment decision. You should read this entire prospectus supplement and the accompanying prospectus carefully, especially the risks of investing in our common stock discussed under the “Risk Factors” section beginning on page S-7 of this prospectus supplement and discussed in our most recent Annual Report on Form 10-K and our most recent Quarterly Report on Form 10-Q, along with our consolidated financial statements and notes to those consolidated financial statements and the other information incorporated by reference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Solid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We are a life sciences company focused on advancing a portfolio of current and future gene therapy candidates, including SGT-003 for the treatment of Duchenne muscular dystrophy, or Duchenne, SGT-212 for the treatment of Friedreich’s ataxia, or FA,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 </w:t>
      </w:r>
    </w:p>
    <w:p>
      <w:pPr>
        <w:pStyle w:val="TextBody"/>
        <w:bidi w:val="0"/>
        <w:spacing w:before="360" w:after="0"/>
        <w:jc w:val="left"/>
        <w:rPr>
          <w:rFonts w:ascii="Times New Roman" w:hAnsi="Times New Roman"/>
          <w:b/>
          <w:sz w:val="20"/>
        </w:rPr>
      </w:pPr>
      <w:r>
        <w:rPr>
          <w:rFonts w:ascii="Times New Roman" w:hAnsi="Times New Roman"/>
          <w:b/>
          <w:sz w:val="20"/>
        </w:rPr>
        <w:t>Company Information</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located at 500 Rutherford Avenue, Third Floor, Charlestown, MA 02129. Our main telephone number is (617) 337-4680. Our internet website is www.solidbio.com. The information contained on, or that can be accessed through, our website is not incorporated by reference and is not a part of this prospectus supplement. We have included our website address in this prospectus supplement solely as an inactive textual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under Rule 405 of the Securities Act and, as such, we are permitted to rely on exemptions from certain public company reporting requirements. We have taken advantage of some reduced reporting requirements in this prospectus supplement. Accordingly, the information contained herein may be different than the information you receive from other public companies in which you hold stock.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360115_4"/>
      <w:bookmarkEnd w:id="6"/>
      <w:r>
        <w:rPr>
          <w:rFonts w:ascii="Times New Roman" w:hAnsi="Times New Roman"/>
          <w:b/>
          <w:sz w:val="20"/>
        </w:rPr>
        <w:t>THE OFFERING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Shares of our common stock having an aggregate offering price of up to $200,000,000.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After This Offering </w:t>
            </w:r>
          </w:p>
        </w:tc>
        <w:tc>
          <w:tcPr>
            <w:tcW w:w="6328" w:type="dxa"/>
            <w:tcBorders/>
          </w:tcPr>
          <w:p>
            <w:pPr>
              <w:pStyle w:val="TableContents"/>
              <w:bidi w:val="0"/>
              <w:spacing w:before="0" w:after="283"/>
              <w:jc w:val="left"/>
              <w:rPr/>
            </w:pPr>
            <w:r>
              <w:rPr/>
              <w:t xml:space="preserve">Up to 128,034,873 shares, assuming sales of 22,909,507 shares of our common stock in this offering at an assumed public offering price of $8.73 per share, which was the last sale price of our common stock reported on The Nasdaq Global Select Market on August 5, 2026. The actual number of shares issued will vary depending on the sales price under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At the market” offering that may be made from time to time through our sales agent, Jefferies. See “Plan of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intend to use the net proceeds from the sale of any securities offered under this prospectus supplement for general corporate purposes. Although we have not yet identified specific uses for these proceeds, we currently anticipate using the proceeds for some or all of the following purposes: research and development costs, preclinical and clinical development, the acquisition or in-license of products, product candidates, companies, businesses or technologies, repayment and refinancing of debt, working capital and capital expenditures. See “Use of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should read the “Risk Factors” section of this prospectus supplement, the “Risk Factor Summary” and “Risk Factors” sections of our most recent Annual Report on Form 10-K and our most recent Quarterly Report on Form 10-Q, and the other documents incorporated by reference into this prospectus supplement for a discussion of factors to consider carefully before deciding to purchase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Select Market Symbol</w:t>
            </w:r>
            <w:r>
              <w:rPr>
                <w:rFonts w:ascii="Times New Roman" w:hAnsi="Times New Roman"/>
                <w:sz w:val="20"/>
              </w:rPr>
              <w:t xml:space="preserve"> </w:t>
            </w:r>
          </w:p>
        </w:tc>
        <w:tc>
          <w:tcPr>
            <w:tcW w:w="6326" w:type="dxa"/>
            <w:tcBorders/>
          </w:tcPr>
          <w:p>
            <w:pPr>
              <w:pStyle w:val="TableContents"/>
              <w:bidi w:val="0"/>
              <w:spacing w:before="0" w:after="283"/>
              <w:jc w:val="left"/>
              <w:rPr/>
            </w:pPr>
            <w:r>
              <w:rPr/>
              <w:t>“</w:t>
            </w:r>
            <w:r>
              <w:rPr/>
              <w:t xml:space="preserve">SLDB”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that will be outstanding immediately after this offering as shown above is based on 105,125,366 shares of our common stock issued and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6,724,162 shares of our common stock issuable upon exercise of stock options outstanding as of June 30, 2026, at a weighted average exercise price of $10.13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5,590,513 shares of our common stock issuable upon vesting of outstanding restricted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1,689,025 shares of our common stock issuable upon vesting of outstanding performance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 shares of our common stock issuable upon the exercise of warrants outstanding as of June 30, 2026, at a weighted average exercise price of $49.35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44,408,300 shares of our common stock issuable upon the exercise of pre-funded warrants outstanding as of June 30, 2026, at an exercise price of $0.001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8,338,130 shares of our common stock available for future issuance, as of June 30, 2026, under our Amended and Restated 2020 Equity Incentive Plan,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829,627 shares of our common stock available for future issuance, as of June 30, 2026, under our Amended and Restated 2021 Employee Stock Purchase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6,570 shares of our common stock available for future issuance, as of June 30, 2026, under our 2024 Inducement Stock Incentive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information in this prospectus supplement assumes no exercise of the outstanding options, warrants or pre-funded warrants described above and no vesting of the restricted stock units or performance stock units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360115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You should carefully consider the risks and uncertainties described below together with all of the other information contained in this prospectus supplement and accompanying prospectus and the risk factors in our most recent Annual Report on Form 10-K, our most recent Quarterly Report on Form 10-Q and in our other filings with the SEC that we make from time to time, which are incorporated by reference in this prospectus supplement, together with other information in this prospectus supplement, the information and documents incorporated by reference in this prospectus supplement and the accompanying prospectus, and in any other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 significant number of our total outstanding shares may be sold into the market in the near future, which could cause the market price of our common stock to drop significantly, even if our business is performing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2020, in connection with the execution of our collaboration and license agreement with Ultragenyx Pharmaceuticals, Inc., or Ultragenyx, we issued and sold 521,719 shares of our common stock to Ultragenyx. For the ten-year period after the date of such sale, subject to specified conditions, we have agreed to file a registration statement in order to register all or a portion of the shares sold to Ultragenyx.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in connection with the execution of our collaboration, patent and know-how license agreement with Mayo Foundation for Medical Education and Research, or Mayo, we issued 364,990 shares of our common stock to Mayo in a private placement. In February 2025, we made the first milestone payment of 975,496 shares of our common stock to FA212 LLC, or FA212, following the FDA’s clearance of our IND for SGT-212 for the treatment of FA. In January 2026, we made the second milestone payment of 1,316,899 shares of our common stock to FA212 following the dosing of the first participant in the Phase 1b FALCON clinical trial of SGT-212. We have filed resale registration statements to register all of the shares issued to Mayo and FA212. </w:t>
      </w:r>
    </w:p>
    <w:p>
      <w:pPr>
        <w:pStyle w:val="TextBody"/>
        <w:bidi w:val="0"/>
        <w:spacing w:before="240" w:after="0"/>
        <w:jc w:val="left"/>
        <w:rPr>
          <w:rFonts w:ascii="Times New Roman" w:hAnsi="Times New Roman"/>
          <w:sz w:val="20"/>
        </w:rPr>
      </w:pPr>
      <w:r>
        <w:rPr>
          <w:rFonts w:ascii="Times New Roman" w:hAnsi="Times New Roman"/>
          <w:sz w:val="20"/>
        </w:rPr>
        <w:t xml:space="preserve">In July 2019, December 2020, January 2024 and March 2026, we completed private placements, and in February 2025 we completed a public offering, of shares of our common stock and pre-funded warrants to purchase shares of our common stock to several accredited investors. In December 2022, we also issued shares of our common stock in the acquisition of AavantiBio, Inc. and in a related private placement to several accredited investors. We have filed registration statements covering the resale of these shares by the purchasers in these private placements, and the stock consideration issued in the acquisition, and we have agreed to keep such registration statements effective until the date the shares covered by the respective registration statement have been sold or can be resold without restriction under Rule 144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currently have on file with the SEC universal shelf registration statements which allow us to offer and sell registered common stock, preferred stock, debt securities, depositary shares, warrants and/or units from time to time pursuant to one or more offerings at prices and terms to be determined at the time of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will experience immediate dilution in the book value per share of the common stock purchased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$200.0 million at an assumed offering price of $8.73 per share, the last sale price of our common stock on August 5, 2026 on The Nasdaq Global Select Market, and after deducting estimated commissions and estimated offering expenses, our as adjusted net tangible book value as of June 30, 2026 would have been approximately $567.8 million, or approximately $4.43 per share. This represents an immediate increase in as adjusted net tangible book value of approximately $0.87 per share to our existing stockholders and an immediate dilution in as adjusted net tangible book value of approximately $4.30 per share to purchasers of our common stock in this offering. See “Dilution”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in this offering. Further, the exercise of outstanding options, warrants or pre-funded warrants or the vesting of restricted stock units or performance stock units could result in further dilution to investors and any additional shares issued in connection with acquisitions will result in dilution to investors. In addition, the market price of our common stock could fall as a result of resales of any of these shares of common stock due to an increased number of shares available for sale in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is the only source of gain for an investment in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price per share at which shares may be sold, the actual number of shares we will issue or the aggregate proceeds resulting from sales made under the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Jefferies at any time throughout the term of the sales agreement. The price per share and the number of shares that are sold through Jefferies after delivering a placement notice will fluctuate based on a number of factors, including the market price of our common stock during the sales period, any limits we may set with Jefferies in any applicable placement notice and the demand for our common stock. As such,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not possible to predict the price per share at which shares may be sold or the number of shares to be sold pursuant to the sales agreement. Because the price per share of each share sold pursuant to the sales agreement will fluctuate over time and because it is not possible to predict the number of shares of common stock that will be sold pursuant to the sales agreement, it is not possible to predict the aggregate proceeds to be raised in connection with sales under the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committee thereof)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36011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$200.0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if any, from the sale of any shares of common stock offered under this prospectus supplement for general corporate purposes. Although we have not yet identified specific uses for these proceeds, we currently anticipate using any proceeds for some or all of the following purposes: research and development costs, preclinical and clinical development, the acquisition or in-license of products, product candidates, companies, businesses or technologies, repayment and refinancing of debt, working capital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net proceeds from this offering represents our intentions based upon our current plans and business conditions, which could change in the future as our plans and business conditions evolve. We have not determined the exact amounts we plan to spend on any of the items listed above or the timing of these expenditures. The amounts and timing of our actual expenditures may vary significantly depending on numerous factors, including the actual net proceeds from this offering, the progress of our development efforts,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360115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June 30, 2026 was approximately $374.1 million, or $3.56 per share of our common stock. Our historical net tangible book value is the amount of our total tangible assets less our total liabilities. Historical net tangible book value per share represents historical net tangible book value divided by the 105,125,366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by us of shares of our common stock in the aggregate amount of $200.0 million at an assumed public offering price of $8.73 per share (the last sale price of our common stock on August 5, 2026 as reported on The Nasdaq Global Select Market), less the estimated commissions and estimated offering expenses payable by us, our as adjusted net tangible book value at June 30, 2026 would have been approximately $567.8 million, or $4.43 per share. This represents an immediate increase in as adjusted net tangible book value of $0.87 per share to existing stockholders and an immediate dilution of $4.30 per share to new investors in this offering.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82"/>
        <w:gridCol w:w="386"/>
        <w:gridCol w:w="144"/>
        <w:gridCol w:w="444"/>
        <w:gridCol w:w="60"/>
        <w:gridCol w:w="386"/>
        <w:gridCol w:w="144"/>
        <w:gridCol w:w="444"/>
        <w:gridCol w:w="65"/>
      </w:tblGrid>
      <w:tr>
        <w:trPr/>
        <w:tc>
          <w:tcPr>
            <w:tcW w:w="5682"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8.73</w:t>
            </w:r>
          </w:p>
        </w:tc>
        <w:tc>
          <w:tcPr>
            <w:tcW w:w="65" w:type="dxa"/>
            <w:tcBorders/>
            <w:shd w:fill="CCEEFF" w:val="clear"/>
            <w:vAlign w:val="bottom"/>
          </w:tcPr>
          <w:p>
            <w:pPr>
              <w:pStyle w:val="TableContents"/>
              <w:bidi w:val="0"/>
              <w:spacing w:before="0" w:after="283"/>
              <w:jc w:val="left"/>
              <w:rPr/>
            </w:pPr>
            <w:r>
              <w:rPr/>
              <w:t> </w:t>
            </w:r>
          </w:p>
        </w:tc>
      </w:tr>
      <w:tr>
        <w:trPr/>
        <w:tc>
          <w:tcPr>
            <w:tcW w:w="5682"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3.56</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0.87</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82"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82"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immediately after giving effect to this offering</w:t>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4.43</w:t>
            </w:r>
          </w:p>
        </w:tc>
        <w:tc>
          <w:tcPr>
            <w:tcW w:w="65" w:type="dxa"/>
            <w:tcBorders/>
            <w:vAlign w:val="bottom"/>
          </w:tcPr>
          <w:p>
            <w:pPr>
              <w:pStyle w:val="TableContents"/>
              <w:bidi w:val="0"/>
              <w:spacing w:before="0" w:after="283"/>
              <w:jc w:val="left"/>
              <w:rPr/>
            </w:pPr>
            <w:r>
              <w:rPr/>
              <w:t> </w:t>
            </w:r>
          </w:p>
        </w:tc>
      </w:tr>
      <w:tr>
        <w:trPr/>
        <w:tc>
          <w:tcPr>
            <w:tcW w:w="5682"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of net tangible book value per share to new investors in this offering</w:t>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4.30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w:t>
      </w:r>
    </w:p>
    <w:p>
      <w:pPr>
        <w:pStyle w:val="TextBody"/>
        <w:bidi w:val="0"/>
        <w:spacing w:before="240" w:after="0"/>
        <w:jc w:val="left"/>
        <w:rPr>
          <w:rFonts w:ascii="Times New Roman" w:hAnsi="Times New Roman"/>
          <w:sz w:val="20"/>
        </w:rPr>
      </w:pPr>
      <w:r>
        <w:rPr>
          <w:rFonts w:ascii="Times New Roman" w:hAnsi="Times New Roman"/>
          <w:sz w:val="20"/>
        </w:rPr>
        <w:t xml:space="preserve">Except as noted above, the above discussion and table exclude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6,724,162 shares of our common stock issuable upon exercise of stock options outstanding as of June 30, 2026, at a weighted average exercise price of $10.13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5,590,513 shares of our common stock issuable upon vesting of outstanding restricted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1,689,025 shares of our common stock issuable upon vesting of outstanding performance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 shares of our common stock issuable upon the exercise of warrants outstanding as of June 30, 2026, at a weighted average exercise price of $49.35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44,408,300 shares of our common stock issuable upon the exercise of pre-funded warrants outstanding as of June 30, 2026, at an exercise price of $0.001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8,338,130 shares of our common stock available for future issuance, as of June 30, 2026, under our Amended and Restated 2020 Equity Incentive Plan,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829,627 shares of our common stock available for future issuance, as of June 30, 2026, under our Amended and Restated 2021 Employee Stock Purchase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6,570 shares of our common stock available for future issuance, as of June 30, 2026, under our 2024 Inducement Stock Incentive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choose to raise additional capital due to market conditions or strategic considerations even if we believe we have sufficient funds for our current or future operating plans. To the extent that additional capital is raised through the sale of equity or securities convertible into common stock,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360115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relating to the sale of shares of our common stock. In accordance with the terms of the sales agreement, under this prospectus supplement we may offer and sell shares of our common stock, having an aggregate offering price of up to $200,000,000 from time to time through Jefferies, acting as our agent. We previously filed the prior prospectus supplement, relating to the offering and sale pursuant to the sales agreement of shares of our common stock having an aggregate offering price of up to $85,000,000 through Jefferies, acting as our agent. As of the date of this prospectus supplement, we have issued and sold shares of our common stock for aggregate gross sale proceeds of approximately $84,993,553 pursuant to the sales agreement and the prior prospectus supplement, and $6,447 remained unsold under the prior prospectus supplement. The common stock remaining available to be sold under the prior prospectus supplement as of the date of this prospectus supplement will no longer be offered and sold under the prior prospectus supplement, but will instead be offered and sold under this prospectus supplement in addition to shares having an aggregate offering price of $199,993,553 that will be offered and sold under this prospectus supplement. Accordingly, this prospectus covers the offer and sale of $200,000,000 of our common stock that may be sold under the sales agreement as of the date of this prospectus supplement. The below description of the material provisions of the sales agreement does not purport to be a complete statement of its terms and conditions. The sales agreement has been filed as an exhibit to our registration statement on Form S-3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Sales of our common stock, if any, may be made in transactions that are deemed to be “at the market offerings,” as defined in Rule 415(a)(4) promulgated under the Securities Act, including sales made directly on or through The Nasdaq Global Select Market, the existing trading market for our common stock. We may instruct Jefferies not to sell our common stock pursuant to the sales agreement if the sales cannot be effected at or above a price designated by us from time to time. Jefferies may purchase shares of our common stock as principal. We or Jefferies may suspend the offering of common stock upon notice and subject to other conditions.</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commissions, in cash, for its services in acting as sales agent in the sale of our common stock. Jefferies will be entitled to compensation at a fixed commission rate of up to 3.0% of gross sales sold pursuant to the sales agreement. Because there is no minimum offering amount required as a condition to close this offering, the actual total public offering amount, commissions and proceeds to us, if any, are not determinable at this time. We have also agreed to reimburse Jefferies for certain specified expenses. We estimate that the total expenses for the offering, excluding compensation and reimbursements payable to Jefferies under the terms of the sales agreement, will be approximately $250,000.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offered under this prospectus supplement will generally occur on the first business day that is also a trading day following the date on which any sales were made in return for payment of the net proceeds to us. Sales of our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use commercially reasonable efforts, consistent with its normal sales and trading practices, to place the shares of common stock under the terms and subject to the conditions set forth in the sales agreement. In connection with the sale of the common stock on our behalf, Jefferies will be deemed to be an “underwriter” within the meaning of the Securities Act and the compensation of Jefferies will be deemed to be underwriting commissions or discounts. We have agreed to provide indemnification and contribution to Jefferies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common stock pursuant to the sales agreement will terminate upon the earliest of (1) the sale of all shares of our common stock subject to the sales agreement and (2) termination of the sales agreement as permitted therein. We and Jefferies may each terminate the sales agreement at any time by giving written notice as required by the sales agreement upon five trading days’ notice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Jefferies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Jefferies and certain of its affiliates have, from time to time, performed, and may in the future perform, various commercial and investment banking and financial advisory services for us and our affiliates, for which they received or may in the future</w:t>
      </w:r>
    </w:p>
    <w:p>
      <w:pPr>
        <w:pStyle w:val="TextBody"/>
        <w:bidi w:val="0"/>
        <w:spacing w:before="0" w:after="0"/>
        <w:jc w:val="left"/>
        <w:rPr>
          <w:rFonts w:ascii="Times New Roman" w:hAnsi="Times New Roman"/>
          <w:sz w:val="20"/>
        </w:rPr>
      </w:pPr>
      <w:r>
        <w:rPr>
          <w:rFonts w:ascii="Times New Roman" w:hAnsi="Times New Roman"/>
          <w:sz w:val="20"/>
        </w:rPr>
        <w:t xml:space="preserve">receive customary fees and expenses. To the extent required by Regulation M, Jefferies will not engage in any market making activities involving our common stock while the offering is ongoing under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 electronic format may be made available on a website maintained by Jefferies, and Jefferies may distribute this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360115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Wilmer Cutler Pickering Hale and Dorr LLP, Boston, Massachusetts. Davis Polk &amp; Wardwell LLP, New York, New York, is acting as counsel for Jefferies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360115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360115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supplement and information contained on, or that can be accessed through, our website is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360115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are continually updated and those future filings may modify or supersede some of the information included or incorporated by reference in this prospectus supplement and the accompanying prospectus. This means that you must look at all of the SEC filings that we incorporate by reference to determine if any of the statements in this prospectus supplement and the accompanying prospectus or in any document previously incorporated by reference herein and therein have been modified or superseded. This prospectus supplement and the accompanying prospectus incorporate by reference the documents listed below (File No. 001-38360) and any future filings we make with the SEC under Sections 13(a), 13(c), 14 or 15(d) of the Exchange Act (in each case, other than those documents or the portions of those documents not deemed to be filed)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as filed with the SEC on March 19, 2026,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2026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Quarterly Reports on Form 10-Q for the fiscal quarters ended March 31, 2026 and June 30, 2026, as filed with the SEC on </w:t>
            </w:r>
            <w:hyperlink r:id="rId5">
              <w:r>
                <w:rPr>
                  <w:rStyle w:val="InternetLink"/>
                  <w:rFonts w:ascii="Times New Roman" w:hAnsi="Times New Roman"/>
                  <w:sz w:val="20"/>
                </w:rPr>
                <w:t>May  12, 2026</w:t>
              </w:r>
            </w:hyperlink>
            <w:r>
              <w:rPr>
                <w:rFonts w:ascii="Times New Roman" w:hAnsi="Times New Roman"/>
                <w:sz w:val="20"/>
              </w:rPr>
              <w:t xml:space="preserve"> and </w:t>
            </w:r>
            <w:hyperlink r:id="rId6">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Current Reports on Form 8-K as filed with the SEC on </w:t>
            </w:r>
            <w:hyperlink r:id="rId7">
              <w:r>
                <w:rPr>
                  <w:rStyle w:val="InternetLink"/>
                  <w:rFonts w:ascii="Times New Roman" w:hAnsi="Times New Roman"/>
                  <w:sz w:val="20"/>
                </w:rPr>
                <w:t>March 6, 2026</w:t>
              </w:r>
            </w:hyperlink>
            <w:r>
              <w:rPr>
                <w:rFonts w:ascii="Times New Roman" w:hAnsi="Times New Roman"/>
                <w:sz w:val="20"/>
              </w:rPr>
              <w:t xml:space="preserve">, </w:t>
            </w:r>
            <w:hyperlink r:id="rId8">
              <w:r>
                <w:rPr>
                  <w:rStyle w:val="InternetLink"/>
                  <w:rFonts w:ascii="Times New Roman" w:hAnsi="Times New Roman"/>
                  <w:sz w:val="20"/>
                </w:rPr>
                <w:t>March  12, 2026</w:t>
              </w:r>
            </w:hyperlink>
            <w:r>
              <w:rPr>
                <w:rFonts w:ascii="Times New Roman" w:hAnsi="Times New Roman"/>
                <w:sz w:val="20"/>
              </w:rPr>
              <w:t xml:space="preserve"> (Item 8.01 only), </w:t>
            </w:r>
            <w:hyperlink r:id="rId9">
              <w:r>
                <w:rPr>
                  <w:rStyle w:val="InternetLink"/>
                  <w:rFonts w:ascii="Times New Roman" w:hAnsi="Times New Roman"/>
                  <w:sz w:val="20"/>
                </w:rPr>
                <w:t>April  10, 2026</w:t>
              </w:r>
            </w:hyperlink>
            <w:r>
              <w:rPr>
                <w:rFonts w:ascii="Times New Roman" w:hAnsi="Times New Roman"/>
                <w:sz w:val="20"/>
              </w:rPr>
              <w:t xml:space="preserve"> and </w:t>
            </w:r>
            <w:hyperlink r:id="rId10">
              <w:r>
                <w:rPr>
                  <w:rStyle w:val="InternetLink"/>
                  <w:rFonts w:ascii="Times New Roman" w:hAnsi="Times New Roman"/>
                  <w:sz w:val="20"/>
                </w:rPr>
                <w:t>June 10,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as filed with the SEC on January  22, 2018, as the description therein has been updated and superseded by the description of our capital stock contained in </w:t>
            </w:r>
            <w:hyperlink r:id="rId12">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2025, as filed with the SEC on March 19, 2026,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You may request a copy of these filings, at no cost, by writing or calling us at the following address or telephone number:</w:t>
      </w:r>
    </w:p>
    <w:p>
      <w:pPr>
        <w:pStyle w:val="TextBody"/>
        <w:bidi w:val="0"/>
        <w:spacing w:before="240" w:after="0"/>
        <w:jc w:val="center"/>
        <w:rPr>
          <w:rFonts w:ascii="Times New Roman" w:hAnsi="Times New Roman"/>
          <w:sz w:val="20"/>
        </w:rPr>
      </w:pPr>
      <w:r>
        <w:rPr>
          <w:rFonts w:ascii="Times New Roman" w:hAnsi="Times New Roman"/>
          <w:sz w:val="20"/>
        </w:rPr>
        <w:t>Solid Biosciences Inc.</w:t>
      </w:r>
    </w:p>
    <w:p>
      <w:pPr>
        <w:pStyle w:val="TextBody"/>
        <w:bidi w:val="0"/>
        <w:spacing w:before="0" w:after="0"/>
        <w:jc w:val="center"/>
        <w:rPr>
          <w:rFonts w:ascii="Times New Roman" w:hAnsi="Times New Roman"/>
          <w:sz w:val="20"/>
        </w:rPr>
      </w:pPr>
      <w:r>
        <w:rPr>
          <w:rFonts w:ascii="Times New Roman" w:hAnsi="Times New Roman"/>
          <w:sz w:val="20"/>
        </w:rPr>
        <w:t>Attn: Investor Relations</w:t>
      </w:r>
    </w:p>
    <w:p>
      <w:pPr>
        <w:pStyle w:val="TextBody"/>
        <w:bidi w:val="0"/>
        <w:spacing w:before="0" w:after="0"/>
        <w:jc w:val="center"/>
        <w:rPr>
          <w:rFonts w:ascii="Times New Roman" w:hAnsi="Times New Roman"/>
          <w:sz w:val="20"/>
        </w:rPr>
      </w:pPr>
      <w:r>
        <w:rPr>
          <w:rFonts w:ascii="Times New Roman" w:hAnsi="Times New Roman"/>
          <w:sz w:val="20"/>
        </w:rPr>
        <w:t>500 Rutherford Avenue, Third Floor</w:t>
      </w:r>
    </w:p>
    <w:p>
      <w:pPr>
        <w:pStyle w:val="TextBody"/>
        <w:bidi w:val="0"/>
        <w:spacing w:before="0" w:after="0"/>
        <w:jc w:val="center"/>
        <w:rPr>
          <w:rFonts w:ascii="Times New Roman" w:hAnsi="Times New Roman"/>
          <w:sz w:val="20"/>
        </w:rPr>
      </w:pPr>
      <w:r>
        <w:rPr>
          <w:rFonts w:ascii="Times New Roman" w:hAnsi="Times New Roman"/>
          <w:sz w:val="20"/>
        </w:rPr>
        <w:t>Charlestown, MA 02129</w:t>
      </w:r>
    </w:p>
    <w:p>
      <w:pPr>
        <w:pStyle w:val="TextBody"/>
        <w:bidi w:val="0"/>
        <w:spacing w:before="0" w:after="0"/>
        <w:jc w:val="center"/>
        <w:rPr>
          <w:rFonts w:ascii="Times New Roman" w:hAnsi="Times New Roman"/>
          <w:sz w:val="20"/>
        </w:rPr>
      </w:pPr>
      <w:r>
        <w:rPr>
          <w:rFonts w:ascii="Times New Roman" w:hAnsi="Times New Roman"/>
          <w:sz w:val="20"/>
        </w:rPr>
        <w:t>(617) 337-4680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36"/>
        </w:rPr>
      </w:pPr>
      <w:r>
        <w:rPr>
          <w:rFonts w:ascii="Times New Roman" w:hAnsi="Times New Roman"/>
          <w:b/>
          <w:sz w:val="36"/>
        </w:rPr>
        <w:t xml:space="preserve">$400,000,000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74950" cy="871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774950" cy="871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of up to $400,000,000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“SLDB.”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the information included under “</w:t>
      </w:r>
      <w:hyperlink w:anchor="toc360115_5">
        <w:r>
          <w:rPr>
            <w:rStyle w:val="InternetLink"/>
            <w:rFonts w:ascii="Times New Roman" w:hAnsi="Times New Roman"/>
            <w:b/>
            <w:sz w:val="24"/>
          </w:rPr>
          <w:t>Risk Factors</w:t>
        </w:r>
      </w:hyperlink>
      <w:r>
        <w:rPr>
          <w:rFonts w:ascii="Times New Roman" w:hAnsi="Times New Roman"/>
          <w:b/>
          <w:sz w:val="24"/>
        </w:rPr>
        <w:t xml:space="preserve">” on page 6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27,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36011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6">
              <w:r>
                <w:rPr>
                  <w:rStyle w:val="InternetLink"/>
                  <w:rFonts w:ascii="Times New Roman" w:hAnsi="Times New Roman"/>
                  <w:sz w:val="20"/>
                </w:rPr>
                <w:t>SOLID BIOSCIENCES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0">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1">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3">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360115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360115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$400,000,000.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“we,” “our” and “us” refer, collectively, to Solid Biosciences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360115_2"/>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and information contained on, or that can be accessed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360115_3"/>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001-38360)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2024, as filed with the SEC on March 6,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15">
              <w:r>
                <w:rPr>
                  <w:rStyle w:val="InternetLink"/>
                  <w:rFonts w:ascii="Times New Roman" w:hAnsi="Times New Roman"/>
                  <w:sz w:val="20"/>
                </w:rPr>
                <w:t>Form 10-Q</w:t>
              </w:r>
            </w:hyperlink>
            <w:r>
              <w:rPr>
                <w:rFonts w:ascii="Times New Roman" w:hAnsi="Times New Roman"/>
                <w:sz w:val="20"/>
              </w:rPr>
              <w:t xml:space="preserve"> for the fiscal quarter ended March 31, 2025 as filed with the SEC on May 15,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as filed with the SEC on </w:t>
            </w:r>
            <w:hyperlink r:id="rId16">
              <w:r>
                <w:rPr>
                  <w:rStyle w:val="InternetLink"/>
                  <w:rFonts w:ascii="Times New Roman" w:hAnsi="Times New Roman"/>
                  <w:sz w:val="20"/>
                </w:rPr>
                <w:t>February  18, 2025</w:t>
              </w:r>
            </w:hyperlink>
            <w:r>
              <w:rPr>
                <w:rFonts w:ascii="Times New Roman" w:hAnsi="Times New Roman"/>
                <w:sz w:val="20"/>
              </w:rPr>
              <w:t xml:space="preserve">, </w:t>
            </w:r>
            <w:hyperlink r:id="rId17">
              <w:r>
                <w:rPr>
                  <w:rStyle w:val="InternetLink"/>
                  <w:rFonts w:ascii="Times New Roman" w:hAnsi="Times New Roman"/>
                  <w:sz w:val="20"/>
                </w:rPr>
                <w:t>February 18, 2025</w:t>
              </w:r>
            </w:hyperlink>
            <w:r>
              <w:rPr>
                <w:rFonts w:ascii="Times New Roman" w:hAnsi="Times New Roman"/>
                <w:sz w:val="20"/>
              </w:rPr>
              <w:t xml:space="preserve"> and  </w:t>
            </w:r>
            <w:hyperlink r:id="rId18">
              <w:r>
                <w:rPr>
                  <w:rStyle w:val="InternetLink"/>
                  <w:rFonts w:ascii="Times New Roman" w:hAnsi="Times New Roman"/>
                  <w:sz w:val="20"/>
                </w:rPr>
                <w:t>February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9">
              <w:r>
                <w:rPr>
                  <w:rStyle w:val="InternetLink"/>
                  <w:rFonts w:ascii="Times New Roman" w:hAnsi="Times New Roman"/>
                  <w:sz w:val="20"/>
                </w:rPr>
                <w:t>Form 8-A</w:t>
              </w:r>
            </w:hyperlink>
            <w:r>
              <w:rPr>
                <w:rFonts w:ascii="Times New Roman" w:hAnsi="Times New Roman"/>
                <w:sz w:val="20"/>
              </w:rPr>
              <w:t xml:space="preserve"> as filed with the SEC on January  22, 2018, as the description therein has been updated and superseded by the description of our capital stock contained in </w:t>
            </w:r>
            <w:hyperlink r:id="rId20">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2022, as filed with the SEC on March 23, 2023,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500 Rutherford Avenue, Third Floor </w:t>
      </w:r>
    </w:p>
    <w:p>
      <w:pPr>
        <w:pStyle w:val="TextBody"/>
        <w:bidi w:val="0"/>
        <w:spacing w:before="0" w:after="0"/>
        <w:jc w:val="center"/>
        <w:rPr>
          <w:rFonts w:ascii="Times New Roman" w:hAnsi="Times New Roman"/>
          <w:sz w:val="20"/>
        </w:rPr>
      </w:pPr>
      <w:r>
        <w:rPr>
          <w:rFonts w:ascii="Times New Roman" w:hAnsi="Times New Roman"/>
          <w:sz w:val="20"/>
        </w:rPr>
        <w:t xml:space="preserve">Charlestown, MA 02129 </w:t>
      </w:r>
    </w:p>
    <w:p>
      <w:pPr>
        <w:pStyle w:val="TextBody"/>
        <w:bidi w:val="0"/>
        <w:spacing w:before="0" w:after="0"/>
        <w:jc w:val="center"/>
        <w:rPr>
          <w:rFonts w:ascii="Times New Roman" w:hAnsi="Times New Roman"/>
          <w:sz w:val="20"/>
        </w:rPr>
      </w:pPr>
      <w:r>
        <w:rPr>
          <w:rFonts w:ascii="Times New Roman" w:hAnsi="Times New Roman"/>
          <w:sz w:val="20"/>
        </w:rPr>
        <w:t xml:space="preserve">(617) 337-4680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360115_4"/>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in or incorporated by reference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“predict,” “project,” “should,” “target,” “potential,”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design and results of ongoing and planned preclinical studies and clinical trials for our neuromuscular (e.g., SGT-003, SGT-212), cardiac (e.g., SGT-401, SGT-501, SGT-601) or other future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U.S. and foreign regulatory approval of our neuromuscular (e.g., SGT-003, SGT-212), cardiac (e.g., SGT-401, SGT-501, SGT-601) or other future candidates, and the timing and scope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outcomes of regulatory interactions;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populations and potential market opportunity for our neuromuscular (e.g., SGT-003, SGT-212), cardiac (e.g., SGT-401, SGT-501, SGT-601) or other future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capacity constraints and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commercialize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neuromuscular (e.g., SGT-003, SGT-212), cardiac (e.g., SGT-401, SGT-501, SGT-601) or other future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sales, marketing and distribution capabilities and entry into agreements with third parties to market and sell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ongoing losses, future revenue, capital requirements, and need for and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and market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regulations, and global political and economic developments, including the imposition of tariffs or other trade restrictions, on our business, operations, strategy and goals.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360115_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and uncertainties described in this prospectus and any accompanying prospectus supplement, including the risk factors set forth in our most recent Annual Report on Form 10-K, our most recent Quarterly Report on Form 10-Q and other filings we make with the SEC from time to time, which are incorporated by reference herein,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360115_6"/>
      <w:bookmarkEnd w:id="21"/>
      <w:r>
        <w:rPr>
          <w:rFonts w:ascii="Times New Roman" w:hAnsi="Times New Roman"/>
          <w:b/>
          <w:sz w:val="20"/>
        </w:rPr>
        <w:t xml:space="preserve">SOLID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are a life sciences company focused on advancing a portfolio of current and future gene therapy candidates, including SGT-003 for the treatment of Duchenne muscular dystrophy, or Duchenne, SGT-212 for the treatment of Friedreich’s ataxia,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500 Rutherford Avenue, Third Floor, Charlestown, MA 02129. Our main telephone number is (617) 337-4680.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360115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research and development costs, preclinical and clinical development, the acquisition or in-license of products, product candidates, companies, businesses or technologies,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360115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Solid Biosciences Inc. excluding, unless the context otherwise requires or as otherwise expressly stated,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the debt securities if other than $2,000 or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defaults or covenants in addition to or in lieu of those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 xml:space="preserve">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0" w:after="0"/>
        <w:jc w:val="left"/>
        <w:rPr>
          <w:rFonts w:ascii="Times New Roman" w:hAnsi="Times New Roman"/>
          <w:sz w:val="20"/>
        </w:rPr>
      </w:pPr>
      <w:r>
        <w:rPr>
          <w:rFonts w:ascii="Times New Roman" w:hAnsi="Times New Roman"/>
          <w:i/>
          <w:sz w:val="20"/>
        </w:rPr>
        <w:t xml:space="preserve">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240" w:after="0"/>
        <w:jc w:val="left"/>
        <w:rPr>
          <w:rFonts w:ascii="Times New Roman" w:hAnsi="Times New Roman"/>
          <w:sz w:val="20"/>
        </w:rPr>
      </w:pPr>
      <w:r>
        <w:rPr>
          <w:rFonts w:ascii="Times New Roman" w:hAnsi="Times New Roman"/>
          <w:i/>
          <w:sz w:val="20"/>
        </w:rPr>
        <w:t xml:space="preserve">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or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other securities or property in accordance with the terms of the senior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Notice of Redemption.</w:t>
      </w:r>
      <w:r>
        <w:rPr>
          <w:rFonts w:ascii="Times New Roman" w:hAnsi="Times New Roman"/>
          <w:sz w:val="20"/>
        </w:rPr>
        <w:t xml:space="preserve"> 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before="240" w:after="0"/>
        <w:jc w:val="left"/>
        <w:rPr>
          <w:rFonts w:ascii="Times New Roman" w:hAnsi="Times New Roman"/>
          <w:sz w:val="20"/>
        </w:rPr>
      </w:pPr>
      <w:r>
        <w:rPr>
          <w:rFonts w:ascii="Times New Roman" w:hAnsi="Times New Roman"/>
          <w:i/>
          <w:sz w:val="20"/>
        </w:rPr>
        <w:t xml:space="preserve">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 xml:space="preserve">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 xml:space="preserve">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 xml:space="preserve">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360115_9"/>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certificate of incorporation, which we refer to as our charter, our bylaws and applicable provisions of Delaware corporate law. You should read our charter and bylaws, which are filed as exhibits to the registration statement of which this prospectus forms a part,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120,000,000 shares of common stock, $0.001 par value per share, and 10,000,000 shares of preferred stock, $0.001 par value per share, all of which preferred stock is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w:t>
      </w:r>
    </w:p>
    <w:p>
      <w:pPr>
        <w:pStyle w:val="TextBody"/>
        <w:bidi w:val="0"/>
        <w:spacing w:before="240" w:after="0"/>
        <w:jc w:val="left"/>
        <w:rPr>
          <w:rFonts w:ascii="Times New Roman" w:hAnsi="Times New Roman"/>
          <w:sz w:val="20"/>
        </w:rPr>
      </w:pPr>
      <w:r>
        <w:rPr>
          <w:rFonts w:ascii="Times New Roman" w:hAnsi="Times New Roman"/>
          <w:i/>
          <w:sz w:val="20"/>
        </w:rPr>
        <w:t xml:space="preserve">Dividends. </w:t>
      </w: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 xml:space="preserve">Liquidation. </w:t>
      </w: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240" w:after="0"/>
        <w:jc w:val="left"/>
        <w:rPr>
          <w:rFonts w:ascii="Times New Roman" w:hAnsi="Times New Roman"/>
          <w:sz w:val="20"/>
        </w:rPr>
      </w:pPr>
      <w:r>
        <w:rPr>
          <w:rFonts w:ascii="Times New Roman" w:hAnsi="Times New Roman"/>
          <w:i/>
          <w:sz w:val="20"/>
        </w:rPr>
        <w:t xml:space="preserve">Other Rights. </w:t>
      </w:r>
      <w:r>
        <w:rPr>
          <w:rFonts w:ascii="Times New Roman" w:hAnsi="Times New Roman"/>
          <w:sz w:val="20"/>
        </w:rPr>
        <w:t xml:space="preserve">Holders of our common stock have no preemptive, conversion, subscription or other similar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Transfer Agent and Registrar. </w:t>
      </w:r>
      <w:r>
        <w:rPr>
          <w:rFonts w:ascii="Times New Roman" w:hAnsi="Times New Roman"/>
          <w:sz w:val="20"/>
        </w:rPr>
        <w:t xml:space="preserve">The transfer agent and registrar for the shares of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our stockholders might believe to be in their best interests or in which stockholders might receive a premium for their stock over the then-current market price of the stock.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under “Description of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cease to accrue on such shares, and all rights of the holders of such shares will terminate, except the right to receive the redemption price.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Amended and Restated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the Amended and Restated Registration Rights Agreement, dated March 29, 2017, or the Registration Rights Agreement, with certain of our stockholders, or the Investors, pursuant to which holders of a substantial number of shares of our common stock have the right to require us to register these shares under the Securities Act. The Registration Rights Agreement provides for demand and piggyback registration rights for the Investors. All expenses of registration (other than underwriting discounts and commissions) under the Registration Rights Agreement will be borne by us. </w:t>
      </w:r>
    </w:p>
    <w:p>
      <w:pPr>
        <w:pStyle w:val="TextBody"/>
        <w:bidi w:val="0"/>
        <w:spacing w:before="240" w:after="0"/>
        <w:jc w:val="left"/>
        <w:rPr>
          <w:rFonts w:ascii="Times New Roman" w:hAnsi="Times New Roman"/>
          <w:sz w:val="20"/>
        </w:rPr>
      </w:pPr>
      <w:r>
        <w:rPr>
          <w:rFonts w:ascii="Times New Roman" w:hAnsi="Times New Roman"/>
          <w:b/>
          <w:i/>
          <w:sz w:val="20"/>
        </w:rPr>
        <w:t>Demand Registration Rights.</w:t>
      </w:r>
      <w:r>
        <w:rPr>
          <w:rFonts w:ascii="Times New Roman" w:hAnsi="Times New Roman"/>
          <w:sz w:val="20"/>
        </w:rPr>
        <w:t xml:space="preserve"> The Investors are entitled to demand registration rights. Under the terms of the Registration Rights Agreement, we are required, upon the written request of Investors holding at least 20% of the securities eligible for registration then outstanding, to file a registration statement and use our best efforts to effect as soon as practicable the registration of such shares. We are required to effect up to two such demand registrations pursuant to the Registration Rights Agreement. In addition, so long as we are eligible to register the sale of securities on Form S-3 or any similar “short-form” registration statement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not less than $2.0 million. </w:t>
      </w:r>
    </w:p>
    <w:p>
      <w:pPr>
        <w:pStyle w:val="TextBody"/>
        <w:bidi w:val="0"/>
        <w:spacing w:before="240" w:after="0"/>
        <w:jc w:val="left"/>
        <w:rPr>
          <w:rFonts w:ascii="Times New Roman" w:hAnsi="Times New Roman"/>
          <w:sz w:val="20"/>
        </w:rPr>
      </w:pPr>
      <w:r>
        <w:rPr>
          <w:rFonts w:ascii="Times New Roman" w:hAnsi="Times New Roman"/>
          <w:b/>
          <w:i/>
          <w:sz w:val="20"/>
        </w:rPr>
        <w:t>Piggyback Registration Rights.</w:t>
      </w:r>
      <w:r>
        <w:rPr>
          <w:rFonts w:ascii="Times New Roman" w:hAnsi="Times New Roman"/>
          <w:sz w:val="20"/>
        </w:rPr>
        <w:t xml:space="preserve"> If we register any of our equity securities either for our own account or for the account of other security holders (other than certain registrations on Form S-8 or Form S-4), the Investors are entitled to piggyback registration rights and may include their shares in the registration. The Investors waived these piggyback registration rights in connection with the filing of this registration statement.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 </w:t>
      </w:r>
    </w:p>
    <w:p>
      <w:pPr>
        <w:pStyle w:val="TextBody"/>
        <w:bidi w:val="0"/>
        <w:spacing w:before="240" w:after="0"/>
        <w:jc w:val="left"/>
        <w:rPr>
          <w:rFonts w:ascii="Times New Roman" w:hAnsi="Times New Roman"/>
          <w:sz w:val="20"/>
        </w:rPr>
      </w:pPr>
      <w:r>
        <w:rPr>
          <w:rFonts w:ascii="Times New Roman" w:hAnsi="Times New Roman"/>
          <w:b/>
          <w:i/>
          <w:sz w:val="20"/>
        </w:rPr>
        <w:t>Fees; Indemnification.</w:t>
      </w:r>
      <w:r>
        <w:rPr>
          <w:rFonts w:ascii="Times New Roman" w:hAnsi="Times New Roman"/>
          <w:sz w:val="20"/>
        </w:rPr>
        <w:t xml:space="preserve"> Under the Registration Rights Agreement, we will be responsible, subject to certain exceptions, for the expenses of any registration of securities pursuant to the agreement, other than underwriting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 </w:t>
      </w:r>
    </w:p>
    <w:p>
      <w:pPr>
        <w:pStyle w:val="TextBody"/>
        <w:bidi w:val="0"/>
        <w:spacing w:before="360" w:after="0"/>
        <w:jc w:val="left"/>
        <w:rPr>
          <w:rFonts w:ascii="Times New Roman" w:hAnsi="Times New Roman"/>
          <w:sz w:val="20"/>
        </w:rPr>
      </w:pPr>
      <w:r>
        <w:rPr>
          <w:rFonts w:ascii="Times New Roman" w:hAnsi="Times New Roman"/>
          <w:b/>
          <w:i/>
          <w:sz w:val="20"/>
        </w:rPr>
        <w:t>Termination of Registration Rights</w:t>
      </w:r>
      <w:r>
        <w:rPr>
          <w:rFonts w:ascii="Times New Roman" w:hAnsi="Times New Roman"/>
          <w:i/>
          <w:sz w:val="20"/>
        </w:rPr>
        <w:t xml:space="preserve">. </w:t>
      </w:r>
      <w:r>
        <w:rPr>
          <w:rFonts w:ascii="Times New Roman" w:hAnsi="Times New Roman"/>
          <w:sz w:val="20"/>
        </w:rPr>
        <w:t xml:space="preserve">The demand registration rights and the piggyback registration rights granted under the Registration Rights Agreement will terminate, with respect to each Investor, as of the date when all registrable securities held by and issued to such Investor may be sold under Rule 144 under the Securities Act during any 90 day period, provided such Investor owns less than 1% of our outstanding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2020, in connection with the execution of our collaboration and license agreement with Ultragenyx, we issued and sold 521,719 shares of our common stock to Ultragenyx. We are party to an Investor Agreement with Ultragenyx, dated October 22, 2020, pursuant to which we have agreed to file a registration statement registering all or a portion of the Ultragenyx shares upon receipt of a request from Ultragenyx within the ten year-period following Ultragenyx’s acquisition of the shares. In addition to other exceptions, we will not be required to effect more than two such demand registrations for Ultragenyx in the aggregate and we are not required to effect more than one such demand registration in any 12-month period. Ultragenyx is also entitled to certain “piggyback” registration rights such that for the ten year period following Ultragenyx’s acquisition of shares, subject to specified conditions and so long as Ultragenyx holds at least 1% of our outstanding common stock, whenever we propose to file a registration statement that includes shares of common stock by one or more selling stockholders (other than Ultragenyx), Ultragenyx will have the right to include some or all of its shares in such registration. The Investor Agreement also contains other customary terms and conditions of the parties with respect to the registration of the Ultragenyx shares.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Certificate of Incorporation and Bylaws and Delaware Law That May Have Anti-Takeover Effects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Delaware General Corporation Law, or the DGCL,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us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charter and bylaws authorize only our board of directors to fill vacant directorships, including newly created seats. In addition, the number of directors constituting our board of directors may only be set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charter and bylaws provide that our board of directors will be classified into three classes of directors, each with staggered three-year terms. A third party may be discouraged from making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charter provides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bylaws provide advance notice procedures for 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charter does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Removal of Directors Only for Cause:</w:t>
            </w:r>
            <w:r>
              <w:rPr>
                <w:rFonts w:ascii="Times New Roman" w:hAnsi="Times New Roman"/>
                <w:sz w:val="20"/>
              </w:rPr>
              <w:t xml:space="preserve"> Our charter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charter provides that the Court of Chancery of the State of Delaware will be the exclusive forum for: any derivative action 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We are subject to Section 203 of the DGCL,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the interested stockholder. Section 203 provides that an interested stockholder may not engage in business combinations with the corporation for a period of three years after the date that such stockholder became an interested stockholder, with the following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combinations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transfer, pledge or other disposition of 10% or more of the aggregate market value of the assets of the corporation to or with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360115_10"/>
      <w:bookmarkEnd w:id="25"/>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360115_11"/>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or depositary shares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depositary shares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pre-funded warrants will begin, generally on the date of issuance, and the date on which that right will expire, generally when the pre-funded warrant is exercised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 may only be exercised pursuant to a cashless exercise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more than 50% of the voting power of our outstanding common stock),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360115_12"/>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360115_13"/>
      <w:bookmarkEnd w:id="28"/>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depositary shares,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warrant agreement or unit agreement. We understand that under existing industry practices,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request any action of holders or if an owner of a beneficial interest in a global security desires to give or take any action that a holder is entitled to give or take under the applicable indenture, deposit agreement,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360115_14"/>
      <w:bookmarkEnd w:id="29"/>
      <w:r>
        <w:rPr>
          <w:rFonts w:ascii="Times New Roman" w:hAnsi="Times New Roman"/>
          <w:b/>
          <w:sz w:val="20"/>
        </w:rPr>
        <w:t xml:space="preserve">PLAN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360115_15"/>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31" w:name="toc360115_16"/>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$200,000,000</w:t>
      </w:r>
    </w:p>
    <w:p>
      <w:pPr>
        <w:pStyle w:val="TextBody"/>
        <w:bidi w:val="0"/>
        <w:spacing w:before="0" w:after="0"/>
        <w:jc w:val="left"/>
        <w:rPr/>
      </w:pPr>
      <w:r>
        <w:rPr/>
        <w:t> </w:t>
      </w:r>
    </w:p>
    <w:p>
      <w:pPr>
        <w:pStyle w:val="TextBody"/>
        <w:bidi w:val="0"/>
        <w:spacing w:before="0" w:after="0"/>
        <w:jc w:val="center"/>
        <w:rPr/>
      </w:pPr>
      <w:r>
        <w:rPr/>
        <w:drawing>
          <wp:inline distT="0" distB="0" distL="0" distR="0">
            <wp:extent cx="2774950" cy="8712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774950" cy="8712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Common Stock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60" w:after="0"/>
        <w:jc w:val="center"/>
        <w:rPr>
          <w:rFonts w:ascii="Times New Roman" w:hAnsi="Times New Roman"/>
          <w:b/>
          <w:sz w:val="32"/>
        </w:rPr>
      </w:pPr>
      <w:r>
        <w:rPr>
          <w:rFonts w:ascii="Times New Roman" w:hAnsi="Times New Roman"/>
          <w:b/>
          <w:sz w:val="32"/>
        </w:rPr>
        <w:t>Jefferies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60" w:after="0"/>
        <w:jc w:val="center"/>
        <w:rPr>
          <w:rFonts w:ascii="Times New Roman" w:hAnsi="Times New Roman"/>
          <w:b/>
          <w:sz w:val="20"/>
        </w:rPr>
      </w:pPr>
      <w:r>
        <w:rPr>
          <w:rFonts w:ascii="Times New Roman" w:hAnsi="Times New Roman"/>
          <w:b/>
          <w:sz w:val="20"/>
        </w:rPr>
        <w:t xml:space="preserve">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07502/000119312526115928/sldb-20251231.htm" TargetMode="External"/><Relationship Id="rId4" Type="http://schemas.openxmlformats.org/officeDocument/2006/relationships/hyperlink" Target="http://www.sec.gov/Archives/edgar/data/../../../ix?doc=/Archives/edgar/data/0001707502/000119312526173642/sldb-20260422.htm" TargetMode="External"/><Relationship Id="rId5" Type="http://schemas.openxmlformats.org/officeDocument/2006/relationships/hyperlink" Target="http://www.sec.gov/Archives/edgar/data/../../../ix?doc=/Archives/edgar/data/0001707502/000119312526219337/sldb-20260331.htm" TargetMode="External"/><Relationship Id="rId6" Type="http://schemas.openxmlformats.org/officeDocument/2006/relationships/hyperlink" Target="http://www.sec.gov/Archives/edgar/data/../../../ix?doc=/Archives/edgar/data/0001707502/000119312526337935/sldb-20260630.htm" TargetMode="External"/><Relationship Id="rId7" Type="http://schemas.openxmlformats.org/officeDocument/2006/relationships/hyperlink" Target="http://www.sec.gov/Archives/edgar/data/../../../ix?doc=/Archives/edgar/data/0001707502/000119312526096709/d81855d8k.htm" TargetMode="External"/><Relationship Id="rId8" Type="http://schemas.openxmlformats.org/officeDocument/2006/relationships/hyperlink" Target="http://www.sec.gov/Archives/edgar/data/../../../ix?doc=/Archives/edgar/data/0001707502/000119312526102489/sldb-20260311.htm" TargetMode="External"/><Relationship Id="rId9" Type="http://schemas.openxmlformats.org/officeDocument/2006/relationships/hyperlink" Target="http://www.sec.gov/Archives/edgar/data/../../../ix?doc=/Archives/edgar/data/0001707502/000119312526151259/sldb-20260410.htm" TargetMode="External"/><Relationship Id="rId10" Type="http://schemas.openxmlformats.org/officeDocument/2006/relationships/hyperlink" Target="http://www.sec.gov/Archives/edgar/data/../../../ix?doc=/Archives/edgar/data/0001707502/000119312526265804/sldb-20260610.htm" TargetMode="External"/><Relationship Id="rId11" Type="http://schemas.openxmlformats.org/officeDocument/2006/relationships/hyperlink" Target="http://www.sec.gov/Archives/edgar/data/1707502/000119312518015776/d520894d8a12b.htm" TargetMode="External"/><Relationship Id="rId12" Type="http://schemas.openxmlformats.org/officeDocument/2006/relationships/hyperlink" Target="http://www.sec.gov/Archives/edgar/data/1707502/000119312526115928/sldb-ex4_2.htm" TargetMode="External"/><Relationship Id="rId13" Type="http://schemas.openxmlformats.org/officeDocument/2006/relationships/image" Target="media/image1.jpeg"/><Relationship Id="rId14" Type="http://schemas.openxmlformats.org/officeDocument/2006/relationships/hyperlink" Target="http://www.sec.gov/Archives/edgar/data/../../../ix?doc=/Archives/edgar/data/1707502/000095017025034644/sldb-20241231.htm" TargetMode="External"/><Relationship Id="rId15" Type="http://schemas.openxmlformats.org/officeDocument/2006/relationships/hyperlink" Target="http://www.sec.gov/Archives/edgar/data/../../../ix?doc=/Archives/edgar/data/1707502/000095017025072560/sldb-20250331.htm" TargetMode="External"/><Relationship Id="rId16" Type="http://schemas.openxmlformats.org/officeDocument/2006/relationships/hyperlink" Target="http://www.sec.gov/Archives/edgar/data/../../../ix?doc=/Archives/edgar/data/1707502/000119312525028123/d913726d8k.htm" TargetMode="External"/><Relationship Id="rId17" Type="http://schemas.openxmlformats.org/officeDocument/2006/relationships/hyperlink" Target="http://www.sec.gov/Archives/edgar/data/../../../ix?doc=/Archives/edgar/data/1707502/000119312525028146/d916580d8k.htm" TargetMode="External"/><Relationship Id="rId18" Type="http://schemas.openxmlformats.org/officeDocument/2006/relationships/hyperlink" Target="http://www.sec.gov/Archives/edgar/data/../../../ix?doc=/Archives/edgar/data/1707502/000119312525028691/d908068d8k.htm" TargetMode="External"/><Relationship Id="rId19" Type="http://schemas.openxmlformats.org/officeDocument/2006/relationships/hyperlink" Target="http://www.sec.gov/Archives/edgar/data/1707502/000119312518015776/d520894d8a12b.htm" TargetMode="External"/><Relationship Id="rId20" Type="http://schemas.openxmlformats.org/officeDocument/2006/relationships/hyperlink" Target="http://www.sec.gov/Archives/edgar/data/1707502/000095017023009318/sldb-ex4_2.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27356</Words>
  <Characters>144033</Characters>
  <CharactersWithSpaces>171954</CharactersWithSpaces>
  <Paragraphs>1886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