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33320d424b5.htm"/>
        <w:bookmarkStart w:id="1" w:name="ksd833320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333-277871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17,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987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9875" cy="8858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35,739,810 Shares of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13,888,340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35,739,810 shares of our common stock in this offering and, in lieu of common stock to certain investors that so choose, pre-funded warrants to purchase 13,888,340 shares of our common stock. The purchase price of each pre-funded warrant equals the price per share at which shares of our common stock are being sold to the public in this offering, minus $0.001, and the exercise price of each pre-funded warrant equals $0.001 per share. This prospectus supplement also relates to the offering of the shares of our common stock issuable upon the exercise of such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SLDB. The last reported sales price of our common stock on The Nasdaq Global Select Market on February 14, 2025 was $4.03 per share. 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under applicable Securities and Exchange Commission rules and are subject to reduced public company reporting requirements. See Prospectus SummaryImplications of Being a Smaller Reporting Company.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pPr>
      <w:r>
        <w:rPr>
          <w:rFonts w:ascii="Times New Roman" w:hAnsi="Times New Roman"/>
          <w:b/>
          <w:sz w:val="24"/>
        </w:rPr>
        <w:t>Investing in our common stock and pre-funded warrants involves significant risks. See </w:t>
      </w:r>
      <w:hyperlink w:anchor="srom833320_5">
        <w:r>
          <w:rPr>
            <w:rStyle w:val="InternetLink"/>
            <w:rFonts w:ascii="Times New Roman" w:hAnsi="Times New Roman"/>
            <w:b/>
            <w:sz w:val="24"/>
          </w:rPr>
          <w:t>Risk Factors</w:t>
        </w:r>
      </w:hyperlink>
      <w:r>
        <w:rPr>
          <w:rFonts w:ascii="Times New Roman" w:hAnsi="Times New Roman"/>
          <w:b/>
          <w:sz w:val="24"/>
        </w:rPr>
        <w:t xml:space="preserve"> beginning on page S-10 of this prospectus supplement and in the documents incorporated by reference into this prospectus supplement.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37"/>
        <w:gridCol w:w="358"/>
        <w:gridCol w:w="163"/>
        <w:gridCol w:w="805"/>
        <w:gridCol w:w="60"/>
        <w:gridCol w:w="358"/>
        <w:gridCol w:w="278"/>
        <w:gridCol w:w="1505"/>
        <w:gridCol w:w="60"/>
        <w:gridCol w:w="249"/>
        <w:gridCol w:w="140"/>
        <w:gridCol w:w="1691"/>
        <w:gridCol w:w="168"/>
      </w:tblGrid>
      <w:tr>
        <w:trPr/>
        <w:tc>
          <w:tcPr>
            <w:tcW w:w="2737"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b/>
              </w:rPr>
              <w:t>PER</w:t>
              <w:br/>
              <w:t>PRE-FUNDED</w:t>
            </w:r>
            <w:r>
              <w:rPr/>
              <w:br/>
            </w:r>
            <w:r>
              <w:rPr>
                <w:b/>
              </w:rPr>
              <w:t>WARRANT</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4.0300</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1505" w:type="dxa"/>
            <w:tcBorders/>
            <w:shd w:fill="CCEEFF" w:val="clear"/>
            <w:vAlign w:val="bottom"/>
          </w:tcPr>
          <w:p>
            <w:pPr>
              <w:pStyle w:val="TableContents"/>
              <w:bidi w:val="0"/>
              <w:spacing w:before="0" w:after="283"/>
              <w:jc w:val="right"/>
              <w:rPr/>
            </w:pPr>
            <w:r>
              <w:rPr/>
              <w:t>4.0290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91" w:type="dxa"/>
            <w:tcBorders/>
            <w:shd w:fill="CCEEFF" w:val="clear"/>
            <w:vAlign w:val="bottom"/>
          </w:tcPr>
          <w:p>
            <w:pPr>
              <w:pStyle w:val="TableContents"/>
              <w:bidi w:val="0"/>
              <w:spacing w:before="0" w:after="283"/>
              <w:jc w:val="right"/>
              <w:rPr/>
            </w:pPr>
            <w:r>
              <w:rPr/>
              <w:t>199,987,556.16</w:t>
            </w:r>
          </w:p>
        </w:tc>
        <w:tc>
          <w:tcPr>
            <w:tcW w:w="1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discount(1)</w:t>
            </w:r>
          </w:p>
        </w:tc>
        <w:tc>
          <w:tcPr>
            <w:tcW w:w="35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0.2418</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w:t>
            </w:r>
          </w:p>
        </w:tc>
        <w:tc>
          <w:tcPr>
            <w:tcW w:w="1505" w:type="dxa"/>
            <w:tcBorders/>
            <w:vAlign w:val="bottom"/>
          </w:tcPr>
          <w:p>
            <w:pPr>
              <w:pStyle w:val="TableContents"/>
              <w:bidi w:val="0"/>
              <w:spacing w:before="0" w:after="283"/>
              <w:jc w:val="right"/>
              <w:rPr/>
            </w:pPr>
            <w:r>
              <w:rPr/>
              <w:t>0.2418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91" w:type="dxa"/>
            <w:tcBorders/>
            <w:vAlign w:val="bottom"/>
          </w:tcPr>
          <w:p>
            <w:pPr>
              <w:pStyle w:val="TableContents"/>
              <w:bidi w:val="0"/>
              <w:spacing w:before="0" w:after="283"/>
              <w:jc w:val="right"/>
              <w:rPr/>
            </w:pPr>
            <w:r>
              <w:rPr/>
              <w:t>12,000,086.67</w:t>
            </w:r>
          </w:p>
        </w:tc>
        <w:tc>
          <w:tcPr>
            <w:tcW w:w="1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5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3.7882</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1505" w:type="dxa"/>
            <w:tcBorders/>
            <w:shd w:fill="CCEEFF" w:val="clear"/>
            <w:vAlign w:val="bottom"/>
          </w:tcPr>
          <w:p>
            <w:pPr>
              <w:pStyle w:val="TableContents"/>
              <w:bidi w:val="0"/>
              <w:spacing w:before="0" w:after="283"/>
              <w:jc w:val="right"/>
              <w:rPr/>
            </w:pPr>
            <w:r>
              <w:rPr/>
              <w:t>3.7872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91" w:type="dxa"/>
            <w:tcBorders/>
            <w:shd w:fill="CCEEFF" w:val="clear"/>
            <w:vAlign w:val="bottom"/>
          </w:tcPr>
          <w:p>
            <w:pPr>
              <w:pStyle w:val="TableContents"/>
              <w:bidi w:val="0"/>
              <w:spacing w:before="0" w:after="283"/>
              <w:jc w:val="right"/>
              <w:rPr/>
            </w:pPr>
            <w:r>
              <w:rPr/>
              <w:t>187,987,469.49</w:t>
            </w:r>
          </w:p>
        </w:tc>
        <w:tc>
          <w:tcPr>
            <w:tcW w:w="1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agreed to reimburse the underwriters for certain FINRA-related expenses. See Underwriting for additional information regarding the compensation payable to the underwriters.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underwriters expect to deliver the shares of common stock to the purchasers on or about February 19, 2025. The pre-funded warrants are expected to be delivered against payment on or about February 19, 2025.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William Blair</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Lead Manager </w:t>
      </w:r>
    </w:p>
    <w:p>
      <w:pPr>
        <w:pStyle w:val="TextBody"/>
        <w:bidi w:val="0"/>
        <w:spacing w:before="120" w:after="0"/>
        <w:jc w:val="center"/>
        <w:rPr>
          <w:rFonts w:ascii="Times New Roman" w:hAnsi="Times New Roman"/>
          <w:b/>
          <w:sz w:val="28"/>
        </w:rPr>
      </w:pPr>
      <w:r>
        <w:rPr>
          <w:rFonts w:ascii="Times New Roman" w:hAnsi="Times New Roman"/>
          <w:b/>
          <w:sz w:val="28"/>
        </w:rPr>
        <w:t xml:space="preserve">H.C. Wainwright &amp; Co.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dated February 18,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2">
              <w:r>
                <w:rPr>
                  <w:rStyle w:val="InternetLink"/>
                  <w:rFonts w:ascii="Times New Roman" w:hAnsi="Times New Roman"/>
                  <w:sz w:val="20"/>
                </w:rPr>
                <w:t>CAUTIONARY NOTE REGARDING FORWARD-LOOKING STATEMENTS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7">
              <w:r>
                <w:rPr>
                  <w:rStyle w:val="InternetLink"/>
                  <w:rFonts w:ascii="Times New Roman" w:hAnsi="Times New Roman"/>
                  <w:sz w:val="20"/>
                </w:rPr>
                <w:t>DESCRIPTION OF PRE-FUNDED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rom833320_8">
              <w:r>
                <w:rPr>
                  <w:rStyle w:val="InternetLink"/>
                  <w:rFonts w:ascii="Times New Roman" w:hAnsi="Times New Roman"/>
                  <w:sz w:val="20"/>
                </w:rPr>
                <w:t>MATERIAL U.S. FEDERAL INCOME AND ESTATE TAX CONSIDERATIONS FOR NON-U.S. HOLDERS OF COMMON STOCK AND PRE-FUNDED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rom833320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a">
              <w:r>
                <w:rPr>
                  <w:rStyle w:val="InternetLink"/>
                  <w:rFonts w:ascii="Times New Roman" w:hAnsi="Times New Roman"/>
                  <w:sz w:val="20"/>
                </w:rPr>
                <w:t xml:space="preserve">ABOUT THIS PROSPECTUS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2">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3">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5">
              <w:r>
                <w:rPr>
                  <w:rStyle w:val="InternetLink"/>
                  <w:rFonts w:ascii="Times New Roman" w:hAnsi="Times New Roman"/>
                  <w:sz w:val="20"/>
                </w:rPr>
                <w:t>SOLID BIOSCIENCES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9">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2">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33320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rom83332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we, our, us, Solid, and the Company refer, collectively, to Solid Biosciences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rom833320_2"/>
      <w:bookmarkEnd w:id="4"/>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and expected market growth are forward-looking statements. The words aim, anticipate, believe, continue, could, estimate, expect, intend, may, might, plan, possible, potential, predict, project, seek, should, target, will, or would and similar expressions are intended to identify forward-looking statements, although not all forward-looking statements contain these identifying words.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included or incorporated by reference in this prospectus supplement and the accompanying prospectus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design and results of ongoing and planned preclinical studies and clinical trials for our neuromuscular (e.g., SGT-003, SGT-212), cardiac (e.g., SGT-401, SGT-501, SGT-601) or other future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U.S. and foreign regulatory approval of our neuromuscular (e.g., SGT-003, SGT-212), cardiac (e.g., SGT-401, SGT-501, SGT-601) or other future candidates, and the timing and scope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results of regulatory interactions;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populations and potential market opportunity for our neuromuscular (e.g., SGT-003, SGT-212), cardiac (e.g., SGT-401, SGT-501, SGT-601) or other future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capacity constraints and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commercialize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neuromuscular (e.g., SGT-003, SGT-212), cardiac (e.g., SGT-401, SGT-501, SGT-601) or other future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sales, marketing and distribution capabilities and entry into agreements with third parties to market and sell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neuromuscular (e.g., SGT-003, SGT-212), cardiac (e.g., SGT-401,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capital resources, including our expected use of proceeds from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ongoing losses, future revenue, capital requirements, and need for and ability to obtain additional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and market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regulations, and global economic and political developments on our business, operations, strategy and goals.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particularly in the Risk Factors section in this prospectus supplement and in our Annual Report on Form 10-K for the year ended December 31, 2023 and in our Quarterly Reports on Form 10-Q for the quarter ended September 30, 2024, which are incorporated by reference herein,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rom833320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or pre-funded warrants. You should read this entire prospectus supplement and accompanying prospectus carefully, especially the risks of investing in our common stock or pre-funded warrants discussed under Risk Factors beginning on page S-10 of this prospectus supplement and discussed in our Annual Report on Form 10-K for the year ended December 31, 2023 and in our Quarterly Report on Form 10-Q for the quarter ended September 30, 2024, along with our consolidated financial statements and notes to those consolidated financial statements and the other information incorporated by reference into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life sciences company focused on advancing a portfolio of current and future gene therapy candidates, which we refer to collectively as our Candidates, including SGT-003 for the treatment of Duchenne muscular dystrophy, or Duchenne, SGT-212 for the treatment of Friedreichs ataxia, or FA, SGT-501 for the treatment of Catecholaminergic polymorphic ventricular tachycardia, or CPVT, SGT-601 for the treatment of TNNT2-mediated dilated cardiomyopathy and additional assets for the treatment of genetic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with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develop meaningful therapies for underserved patients with fatal neuromuscular and cardiac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innovative libraries of delivery capsids and other enabling technologies with the potential to have broad impact on the gene therapy field at large;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bring together the leading experts in neuromuscular and cardiac diseases, science, technology, disease management and care;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guided by the needs of these patients.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Initial Clinical Data from INSPIRE DUCHENNE Trial of SGT-003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2025, we announced positive initial data from the Phase 1/2 INSPIRE DUCHENNE trial evaluating SGT-003, a next-generation gene therapy product candidate intended for the treatment of Duchenne. The INSPIRE DUCHENNE trial is a Phase 1/2 first-in-human, open-label, single-dose, multicenter trial designed to evaluate the safety, tolerability and efficacy of SGT-003 in pediatric patients with Duchenne at a dose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1E14vg/kg. SGT-003 is administered as a one-time intravenous infusion. Interim 90-day biopsy data reported in the first three participants showed an average microdystrophin expression of 110%, as measured by western blot, and improvements in multiple biomarkers that are indicators of muscle health and resilience.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90-day data reported of the data cutoff date of February 11, 2025 includes: microdystrophin expression, measures of restoration and activation of key elements of the dystrophin-associated protein complex, key muscle integrity biomarker evaluation, in each case, from the first three participants dosed in the INSPIRE DUCHENNE trial, and interim safety findings from the first six participants dosed in the INSPIRE DUCHENNE trial. The first three participants are two 5-year-old boys and one 7-year-old boy at the time of dosing. The second three participants are a 6-year-old boy and two 7-year-old boys at the time of dosing.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Microdystrophin Expression and Other Measures at Day 90 (N=3)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2755"/>
        <w:gridCol w:w="282"/>
        <w:gridCol w:w="72"/>
        <w:gridCol w:w="535"/>
        <w:gridCol w:w="275"/>
        <w:gridCol w:w="206"/>
        <w:gridCol w:w="160"/>
        <w:gridCol w:w="1180"/>
        <w:gridCol w:w="274"/>
        <w:gridCol w:w="206"/>
        <w:gridCol w:w="160"/>
        <w:gridCol w:w="1180"/>
        <w:gridCol w:w="275"/>
        <w:gridCol w:w="206"/>
        <w:gridCol w:w="211"/>
        <w:gridCol w:w="1131"/>
        <w:gridCol w:w="280"/>
      </w:tblGrid>
      <w:tr>
        <w:trPr/>
        <w:tc>
          <w:tcPr>
            <w:tcW w:w="2755"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7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br/>
              <w:t>(N=3)</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Participant 1</w:t>
            </w:r>
          </w:p>
        </w:tc>
        <w:tc>
          <w:tcPr>
            <w:tcW w:w="27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Participant 2</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Participant 3</w:t>
            </w:r>
          </w:p>
        </w:tc>
        <w:tc>
          <w:tcPr>
            <w:tcW w:w="280"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Microdystrophin</w:t>
            </w:r>
            <w:r>
              <w:rPr>
                <w:rFonts w:ascii="Times New Roman" w:hAnsi="Times New Roman"/>
                <w:sz w:val="20"/>
              </w:rPr>
              <w:t xml:space="preserve"> </w:t>
            </w:r>
            <w:r>
              <w:rPr>
                <w:rFonts w:ascii="Times New Roman" w:hAnsi="Times New Roman"/>
                <w:b/>
                <w:sz w:val="20"/>
              </w:rPr>
              <w:t>Expression % Normal</w:t>
            </w:r>
            <w:r>
              <w:rPr>
                <w:rFonts w:ascii="Times New Roman" w:hAnsi="Times New Roman"/>
                <w:sz w:val="20"/>
              </w:rPr>
              <w:t xml:space="preserve"> (Western Blot)</w:t>
            </w:r>
          </w:p>
        </w:tc>
        <w:tc>
          <w:tcPr>
            <w:tcW w:w="28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135</w:t>
            </w:r>
          </w:p>
        </w:tc>
        <w:tc>
          <w:tcPr>
            <w:tcW w:w="27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112</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84</w:t>
            </w:r>
          </w:p>
        </w:tc>
        <w:tc>
          <w:tcPr>
            <w:tcW w:w="280"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b/>
                <w:sz w:val="20"/>
              </w:rPr>
              <w:t>Microdystrophin</w:t>
            </w:r>
            <w:r>
              <w:rPr>
                <w:rFonts w:ascii="Times New Roman" w:hAnsi="Times New Roman"/>
                <w:sz w:val="20"/>
              </w:rPr>
              <w:t xml:space="preserve"> </w:t>
            </w:r>
            <w:r>
              <w:rPr>
                <w:rFonts w:ascii="Times New Roman" w:hAnsi="Times New Roman"/>
                <w:b/>
                <w:sz w:val="20"/>
              </w:rPr>
              <w:t>Expression % Normal</w:t>
            </w:r>
            <w:r>
              <w:rPr>
                <w:rFonts w:ascii="Times New Roman" w:hAnsi="Times New Roman"/>
                <w:sz w:val="20"/>
              </w:rPr>
              <w:br/>
              <w:t>(Mass Spectrometry)</w:t>
            </w:r>
          </w:p>
        </w:tc>
        <w:tc>
          <w:tcPr>
            <w:tcW w:w="28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119</w:t>
            </w:r>
          </w:p>
        </w:tc>
        <w:tc>
          <w:tcPr>
            <w:tcW w:w="27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53</w:t>
            </w:r>
          </w:p>
        </w:tc>
        <w:tc>
          <w:tcPr>
            <w:tcW w:w="280"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Dystrophin Positive</w:t>
            </w:r>
            <w:r>
              <w:rPr>
                <w:rFonts w:ascii="Times New Roman" w:hAnsi="Times New Roman"/>
                <w:sz w:val="20"/>
              </w:rPr>
              <w:t xml:space="preserve"> </w:t>
            </w:r>
            <w:r>
              <w:rPr>
                <w:rFonts w:ascii="Times New Roman" w:hAnsi="Times New Roman"/>
                <w:b/>
                <w:sz w:val="20"/>
              </w:rPr>
              <w:t>Fibers</w:t>
            </w:r>
            <w:r>
              <w:rPr>
                <w:rFonts w:ascii="Times New Roman" w:hAnsi="Times New Roman"/>
                <w:sz w:val="20"/>
              </w:rPr>
              <w:br/>
              <w:t>(Immunofluorescence)</w:t>
            </w:r>
          </w:p>
        </w:tc>
        <w:tc>
          <w:tcPr>
            <w:tcW w:w="28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78</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77</w:t>
            </w:r>
          </w:p>
        </w:tc>
        <w:tc>
          <w:tcPr>
            <w:tcW w:w="27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70</w:t>
            </w:r>
          </w:p>
        </w:tc>
        <w:tc>
          <w:tcPr>
            <w:tcW w:w="280"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b/>
                <w:sz w:val="20"/>
              </w:rPr>
            </w:pPr>
            <w:r>
              <w:rPr>
                <w:rFonts w:ascii="Times New Roman" w:hAnsi="Times New Roman"/>
                <w:b/>
                <w:sz w:val="20"/>
              </w:rPr>
              <w:t>Vector Copies/Nucleus</w:t>
            </w:r>
          </w:p>
        </w:tc>
        <w:tc>
          <w:tcPr>
            <w:tcW w:w="28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18.7</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19.8</w:t>
            </w:r>
          </w:p>
        </w:tc>
        <w:tc>
          <w:tcPr>
            <w:tcW w:w="27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28.6</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7.6</w:t>
            </w:r>
          </w:p>
        </w:tc>
        <w:tc>
          <w:tcPr>
            <w:tcW w:w="280"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nNOS (neuronal nitric</w:t>
            </w:r>
            <w:r>
              <w:rPr>
                <w:rFonts w:ascii="Times New Roman" w:hAnsi="Times New Roman"/>
                <w:sz w:val="20"/>
              </w:rPr>
              <w:t xml:space="preserve"> </w:t>
            </w:r>
            <w:r>
              <w:rPr>
                <w:rFonts w:ascii="Times New Roman" w:hAnsi="Times New Roman"/>
                <w:b/>
                <w:sz w:val="20"/>
              </w:rPr>
              <w:t>oxide synthase) %</w:t>
            </w:r>
            <w:r>
              <w:rPr>
                <w:rFonts w:ascii="Times New Roman" w:hAnsi="Times New Roman"/>
                <w:sz w:val="20"/>
              </w:rPr>
              <w:t xml:space="preserve"> </w:t>
            </w:r>
            <w:r>
              <w:rPr>
                <w:rFonts w:ascii="Times New Roman" w:hAnsi="Times New Roman"/>
                <w:b/>
                <w:sz w:val="20"/>
              </w:rPr>
              <w:t>Positive Fibers</w:t>
            </w:r>
          </w:p>
        </w:tc>
        <w:tc>
          <w:tcPr>
            <w:tcW w:w="28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48</w:t>
            </w:r>
          </w:p>
        </w:tc>
        <w:tc>
          <w:tcPr>
            <w:tcW w:w="27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b/>
                <w:sz w:val="20"/>
              </w:rPr>
              <w:t>Beta Sarcoglycan %</w:t>
            </w:r>
            <w:r>
              <w:rPr>
                <w:rFonts w:ascii="Times New Roman" w:hAnsi="Times New Roman"/>
                <w:sz w:val="20"/>
              </w:rPr>
              <w:t xml:space="preserve"> </w:t>
            </w:r>
            <w:r>
              <w:rPr>
                <w:rFonts w:ascii="Times New Roman" w:hAnsi="Times New Roman"/>
                <w:b/>
                <w:sz w:val="20"/>
              </w:rPr>
              <w:t>Positive Fibers</w:t>
            </w:r>
          </w:p>
        </w:tc>
        <w:tc>
          <w:tcPr>
            <w:tcW w:w="28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70</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60</w:t>
            </w:r>
          </w:p>
        </w:tc>
        <w:tc>
          <w:tcPr>
            <w:tcW w:w="27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63</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Muscle Integrity Biomarker Evaluation at Day 90 (N=3)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reductions observed in markers of muscle injury and stress: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Serum creatine kinase (CK) (IU/L): -57%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Serum aspartate aminotransferase (AST) (IU/L): -45%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Serum alanine transaminase (ALT) (IU/L): -54%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Serum lactate dehydrogenase (LDH) (IU/L): -60%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 reductions observed in markers of muscle breakdown and dystrophic regeneration: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Serum titin (pmol/L): -42%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Embryonic myosin heavy chain (eMHC) positive fibers: -59%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Measure of Potential Cardiac Benefit: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Day 180, we observed a mean cardiac function increase of 8% (N=2) from baseline as measured by left ventricular ejection fraction. The third participant had not reached Day 180 follow up as of the data cutoff date of February 11,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observed a reduction in serum cardiac hs-troponin I (hs-cTnI) of -36% at Day 90 in one participant who entered the trial with elevated hs-cTnI levels. Two of the first three participants entered the trial with normal baseline cTnI levels.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participants in total (N=6) had elevated troponin at baseline that reduced below initial baseline values post-dose.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Safety Update for the First Six Participants Dosed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SGT-003 was well-tolerated in the first six participants dosed as of the data cutoff date of February 11, 2025. As of the cutoff date, all six participants have reached at least 20 days post SGT-003 treatment. Adverse events observed after SGT-003 treatment were consistent with those observed in AAV gene therapy. No serious adverse events and no suspected unexpected serious adverse reactions were observed, and there was no evidence of thrombotic microangiopathy, atypical hemolytic uremic syndrome, or hemolysis. No AEs of hepatic transaminitis were observed, including no elevated gamma-glutamyl transferase levels. All treatment-related AEs resolved with no sequelae and none of the AEs that were observed required the use of additional immunomodulatory agents such as eculizumab, sirolimus or rituximab. The most common AEs observed were nausea and vomiting; transient thrombocytopenia (including one Grade 3 episode that resolved within days without intervention and with no evidence of hemolysis observed); infusion related hypersensitivity reaction (including one Grade 3 episode of prolonged fever that resolved within days without intervention); and fever. One adverse event of special interest was observed, which was a Grade 1, mild, transient hs-troponin I elevation that resolved without intervention. There was no clinical evidence of myocarditis and no EKG or echocardiographic changes observed in such participant.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Anticipated Milestones in INSPIRE DUCHENNE Trial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Enrollment in the INSPIRE DUCHENNE trial is ongoing, with at least 10 total participants in the trial anticipated to be dosed by early in the second quarter of 2025 and approximately 20 total participants anticipated to be dosed by the fourth quarter of 2025. The seventh participant in the trial was dosed on February 17,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INSPIRE DUCHENNE currently has a total of six active clinical sites in the United States and Canada and approved clinical trial applications in the United Kingdom and Italy. We expect to activate additional trial sites by the end of 2025. In mid-2025, we plan to request a meeting with the U.S. Food and Drug Administration, or the FDA, to discuss the potential for an accelerated approval regulatory pathway for SGT-003.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Planned Clinical Trial of SGT-212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2025, we announced that the FDA cleared our investigational new drug application, or IND, for SGT-212 for the treatment of FA. We anticipate initiating an open-label, multi-center Phase 1b clinical trial of SGT-212 in non-ambulatory and ambulatory adult patients living with FA in the second half of 2025. In the trial, SGT-212 will be administered by dual route of administration: via bilateral infusion to the dentate nuclei using a magnetic resonance imaging-guided device followed by an intravenous infusion. The planned Phase 1b clinical trial is designed to evaluate the safety and tolerability of SGT-212. Exploratory objectives include assessment of preliminary efficacy and pharmacodynamic activity. A minimum of six participants are targeted for enrollment in three cohorts. Cohort 1 is expected to include three non-ambulatory participants, cohort 2 is expected to include three ambulatory participants and cohort 3 is expected to include two non-ambulatory and two ambulatory participants. In total, the participants will be followed for five years after the date of infusion of SGT-212.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FDA has recently granted Fast Track designation to SGT-212 for the treatment of FA.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SGT-501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SGT-501 is our gene therapy candidate for the treatment of CPVT, which is caused by a gain of function mutation in the ryanodine receptor 2 (coded for by the RYR2 gene), referred to as CPVT-1. We are conducting IND-enabling GLP toxicology studies of SGT-501 in non-human primates, with the in-life portion of the six-month toxicology study expected to be completed in the first quarter of 2025. We expect to submit an IND to the FDA for SGT-501 for the treatment of patients with CPVT-1 in the first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FDA has recently granted Rare Pediatric Disease designation for SGT-501.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SGT-601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submitting an IND to the FDA for SGT-601 for the treatment of TNNT2-mediated dilated cardiomyopathy in the second half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Certain Unaudited Preliminary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2024, we estimate that we had cash, cash equivalents and available-for-sale securities of approximately $148.9 million. The estimated cash, cash equivalents and available-for-sale securities amount is preliminary and unaudited, represents managements estimate as of the date of this prospectus supplement, is subject to completion of our financial closing procedures for the year ended December 31, 2024, and does not present all necessary information for a complete understanding of our financial condition as of December 31, 2024, or our results of operations for the year ended December 31, 2024. The actual financial results may differ materially from the preliminary estimated financial information. The preliminary financial data included in this prospectus supplement has been prepared by, and is the responsibility of, our management.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500 Rutherford Avenue, Third Floor, Charlestown, Massachusetts 02129. Our main telephone number is (617) 337-4680. Our website address is www.solidbio.com. The information contained on, or that can be accessed through, our website is not incorporated by reference and is not a part of this prospectus.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stock held by non-affiliates is less than $700 million as of the last business day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the last business day of our most recently completed second fiscal quarter. For so long as we remain a smaller reporting company, we are permitted and intend to rely on exemptions from certain disclosure and other requirements that are applicable to public companies that are not smaller reporting companies. Accordingly, the information contained herein may be different than the information you receive from other public companies in which you hold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rom833320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35,739,810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Pre-funded warrants offered by us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are also offering, in lieu of common stock to certain investors that so choose, pre-funded warrants to purchase 13,888,340 shares of our common stock. The purchase price of each pre-funded warrant equals the price per share at which shares of common stock are being sold in this offering, minus $0.001, and the exercise price of each pre-funded warrant equals $0.001 per share. Each pre-funded warrant will be exercisable at any time after the date of issuance, subject to an ownership limitation. See Description of Pre-Funded Warrants. This prospectus supplement also relates to the offering of the shares of common stock issuable upon the exercise of such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76,318,810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estimate that the net proceeds to us from this offering will be approximately $187.5 million,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expect to use the net proceeds from this offering, together with our existing cash, cash equivalents and available-for-sale securities, to fund research and development expenses, including advancing SGT-003 and our other Candidates and the remainder for general and administrative expenses and other general corporate purposes. See the Use of Proceeds section of this prospectus supplement for a more complete description of the intended use of proceeds from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You should read the Risk Factors section of this prospectus supplement beginning on page S-10 and in our Annual Report on Form 10-K for the year ended December 31, 2023 and in our Quarterly Report on Form 10-Q for the quarter ended September 30, 2024 for a discussion of factors to consider carefully before deciding to invest in shares of our common stock or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Select Market symbol</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SLDB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Without an active trading market, the liquidity of the pre-funded warrants will be limited. See Description of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immediately after this offering is based on 40,579,000 shares of our common stock outstanding as of January 31, 2025,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our common stock issuable upon exercise of the pre-funded warrants that we are offering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2,944,617 shares of our common stock issuable upon exercise of stock options outstanding as of January 31, 2025, at a weighted average exercise price of $18.14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5,574,105 shares of our common stock issuable upon vesting of outstanding restricted stock units as of January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9,230 shares of our common stock issuable upon the exercise of warrants outstanding as of January 31, 2025, at a weighted average exercise price of $47.39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2,712,478 shares of our common stock issuable upon the exercise of pre-funded warrants outstanding as of January 31, 2025, at an exercise price of $0.001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225,864 shares of our common stock available for future issuance, as of January 31, 2025, under our Amended and Restated 2020 Equity Incentive Plan,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772,047 shares of our common stock available for future issuance, as of January 31, 2025, under our Amended and Restated 2021 Employee Stock Purchase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588,086 shares of our common stock available for future issuance, as of January 31, 2025, under our 2024 Inducement Stock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975,496 shares of our common stock issuable to FA212 LLC, or FA212, as a result of the achievement of a development milestone in connection with our asset purchase agreement with FA212.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stock options or vesting of restricted stock units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warrants or pre-funded warrants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pre-funded warrants that we are offering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up to $64.5 million shares of our common stock that remain available for sale as of the date of this prospectus supplement under our at-the-market offering program with Jefferies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rom833320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and pre-funded warrants involves a high degree of risk. Before you decide to invest in our common stock, you should carefully consider the risks and uncertainties described below and under the caption Risk Factor Summary and in Item 1A of Part I in our Annual Report on Form 10-K for the year ended December 31, 2023 and in our Quarterly Report on Form 10-Q for the quarter ended September 30, 2024, together with all other information contained in this prospectus supplement, the accompanying prospectus and in our filings with the Securities and Exchange Commission, or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has been, and in the future is likely to be, volatile and fluctuate substantially, which could result in substantial losses for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stock price has been, and in the future is likely to be, volatile and could be subject to substantial fluctuations in response to various factors, some of which are beyond our control.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shares of common stock at or above the price you paid for your shares of common stock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significant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from the date of issuance until fully exercised by cash exercise or by a cashless exercise. In a cashless exercise, the holder would not pay a cash purchase price upon exercise, but instead would receive upon such exercise the net number of shares of our common stock determined according to the formula set forth in the pre-funded warrant. Accordingly, we will not receive any additional funds upon the cashless exercise of the pre-funded warrants. In addition, the exercise price of each pre-funded warrant is $0.001, and as a result, we will not receive significant additional funds upon a cash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Except for the right to participate in certain dividends and distributions, holders of the pre-funded warrants will have no rights as common stockholders until such holders exercise their pre-funded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except for the right to participate in certain dividends and distributions, such holders will have no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shares of our common stock underlying such pre-funded warrants. Upon exercise of the pre-funded warrants, the holders will be entitled to exercise the rights of a common stockholder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the aggregate number of shares of our common stock beneficially owned by the holder (together with its affiliates) to exceed 4.99% or 9.99%, as elected by the holder, of the number of shares of our common stock outstanding immediately after giving effect to the exercise, as such percentage ownership is determined in accordance with the terms of the pre-funded warrants, unless such percentage is increased upon at least 61 days prior notice, but not in excess of 19.99%.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is the only sole source of gain for an investment in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 stockholder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number of our total outstanding shares may be sold into the market in the near future, which could cause the market price of our common stock to drop significantly, even if our business is performing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or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2020, in connection with the execution of our collaboration and license agreement with Ultragenyx Pharmaceuticals, Inc., we issued and sold 521,719 shares of our common stock to Ultragenyx. For the ten-year period after date of such sale, subject to specified conditions, we have agreed to file a resale registration statement in order to register all or a portion of the shares sold to Ultragenyx.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December 2024, in connection with the execution of our collaboration, patent and know-how license agreement with Mayo Foundation for Medical Education and Research, or Mayo, we issued 360,990 shares of our common stock to Mayo in a private placement. In addition, 975,496 shares of our common stock are issuable to FA212 as a result of the achievement of a development milestone in connection with our asset purchase agreement with FA212. We have agreed to file resale registration statements in order to register all of the shares issued to Mayo and FA212 following the filing of our Annual Report on Form 10-K for the year ended December 31, 2024, or the 2024 Annual Report. </w:t>
      </w:r>
    </w:p>
    <w:p>
      <w:pPr>
        <w:pStyle w:val="TextBody"/>
        <w:bidi w:val="0"/>
        <w:spacing w:before="240" w:after="0"/>
        <w:jc w:val="left"/>
        <w:rPr>
          <w:rFonts w:ascii="Times New Roman" w:hAnsi="Times New Roman"/>
          <w:sz w:val="20"/>
        </w:rPr>
      </w:pPr>
      <w:r>
        <w:rPr>
          <w:rFonts w:ascii="Times New Roman" w:hAnsi="Times New Roman"/>
          <w:sz w:val="20"/>
        </w:rPr>
        <w:t xml:space="preserve">In July 2019, December 2020 and January 2024, we completed private placements of shares of our common stock and pre-funded warrants to purchase shares of our common stock to several accredited investors. In December 2022, we also issued shares of our common stock in the acquisition of AavantiBio, Inc. and in a related private placement to several accredited investors. We have filed registration statements covering the resale of these shares by the purchasers in these private 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on file with the SEC a universal shelf registration statement which allows us to offer and sell registered common stock, preferred stock, debt securities, depositary shares, warrants and/or units from time to time pursuant to one or more offerings at prices and terms to be determined at the time of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losses and expect to incur substantial future losses. We expect this offering to close on February 19, 2025, however, if the offering is not completed prior to the filing of our 2024 Annual Report or if we do not raise sufficient funds by other means, we will have, and the opinion from our independent registered public accounting firm will express,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estimate that we had cash, cash equivalents and available-for-sale securities of approximately $148.9 million. The estimated cash, cash equivalents and available-for-sale securities amount is preliminary and unaudited, represents managements estimate as of the date of this prospectus supplement, is subject to completion of our financial closing procedures for the year ended December 31, 2024, and does not present all necessary information for a complete understanding of our financial condition as of December 31, 2024, or our results of operations for the year ended December 31, 2024. The actual financial results may differ materially from the preliminary estimated financial information. We have incurred significant net losses since inception and also expect to incur substantial losses in future periods. Our continuation as a going concern is dependent on our ability to generate sufficient cash flows from public and private equity offerings, debt financings, strategic partnerships and alliances and licensing arrangements, or other sources. Based upon our current operating plan, we expect that our estimated current cash, cash equivalents and available-for-sale securities as of December 31, 2024 will be sufficient to fund our operations into the first quarter of 2026. Because our funds currently on hand will not be sufficient to fund our operations, as currently planned, for more than one year beyond the filing date of this prospectus supplement, we have determined that there is substantial doubt regarding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expect this offering to close on February 19, 2025, however, if this offering is not completed prior to the filing of our 2024 Annual Report or if we do not raise sufficient funds through other means, then we expect that we will disclose in such filing that we would have substantial doubt about our ability to fund our operations for more than one year beyond the filing date of the 2024 Annual Report. We would also expect that the opinion from our independent registered public accounting firm on such annual financial statements contained in our 2024 Annual Report would contain an explanatory paragraph about such substantial doubt about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continue as a going concern. There is no assurance that we will be successful in obtaining sufficient funding on acceptable terms, if at all. If we are unable to obtain sufficient funding when needed and/or on acceptable terms, we may be required to significantly curtail, delay or discontinue one or more of our research and development programs, the manufacture of clinical supplies, product portfolio expansion or pre-commercialization efforts, which could adversely affect our business prospects, or we may be unable to continue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rom83332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issuance and sale of 35,739,810 shares of common stock and pre-funded warrants to purchase 13,888,340 shares of common stock in this offering will be approximately $187.5 million,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had cash, cash equivalents and available-for-sale securities of approximately $148.9 million as of December 31, 2024. The estimated cash, cash equivalents and available-for-sale securities amount is preliminary and unaudited, represents managements estimate as of the date of this prospectus supplement, is subject to completion of our financial closing procedures for the year ended December 31, 2024, and does not present all necessary information for a complete understanding of our financial condition as of December 31, 2024, or our results of operations for the year ended December 31, 2024. The actual financial results may differ materially from the preliminary estimated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expect to use the net proceeds from this offering, together with our existing cash, cash equivalents and available-for-sale securities, to fund research and development expenses, including advancing SGT-003 and our other Candidates, and the remainder for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net proceeds from this offering represents our current intentions based upon our present plans and business condition, which could change in the future as our plans and business conditions evolve. The amounts and timing of our actual expenditures will depend on numerous factors, including the progress of our development efforts, the status of and results from clinical trials and preclinical studies, the timing of regulatory submissions and the outcome of regulatory review or other interactions with regulators, as well as any collaborations that we may enter into with third parties for our Candidates, and any unforeseen cash needs. We therefore cannot estimate with certainty all of the particular uses for the net proceeds to be received upon the completion of this offering or the amount of net proceeds to be used for the purposes described above. We may find it necessary or advisable to use the net proceeds for other purposes, and management will have broad discretion in the application of the net proceeds. </w:t>
      </w:r>
    </w:p>
    <w:p>
      <w:pPr>
        <w:pStyle w:val="TextBody"/>
        <w:bidi w:val="0"/>
        <w:spacing w:before="240" w:after="0"/>
        <w:jc w:val="left"/>
        <w:rPr>
          <w:rFonts w:ascii="Times New Roman" w:hAnsi="Times New Roman"/>
          <w:sz w:val="20"/>
        </w:rPr>
      </w:pPr>
      <w:r>
        <w:rPr>
          <w:rFonts w:ascii="Times New Roman" w:hAnsi="Times New Roman"/>
          <w:sz w:val="20"/>
        </w:rPr>
        <w:t xml:space="preserve">Based upon our current operating plans, we believe that the net proceeds from this offering, together with our existing cash, cash equivalents and available-for-sale securities, will enable us to fund our operating expenses and capital expenditure requirements into the first half of 2027. We have based this estimate on assumptions that may prove to be wrong, and we could use our available capital resources sooner than we currently expect, in which case we would need to obtain additional funding, which may not be available to us on acceptable terms, or at all. We do not expect that our existing cash, cash equivalents and available-for-sale securities and net proceeds from this offering alone will be sufficient to enable us to fund the completion of the development of any of our Candidates. </w:t>
      </w:r>
    </w:p>
    <w:p>
      <w:pPr>
        <w:pStyle w:val="TextBody"/>
        <w:bidi w:val="0"/>
        <w:spacing w:before="240" w:after="0"/>
        <w:jc w:val="left"/>
        <w:rPr>
          <w:rFonts w:ascii="Times New Roman" w:hAnsi="Times New Roman"/>
          <w:sz w:val="20"/>
        </w:rPr>
      </w:pPr>
      <w:r>
        <w:rPr>
          <w:rFonts w:ascii="Times New Roman" w:hAnsi="Times New Roman"/>
          <w:sz w:val="20"/>
        </w:rPr>
        <w:t xml:space="preserve">We may also use a portion of the net proceeds from this offering for the future acquisition or in-license of other products, product candidates, businesses or technologies, although we have no current agreements or commitments for any such material acquisitions or licenses of any products, businesses or technologies. Pending our use of the net proceeds from this offering,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rom833320_7"/>
      <w:bookmarkEnd w:id="9"/>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in this offering.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purchasers. The form of pre-funded warrant will be filed as an exhibit to a Current Report on Form 8-K that we expect to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Term and 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following their issuance date. The pre-funded warrants will be exercisable, at the option of each holder, in whole or in part by delivering to us a duly executed exercise notice accompanied by payment of the exercise price in cash or by means of a cashless exercise. If the holder elects a cashless exercise in lieu of making a cash payment, the holder will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pay the holder an amount in cash equal to the fractional amount multiplied by the last trade price of our common stock on the exercise date.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the aggregate number of shares of our common stock beneficially owned by such holder (together with its affiliates) to exceed 4.99% or 9.99%, as elected by the holder, of the number of shares of our common stock outstanding immediately after giving effect to the exercise, as such percentage ownership is determined in accordance with the terms of the pre-funded warrants. However, any holder of a pre-funded warrant may increase such percentage to any other percentage not in excess of 19.99% provided that such increase will not be effective until the 61st day after notice from the holder is delivered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our common stock purchasable upon the exercise of the pre-funded warrants is $0.001 per share.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as well as upon any distribution of assets, including cash, stock or other property, to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The pre-funded warrants will be held in definitive form by the warrant agent. The ownership of the pre-funded warrants and any transfers of the pre-funded warrants will be registered in a warrant register maintained by the warrant agent. We will initially act as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and we do not expect a market to develop. We do not intend to list the pre-funded warrants on The Nasdaq Global Select Market or any other national securities exchange or any other nationally recognized trading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and except for the right to participate in certain dividends and distributions, the holder of a pre-funded warrant does not have the rights or privileges of a holder of our common stock, including any voting rights, until such holder exercises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Waivers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No term of the pre-funded warrant may be amended or waived without the written consent of the holder of such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rom833320_8"/>
      <w:bookmarkEnd w:id="10"/>
      <w:r>
        <w:rPr>
          <w:rFonts w:ascii="Times New Roman" w:hAnsi="Times New Roman"/>
          <w:b/>
          <w:sz w:val="20"/>
        </w:rPr>
        <w:t xml:space="preserve">MATERIAL U.S. FEDERAL INCOME AND ESTATE TAX CONSIDERATIONS FOR NON-U.S. HOLDERS OF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material U.S. federal income and estate tax considerations relating to the ownership and disposition of shares of our common stock and pre-funded warrants acquired in this offering by a non-U.S. holder. For purposes of this discussion, the term non-U.S. holder means a beneficial owner (other than a partnership or other pass-through entity) of our common stock or pre-funded warrants that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or of any political subdivision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or arrangements that are pass-through entities for U.S. federal income tax purposes or persons who hold shares of our common stock or pre-funded warrants through partnerships or such other pass-through entities or arrangements.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non-U.S. holders that hold shares of our common stock or pre-funded warrants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any alternative minimum tax, special tax accounting rules under Section 451(b) of the Code, or the Medicare tax on net investment income.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investment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including qualified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or pre-funded warrants as part of a straddle, hedge, conversion transaction, synthetic security or other integrated investment or who have elected to mark securities to market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governments;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and former citizens or former long-term residents of the United States.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 ONLY AND IS NOT, AND IS NOT INTENDED TO BE, LEGAL OR TAX ADVICE. PROSPECTIVE INVESTORS SHOULD CONSULT THEIR OWN TAX ADVISORS REGARDING THE U.S. FEDERAL, STATE, LOCAL, AND NON-U.S. INCOME AND OTHER TAX CONSIDERATIONS OF ACQUIRING, HOLDING AND DISPOSING OF OUR COMMON STOCK OR PRE-FUNDED WARRANTS, INCLUDING THE CONSEQUENCES OF ANY PROPOSED CHANGES IN APPLICABLE LAWS. </w:t>
      </w:r>
    </w:p>
    <w:p>
      <w:pPr>
        <w:pStyle w:val="TextBody"/>
        <w:bidi w:val="0"/>
        <w:spacing w:before="24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a pre-funded warrant should be treated as a share of our common stock for U.S. federal income tax purposes and a holder of pre-funded warrants should generally be taxed in the same manner as a holder of common stock as described below. Accordingly, upon exercise, = the holding period of a pre-funded warrant should carry over to the share of common stock received. Similarly, the tax basis of the pre-funded warrant should carry over to the share of common stock received upon exercise increased by the exercise price per share. Our characterization is not binding on the IRS, and the IRS may treat our pre-funded warrants as warrants to acquire shares of our common stock. In that case, the amount and character of a holders gain with respect to an investment in pre-funded warrants pursuant to this offering could be materially different than the discussion set forth below. Each holder should consult his, her or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pay cash dividends to holders of our common stock or pre-funded warrants in the foreseeable future. If we make distributions in respect of our common stock or pre-funded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or pre-funded warrants (and will reduce the non-U.S. holders basis in the common stock or pre-funded warrants, but not below zero). Any remaining excess will be treated as capital gain, subject to the tax treatment described below under the heading Gain on sale, exchange or other taxable disposition of our common stock or pre-funded warrants. Any such distributions will also be subject to the discussions below under the headings Information reporting and backup withholding and FATCA.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or pre-funded warrants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eligible for a reduced rate of U.S. withholding tax under an income tax treaty may obtain a refund or credit of any excess amounts withheld by timely filing an appropriate U.S. federal income tax return with the IRS. Non-U.S. holders are urged to consult their own tax advisors regarding their entitlement to benefits under a relevant income tax treaty and the specific methods available to them to satisfy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the headings Information reporting and backup withholding and FATCA, a non-U.S. holder generally will not be subject to U.S. federal income tax on any gain realized upon such non-U.S. holders sale, exchange or other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provided that the non-U.S. holder has timely filed U.S. federal income tax returns with respect to such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Special rules may apply to a holder of a pre-funded warrant. Non-U.S. holders are urged to consult their own tax advisors regarding the application of these rules to pre-funded warrants.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gross amount of the distributions on our common stock or pre-funded warrants paid to such holder and the tax withheld, if any, with respect to such distributions. Non-U.S. holders, other than certain exempt holders, generally will have to comply with specific certification procedures to establish that the holder is not a U.S. person (as defined in the Code) in order to avoid backup withholding at the applicable rate with respect to dividends on our common stock or pre-funded warrants.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will apply to the proceeds of a disposition of our common stock or pre-funded warrants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can be refunded or credited against the non-U.S. holders U.S. federal income tax liability, if any, provided that an appropriate U.S. federal income tax return is timely filed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30% withholding tax on dividends on, and gross proceeds from the sale or other disposition of, our common stock or pre-funded warrants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 </w:t>
      </w:r>
    </w:p>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applies to payments of dividends on our common stock or pre-funded warrants. While withholding under FATCA may also apply to payments of gross proceeds from a sale or other disposition of our common stock or pre-funded warrants, under proposed U.S. Treasury Regulations, withholding on payments of gross proceeds is not required. Although such proposed regulations are not final, applicable withholding agents may rely on the proposed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If withholding under FATCA is required on any payment related to our common stock or pre-funded warrants, investors not otherwise subject to withholding (or that otherwise would be entitled to a reduced rate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or pre-funded warrants and the entities through which they hold our common stock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or pre-funded warrants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or pre-funded warrants, therefore, may be subject to U.S. federal estate tax, unless an applicable estate tax or other treaty provides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material U.S. federal tax considerations is for information purposes. It is not, and is not intended to be, legal or tax advice. Prospective investors should consult their own tax advisors regarding the particular U.S. federal, state, local, and non-U.S. income and other tax consequences of acquiring, holding and disposing of our common stock or pre-funded warrants, including the consequences of any proposed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rom833320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between us and Jefferies LLC and Leerink Partners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and pre-funded warrants shown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8"/>
        <w:gridCol w:w="290"/>
        <w:gridCol w:w="60"/>
        <w:gridCol w:w="1103"/>
        <w:gridCol w:w="60"/>
        <w:gridCol w:w="290"/>
        <w:gridCol w:w="64"/>
        <w:gridCol w:w="1197"/>
        <w:gridCol w:w="63"/>
      </w:tblGrid>
      <w:tr>
        <w:trPr/>
        <w:tc>
          <w:tcPr>
            <w:tcW w:w="4628"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28" w:type="dxa"/>
            <w:tcBorders/>
            <w:vAlign w:val="bottom"/>
          </w:tcPr>
          <w:p>
            <w:pPr>
              <w:pStyle w:val="TableContents"/>
              <w:bidi w:val="0"/>
              <w:spacing w:before="0" w:after="283"/>
              <w:jc w:val="left"/>
              <w:rPr>
                <w:b/>
              </w:rPr>
            </w:pPr>
            <w:r>
              <w:rPr>
                <w:b/>
              </w:rPr>
              <w:t>Underwriter</w:t>
            </w:r>
          </w:p>
        </w:tc>
        <w:tc>
          <w:tcPr>
            <w:tcW w:w="290"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4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16,976,410</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6,596,962</w:t>
            </w:r>
          </w:p>
        </w:tc>
        <w:tc>
          <w:tcPr>
            <w:tcW w:w="63" w:type="dxa"/>
            <w:tcBorders/>
            <w:shd w:fill="CCEEFF" w:val="clear"/>
            <w:vAlign w:val="bottom"/>
          </w:tcPr>
          <w:p>
            <w:pPr>
              <w:pStyle w:val="TableContents"/>
              <w:bidi w:val="0"/>
              <w:spacing w:before="0" w:after="283"/>
              <w:jc w:val="left"/>
              <w:rPr/>
            </w:pPr>
            <w:r>
              <w:rPr/>
              <w:t> </w:t>
            </w:r>
          </w:p>
        </w:tc>
      </w:tr>
      <w:tr>
        <w:trPr/>
        <w:tc>
          <w:tcPr>
            <w:tcW w:w="4628"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15,189,419</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5,902,544</w:t>
            </w:r>
          </w:p>
        </w:tc>
        <w:tc>
          <w:tcPr>
            <w:tcW w:w="63" w:type="dxa"/>
            <w:tcBorders/>
            <w:vAlign w:val="bottom"/>
          </w:tcPr>
          <w:p>
            <w:pPr>
              <w:pStyle w:val="TableContents"/>
              <w:bidi w:val="0"/>
              <w:spacing w:before="0" w:after="283"/>
              <w:jc w:val="left"/>
              <w:rPr/>
            </w:pPr>
            <w:r>
              <w:rPr/>
              <w:t> </w:t>
            </w:r>
          </w:p>
        </w:tc>
      </w:tr>
      <w:tr>
        <w:trPr/>
        <w:tc>
          <w:tcPr>
            <w:tcW w:w="4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2,680,486</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1,041,626</w:t>
            </w:r>
          </w:p>
        </w:tc>
        <w:tc>
          <w:tcPr>
            <w:tcW w:w="63" w:type="dxa"/>
            <w:tcBorders/>
            <w:shd w:fill="CCEEFF" w:val="clear"/>
            <w:vAlign w:val="bottom"/>
          </w:tcPr>
          <w:p>
            <w:pPr>
              <w:pStyle w:val="TableContents"/>
              <w:bidi w:val="0"/>
              <w:spacing w:before="0" w:after="283"/>
              <w:jc w:val="left"/>
              <w:rPr/>
            </w:pPr>
            <w:r>
              <w:rPr/>
              <w:t> </w:t>
            </w:r>
          </w:p>
        </w:tc>
      </w:tr>
      <w:tr>
        <w:trPr/>
        <w:tc>
          <w:tcPr>
            <w:tcW w:w="4628" w:type="dxa"/>
            <w:tcBorders/>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893,495</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347,208</w:t>
            </w:r>
          </w:p>
        </w:tc>
        <w:tc>
          <w:tcPr>
            <w:tcW w:w="63" w:type="dxa"/>
            <w:tcBorders/>
            <w:vAlign w:val="bottom"/>
          </w:tcPr>
          <w:p>
            <w:pPr>
              <w:pStyle w:val="TableContents"/>
              <w:bidi w:val="0"/>
              <w:spacing w:before="0" w:after="283"/>
              <w:jc w:val="left"/>
              <w:rPr/>
            </w:pPr>
            <w:r>
              <w:rPr/>
              <w:t> </w:t>
            </w:r>
          </w:p>
        </w:tc>
      </w:tr>
      <w:tr>
        <w:trPr/>
        <w:tc>
          <w:tcPr>
            <w:tcW w:w="462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35,739,810</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13,888,340</w:t>
            </w:r>
          </w:p>
        </w:tc>
        <w:tc>
          <w:tcPr>
            <w:tcW w:w="63" w:type="dxa"/>
            <w:tcBorders/>
            <w:shd w:fill="CCEEFF" w:val="clear"/>
            <w:vAlign w:val="bottom"/>
          </w:tcPr>
          <w:p>
            <w:pPr>
              <w:pStyle w:val="TableContents"/>
              <w:bidi w:val="0"/>
              <w:spacing w:before="0" w:after="283"/>
              <w:jc w:val="left"/>
              <w:rPr/>
            </w:pPr>
            <w:r>
              <w:rPr/>
              <w:t> </w:t>
            </w:r>
          </w:p>
        </w:tc>
      </w:tr>
      <w:tr>
        <w:trPr/>
        <w:tc>
          <w:tcPr>
            <w:tcW w:w="462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shares of common stock and pre-funded warrants to the public at the public offering prices set forth on the cover page of this prospectus and to certain dealers, which may include the underwriters, at that price less a concession not in excess of $0.14508 per share or pre-funded warrant. After the offering, the initial public offering price, concession and reallowance to dealers may be reduced by the representatives. No such reduction will change the amount of proceeds to be received by us as set forth on the cover page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underwriters and the proceeds, before expenses, to us in connection with this offering.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22"/>
        <w:gridCol w:w="318"/>
        <w:gridCol w:w="155"/>
        <w:gridCol w:w="761"/>
        <w:gridCol w:w="60"/>
        <w:gridCol w:w="318"/>
        <w:gridCol w:w="213"/>
        <w:gridCol w:w="1133"/>
        <w:gridCol w:w="60"/>
        <w:gridCol w:w="318"/>
        <w:gridCol w:w="155"/>
        <w:gridCol w:w="1694"/>
        <w:gridCol w:w="65"/>
      </w:tblGrid>
      <w:tr>
        <w:trPr/>
        <w:tc>
          <w:tcPr>
            <w:tcW w:w="3322"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22"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1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4.0300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4.0290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694" w:type="dxa"/>
            <w:tcBorders/>
            <w:shd w:fill="CCEEFF" w:val="clear"/>
            <w:vAlign w:val="bottom"/>
          </w:tcPr>
          <w:p>
            <w:pPr>
              <w:pStyle w:val="TableContents"/>
              <w:bidi w:val="0"/>
              <w:spacing w:before="0" w:after="283"/>
              <w:jc w:val="right"/>
              <w:rPr/>
            </w:pPr>
            <w:r>
              <w:rPr/>
              <w:t>199,987,556.16</w:t>
            </w:r>
          </w:p>
        </w:tc>
        <w:tc>
          <w:tcPr>
            <w:tcW w:w="65" w:type="dxa"/>
            <w:tcBorders/>
            <w:shd w:fill="CCEEFF" w:val="clear"/>
            <w:vAlign w:val="bottom"/>
          </w:tcPr>
          <w:p>
            <w:pPr>
              <w:pStyle w:val="TableContents"/>
              <w:bidi w:val="0"/>
              <w:spacing w:before="0" w:after="283"/>
              <w:jc w:val="left"/>
              <w:rPr/>
            </w:pPr>
            <w:r>
              <w:rPr/>
              <w:t> </w:t>
            </w:r>
          </w:p>
        </w:tc>
      </w:tr>
      <w:tr>
        <w:trPr/>
        <w:tc>
          <w:tcPr>
            <w:tcW w:w="332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31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0.2418</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0.2418</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694" w:type="dxa"/>
            <w:tcBorders/>
            <w:vAlign w:val="bottom"/>
          </w:tcPr>
          <w:p>
            <w:pPr>
              <w:pStyle w:val="TableContents"/>
              <w:bidi w:val="0"/>
              <w:spacing w:before="0" w:after="283"/>
              <w:jc w:val="right"/>
              <w:rPr/>
            </w:pPr>
            <w:r>
              <w:rPr/>
              <w:t>12,000,086.67</w:t>
            </w:r>
          </w:p>
        </w:tc>
        <w:tc>
          <w:tcPr>
            <w:tcW w:w="65" w:type="dxa"/>
            <w:tcBorders/>
            <w:vAlign w:val="bottom"/>
          </w:tcPr>
          <w:p>
            <w:pPr>
              <w:pStyle w:val="TableContents"/>
              <w:bidi w:val="0"/>
              <w:spacing w:before="0" w:after="283"/>
              <w:jc w:val="left"/>
              <w:rPr/>
            </w:pPr>
            <w:r>
              <w:rPr/>
              <w:t> </w:t>
            </w:r>
          </w:p>
        </w:tc>
      </w:tr>
      <w:tr>
        <w:trPr/>
        <w:tc>
          <w:tcPr>
            <w:tcW w:w="3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1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3.7882</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3.7872</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694" w:type="dxa"/>
            <w:tcBorders/>
            <w:shd w:fill="CCEEFF" w:val="clear"/>
            <w:vAlign w:val="bottom"/>
          </w:tcPr>
          <w:p>
            <w:pPr>
              <w:pStyle w:val="TableContents"/>
              <w:bidi w:val="0"/>
              <w:spacing w:before="0" w:after="283"/>
              <w:jc w:val="right"/>
              <w:rPr/>
            </w:pPr>
            <w:r>
              <w:rPr/>
              <w:t>187,987,469.49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$470,000. The underwriters have also agreed to reimburse us for certain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has been listed on The Nasdaq Global Select Market under the trading symbol SLDB. There is no established public trading market for the pre-funded warrants, and we do not expect a market to develop. We do not intend to list the pre-funded warrants on The Nasdaq Global Select Market or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lend to purchase or otherwise transfer or dispose of, directly or indirectly, or file with the SEC a registration statement under the Securities Act relating to, any shares of our common stock or any securities convertible into or exercisable or exchangeable for any shares of our common stock, or publicly disclose the intention to make any offer, sale, pledge, disposition or filing, or otherwise undertake any of the foregoing or (ii) enter into any swap or other agreement that transfers all or any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Jefferies LLC and Leerink Partners LLC on behalf of the underwriters for a period of 60 days after the date of this prospectus, subject to certain exceptions. Such exceptions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securities to the underwriters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our common stock issued upon the exercise of options or vesting of restricted stock units granted under our stock-based compensation plans or warrants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exercise of any warrant or option or the conversion of our units outstanding on the date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up to 5% of our outstanding securities in connection with mergers, acquisitions, licenses or commercial collaboration or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any resale registration statement on Form S-3 relating to common stock issued or issuable in connection with mergers, acquisitions, licenses or commercial collaboration or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any registration statement on Form S-8 relating to shares of our common stock granted pursuant to or reserved for issuance under our stock-based compensation plans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under our at-the-market offering program pursuant to our sales agreement with Jefferies LLC, provided that no such sales shall be made until 30 days from the date of this prospectus;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of warrant shares upon exercise of pre-funded warrants issued in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directors, executive officers and certain of our stockholders have entered into lock-up agreements with the underwriters prior to the commencement of this offering pursuant to which each of these persons or entities, with limited exceptions, for a period of 60 days after the date of this prospectus supplement, may not, without the prior written consent of Jefferies LLC and Leerink Partners LLC on behalf of the underwriters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publicly disclose the intention to make any offer, sale, pledge or disposition, (2) enter into any hedging swap or other agreement or transaction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in each case, subject to certain exceptions. Such exceptions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shares of common stock or other securities purchased in this offering or in open market transactions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including by net or cashless exercise, so long as exercised in accordance with clauses (C) and (D) below, of any options or warrants to acquire shares of common stock or the conversion of any convertible security into common stock described in the registration statement and this prospectus, or issued pursuant to an equity plan described in the registration statement and this prospectus, it being understood that any shares of common stock received shall be subject to the restrictions on transfer set forth in the lock-up agreements,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to us of such number of shares of common stock acquired in connection with the exercise of options or warrants on a net or cashless exercise basis described in the foregoing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to us of such number of shares of common stock necessary to generate only such amount of cash needed for the payment of taxes (including estimated taxes) due as a result of the exercise of such options or warrant described in clause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sale or other disposition of shares of common stock in connection with the vesting or settlement of restricted stock units in an amount sufficient to cover withholding taxes due in connection with such vesting or settlement or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as a bona fide gift or gifts or pursuant to a negotiated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qualified domestic relations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or transfers of shares of common stock or other securities to subsidiaries, limited or general partners, members, stockholders or affiliates of, or any investment fund or other entity that controls or manages, the transferor;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other securities to any immediate family member, trusts for the direct or indirect benefit of the transferor or the immediate family members of the transferor or any of their successors upon death, or any partnerships or limited liability company, the partners or members of which consist of or are for the direct or indirect benefit of the transferor and/or immediate family members or other dependents of the transferor, (for these purposes, immediate family means any relationship by blood, marriage or adoption, not more remote than first cousin);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other securities by will, other testamentary document or intestate succession to the legal representative, heir, beneficiary or a member of the immediate family of the transferor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forfeiture, sale or other transfer to us of any shares of common stock or other securities in connection with the termination of the transferors employment with or services to the company, provided that no public announcement reporting a reduction in the beneficial ownership shall be voluntarily made, and any required announcement, including any announcement under the Exchange Act, shall clearly indicate the reason for such reduction;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pursuant to a contract, instruction or plan meeting the requirements of Rule 10b5-1 under the Exchange Act, or a 10b5-1 Plan; provided that such 10b5-1 Plan was established prior to the execution of the lock-up agreement, the existence and details of such 10b5-1 Plan were communicated to Jefferies LLC and Leerink Partners LLC and such 10b5-1 Plan will not be amended or otherwise modified during the restricted period referred to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clauses (F), (G), (H), (I) and (J), each donee, distributee or transferee shall execute and deliver to Jefferies LLC and Leerink Partners LLC a lock-up letter; and provided, further, that in the case of any transfer or distribution pursuant to clauses (A) through (F) and (H) through (J), no filing by any party (donor, donee, transferor or transferee) under the Exchange Act or other public announcement reporting a reduction in the beneficial ownership shall be required or shall be made voluntarily in connection with such transfer or distribution (other than a filing on a Form 144 and Form 4 that clearly indicate the reason for such reduction and a filing on Form 5 or 13F filing made after the expiration of the restricted period and any required Schedule 13G (or 13G/A)). </w:t>
      </w:r>
    </w:p>
    <w:p>
      <w:pPr>
        <w:pStyle w:val="TextBody"/>
        <w:bidi w:val="0"/>
        <w:spacing w:before="240" w:after="0"/>
        <w:jc w:val="left"/>
        <w:rPr>
          <w:rFonts w:ascii="Times New Roman" w:hAnsi="Times New Roman"/>
          <w:sz w:val="20"/>
        </w:rPr>
      </w:pPr>
      <w:r>
        <w:rPr>
          <w:rFonts w:ascii="Times New Roman" w:hAnsi="Times New Roman"/>
          <w:sz w:val="20"/>
        </w:rPr>
        <w:t xml:space="preserve">The lock-up agreements will not apply to the establishment of 10b5-1 Plan by any director, executive officer or stockholder pursuant to Rule 10b5-1 under the Exchange Act for the transfer of shares of common stock, provided that such plan does not provide for the transfer of common stock during the restricted period referred to above and no public announcement or filing under the Exchange Act, if any, is required of or is voluntarily made by or on behalf of such director, executive officer or stockholder or us regarding such plan. </w:t>
      </w:r>
    </w:p>
    <w:p>
      <w:pPr>
        <w:pStyle w:val="TextBody"/>
        <w:bidi w:val="0"/>
        <w:spacing w:before="360" w:after="0"/>
        <w:jc w:val="left"/>
        <w:rPr>
          <w:rFonts w:ascii="Times New Roman" w:hAnsi="Times New Roman"/>
          <w:b/>
          <w:sz w:val="20"/>
        </w:rPr>
      </w:pPr>
      <w:r>
        <w:rPr>
          <w:rFonts w:ascii="Times New Roman" w:hAnsi="Times New Roman"/>
          <w:b/>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underwriters have advised us that they may engage in short sale transactions and stabilizing transactions in connection with this offering. These activities may have the effect of stabilizing or maintaining the market price of the common stock at a level above that which might otherwise prevail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our common stock in the open market. These transactions may include short sales, purchases on the open market to cover positions created by short sales and stabilizing transactions. Because we have not granted the underwriters an option to purchase additional shares, the underwriters must close out any short position by purchasing shares in the open market. A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our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Jefferies LLC is the sales agent under our at-the-market offering program.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Issuer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UK who is not a relevant person must not act on or rely upon this document or any of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or the Shares has been or will be filed with or approved by any Swiss regulatory authority. In particular, this document will not be filed with, and the offer of the Shares will not be supervised by, the Swiss Financial Market Supervisory Authority, or FINMA, and the offer of the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offered or sold by means of any document other than (i) in circumstances that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Law of Japan, or the Financial Instruments and Exchange Law, and each underwriter has agreed that it will not offer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w:t>
      </w:r>
    </w:p>
    <w:p>
      <w:pPr>
        <w:pStyle w:val="TextBody"/>
        <w:bidi w:val="0"/>
        <w:spacing w:before="240" w:after="0"/>
        <w:jc w:val="left"/>
        <w:rPr>
          <w:rFonts w:ascii="Times New Roman" w:hAnsi="Times New Roman"/>
          <w:sz w:val="20"/>
        </w:rPr>
      </w:pPr>
      <w:r>
        <w:rPr>
          <w:rFonts w:ascii="Times New Roman" w:hAnsi="Times New Roman"/>
          <w:sz w:val="20"/>
        </w:rPr>
        <w:t xml:space="preserve">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4A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(Shares and Debentures) Regulations 2005 of Singapore.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rom83332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is being passed upon for us by Wilmer Cutler Pickering Hale and Dorr LLP, Boston, Massachusetts. Davis Polk &amp; Wardwell LLP, New York, New York is acting as counsel for the underwriters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rom83332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rom833320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supplement and is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rom833320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and the accompanying prospectus much of the information we file with the SEC, which means that we can disclose important information to you by referring you to those publicly available documents. The information that we incorporate by reference into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001-38360)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as filed with the SEC on March 13, 2024,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2024 Annual Meeting of Stockholders, as filed with the SEC on April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March 31, 2024, June 30, 2024 and September 30, 2024, as filed with the SEC on </w:t>
            </w:r>
            <w:hyperlink r:id="rId5">
              <w:r>
                <w:rPr>
                  <w:rStyle w:val="InternetLink"/>
                  <w:rFonts w:ascii="Times New Roman" w:hAnsi="Times New Roman"/>
                  <w:sz w:val="20"/>
                </w:rPr>
                <w:t>May 15, 2024</w:t>
              </w:r>
            </w:hyperlink>
            <w:r>
              <w:rPr>
                <w:rFonts w:ascii="Times New Roman" w:hAnsi="Times New Roman"/>
                <w:sz w:val="20"/>
              </w:rPr>
              <w:t xml:space="preserve">, </w:t>
            </w:r>
            <w:hyperlink r:id="rId6">
              <w:r>
                <w:rPr>
                  <w:rStyle w:val="InternetLink"/>
                  <w:rFonts w:ascii="Times New Roman" w:hAnsi="Times New Roman"/>
                  <w:sz w:val="20"/>
                </w:rPr>
                <w:t>August  13, 2024</w:t>
              </w:r>
            </w:hyperlink>
            <w:r>
              <w:rPr>
                <w:rFonts w:ascii="Times New Roman" w:hAnsi="Times New Roman"/>
                <w:sz w:val="20"/>
              </w:rPr>
              <w:t xml:space="preserve"> and </w:t>
            </w:r>
            <w:hyperlink r:id="rId7">
              <w:r>
                <w:rPr>
                  <w:rStyle w:val="InternetLink"/>
                  <w:rFonts w:ascii="Times New Roman" w:hAnsi="Times New Roman"/>
                  <w:sz w:val="20"/>
                </w:rPr>
                <w:t>November 6,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8">
              <w:r>
                <w:rPr>
                  <w:rStyle w:val="InternetLink"/>
                  <w:rFonts w:ascii="Times New Roman" w:hAnsi="Times New Roman"/>
                  <w:sz w:val="20"/>
                </w:rPr>
                <w:t>January  8, 2024 (other than Items 2.02 and 7.01 and Exhibit 99.1)</w:t>
              </w:r>
            </w:hyperlink>
            <w:r>
              <w:rPr>
                <w:rFonts w:ascii="Times New Roman" w:hAnsi="Times New Roman"/>
                <w:sz w:val="20"/>
              </w:rPr>
              <w:t xml:space="preserve">, </w:t>
            </w:r>
            <w:hyperlink r:id="rId9">
              <w:r>
                <w:rPr>
                  <w:rStyle w:val="InternetLink"/>
                  <w:rFonts w:ascii="Times New Roman" w:hAnsi="Times New Roman"/>
                  <w:sz w:val="20"/>
                </w:rPr>
                <w:t>June  11, 2024</w:t>
              </w:r>
            </w:hyperlink>
            <w:r>
              <w:rPr>
                <w:rFonts w:ascii="Times New Roman" w:hAnsi="Times New Roman"/>
                <w:sz w:val="20"/>
              </w:rPr>
              <w:t xml:space="preserve"> and </w:t>
            </w:r>
            <w:hyperlink r:id="rId10">
              <w:r>
                <w:rPr>
                  <w:rStyle w:val="InternetLink"/>
                  <w:rFonts w:ascii="Times New Roman" w:hAnsi="Times New Roman"/>
                  <w:sz w:val="20"/>
                </w:rPr>
                <w:t>February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as filed with the SEC on January  22, 2018, as the description therein has been updated and superseded by the description of our capital stock contained in </w:t>
            </w:r>
            <w:hyperlink r:id="rId12">
              <w:r>
                <w:rPr>
                  <w:rStyle w:val="InternetLink"/>
                  <w:rFonts w:ascii="Times New Roman" w:hAnsi="Times New Roman"/>
                  <w:sz w:val="20"/>
                </w:rPr>
                <w:t>Exhibit 4.2</w:t>
              </w:r>
            </w:hyperlink>
            <w:r>
              <w:rPr>
                <w:rFonts w:ascii="Times New Roman" w:hAnsi="Times New Roman"/>
                <w:sz w:val="20"/>
              </w:rPr>
              <w:t xml:space="preserve"> 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2022, as filed with the SEC on March 23, 2023,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500 Rutherford Avenue, Third Floor </w:t>
      </w:r>
    </w:p>
    <w:p>
      <w:pPr>
        <w:pStyle w:val="TextBody"/>
        <w:bidi w:val="0"/>
        <w:spacing w:before="0" w:after="0"/>
        <w:jc w:val="center"/>
        <w:rPr>
          <w:rFonts w:ascii="Times New Roman" w:hAnsi="Times New Roman"/>
          <w:sz w:val="20"/>
        </w:rPr>
      </w:pPr>
      <w:r>
        <w:rPr>
          <w:rFonts w:ascii="Times New Roman" w:hAnsi="Times New Roman"/>
          <w:sz w:val="20"/>
        </w:rPr>
        <w:t xml:space="preserve">Charleston, Massachusetts 02129 </w:t>
      </w:r>
    </w:p>
    <w:p>
      <w:pPr>
        <w:pStyle w:val="TextBody"/>
        <w:bidi w:val="0"/>
        <w:spacing w:before="0" w:after="0"/>
        <w:jc w:val="center"/>
        <w:rPr>
          <w:rFonts w:ascii="Times New Roman" w:hAnsi="Times New Roman"/>
          <w:sz w:val="20"/>
        </w:rPr>
      </w:pPr>
      <w:r>
        <w:rPr>
          <w:rFonts w:ascii="Times New Roman" w:hAnsi="Times New Roman"/>
          <w:sz w:val="20"/>
        </w:rPr>
        <w:t xml:space="preserve">(617) 337-4680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035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800350" cy="876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of up to $300,000,000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SLDB.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these securities involves significant risks. See the information included under </w:t>
      </w:r>
      <w:hyperlink w:anchor="tx833320_4">
        <w:r>
          <w:rPr>
            <w:rStyle w:val="InternetLink"/>
            <w:rFonts w:ascii="Times New Roman" w:hAnsi="Times New Roman"/>
            <w:b/>
            <w:sz w:val="24"/>
          </w:rPr>
          <w:t>Risk Factors</w:t>
        </w:r>
      </w:hyperlink>
      <w:r>
        <w:rPr>
          <w:rFonts w:ascii="Times New Roman" w:hAnsi="Times New Roman"/>
          <w:b/>
          <w:sz w:val="24"/>
        </w:rPr>
        <w:t>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r>
        <w:rPr>
          <w:rFonts w:ascii="Times New Roman" w:hAnsi="Times New Roman"/>
          <w:sz w:val="24"/>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17,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833320_1a">
              <w:r>
                <w:rPr>
                  <w:rStyle w:val="InternetLink"/>
                  <w:rFonts w:ascii="Times New Roman" w:hAnsi="Times New Roman"/>
                  <w:sz w:val="20"/>
                </w:rPr>
                <w:t xml:space="preserve">ABOUT THIS PROSPECTUS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2">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5">
              <w:r>
                <w:rPr>
                  <w:rStyle w:val="InternetLink"/>
                  <w:rFonts w:ascii="Times New Roman" w:hAnsi="Times New Roman"/>
                  <w:sz w:val="20"/>
                </w:rPr>
                <w:t>SOLID BIOSCIENCES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9">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2">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33320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833320_1a"/>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$300,000,000.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we, our and us refer, collectively, to Solid Biosciences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33320_1"/>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and information contained on, or that can be accessed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480" w:after="0"/>
        <w:jc w:val="center"/>
        <w:rPr>
          <w:rFonts w:ascii="Times New Roman" w:hAnsi="Times New Roman"/>
          <w:b/>
          <w:sz w:val="20"/>
        </w:rPr>
      </w:pPr>
      <w:bookmarkStart w:id="18" w:name="tx833320_2"/>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001-38360)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2023, as filed with the SEC on March  13, 2024, including the information specifically incorporated by reference into the Annual Report on Form 10-K from our </w:t>
            </w:r>
            <w:hyperlink r:id="rId16">
              <w:r>
                <w:rPr>
                  <w:rStyle w:val="InternetLink"/>
                  <w:rFonts w:ascii="Times New Roman" w:hAnsi="Times New Roman"/>
                  <w:sz w:val="20"/>
                </w:rPr>
                <w:t>definitive proxy statement</w:t>
              </w:r>
            </w:hyperlink>
            <w:r>
              <w:rPr>
                <w:rFonts w:ascii="Times New Roman" w:hAnsi="Times New Roman"/>
                <w:sz w:val="20"/>
              </w:rPr>
              <w:t xml:space="preserve"> for the 2024 Annual Meeting of Stockholders, as filed with the SEC on April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17">
              <w:r>
                <w:rPr>
                  <w:rStyle w:val="InternetLink"/>
                  <w:rFonts w:ascii="Times New Roman" w:hAnsi="Times New Roman"/>
                  <w:sz w:val="20"/>
                </w:rPr>
                <w:t>Form 10-Q</w:t>
              </w:r>
            </w:hyperlink>
            <w:r>
              <w:rPr>
                <w:rFonts w:ascii="Times New Roman" w:hAnsi="Times New Roman"/>
                <w:sz w:val="20"/>
              </w:rPr>
              <w:t xml:space="preserve"> for the quarterly period ended March 31, 2024, as filed with the SEC on May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 on Form 8-K as filed with the SEC on </w:t>
            </w:r>
            <w:hyperlink r:id="rId18">
              <w:r>
                <w:rPr>
                  <w:rStyle w:val="InternetLink"/>
                  <w:rFonts w:ascii="Times New Roman" w:hAnsi="Times New Roman"/>
                  <w:sz w:val="20"/>
                </w:rPr>
                <w:t>January 8, 2024</w:t>
              </w:r>
            </w:hyperlink>
            <w:r>
              <w:rPr>
                <w:rFonts w:ascii="Times New Roman" w:hAnsi="Times New Roman"/>
                <w:sz w:val="20"/>
              </w:rPr>
              <w:t xml:space="preserve"> (except for Items 2.02 and 7.01);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9">
              <w:r>
                <w:rPr>
                  <w:rStyle w:val="InternetLink"/>
                  <w:rFonts w:ascii="Times New Roman" w:hAnsi="Times New Roman"/>
                  <w:sz w:val="20"/>
                </w:rPr>
                <w:t>Form 8-A</w:t>
              </w:r>
            </w:hyperlink>
            <w:r>
              <w:rPr>
                <w:rFonts w:ascii="Times New Roman" w:hAnsi="Times New Roman"/>
                <w:sz w:val="20"/>
              </w:rPr>
              <w:t xml:space="preserve"> as filed with the SEC on January  22, 2018, as the description therein has been updated and superseded by the description of our capital stock contained in </w:t>
            </w:r>
            <w:hyperlink r:id="rId20">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2022, as filed with the SEC on March 23, 2023,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500 Rutherford Avenue, Third Floor </w:t>
      </w:r>
    </w:p>
    <w:p>
      <w:pPr>
        <w:pStyle w:val="TextBody"/>
        <w:bidi w:val="0"/>
        <w:spacing w:before="0" w:after="0"/>
        <w:jc w:val="center"/>
        <w:rPr>
          <w:rFonts w:ascii="Times New Roman" w:hAnsi="Times New Roman"/>
          <w:sz w:val="20"/>
        </w:rPr>
      </w:pPr>
      <w:r>
        <w:rPr>
          <w:rFonts w:ascii="Times New Roman" w:hAnsi="Times New Roman"/>
          <w:sz w:val="20"/>
        </w:rPr>
        <w:t xml:space="preserve">Charlestown, MA 02129 </w:t>
      </w:r>
    </w:p>
    <w:p>
      <w:pPr>
        <w:pStyle w:val="TextBody"/>
        <w:bidi w:val="0"/>
        <w:spacing w:before="0" w:after="0"/>
        <w:jc w:val="center"/>
        <w:rPr>
          <w:rFonts w:ascii="Times New Roman" w:hAnsi="Times New Roman"/>
          <w:sz w:val="20"/>
        </w:rPr>
      </w:pPr>
      <w:r>
        <w:rPr>
          <w:rFonts w:ascii="Times New Roman" w:hAnsi="Times New Roman"/>
          <w:sz w:val="20"/>
        </w:rPr>
        <w:t xml:space="preserve">(617) 337-4680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833320_3"/>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in or incorporated by reference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predict, project, should, target, potential,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ongoing and planned preclinical studies and clinical trials for our neuromuscular (e.g., SGT-003, AVB-202-TT), cardiac (e.g., AVB-401, SGT-501) or other future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including our collaboration with Ultragenyx Pharmaceutical Inc., or Ultragenyx;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U.S. and foreign regulatory approval of our neuromuscular (e.g., SGT-003, AVB-202-TT), cardiac (e.g., AVB-401, SGT-501) or other future candidates, and the timing and scope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populations and potential market opportunity for our neuromuscular (e.g., SGT-003, AVB-202-TT), cardiac (e.g., AVB-401, SGT-501) or other future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commercialize our neuromuscular (e.g., SGT-003, AVB-202-TT), cardiac (e.g., AVB-401, SGT-501)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neuromuscular (e.g., SGT-003, AVB-202-TT), cardiac (e.g., AVB-401, SGT-501) or other future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sales, marketing and distribution capabilities and entry into agreements with third parties to market and sell our neuromuscular (e.g., SGT-003, AVB-202-TT), cardiac (e.g., AVB-401, SGT-501)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neuromuscular (e.g., SGT-003, AVB-202-TT), cardiac (e.g., AVB-401, SGT-501)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ongoing losses, future revenue, capital requirements and need for and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and market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regulations and global economic developments on our business, operations, strategy and goals.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833320_4"/>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and uncertainties described in this prospectus and any accompanying prospectus supplement, including the risk factors set forth in our most recent Annual Report on Form 10-K, our most recent Quarterly Report on Form 10-Q and other filings we make with the SEC from time to time, which are incorporated by reference herein,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833320_5"/>
      <w:bookmarkEnd w:id="21"/>
      <w:r>
        <w:rPr>
          <w:rFonts w:ascii="Times New Roman" w:hAnsi="Times New Roman"/>
          <w:b/>
          <w:sz w:val="20"/>
        </w:rPr>
        <w:t xml:space="preserve">SOLID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are a life sciences company focused on advancing a portfolio of current and future gene therapy candidates, including SGT-003 for the treatment of Duchenne muscular dystrophy, or Duchenne, SGT-501 for the treatment of catecholaminergic polymorphic ventricular tachycardia and additional assets for the treatment of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500 Rutherford Avenue, Third Floor, Charlestown, MA 02129. Our main telephone number is (617) 337-4680.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833320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research and development costs, preclinical and clinical development, the acquisition or in-license of products, product candidates, companies, businesses or technologies,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833320_7"/>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Solid Biosciences Inc. excluding, unless the context otherwise requires or as otherwise expressly stated,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the debt securities if other than $2,000 or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defaults or covenants in addition to or in lieu of those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240" w:after="0"/>
        <w:jc w:val="left"/>
        <w:rPr>
          <w:rFonts w:ascii="Times New Roman" w:hAnsi="Times New Roman"/>
          <w:sz w:val="20"/>
        </w:rPr>
      </w:pPr>
      <w:r>
        <w:rPr>
          <w:rFonts w:ascii="Times New Roman" w:hAnsi="Times New Roman"/>
          <w:i/>
          <w:sz w:val="20"/>
        </w:rPr>
        <w:t>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or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other securities or property in accordance with the terms of the senior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Notice of Redemption.</w:t>
      </w:r>
      <w:r>
        <w:rPr>
          <w:rFonts w:ascii="Times New Roman" w:hAnsi="Times New Roman"/>
          <w:sz w:val="20"/>
        </w:rPr>
        <w:t xml:space="preserve"> 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before="240" w:after="0"/>
        <w:jc w:val="left"/>
        <w:rPr>
          <w:rFonts w:ascii="Times New Roman" w:hAnsi="Times New Roman"/>
          <w:sz w:val="20"/>
        </w:rPr>
      </w:pPr>
      <w:r>
        <w:rPr>
          <w:rFonts w:ascii="Times New Roman" w:hAnsi="Times New Roman"/>
          <w:i/>
          <w:sz w:val="20"/>
        </w:rPr>
        <w:t>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833320_8"/>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certificate of incorporation, which we refer to as our charter, our bylaws and applicable provisions of Delaware corporate law. You should read our charter and bylaws, which are filed as exhibits to the registration statement of which this prospectus forms a part,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60,000,000 shares of common stock, $0.001 par value per share, and 10,000,000 shares of preferred stock, $0.001 par value per share, all of which preferred stock is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 </w:t>
      </w:r>
      <w:r>
        <w:rPr>
          <w:rFonts w:ascii="Times New Roman" w:hAnsi="Times New Roman"/>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w:t>
      </w:r>
    </w:p>
    <w:p>
      <w:pPr>
        <w:pStyle w:val="TextBody"/>
        <w:bidi w:val="0"/>
        <w:spacing w:before="240" w:after="0"/>
        <w:jc w:val="left"/>
        <w:rPr>
          <w:rFonts w:ascii="Times New Roman" w:hAnsi="Times New Roman"/>
          <w:sz w:val="20"/>
        </w:rPr>
      </w:pPr>
      <w:r>
        <w:rPr>
          <w:rFonts w:ascii="Times New Roman" w:hAnsi="Times New Roman"/>
          <w:i/>
          <w:sz w:val="20"/>
        </w:rPr>
        <w:t>Dividends. </w:t>
      </w: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w:t>
      </w: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240" w:after="0"/>
        <w:jc w:val="left"/>
        <w:rPr>
          <w:rFonts w:ascii="Times New Roman" w:hAnsi="Times New Roman"/>
          <w:sz w:val="20"/>
        </w:rPr>
      </w:pPr>
      <w:r>
        <w:rPr>
          <w:rFonts w:ascii="Times New Roman" w:hAnsi="Times New Roman"/>
          <w:i/>
          <w:sz w:val="20"/>
        </w:rPr>
        <w:t>Other Rights. </w:t>
      </w:r>
      <w:r>
        <w:rPr>
          <w:rFonts w:ascii="Times New Roman" w:hAnsi="Times New Roman"/>
          <w:sz w:val="20"/>
        </w:rPr>
        <w:t xml:space="preserve">Holders of our common stock have no preemptive, conversion, subscription or other similar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240" w:after="0"/>
        <w:jc w:val="left"/>
        <w:rPr>
          <w:rFonts w:ascii="Times New Roman" w:hAnsi="Times New Roman"/>
          <w:sz w:val="20"/>
        </w:rPr>
      </w:pPr>
      <w:r>
        <w:rPr>
          <w:rFonts w:ascii="Times New Roman" w:hAnsi="Times New Roman"/>
          <w:i/>
          <w:sz w:val="20"/>
        </w:rPr>
        <w:t>Transfer Agent and Registrar. </w:t>
      </w:r>
      <w:r>
        <w:rPr>
          <w:rFonts w:ascii="Times New Roman" w:hAnsi="Times New Roman"/>
          <w:sz w:val="20"/>
        </w:rPr>
        <w:t xml:space="preserve">The transfer agent and registrar for the shares of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under Description of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Amended and Restated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the Amended and Restated Registration Rights Agreement, dated March 29, 2017, or the Registration Rights Agreement, with certain of our stockholders, or the Investors, pursuant to which holders of a substantial number of shares of our common stock have the right to require us to register these shares under the Securities Act. The Registration Rights Agreement provides for demand and piggyback registration rights for the Investors. All expenses of registration (other than underwriting discounts and commissions) under the Registration Rights Agreement will be borne by us. </w:t>
      </w:r>
    </w:p>
    <w:p>
      <w:pPr>
        <w:pStyle w:val="TextBody"/>
        <w:bidi w:val="0"/>
        <w:spacing w:before="240" w:after="0"/>
        <w:jc w:val="left"/>
        <w:rPr>
          <w:rFonts w:ascii="Times New Roman" w:hAnsi="Times New Roman"/>
          <w:sz w:val="20"/>
        </w:rPr>
      </w:pPr>
      <w:r>
        <w:rPr>
          <w:rFonts w:ascii="Times New Roman" w:hAnsi="Times New Roman"/>
          <w:b/>
          <w:i/>
          <w:sz w:val="20"/>
        </w:rPr>
        <w:t>Demand Registration Rights.</w:t>
      </w:r>
      <w:r>
        <w:rPr>
          <w:rFonts w:ascii="Times New Roman" w:hAnsi="Times New Roman"/>
          <w:sz w:val="20"/>
        </w:rPr>
        <w:t xml:space="preserve"> The Investors are entitled to demand registration rights. Under the terms of the Registration Rights Agreement, we are required, upon the written request of Investors holding at least 20% of the securities eligible for registration then outstanding, to file a registration statement and use our best efforts to effect as soon as practicable the registration of such shares. We are required to effect up to two such demand registrations pursuant to the Registration Rights Agreement. In addition, so long as we are eligible to register the sale of securities on Form S-3 or any similar short-form registration statement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not less than $2.0 million. </w:t>
      </w:r>
    </w:p>
    <w:p>
      <w:pPr>
        <w:pStyle w:val="TextBody"/>
        <w:bidi w:val="0"/>
        <w:spacing w:before="240" w:after="0"/>
        <w:jc w:val="left"/>
        <w:rPr>
          <w:rFonts w:ascii="Times New Roman" w:hAnsi="Times New Roman"/>
          <w:sz w:val="20"/>
        </w:rPr>
      </w:pPr>
      <w:r>
        <w:rPr>
          <w:rFonts w:ascii="Times New Roman" w:hAnsi="Times New Roman"/>
          <w:b/>
          <w:i/>
          <w:sz w:val="20"/>
        </w:rPr>
        <w:t>Piggyback Registration Rights.</w:t>
      </w:r>
      <w:r>
        <w:rPr>
          <w:rFonts w:ascii="Times New Roman" w:hAnsi="Times New Roman"/>
          <w:sz w:val="20"/>
        </w:rPr>
        <w:t xml:space="preserve"> If we register any of our equity securities either for our own account or for the account of other security holders (other than certain registrations on Form S-8 or Form S-4), the Investors are entitled to piggyback registration rights and may include their shares in the registration. The Investors waived these piggyback registration rights in connection with the filing of this registration statement.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Fees; Indemnification.</w:t>
      </w:r>
      <w:r>
        <w:rPr>
          <w:rFonts w:ascii="Times New Roman" w:hAnsi="Times New Roman"/>
          <w:sz w:val="20"/>
        </w:rPr>
        <w:t xml:space="preserve"> Under the Registration Rights Agreement, we will be responsible, subject to certain exceptions, for the expenses of any registration of securities pursuant to the agreement, other than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 </w:t>
      </w:r>
    </w:p>
    <w:p>
      <w:pPr>
        <w:pStyle w:val="TextBody"/>
        <w:bidi w:val="0"/>
        <w:spacing w:before="240" w:after="0"/>
        <w:jc w:val="left"/>
        <w:rPr>
          <w:rFonts w:ascii="Times New Roman" w:hAnsi="Times New Roman"/>
          <w:sz w:val="20"/>
        </w:rPr>
      </w:pPr>
      <w:r>
        <w:rPr>
          <w:rFonts w:ascii="Times New Roman" w:hAnsi="Times New Roman"/>
          <w:b/>
          <w:i/>
          <w:sz w:val="20"/>
        </w:rPr>
        <w:t>Termination of Registration Rights</w:t>
      </w:r>
      <w:r>
        <w:rPr>
          <w:rFonts w:ascii="Times New Roman" w:hAnsi="Times New Roman"/>
          <w:i/>
          <w:sz w:val="20"/>
        </w:rPr>
        <w:t>. </w:t>
      </w:r>
      <w:r>
        <w:rPr>
          <w:rFonts w:ascii="Times New Roman" w:hAnsi="Times New Roman"/>
          <w:sz w:val="20"/>
        </w:rPr>
        <w:t xml:space="preserve">The demand registration rights and the piggyback registration rights granted under the Registration Rights Agreement will terminate, with respect to each Investor, as of the date when all registrable securities held by and issued to such Investor may be sold under Rule 144 under the Securities Act during any 90 day period, provided such Investor owns less than 1% of our outstanding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2020, in connection with the execution of our collaboration and license agreement with Ultragenyx, we issued and sold 521,719 shares of our common stock to Ultragenyx. We are party to an Investor Agreement with Ultragenyx, dated October 22, 2020, pursuant to which we have agreed to file a registration statement registering all or a portion of the Ultragenyx shares upon receipt of a request from Ultragenyx within the ten year-period following Ultragenyxs acquisition of the shares. In addition to other exceptions, we will not be required to effect more than two such demand registrations for Ultragenyx in the aggregate and we are not required to effect more than one such demand registration in any 12-month period. Ultragenyx is also entitled to certain piggyback registration rights such that for the ten year period following Ultragenyxs acquisition of shares, subject to specified conditions and so long as Ultragenyx holds at least 1% of our outstanding common stock, whenever we propose to file a registration statement that includes shares of common stock by one or more selling stockholders (other than Ultragenyx), Ultragenyx will have the right to include some or all of its shares in such registration. The Investor Agreement also contains other customary terms and conditions of the parties with respect to the registration of the Ultragenyx shares.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Certificate of Incorporation and Bylaws and Delaware Law That May Have Anti-Takeover Effects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Delaware General Corporation Law, or the DGCL,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us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charter and bylaws authorize only our board of directors to fill vacant directorships, including newly created seats. In addition, the number of directors constituting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may only be set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charter and bylaws provide that our board of directors will be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charter provides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bylaws provide advance notice procedures for 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charter does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Removal of Directors Only for Cause:</w:t>
            </w:r>
            <w:r>
              <w:rPr>
                <w:rFonts w:ascii="Times New Roman" w:hAnsi="Times New Roman"/>
                <w:sz w:val="20"/>
              </w:rPr>
              <w:t xml:space="preserve"> Our charter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charter provides that the Court of Chancery of the State of Delaware will be the exclusive forum for: any derivative action 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We are subject to Section 203 of the DGCL,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the interested stockholder. Section 203 provides that an interested stockholder may not engage in business combinations with the corporation for a period of three years after the date that such stockholder became an interested stockholder, with the following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combinations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transfer, pledge or other disposition of 10% or more of the aggregate market value of the assets of the corporation to or with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833320_9"/>
      <w:bookmarkEnd w:id="25"/>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833320_10"/>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or depositary shares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depositary shares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pre-funded warrants will begin, generally on the date of issuance, and the date on which that right will expire, generally when the pre-funded warrant is exercised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 may only be exercised pursuant to a cashless exercise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more than 50% of the voting power of our outstanding common stock),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833320_11"/>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33320_12"/>
      <w:bookmarkEnd w:id="28"/>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depositary shares,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warrant agreement or unit agreement. We understand that under existing industry practices,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request any action of holders or if an owner of a beneficial interest in a global security desires to give or take any action that a holder is entitled to give or take under the applicable indenture, deposit agreement,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833320_13"/>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In February 2023, Rule 15c6-1 of the Exchange Act was amended to require, effective May 28, 2024, trades in the secondary market to settle in one business day, unless the parties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trade expressly agree otherwise or unless an exception applies. Therefore, for any securities offered under this prospectus on or after May 28, 2024, the same process described in this paragraph will apply, except that settlement may occur on the first business day that is also a trading day following the trade date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833320_14"/>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31" w:name="tx833320_15"/>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9875" cy="885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809875" cy="8858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35,739,810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13,888,340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96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120" w:after="0"/>
        <w:jc w:val="center"/>
        <w:rPr>
          <w:rFonts w:ascii="Times New Roman" w:hAnsi="Times New Roman"/>
          <w:b/>
          <w:sz w:val="32"/>
        </w:rPr>
      </w:pPr>
      <w:r>
        <w:rPr>
          <w:rFonts w:ascii="Times New Roman" w:hAnsi="Times New Roman"/>
          <w:b/>
          <w:sz w:val="32"/>
        </w:rPr>
        <w:t xml:space="preserve">William Blair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Lead Manager </w:t>
      </w:r>
    </w:p>
    <w:p>
      <w:pPr>
        <w:pStyle w:val="TextBody"/>
        <w:bidi w:val="0"/>
        <w:spacing w:before="120" w:after="0"/>
        <w:jc w:val="center"/>
        <w:rPr>
          <w:rFonts w:ascii="Times New Roman" w:hAnsi="Times New Roman"/>
          <w:b/>
          <w:sz w:val="28"/>
        </w:rPr>
      </w:pPr>
      <w:r>
        <w:rPr>
          <w:rFonts w:ascii="Times New Roman" w:hAnsi="Times New Roman"/>
          <w:b/>
          <w:sz w:val="28"/>
        </w:rPr>
        <w:t xml:space="preserve">H.C. Wainwright &amp; Co.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February 18,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07502/000095017024030508/sldb-20231231.htm" TargetMode="External"/><Relationship Id="rId4" Type="http://schemas.openxmlformats.org/officeDocument/2006/relationships/hyperlink" Target="http://www.sec.gov/Archives/edgar/data/1707502/000119312524118079/d804494ddef14a.htm" TargetMode="External"/><Relationship Id="rId5" Type="http://schemas.openxmlformats.org/officeDocument/2006/relationships/hyperlink" Target="http://www.sec.gov/Archives/edgar/data/../../../ix?doc=/Archives/edgar/data/1707502/000095017024060034/sldb-20240331.htm" TargetMode="External"/><Relationship Id="rId6" Type="http://schemas.openxmlformats.org/officeDocument/2006/relationships/hyperlink" Target="http://www.sec.gov/Archives/edgar/data/../../../ix?doc=/Archives/edgar/data/1707502/000095017024096130/sldb-20240630.htm" TargetMode="External"/><Relationship Id="rId7" Type="http://schemas.openxmlformats.org/officeDocument/2006/relationships/hyperlink" Target="http://www.sec.gov/Archives/edgar/data/../../../ix?doc=/Archives/edgar/data/1707502/000095017024122247/sldb-20240930.htm" TargetMode="External"/><Relationship Id="rId8" Type="http://schemas.openxmlformats.org/officeDocument/2006/relationships/hyperlink" Target="http://www.sec.gov/Archives/edgar/data/../../../ix?doc=/Archives/edgar/data/1707502/000119312524003882/d690167d8k.htm" TargetMode="External"/><Relationship Id="rId9" Type="http://schemas.openxmlformats.org/officeDocument/2006/relationships/hyperlink" Target="http://www.sec.gov/Archives/edgar/data/../../../ix?doc=/Archives/edgar/data/1707502/000119312524159143/d845618d8k.htm" TargetMode="External"/><Relationship Id="rId10" Type="http://schemas.openxmlformats.org/officeDocument/2006/relationships/hyperlink" Target="http://www.sec.gov/Archives/edgar/data/../../../ix?doc=/Archives/edgar/data/1707502/000119312525028123/d913726d8k.htm" TargetMode="External"/><Relationship Id="rId11" Type="http://schemas.openxmlformats.org/officeDocument/2006/relationships/hyperlink" Target="http://www.sec.gov/Archives/edgar/data/1707502/000119312518015776/d520894d8a12b.htm" TargetMode="External"/><Relationship Id="rId12" Type="http://schemas.openxmlformats.org/officeDocument/2006/relationships/hyperlink" Target="http://www.sec.gov/Archives/edgar/data/1707502/000095017023009318/sldb-ex4_2.htm" TargetMode="External"/><Relationship Id="rId13" Type="http://schemas.openxmlformats.org/officeDocument/2006/relationships/hyperlink" Target="http://www.sec.gov/Archives/edgar/data/../../../ix?doc=/Archives/edgar/data/1707502/000095017023009318/sldb-20221231.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707502/000095017024030508/sldb-20231231.htm" TargetMode="External"/><Relationship Id="rId16" Type="http://schemas.openxmlformats.org/officeDocument/2006/relationships/hyperlink" Target="http://www.sec.gov/Archives/edgar/data/1707502/000119312524118079/d804494ddef14a.htm" TargetMode="External"/><Relationship Id="rId17" Type="http://schemas.openxmlformats.org/officeDocument/2006/relationships/hyperlink" Target="http://www.sec.gov/Archives/edgar/data/../../../ix?doc=/Archives/edgar/data/1707502/000095017024060034/sldb-20240331.htm" TargetMode="External"/><Relationship Id="rId18" Type="http://schemas.openxmlformats.org/officeDocument/2006/relationships/hyperlink" Target="http://www.sec.gov/Archives/edgar/data/../../../ix?doc=/Archives/edgar/data/1707502/000119312524003882/d690167d8k.htm" TargetMode="External"/><Relationship Id="rId19" Type="http://schemas.openxmlformats.org/officeDocument/2006/relationships/hyperlink" Target="http://www.sec.gov/Archives/edgar/data/1707502/000119312518015776/d520894d8a12b.htm" TargetMode="External"/><Relationship Id="rId20" Type="http://schemas.openxmlformats.org/officeDocument/2006/relationships/hyperlink" Target="http://www.sec.gov/Archives/edgar/data/1707502/000095017023009318/sldb-ex4_2.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37889</Words>
  <Characters>198201</Characters>
  <CharactersWithSpaces>236519</CharactersWithSpaces>
  <Paragraphs>2627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