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7"/>
                </w:rPr>
                <w:t>Freed Martin I</w:t>
              </w:r>
            </w:hyperlink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Solid Biosciences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SLDB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SOLID BIOSCIENCES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500 RUTHERFORD AVENUE, THIRD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CHARLESTOWN MA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6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02129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8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Director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77,500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6.61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77,500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06/10/2036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77,500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6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June 10, 2026 and vests in full on the earlier to occur of the one-year anniversary of the grant date and immediately prior to the Issuer's next annual meeting of stockholders occurring after the grant date, and will vest automatically as to 100% of the unvested portion of such option upon specified change in control events.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Kimberly Cornwell as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07315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3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Martin I.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06/11/2026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08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08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Freed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2425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76653" TargetMode="External"/><Relationship Id="rId14" Type="http://schemas.openxmlformats.org/officeDocument/2006/relationships/hyperlink" Target="http://www.sec.gov/cgi-bin/browse-edgar?action=getcompany&amp;CIK=00017075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2026-06-11T15:08:56Z</dcterms:created>
  <dcterms:modified xsi:type="dcterms:W3CDTF">2026-06-11T15:08:56Z</dcterms:modified>
</cp:coreProperties>
</file>