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00" w:right="2080" w:hanging="3892"/>
        <w:spacing w:after="0" w:line="279"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300" w:type="dxa"/>
            <w:vAlign w:val="bottom"/>
          </w:tcPr>
          <w:p>
            <w:pPr>
              <w:spacing w:after="0"/>
              <w:rPr>
                <w:sz w:val="22"/>
                <w:szCs w:val="22"/>
                <w:color w:val="auto"/>
              </w:rPr>
            </w:pPr>
          </w:p>
        </w:tc>
        <w:tc>
          <w:tcPr>
            <w:tcW w:w="7760" w:type="dxa"/>
            <w:vAlign w:val="bottom"/>
            <w:gridSpan w:val="7"/>
          </w:tcPr>
          <w:p>
            <w:pPr>
              <w:jc w:val="center"/>
              <w:ind w:right="3047"/>
              <w:spacing w:after="0"/>
              <w:rPr>
                <w:sz w:val="20"/>
                <w:szCs w:val="20"/>
                <w:color w:val="auto"/>
              </w:rPr>
            </w:pPr>
            <w:r>
              <w:rPr>
                <w:rFonts w:ascii="Times New Roman" w:cs="Times New Roman" w:eastAsia="Times New Roman" w:hAnsi="Times New Roman"/>
                <w:sz w:val="18"/>
                <w:szCs w:val="18"/>
                <w:b w:val="1"/>
                <w:bCs w:val="1"/>
                <w:color w:val="auto"/>
              </w:rPr>
              <w:t>Commission File Number 001-38360</w:t>
            </w: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1200" w:type="dxa"/>
            <w:vAlign w:val="bottom"/>
            <w:vMerge w:val="restart"/>
          </w:tcPr>
          <w:p>
            <w:pPr>
              <w:ind w:left="460"/>
              <w:spacing w:after="0"/>
              <w:rPr>
                <w:sz w:val="20"/>
                <w:szCs w:val="20"/>
                <w:color w:val="auto"/>
              </w:rPr>
            </w:pPr>
            <w:r>
              <w:rPr>
                <w:rFonts w:ascii="Times New Roman" w:cs="Times New Roman" w:eastAsia="Times New Roman" w:hAnsi="Times New Roman"/>
                <w:sz w:val="40"/>
                <w:szCs w:val="40"/>
                <w:b w:val="1"/>
                <w:bCs w:val="1"/>
                <w:color w:val="auto"/>
                <w:w w:val="82"/>
              </w:rPr>
              <w:t>Solid</w:t>
            </w:r>
          </w:p>
        </w:tc>
        <w:tc>
          <w:tcPr>
            <w:tcW w:w="1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2"/>
          </w:tcPr>
          <w:p>
            <w:pPr>
              <w:spacing w:after="0"/>
              <w:rPr>
                <w:sz w:val="5"/>
                <w:szCs w:val="5"/>
                <w:color w:val="auto"/>
              </w:rPr>
            </w:pPr>
          </w:p>
        </w:tc>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40"/>
                <w:szCs w:val="40"/>
                <w:b w:val="1"/>
                <w:bCs w:val="1"/>
                <w:color w:val="auto"/>
              </w:rPr>
              <w:t>Inc.</w:t>
            </w:r>
          </w:p>
        </w:tc>
        <w:tc>
          <w:tcPr>
            <w:tcW w:w="0" w:type="dxa"/>
            <w:vAlign w:val="bottom"/>
          </w:tcPr>
          <w:p>
            <w:pPr>
              <w:spacing w:after="0"/>
              <w:rPr>
                <w:sz w:val="1"/>
                <w:szCs w:val="1"/>
                <w:color w:val="auto"/>
              </w:rPr>
            </w:pPr>
          </w:p>
        </w:tc>
      </w:tr>
      <w:tr>
        <w:trPr>
          <w:trHeight w:val="444"/>
        </w:trPr>
        <w:tc>
          <w:tcPr>
            <w:tcW w:w="33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240" w:type="dxa"/>
            <w:vAlign w:val="bottom"/>
            <w:gridSpan w:val="3"/>
          </w:tcPr>
          <w:p>
            <w:pPr>
              <w:ind w:left="220"/>
              <w:spacing w:after="0" w:line="443" w:lineRule="exact"/>
              <w:rPr>
                <w:sz w:val="20"/>
                <w:szCs w:val="20"/>
                <w:color w:val="auto"/>
              </w:rPr>
            </w:pPr>
            <w:r>
              <w:rPr>
                <w:rFonts w:ascii="Times New Roman" w:cs="Times New Roman" w:eastAsia="Times New Roman" w:hAnsi="Times New Roman"/>
                <w:sz w:val="40"/>
                <w:szCs w:val="40"/>
                <w:b w:val="1"/>
                <w:bCs w:val="1"/>
                <w:color w:val="auto"/>
              </w:rPr>
              <w:t>Biosciences</w:t>
            </w:r>
          </w:p>
        </w:tc>
        <w:tc>
          <w:tcPr>
            <w:tcW w:w="43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7760" w:type="dxa"/>
            <w:vAlign w:val="bottom"/>
            <w:gridSpan w:val="7"/>
          </w:tcPr>
          <w:p>
            <w:pPr>
              <w:jc w:val="center"/>
              <w:ind w:right="3087"/>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68"/>
        </w:trPr>
        <w:tc>
          <w:tcPr>
            <w:tcW w:w="3300" w:type="dxa"/>
            <w:vAlign w:val="bottom"/>
            <w:vMerge w:val="restart"/>
          </w:tcPr>
          <w:p>
            <w:pPr>
              <w:jc w:val="center"/>
              <w:ind w:left="226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160" w:type="dxa"/>
            <w:vAlign w:val="bottom"/>
            <w:vMerge w:val="restart"/>
          </w:tcPr>
          <w:p>
            <w:pPr>
              <w:jc w:val="right"/>
              <w:ind w:right="2067"/>
              <w:spacing w:after="0"/>
              <w:rPr>
                <w:sz w:val="20"/>
                <w:szCs w:val="20"/>
                <w:color w:val="auto"/>
              </w:rPr>
            </w:pPr>
            <w:r>
              <w:rPr>
                <w:rFonts w:ascii="Times New Roman" w:cs="Times New Roman" w:eastAsia="Times New Roman" w:hAnsi="Times New Roman"/>
                <w:sz w:val="18"/>
                <w:szCs w:val="18"/>
                <w:b w:val="1"/>
                <w:bCs w:val="1"/>
                <w:color w:val="auto"/>
              </w:rPr>
              <w:t>90-0943402</w:t>
            </w:r>
          </w:p>
        </w:tc>
        <w:tc>
          <w:tcPr>
            <w:tcW w:w="0" w:type="dxa"/>
            <w:vAlign w:val="bottom"/>
          </w:tcPr>
          <w:p>
            <w:pPr>
              <w:spacing w:after="0"/>
              <w:rPr>
                <w:sz w:val="1"/>
                <w:szCs w:val="1"/>
                <w:color w:val="auto"/>
              </w:rPr>
            </w:pPr>
          </w:p>
        </w:tc>
      </w:tr>
      <w:tr>
        <w:trPr>
          <w:trHeight w:val="263"/>
        </w:trPr>
        <w:tc>
          <w:tcPr>
            <w:tcW w:w="3300" w:type="dxa"/>
            <w:vAlign w:val="bottom"/>
            <w:vMerge w:val="continue"/>
          </w:tcPr>
          <w:p>
            <w:pPr>
              <w:spacing w:after="0"/>
              <w:rPr>
                <w:sz w:val="22"/>
                <w:szCs w:val="22"/>
                <w:color w:val="auto"/>
              </w:rPr>
            </w:pPr>
          </w:p>
        </w:tc>
        <w:tc>
          <w:tcPr>
            <w:tcW w:w="1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6660" w:type="dxa"/>
            <w:vAlign w:val="bottom"/>
            <w:gridSpan w:val="4"/>
          </w:tcPr>
          <w:p>
            <w:pPr>
              <w:jc w:val="center"/>
              <w:ind w:right="10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60" w:type="dxa"/>
            <w:vAlign w:val="bottom"/>
          </w:tcPr>
          <w:p>
            <w:pPr>
              <w:jc w:val="center"/>
              <w:ind w:right="907"/>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0"/>
        </w:trPr>
        <w:tc>
          <w:tcPr>
            <w:tcW w:w="6660" w:type="dxa"/>
            <w:vAlign w:val="bottom"/>
            <w:gridSpan w:val="4"/>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60" w:type="dxa"/>
            <w:vAlign w:val="bottom"/>
          </w:tcPr>
          <w:p>
            <w:pPr>
              <w:jc w:val="center"/>
              <w:ind w:right="90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16"/>
        </w:trPr>
        <w:tc>
          <w:tcPr>
            <w:tcW w:w="666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500 Rutherford Avenue, Third Floor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6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Charlestown, MA</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Pr>
          <w:p>
            <w:pPr>
              <w:jc w:val="right"/>
              <w:ind w:right="2267"/>
              <w:spacing w:after="0"/>
              <w:rPr>
                <w:sz w:val="20"/>
                <w:szCs w:val="20"/>
                <w:color w:val="auto"/>
              </w:rPr>
            </w:pPr>
            <w:r>
              <w:rPr>
                <w:rFonts w:ascii="Times New Roman" w:cs="Times New Roman" w:eastAsia="Times New Roman" w:hAnsi="Times New Roman"/>
                <w:sz w:val="18"/>
                <w:szCs w:val="18"/>
                <w:b w:val="1"/>
                <w:bCs w:val="1"/>
                <w:color w:val="auto"/>
              </w:rPr>
              <w:t>02129</w:t>
            </w:r>
          </w:p>
        </w:tc>
        <w:tc>
          <w:tcPr>
            <w:tcW w:w="0" w:type="dxa"/>
            <w:vAlign w:val="bottom"/>
          </w:tcPr>
          <w:p>
            <w:pPr>
              <w:spacing w:after="0"/>
              <w:rPr>
                <w:sz w:val="1"/>
                <w:szCs w:val="1"/>
                <w:color w:val="auto"/>
              </w:rPr>
            </w:pPr>
          </w:p>
        </w:tc>
      </w:tr>
      <w:tr>
        <w:trPr>
          <w:trHeight w:val="173"/>
        </w:trPr>
        <w:tc>
          <w:tcPr>
            <w:tcW w:w="6660" w:type="dxa"/>
            <w:vAlign w:val="bottom"/>
            <w:gridSpan w:val="4"/>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tcPr>
          <w:p>
            <w:pPr>
              <w:jc w:val="center"/>
              <w:ind w:right="90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59"/>
        </w:trPr>
        <w:tc>
          <w:tcPr>
            <w:tcW w:w="11060" w:type="dxa"/>
            <w:vAlign w:val="bottom"/>
            <w:gridSpan w:val="8"/>
          </w:tcPr>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337-4680</w:t>
            </w:r>
          </w:p>
        </w:tc>
        <w:tc>
          <w:tcPr>
            <w:tcW w:w="0" w:type="dxa"/>
            <w:vAlign w:val="bottom"/>
          </w:tcPr>
          <w:p>
            <w:pPr>
              <w:spacing w:after="0"/>
              <w:rPr>
                <w:sz w:val="1"/>
                <w:szCs w:val="1"/>
                <w:color w:val="auto"/>
              </w:rPr>
            </w:pPr>
          </w:p>
        </w:tc>
      </w:tr>
      <w:tr>
        <w:trPr>
          <w:trHeight w:val="54"/>
        </w:trPr>
        <w:tc>
          <w:tcPr>
            <w:tcW w:w="3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4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776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07"/>
        </w:trPr>
        <w:tc>
          <w:tcPr>
            <w:tcW w:w="33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tcPr>
          <w:p>
            <w:pPr>
              <w:jc w:val="center"/>
              <w:ind w:left="707"/>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88"/>
        </w:trPr>
        <w:tc>
          <w:tcPr>
            <w:tcW w:w="33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20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SLDB</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tcPr>
          <w:p>
            <w:pPr>
              <w:jc w:val="center"/>
              <w:ind w:left="707"/>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50"/>
        </w:trPr>
        <w:tc>
          <w:tcPr>
            <w:tcW w:w="3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43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7760" w:type="dxa"/>
            <w:vAlign w:val="bottom"/>
            <w:gridSpan w:val="7"/>
          </w:tcPr>
          <w:p>
            <w:pPr>
              <w:jc w:val="center"/>
              <w:ind w:right="3047"/>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class)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1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34"/>
        </w:trPr>
        <w:tc>
          <w:tcPr>
            <w:tcW w:w="69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1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44"/>
        </w:trPr>
        <w:tc>
          <w:tcPr>
            <w:tcW w:w="11060" w:type="dxa"/>
            <w:vAlign w:val="bottom"/>
            <w:gridSpan w:val="8"/>
          </w:tcPr>
          <w:p>
            <w:pPr>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w:t>
            </w:r>
          </w:p>
        </w:tc>
        <w:tc>
          <w:tcPr>
            <w:tcW w:w="0" w:type="dxa"/>
            <w:vAlign w:val="bottom"/>
          </w:tcPr>
          <w:p>
            <w:pPr>
              <w:spacing w:after="0"/>
              <w:rPr>
                <w:sz w:val="1"/>
                <w:szCs w:val="1"/>
                <w:color w:val="auto"/>
              </w:rPr>
            </w:pPr>
          </w:p>
        </w:tc>
      </w:tr>
      <w:tr>
        <w:trPr>
          <w:trHeight w:val="236"/>
        </w:trPr>
        <w:tc>
          <w:tcPr>
            <w:tcW w:w="11060" w:type="dxa"/>
            <w:vAlign w:val="bottom"/>
            <w:gridSpan w:val="8"/>
          </w:tcPr>
          <w:p>
            <w:pPr>
              <w:spacing w:after="0" w:line="161" w:lineRule="exact"/>
              <w:rPr>
                <w:sz w:val="20"/>
                <w:szCs w:val="20"/>
                <w:color w:val="auto"/>
              </w:rPr>
            </w:pPr>
            <w:r>
              <w:rPr>
                <w:rFonts w:ascii="Times New Roman" w:cs="Times New Roman" w:eastAsia="Times New Roman" w:hAnsi="Times New Roman"/>
                <w:sz w:val="14"/>
                <w:szCs w:val="14"/>
                <w:color w:val="auto"/>
              </w:rPr>
              <w:t xml:space="preserve">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78"/>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440" w:type="dxa"/>
            <w:vAlign w:val="bottom"/>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80" w:type="dxa"/>
            <w:vAlign w:val="bottom"/>
          </w:tcPr>
          <w:p>
            <w:pPr>
              <w:spacing w:after="0"/>
              <w:rPr>
                <w:sz w:val="15"/>
                <w:szCs w:val="15"/>
                <w:color w:val="auto"/>
              </w:rPr>
            </w:pPr>
          </w:p>
        </w:tc>
      </w:tr>
      <w:tr>
        <w:trPr>
          <w:trHeight w:val="149"/>
        </w:trPr>
        <w:tc>
          <w:tcPr>
            <w:tcW w:w="10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w:t>
            </w:r>
          </w:p>
        </w:tc>
        <w:tc>
          <w:tcPr>
            <w:tcW w:w="280" w:type="dxa"/>
            <w:vAlign w:val="bottom"/>
          </w:tcPr>
          <w:p>
            <w:pPr>
              <w:spacing w:after="0"/>
              <w:rPr>
                <w:sz w:val="12"/>
                <w:szCs w:val="12"/>
                <w:color w:val="auto"/>
              </w:rPr>
            </w:pPr>
          </w:p>
        </w:tc>
      </w:tr>
      <w:tr>
        <w:trPr>
          <w:trHeight w:val="185"/>
        </w:trPr>
        <w:tc>
          <w:tcPr>
            <w:tcW w:w="10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80" w:type="dxa"/>
            <w:vAlign w:val="bottom"/>
          </w:tcPr>
          <w:p>
            <w:pPr>
              <w:spacing w:after="0"/>
              <w:rPr>
                <w:sz w:val="16"/>
                <w:szCs w:val="16"/>
                <w:color w:val="auto"/>
              </w:rPr>
            </w:pPr>
          </w:p>
        </w:tc>
      </w:tr>
      <w:tr>
        <w:trPr>
          <w:trHeight w:val="203"/>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47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47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7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6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280"/>
        <w:spacing w:after="0" w:line="178"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spacing w:after="0" w:line="161" w:lineRule="exact"/>
        <w:tabs>
          <w:tab w:leader="none" w:pos="6060" w:val="left"/>
          <w:tab w:leader="none" w:pos="6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aggregate market value of the registrant’s common stock held by non-affiliates was $51.5 million, based on the last reported sale price of such stock on the Nasdaq Global Select Market as of such date.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5, 2024 was 37,756,877.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1" w:name="page2"/>
    <w:bookmarkEnd w:id="1"/>
    <w:p>
      <w:pPr>
        <w:ind w:left="38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within 120 days of the end of the fiscal year ended December 31, 2023. Portions of such definitive proxy</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236220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253365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935355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40" w:top="1127"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71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1A.</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1B.</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1C.</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2.</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159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5925" cy="825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6.</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7A.</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8.</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9A.</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9B.</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0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03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06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574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29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6407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629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470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123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9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-201295</wp:posOffset>
            </wp:positionV>
            <wp:extent cx="51263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26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-38735</wp:posOffset>
            </wp:positionV>
            <wp:extent cx="424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ind w:right="1600"/>
        <w:spacing w:after="0" w:line="297" w:lineRule="auto"/>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Quantitative and Qualitative Disclosures About Market Risk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410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001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-201295</wp:posOffset>
            </wp:positionV>
            <wp:extent cx="27666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-38735</wp:posOffset>
            </wp:positionV>
            <wp:extent cx="2113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132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3258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123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343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1095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w:t>
      </w:r>
    </w:p>
    <w:p>
      <w:pPr>
        <w:spacing w:after="0" w:line="50" w:lineRule="exact"/>
        <w:rPr>
          <w:sz w:val="20"/>
          <w:szCs w:val="20"/>
          <w:color w:val="auto"/>
        </w:rPr>
      </w:pPr>
    </w:p>
    <w:p>
      <w:pPr>
        <w:sectPr>
          <w:pgSz w:w="11900" w:h="16838" w:orient="portrait"/>
          <w:cols w:equalWidth="0" w:num="3">
            <w:col w:w="1080" w:space="360"/>
            <w:col w:w="8060" w:space="520"/>
            <w:col w:w="620"/>
          </w:cols>
          <w:pgMar w:left="620" w:top="1089" w:right="639" w:bottom="1440" w:gutter="0" w:footer="0" w:header="0"/>
        </w:sect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25990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9055" cy="8890"/>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11455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color w:val="0000FF"/>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46291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color w:val="0000FF"/>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3460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60750" cy="8255"/>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8"/>
          <w:szCs w:val="18"/>
          <w:color w:val="0000F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18148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54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34"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2005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05330" cy="8255"/>
                    </a:xfrm>
                    <a:prstGeom prst="rect">
                      <a:avLst/>
                    </a:prstGeom>
                    <a:noFill/>
                  </pic:spPr>
                </pic:pic>
              </a:graphicData>
            </a:graphic>
          </wp:anchor>
        </w:drawing>
      </w:r>
    </w:p>
    <w:p>
      <w:pPr>
        <w:spacing w:after="0" w:line="30"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0</wp:posOffset>
            </wp:positionV>
            <wp:extent cx="983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34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06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23869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8696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113</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2">
            <w:col w:w="9660" w:space="720"/>
            <w:col w:w="260"/>
          </w:cols>
          <w:pgMar w:left="620" w:top="1089" w:right="6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Annual Report on Form 10-K.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Annual Report on Form 10-K.</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ongoing and planned preclinical studies and clinical trials for our neuromuscular (e.g., SGT-003, AVB-202-TT), cardiac (e.g., AVB-401, SGT-501) or other future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including our collaboration with Ultragenyx Pharmaceutical Inc., or Ultragenyx;</w:t>
      </w:r>
    </w:p>
    <w:p>
      <w:pPr>
        <w:spacing w:after="0" w:line="53"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U.S. and foreign regulatory approval of our neuromuscular (e.g., SGT-003, AVB-202-TT), cardiac (e.g., AVB-401, SGT-501) or other future candidates, and the timing and scope thereof;</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populations and potential market opportunity for our neuromuscular (e.g., SGT-003, AVB-202-TT), cardiac (e.g., AVB-401, SGT-501) or other future candidates, if approved for commercial use;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neuromuscular (e.g., SGT-003, AVB-202-TT), cardiac (e.g., AVB-401, SGT-501)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neuromuscular (e.g., SGT-003, AVB-202-TT), cardiac (e.g., AVB-401, SGT-501) or other future candidates we may develop, if approved;</w:t>
      </w:r>
    </w:p>
    <w:p>
      <w:pPr>
        <w:spacing w:after="0" w:line="53"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sales, marketing and distribution capabilities and entry into agreements with third parties to market and sell our neuromuscular (e.g., SGT-003, AVB-202-TT), cardiac (e.g., AVB-401, SGT-501) or other future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neuromuscular (e.g., SGT-003, AVB-202-TT), cardiac (e.g., AVB-401, SGT-501) or other future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platform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use of capital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ongoing losses, future revenue, capital requirements and need for and ability to obtain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and market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and global economic developments on our business, operations, strategy and goals.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Annual Report on Form 10-K. In addition, even if our results of operations, financial condition, business and prospects are consistent with the forward-looking statements contained in this Annual Report on Form 10-K, those results may not be indicative of results in subsequent periods.</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may be materially different from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ind w:right="20"/>
        <w:spacing w:after="0" w:line="266" w:lineRule="auto"/>
        <w:rPr>
          <w:sz w:val="20"/>
          <w:szCs w:val="20"/>
          <w:color w:val="auto"/>
        </w:rPr>
      </w:pPr>
      <w:r>
        <w:rPr>
          <w:rFonts w:ascii="Times New Roman" w:cs="Times New Roman" w:eastAsia="Times New Roman" w:hAnsi="Times New Roman"/>
          <w:sz w:val="18"/>
          <w:szCs w:val="18"/>
          <w:color w:val="auto"/>
        </w:rPr>
        <w:t>what we expect. We qualify all of our forward-looking statements by these cautionary statements.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w:t>
      </w:r>
    </w:p>
    <w:p>
      <w:pPr>
        <w:spacing w:after="0" w:line="84"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the terms “Solid,” “the Company,” “we,” “us” and “our” refer to Solid Biosciences Inc., and its consolidated subsidiaries, unless the context indicates otherwise.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operating results and financial condition and the trading price of our common stock could decline. These risks are discussed more fully in the “Risk Factors” section of this Annual Report on Form 10-K. These risks include the following:</w:t>
      </w:r>
    </w:p>
    <w:p>
      <w:pPr>
        <w:spacing w:after="0" w:line="68" w:lineRule="exact"/>
        <w:rPr>
          <w:sz w:val="20"/>
          <w:szCs w:val="20"/>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the anticipated benefits of our acquisition of AavantiBio, those benefits may take longer to realize than expected, and we may encounter significant integration difficulties.</w:t>
      </w:r>
    </w:p>
    <w:p>
      <w:pPr>
        <w:spacing w:after="0" w:line="5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realize a benefit from the Acquisition and the related private placement commensurate with the ownership dilution they experienced in connection with the Acquisition and the related private placement.</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anticipate that we will continue to incur net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do not expect to do so for the foreseeable future, if ever.</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harm our business, financial condition or results of operations.</w:t>
      </w:r>
    </w:p>
    <w:p>
      <w:pPr>
        <w:spacing w:after="0" w:line="117" w:lineRule="exact"/>
        <w:rPr>
          <w:rFonts w:ascii="Times New Roman" w:cs="Times New Roman" w:eastAsia="Times New Roman" w:hAnsi="Times New Roman"/>
          <w:sz w:val="18"/>
          <w:szCs w:val="18"/>
          <w:color w:val="auto"/>
        </w:rPr>
      </w:pPr>
    </w:p>
    <w:p>
      <w:pPr>
        <w:jc w:val="both"/>
        <w:ind w:left="900" w:right="54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transfer candidates are based on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transfer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clinical trials has been placed on clinical hold by the FDA in the past, and we cannot guarantee that similar events will not happen in future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completed a clinical trial and may be unable to do so for any product candidate, including SGT-003 and other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we may fail to demonstrate safety and efficacy to the satisfaction of applicable regulatory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 w:name="page6"/>
    <w:bookmarkEnd w:id="5"/>
    <w:p>
      <w:pPr>
        <w:ind w:left="383" w:right="8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SGT-003 or our other Candidates.</w:t>
      </w:r>
    </w:p>
    <w:p>
      <w:pPr>
        <w:spacing w:after="0" w:line="53" w:lineRule="exact"/>
        <w:rPr>
          <w:rFonts w:ascii="Times New Roman" w:cs="Times New Roman" w:eastAsia="Times New Roman" w:hAnsi="Times New Roman"/>
          <w:sz w:val="18"/>
          <w:szCs w:val="18"/>
          <w:color w:val="auto"/>
        </w:rPr>
      </w:pPr>
    </w:p>
    <w:p>
      <w:pPr>
        <w:ind w:left="383" w:right="52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our Candidates and the approval may be for a more narrow indication than we seek.</w:t>
      </w:r>
    </w:p>
    <w:p>
      <w:pPr>
        <w:spacing w:after="0" w:line="53" w:lineRule="exact"/>
        <w:rPr>
          <w:rFonts w:ascii="Times New Roman" w:cs="Times New Roman" w:eastAsia="Times New Roman" w:hAnsi="Times New Roman"/>
          <w:sz w:val="18"/>
          <w:szCs w:val="18"/>
          <w:color w:val="auto"/>
        </w:rPr>
      </w:pPr>
    </w:p>
    <w:p>
      <w:pPr>
        <w:ind w:left="383" w:right="40"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clinical trial strategy, baseline eligibility criteria or make other modifications to clinical trial designs.</w:t>
      </w:r>
    </w:p>
    <w:p>
      <w:pPr>
        <w:spacing w:after="0" w:line="71" w:lineRule="exact"/>
        <w:rPr>
          <w:rFonts w:ascii="Times New Roman" w:cs="Times New Roman" w:eastAsia="Times New Roman" w:hAnsi="Times New Roman"/>
          <w:sz w:val="18"/>
          <w:szCs w:val="18"/>
          <w:color w:val="auto"/>
        </w:rPr>
      </w:pPr>
    </w:p>
    <w:p>
      <w:pPr>
        <w:ind w:left="383" w:right="42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3" w:lineRule="exact"/>
        <w:rPr>
          <w:rFonts w:ascii="Times New Roman" w:cs="Times New Roman" w:eastAsia="Times New Roman" w:hAnsi="Times New Roman"/>
          <w:sz w:val="18"/>
          <w:szCs w:val="18"/>
          <w:color w:val="auto"/>
        </w:rPr>
      </w:pPr>
    </w:p>
    <w:p>
      <w:pPr>
        <w:ind w:left="383" w:hanging="383"/>
        <w:spacing w:after="0" w:line="261"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gene therapy manufacturing experience and could experience production problems and delays in obtaining regulatory approval of our manufacturing processes, which could result in delays in the development or commercialization of SGT-003, SGT-501, or other current and future candidates. In addition, changes to manufacturing sites or processes, or formulations for our product candidates may result in additional cost or delay.</w:t>
      </w:r>
    </w:p>
    <w:p>
      <w:pPr>
        <w:spacing w:after="0" w:line="71" w:lineRule="exact"/>
        <w:rPr>
          <w:rFonts w:ascii="Times New Roman" w:cs="Times New Roman" w:eastAsia="Times New Roman" w:hAnsi="Times New Roman"/>
          <w:sz w:val="18"/>
          <w:szCs w:val="18"/>
          <w:color w:val="auto"/>
        </w:rPr>
      </w:pPr>
    </w:p>
    <w:p>
      <w:pPr>
        <w:ind w:left="383" w:right="38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3" w:lineRule="exact"/>
        <w:rPr>
          <w:rFonts w:ascii="Times New Roman" w:cs="Times New Roman" w:eastAsia="Times New Roman" w:hAnsi="Times New Roman"/>
          <w:sz w:val="18"/>
          <w:szCs w:val="18"/>
          <w:color w:val="auto"/>
        </w:rPr>
      </w:pPr>
    </w:p>
    <w:p>
      <w:pPr>
        <w:jc w:val="both"/>
        <w:ind w:left="383" w:right="2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product candidates and adversely affect our ability to conduct our business or obtain regulatory approvals for our Candidates.</w:t>
      </w:r>
    </w:p>
    <w:p>
      <w:pPr>
        <w:spacing w:after="0" w:line="67" w:lineRule="exact"/>
        <w:rPr>
          <w:rFonts w:ascii="Times New Roman" w:cs="Times New Roman" w:eastAsia="Times New Roman" w:hAnsi="Times New Roman"/>
          <w:sz w:val="18"/>
          <w:szCs w:val="18"/>
          <w:color w:val="auto"/>
        </w:rPr>
      </w:pPr>
    </w:p>
    <w:p>
      <w:pPr>
        <w:ind w:left="383" w:right="12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67" w:lineRule="exact"/>
        <w:rPr>
          <w:rFonts w:ascii="Times New Roman" w:cs="Times New Roman" w:eastAsia="Times New Roman" w:hAnsi="Times New Roman"/>
          <w:sz w:val="18"/>
          <w:szCs w:val="18"/>
          <w:color w:val="auto"/>
        </w:rPr>
      </w:pPr>
    </w:p>
    <w:p>
      <w:pPr>
        <w:ind w:left="383"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rFonts w:ascii="Times New Roman" w:cs="Times New Roman" w:eastAsia="Times New Roman" w:hAnsi="Times New Roman"/>
          <w:sz w:val="18"/>
          <w:szCs w:val="18"/>
          <w:color w:val="auto"/>
        </w:rPr>
      </w:pPr>
    </w:p>
    <w:p>
      <w:pPr>
        <w:ind w:left="383" w:right="4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3" w:lineRule="exact"/>
        <w:rPr>
          <w:rFonts w:ascii="Times New Roman" w:cs="Times New Roman" w:eastAsia="Times New Roman" w:hAnsi="Times New Roman"/>
          <w:sz w:val="18"/>
          <w:szCs w:val="18"/>
          <w:color w:val="auto"/>
        </w:rPr>
      </w:pPr>
    </w:p>
    <w:p>
      <w:pPr>
        <w:ind w:left="383" w:right="16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in the future is likely to be, volatile and fluctuate substantially, which could result in substantial losses for holders of our common stock.</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or Duchenne, SGT-501 for the treatment of Catecholaminergic polymorphic ventricular tachycardia, or CPVT, and additional assets for the treatment of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patients with neuromuscular and cardiac diseases;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December 2, 2022, we completed our acquisition of AavantiBio, Inc., or AavantiBio, a privately held gene therapy company focused on transforming the lives of patients with Friedreich’s ataxia, or FA, and rare cardiomyopathies, or the Acquisition. Upon the consummation of the Acquisition, we acquired AavantiBio’s gene therapy programs, AVB-202-TT for the treatment of FA and AVB-401 for the treatment of BAG3-mediated dilated cardiomyopathy, or DCM, additional assets for the treatment of cardiac diseases, platform technologies and know-how related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Our current programs are all designed to treat these diseases with gene transfer products. 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clinical benefit.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 its ability to introduce new genetic material directly into patients’ cells. Adeno-associated virus, or AAV, capsids have been approved for use to deliver transgenes to patients, including via systemic delivery. The use of AAV capsids to deliver gene therapies has also been extensively studied by third parties in human clinical trials for multiple disease indications, and in certain of these trials AAV was delivered systemically to the patient.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 Neuromuscular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Duchenne muscular dystrophy</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Duchenne is a genetic muscle-wasting disease predominantly affecting boys, with symptoms that usually manifest between three and five years of age. Duchenne is a progressive, irreversible, and ultimately fatal disease that affects approximately one in every 3,500 to 5,000 live male births and has an estimated prevalence of 5,000 to 15,000 cases in the United States alone. Duchenne is caused by mutations in the dystrophin gene, which results in the absence or near-absence of dystrophin protein. Dystrophin protein works to strengthen muscle fibers and protect them from daily wear and tear. Dystrophin protein also serves as the cornerstone of the dystrophin glycoprotein complex, or DGC, a group of proteins that links the inner and outer components of muscle cells to ensure proper muscle function. Without functioning dystrophin and DGC, muscles suffer excessive damage from normal daily activities and are unable to regenerate, leading to the build-up of fibrotic, or scar, and fat tissue. More than 1,000 dystrophin gene mutations, which can be inherited or can occur spontaneously, have been identified in people with Duchenne. By their early teens, Duchenne patients typically lose their</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ind w:right="140"/>
        <w:spacing w:after="0" w:line="266" w:lineRule="auto"/>
        <w:rPr>
          <w:sz w:val="20"/>
          <w:szCs w:val="20"/>
          <w:color w:val="auto"/>
        </w:rPr>
      </w:pPr>
      <w:r>
        <w:rPr>
          <w:rFonts w:ascii="Times New Roman" w:cs="Times New Roman" w:eastAsia="Times New Roman" w:hAnsi="Times New Roman"/>
          <w:sz w:val="18"/>
          <w:szCs w:val="18"/>
          <w:color w:val="auto"/>
        </w:rPr>
        <w:t>ability to walk and become dependent on a wheelchair for mobility. By their 20s, patients essentially become paralyzed from the neck down and require a ventilator to breathe. Though disease severity and life expectancy vary, a patient’s quality of life dramatically decreases over time, with death typically occurring by early adulthood from either cardiac or respiratory complications.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is no cure for Duchenne, and for the vast majority of patients, there are no satisfactory symptomatic or disease-modifying treatments. Glucocorticoid treatment, the current standard-of-care, has been shown to temporarily improve muscle strength, prolong the period of ambulation and slow the progression of Duchenne. However, glucocorticoid use is associated with well-known adverse side effects, including: severe weight gain, stunted growth, weakening of bone structure and metabolic dysfunctions, among others. The most commonly used glucocorticoids include prednisone and deflazacort (EMFLAZA).</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Despite recent therapeutic advances, including the FDA approval of ELEVIDYS, a gene transfer therapy for certain pediatric patients with Duchenne, Duchenne represents a significant societal and economic burden. The economic burden, estimated at $1.2 billion annually in the United States (excluding costly mortality and end-of-life care expenses), includes costs associated with hospital admissions, medication, frequent doctor visits and investment in assistive devices, as well as indirect costs related to productivity losses for the caregivers and costs due to pain, anxiety and social handicap. Of this amount, approximately 45% is represented by indirect costs. Only a small proportion of Duchenne patients are employed and many caregivers reduce their hours or stop working altogether to care for their children, who progressively require more help with everyday tasks, such as eating, dressing and using the bathroom. In some cases, patients also experience serious mental health issues that require additional support and treatment.</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actively involved in engaging with the Duchenne patient, clinical and research communities to support advancement of therapies for patients with Duchenne. In November 2021, in collaboration with REGENXBIO Inc., we formally launched the Pathway Development Consortium, or the PDC, a multistakeholder initiative which aims to identify, develop, expand and maintain pathways to effective therapies for patients diagnosed early in life with rare diseases, including Duchenne. The PDC seeks to achieve these goals by bringing together a broad and diverse group of stakeholders from the rare disease and AAV gene therapy communities, including patients, industry, regulators, academia and payers, among others, for meaningful scientific and policy discussions.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SGT-003</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lead neuromuscular program is directed to Duchenne. Our efforts are focused on our gene transfer candidate, SGT-003, which is designed to address the underlying genetic cause of Duchenne by delivering a synthetic transgene that produces dystrophin-like protein that is only expressed in muscles of the body, including skeletal, cardiac and respiratory muscles and is agnostic to specific mutations in the gene. Our Duchenne candidate capsid is derived from a naturally occurring, non-pathogenic virus called AAV, which was selected for its ability to efficiently enter skeletal, diaphragm and cardiac muscle tissues. The capsid is designed to carry a synthetic dystrophin transgene construct, called microdystrophin, that retains the most critical components of the full-size dystrophin gene yet is small enough to fit within AAV packaging constraints and a muscle specific promoter.</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microdystrophin is based on three decades of development and optimization work at the University of Missouri and the University of Washington as well as other academic institutions. In preclinical studies, the laboratories of Jeffrey Chamberlain, Ph.D., from the University of Washington, and Dongsheng Duan, Ph.D., from the University of Missouri, identified a proprietary configuration of genetic components that, when administered systemically, produces functional microdystrophin protein expression that not only stabilizes muscle membranes and protects muscle against injury, but also simultaneously restores the localization of DGC to the muscle membrane, notably increasing neuronal Nitric Oxide Synthase, or nNOS, concentration. In subsequent published studies, Drs. Duan and Chamberlain demonstrated in animal models that, in comparison to earlier configurations, nNOS-restoring microdystrophins were more effective in improving muscle function and resistance to fatigue.</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believe the unique functionality of our proprietary microdystrophin has the potential to result in functional benefits including diminished muscle fatigue and protection against ischemic muscle damage, which can lead to loss of functional muscle.</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expression of our microdystrophin is regulated by a modified, synthetic muscle-specific promoter cassette called CK8, which is derived from the naturally occurring muscle creatine kinase promoter. Regulatory cassettes, such as CK8, are used to prompt gene expression specifically in muscle tissues. In comparison to other regulatory cassettes, we chose CK8 due to its small size and its ability to drive microdystrophin transgene expression in skeletal, diaphragm and cardiac muscle tissues. In our preclinical studies in small and large animal models, CK8 restricted microdystrophin transgene expression to these muscles.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 w:name="page9"/>
    <w:bookmarkEnd w:id="8"/>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SGT-003 is a clinical-stage candidate designed to preserve muscle function in Duchenne patients after a single administration. SGT-003 utilizes an updated construct, combining our proprietary microdystrophin containing nNOS with AAV-SLB101, a novel, rationally designed capsid derived from AAV9 and designed for enhanced muscle tropism, reduced liver uptake and to more selectively deliver the drug to target tissue. We believe the SGT-003 construct is meaningfully differentiated from other approved and in development gene transfer candidates and may provide differentiated clinical benefit.</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Following in vitro studies in mouse and human muscle cells, AAV-SLB101 was evaluated in a head-to-head study against AAV9 with the CK8-microdystrophin construct in the dystrophin-negative mouse model of Duchenne (mdx mouse). Separate groups of mice were administered a single intravenous dose of either construct, and the biodistribution, microdystrophin protein expression, and biomarker analyses were performed at the conclusion of the study. Overall, the in vivo study mdx mouse data supported the results seen from in vitro assays and further demonstrated the potential benefits of SGT-003. The mdx mice dosed with the novel AAV-SLB101 capsid showed increased biodistribution (vector genome copies) in representative muscle tissues and increased microdystrophin expression compared to those administered the AAV9 capsid. Additionally, there were lower vector genome copies observed in the liver compared to AAV9-administered mice, with the data supporting a preferential distribution of the novel capsid towards muscle tissue and away from the liver. These data supported the proof of concept for the novel capsid microdystrophin construct in Duchenne and formed a basis for establishing and advancing the SGT-003 program.</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April 2022, we released additional preclinical data from reporter transgene studies in non-human primates, or NHPs, and both mdx and wild type mice suggesting that AAV-SLB101 may have meaningful advantages for the delivery of muscle-related gene therapies. Data from the NHP study, which used a reporter transgene in AAV-SLB101 demonstrated increased muscle tropism, decreased liver biodistribution and improved efficiency compared with AAV9. The results from the NHP study are consistent with the data from the reporter transgene studies in both mdx and wild type mouse models, which suggested improved muscle tropism and reduced liver uptake.</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Based on our preclinical data, we submitted an investigational new drug application, or IND, for SGT-003 to the FDA, which was cleared in November 2023. In addition, international clinical trial application submissions are planned to initiate beginning in the first half of 2024. Our INSPIRE Duchenne trial is a Phase 1/2 first in human, open-label, multicenter trial to determine the safety and tolerability of SGT-003 in pediatric patients with Duchenne at a dose of 1E14vg/kg. We anticipate dosing the first patient in the second quarter of 2024. SGT-003 will be administered as a one-time intravenous infusion to patients in two cohorts with a minimum of three patients each, with the potential for cohort expansion. Cohort 1 will study patients aged four to less than six years of age with Duchenne. Cohort 2 will study patients aged six to less than eight years of age. We plan to evaluate long-term safety and efficacy for a total of five years following treatment.</w:t>
      </w:r>
    </w:p>
    <w:p>
      <w:pPr>
        <w:spacing w:after="0" w:line="8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anticipate providing an initial safety update of the INSPIRE Duchenne trial, in mid-2024, subject to initiating patient dosing in the second quarter of 2024, and we anticipate providing initial data from the INSPIRE Duchenne trial in the second half of 2024.</w:t>
      </w:r>
    </w:p>
    <w:p>
      <w:pPr>
        <w:spacing w:after="0" w:line="54" w:lineRule="exact"/>
        <w:rPr>
          <w:sz w:val="20"/>
          <w:szCs w:val="20"/>
          <w:color w:val="auto"/>
        </w:rPr>
      </w:pPr>
    </w:p>
    <w:p>
      <w:pPr>
        <w:ind w:right="21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The FDA has granted orphan drug designation and Fast Track designation for SGT-003 for the treatment of Duchenne. </w:t>
      </w:r>
      <w:r>
        <w:rPr>
          <w:rFonts w:ascii="Times New Roman" w:cs="Times New Roman" w:eastAsia="Times New Roman" w:hAnsi="Times New Roman"/>
          <w:sz w:val="18"/>
          <w:szCs w:val="18"/>
          <w:b w:val="1"/>
          <w:bCs w:val="1"/>
          <w:i w:val="1"/>
          <w:iCs w:val="1"/>
          <w:color w:val="auto"/>
        </w:rPr>
        <w:t>Lead Cardiac Program</w:t>
      </w:r>
    </w:p>
    <w:p>
      <w:pPr>
        <w:spacing w:after="0" w:line="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Genetic cardiac disease, or inherited cardiac conditions, is an umbrella term to describe cardiac diseases caused by mutations in one or more genes. Primary inherited arrhythmia syndromes present as abnormal cardiac arrhythmia, including life threatening ventricular arrhythmia, in the setting of structurally normal hearts and are in general genetically determined. Cardiomyopathy is a disease of the heart muscle that impairs the ability of the heart to pump blood to the rest of the body, resulting in arrhythmias, backup of blood into the lungs and other parts of the body, and ultimately heart failure. Forms of cardiomyopathy include DCM, hypertrophic and arrhythmogenic cardiomyopathy.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CPVT</w:t>
      </w:r>
    </w:p>
    <w:p>
      <w:pPr>
        <w:spacing w:after="0" w:line="121" w:lineRule="exact"/>
        <w:rPr>
          <w:sz w:val="20"/>
          <w:szCs w:val="20"/>
          <w:color w:val="auto"/>
        </w:rPr>
      </w:pPr>
    </w:p>
    <w:p>
      <w:pPr>
        <w:jc w:val="both"/>
        <w:ind w:right="400" w:firstLine="509"/>
        <w:spacing w:after="0" w:line="261" w:lineRule="auto"/>
        <w:rPr>
          <w:sz w:val="20"/>
          <w:szCs w:val="20"/>
          <w:color w:val="auto"/>
        </w:rPr>
      </w:pPr>
      <w:r>
        <w:rPr>
          <w:rFonts w:ascii="Times New Roman" w:cs="Times New Roman" w:eastAsia="Times New Roman" w:hAnsi="Times New Roman"/>
          <w:sz w:val="18"/>
          <w:szCs w:val="18"/>
          <w:color w:val="auto"/>
        </w:rPr>
        <w:t>Our lead cardiac program is directed to the primary inherited arrhythmia syndrome CPVT. CPVT is a rare, serious and life-threatening disease which primarily manifests in children in the first and second decades of life, with the mean onset of CPVT symptoms being between seven and twelve years. CPVT is an inherited cardiac arrhythmia syndrome characterized by adrenergically induced polymorphic arrythmias in the presence of a normal resting sinus rhythm and a structurally normal heart. It is estimated that the prevalence of CPVT is 1 per 10,000 persons.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CPVT manifestations typically involve syncope, cardiac arrest and/or sudden cardiac death. The most common symptoms/signs include syncope (52-100%), cardiac arrest (8–48%), seizure-like events (40%), and hypoxic-ischemic encephalopathy (20%). CPVT is a significant cause of sudden death at a young age and mortality is high (up to 50%). Data from the recent Pediatric and Congenital Electrophysiology Society CPVT registry suggest that three of every four children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with CPVT present with life-threatening symptoms, which often occur during resting wakeful activities highlighting the unpredictable nature of CPVT.</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date, there are no medicines approved for the treatment of the underlying causes of CPVT and management is directed toward manifestations of the disease with the goal of reducing arrhythmias or eliminating the incidence of life-threatening arrhythmias. Current treatments for CPVT include lifestyle management changes, such as restriction of rigorous physical exercise and avoidance of emotional distress, which are very challenging in the pediatric population, as well as pharmacotherapies requiring strict compliance (e.g. beta-blockers or flecainide alone, or as combination therapy). Despite available pharmacotherapy options, the occurrence of breakthrough arrhythmia in approximately 30% of patients demonstrates that lifelong compliance is a critical problem. In addition, in some cases implantable cardioverter-defibrillators and/or left cardiac sympathetic denervation are used as treatment for symptomatic CPVT patients, but both are associated with attendant morbidity.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SGT-501</w:t>
      </w:r>
    </w:p>
    <w:p>
      <w:pPr>
        <w:spacing w:after="0" w:line="121"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8"/>
          <w:szCs w:val="18"/>
          <w:color w:val="auto"/>
        </w:rPr>
        <w:t>SGT-501 is a gene therapy candidate for the treatment of CPVT caused by gain of function mutation in the ryanodine receptor 2 (coded for by the RYR2 gene), which is referred to as CPVT-1, as well as loss of function mutations in the calsequestrin 2, or CASQ2, gene, which is referred to as CPVT-2. Mutations in RYR2 or CASQ2 genes disrupt cardiac calcium, or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release into the cytoplasm triggering abnormal contraction and relaxation leading to arrythmias.</w:t>
      </w:r>
    </w:p>
    <w:p>
      <w:pPr>
        <w:spacing w:after="0" w:line="99"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Our approach focuses on AAV-mediated therapeutic overexpression of CASQ2, a calcium-binding protein which, through its role in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regulation, is integral to excitation-contraction coupling in the heart and in regulating the rate of heart beats. CASQ2 expression via AAV is intended to provide durable and continual protection from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leaks seen in patients with CPVT-1 and CPVT-2.</w:t>
      </w:r>
    </w:p>
    <w:p>
      <w:pPr>
        <w:spacing w:after="0" w:line="14" w:lineRule="exact"/>
        <w:rPr>
          <w:sz w:val="20"/>
          <w:szCs w:val="20"/>
          <w:color w:val="auto"/>
        </w:rPr>
      </w:pPr>
    </w:p>
    <w:p>
      <w:pPr>
        <w:ind w:firstLine="554"/>
        <w:spacing w:after="0" w:line="261" w:lineRule="auto"/>
        <w:rPr>
          <w:sz w:val="20"/>
          <w:szCs w:val="20"/>
          <w:color w:val="auto"/>
        </w:rPr>
      </w:pPr>
      <w:r>
        <w:rPr>
          <w:rFonts w:ascii="Times New Roman" w:cs="Times New Roman" w:eastAsia="Times New Roman" w:hAnsi="Times New Roman"/>
          <w:sz w:val="18"/>
          <w:szCs w:val="18"/>
          <w:color w:val="auto"/>
        </w:rPr>
        <w:t>SGT-501 uses AAV8, a muscle tropic capsid, to deliver a functional CASQ2 transgene. Collectively, overexpression of CASQ2 in CPVT patients converges on a mechanism that drives buffering of free sarcoplasmic reticulum luminal calcium such that diastolic calcium leaks through the RYR2 into the cytosol are less likely. This mechanism of action is intended to support maintenance of normal cardiac rhythm and protect against triggered activity and arrhythmias.</w:t>
      </w:r>
    </w:p>
    <w:p>
      <w:pPr>
        <w:spacing w:after="0" w:line="7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Two nonclinical mouse studies have demonstrated proof of concept for CASQ2 gene replacement using a recombinant AAV8 serotype capsid encoding CASQ2 to mitigate effects associated with CPVT.</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SGT-501 construct design and emerging preclinical data supports further development of SGT-501 for the treatment of CPVT. We are conducting preclinical studies of SGT-501 to identify the minimally active dose and to define our good laboratory practices toxicology study plans. We anticipate submitting an IND to the FDA for SGT-501 for the treatment of patients with CPVT-1 in early 2025. The FDA and the European Medicines Agency, or EMA, have granted orphan drug designation for SGT-501 for the treatment of CPVT.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Cardiac</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currently developing a preclinical stage candidate, AVB-401, for the treatment of BAG3-mediated DCM utilizing the AAVrh74 capsid and a muscle-specific promoter. BAG3-mediated DCM is a rare cardiac disease characterized by mutations in the BAG3 gene, which codes for the BCL-2-associated athanogene 3, or BAG3, protein. Sufficient levels of functional BAG3 are required for healthy cardiac function. BAG3 gene mutations lead to reduced BAG3 protein levels and ultimately DCM. Deletions and truncations in the BAG3 protein that result in haplo-insufficiency have been associated with the development of DCM resulting from myofilament damage, poor contraction, left ventricular dysfunction, dilatation and heart failure. Preclinical data in wild type mice indicate that the AAVrh74 capsid and muscle-specific promoter combination demonstrated enhanced cardiac biodistribution and expression and decreased liver expression relative to an AAV9 capsid and constitutive promoter combination at doses of 5E13 vg/kg or less.</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also have two cardiac pipeline gene transfer programs, SGT-601 (formerly AVB-501) for TNNT2 DCM and SGT-701 (formerly AVB-601) for RBM20 DCM, that are both currently in early preclinical development. TNNT2 DCM is a rare cardiac disease characterized by mutations in the gene that codes for cardiac troponin T protein, which helps coordinate contraction of the heart muscle. TNNT2 gene mutations lead to reduced cardiac troponin T protein levels and DCM, which ultimately leads to heart failure. RBM20 DCM is a rare inherited disease characterized by mutations in the RBM20 gene, a cardiac splicing factor that regulates alternative splicing, and codes for RNA binding motif protein 20. RBM20 mutations can cause a clinically aggressive form of DCM and is correlated with high rates of heart failure, arrhythmias, and sudden cardiac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Neuromuscular</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also have a neuromuscular gene transfer program for the treatment of FA, a rare, inherited, multisystem genetic disease having both neurological and cardiac manifestations caused by loss of functional frataxin protein, or FXN, due to defects in both copies of the frataxin gene. Proof of concept data in animal models suggest that gene therapy may be a viable treatment for FA. Our approach for the treatment of FA is to target both the neurological and cardiac impairments experienced by patients through dual route of administration (intravenous and intrathecal) of gene transfer therapy to more comprehensively target disease pathology. Preclinical data in cardiac-specific FXN knockout mice supported enhanced survival and cardiac function. We continue to evaluate construct design and potential preclinical testing with a focus on the neurodegenerative portions of the disease.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Technologies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gene transfer candidates, we have development programs focusing on platform technologies, including novel capsid libraries and dual gene expression, a technology that allows us to package multiple transgenes into one capsid. These programs are part of our ongoing research efforts to develop innovative technologies that we believe may hold potential to translate into meaningful treatments, and drive future pipeline expansion, which we may seek to out-license to or develop through partnerships and collaborations with other biotechnology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Capsid Programs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novel capsid programs are directed toward developing skeletal and cardiac capsid libraries using two approaches designed to enhance skeletal and/or cardiac muscle tropism: rational design and directed evolution. Preclinical data in both wild-type and disease animal models demonstrated that we have developed a library of novel capsids that have shown increased muscle tropism with concomitant decreased liver biodistribution, resulting in improved efficiency compared to AAV9.</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developed a rationally designed library of novel AAV capsids, including SLB-101, the novel capsid used in SGT-003 for Duchenne, with the goal of improving skeletal muscle tropism. We approached this through the insertion of unique peptide sequences into traditional capsids and initially evaluated these candidates through an in vitro screening platform. The primary goal of developing this library was to generate capsids that preferentially target and transduce skeletal muscle cells, compared to traditional capsids such as AAV9. Candidate novel capsids were packaged with our microdystrophin transgene under the control of a muscle-specific promoter, such as CK8, and used to transduce muscle cells. In vitro studies performed in mouse muscle cell lines utilizing numerous novel capsid candidates showed multiple-fold increases in microdystrophin expression over AAV9. Further in vitro characterization of these capsids was performed in human Duchenne muscle cell lines. Results from these studies showed similar findings of multiple-fold increases in expression for novel capsid candidates over AAV9.</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Non-specific novel capsids were packaged comprised of a bioluminescent protein (luciferase) under the control of a ubiquitous promoter in order to allow expression across a wide range of tissue types. These constructs were further evaluated in vivo in both mdx and wild-type mice to understand the potential broader applicability of these capsids for other indications. Results from this study supports preferential targeting of muscle, with increases in biodistribution and expression over AAV9 across muscle tissues and decreased biodistribution and expression compared to AAV9 in the liver, and the potential applicability to a wide variety of indications that may benefit from such a targeting profile, in addition to Duchenne. We are continuing to develop this rationally designed novel capsid library. Using both directed evolution and rational design, we are also developing a library of novel AAV capsids with the goal of enhancing cardiac tissue tropism and avoiding liver transduction.</w:t>
      </w:r>
    </w:p>
    <w:p>
      <w:pPr>
        <w:spacing w:after="0" w:line="8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are using non-human primates, pigs, and mice as selection models to screen libraries at the level of RNA expression. Selection for effective transduction in cardiac tissue across different mammalian species is intended to identify capsid variants that potentially utilize conserved transduction mechanisms and may therefore be more likely to exhibit efficacy in humans.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Currently, we are working to develop and optimize a transient transfection manufacturing process for producing drug product for our current and future Candidates. This process will build on industry-wide accepted practices and is expected to increase the yield, robustness and scalability of our current methods.</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SGT-003 and SGT-501 are manufactured using transient transfection which requires processing steps that are more complex than those required for most chemical pharmaceuticals. We also intend to use transient transfection manufacturing for our other Candidates. We selected a manufacturing process that we believe will be scalable to support clinical and commercial production needs for SGT-003 and SGT-501. The transient transfection process was selected in order to efficiently advance SGT-003 and SGT-501 along their respective development timelines.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currently rely on third-party manufacturers for SGT-003 and SGT-501 and plan to rely on third-party manufacturers for our Candidates. In October 2021, we announced a partnership with a cell and gene therapy-focused contract development and manufacturing organization, for the development and clinical stage manufacture of SGT-003.</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supplying, and expect to continue to supply, our ongoing and future clinical development programs with drug produced at a cGMP compliant facility located at one of our contract manufacturing organizations. We ultimately intend to establish the capability and capacity to supply Candidates at commercial scale.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pipeline programs, our platform technologies and other know-how, to operate without infringing, misappropriating or otherwise violating the intellectual property rights of others, and to prevent others from infringing, misappropriating or otherwise violating our intellectual property rights. We also rely on patents, trade secrets, know-how, confidentiality procedures and agreements, and continuing technological innovation to develop and maintain our proprietary and intellectual property position.</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own and in-license various patents, patent applications, know-how and trade secrets relating to the development and commercialization of our gene therapy candidates and platform technologies. As of February 29, 2024, our patent portfolio includes both owned and in-licensed patent families relating to our gene therapy programs and platform technologies.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some patents, substantive prosecution of our patent applications has not yet commenced at the U.S. Patent and Trademark Office, or USPTO. We cannot predict whether such pending patent applications will result in the issuance of patents that effectively protect our candidates and our platform technologies, or if such issued patents or any of our licensor’s issued patents will effectively prevent others from commercializing competitive products. In any event, patent prosecution is a lengthy process, during which the scope of the claims initially submitted for examination by the patent offices in various jurisdictions are often significantly narrowed by the time they issue, if they issue at all.</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subject to certain limitations and provided statutory and regulatory requirements are met (for more information, please see “Business— Government regulation and product licensure —U.S. patent term restoration”). In the future, if and when our candidates receive approval from the FDA or foreign regulatory authorities, we expect to apply for patent term extensions on issued patents we may obtain in the future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p>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In addition, because of the extensive time required for clinical development and regulatory review of a candidate we may develop, it is possible that, before any of our candidates can be commercialized, any related patent may expire or remain in force for only a short period following commercialization, thereby limiting protection such patent would afford the respective product and any competitive advantage such patent may provide</w:t>
      </w:r>
      <w:r>
        <w:rPr>
          <w:rFonts w:ascii="Times New Roman" w:cs="Times New Roman" w:eastAsia="Times New Roman" w:hAnsi="Times New Roman"/>
          <w:sz w:val="21"/>
          <w:szCs w:val="21"/>
          <w:color w:val="auto"/>
        </w:rPr>
        <w:t>.</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also seek trademark protection in the United States and internationally where available and when appropriate. We currently own U.S. federal registrations for the marks SOLID, SOLID BIOSCIENCES and SOLID BIOSCIENCES logo, as well as registrations in the European Union, United Kingdom, Japan, and Hong Kong for the mark SOLID BIOSCIENCES, registrations in the European Union and United Kingdom for the marks SOLID BIOSCIENCES logo and SOLID GT. We also own pending trademark applications in the U.S. and in foreign jurisdictions for the mark AAVANTIBIO and a pending trademark application in the U.S. for the mark AAVANTIBIO logo.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Duchenne</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Exclusive of our platform technologies, our Duchenne program includes three patent families with respect to microdystrophin and promoter sequences. We have filed one pending U.S. non-provisional patent application and ten pending patent applications in foreign jurisdictions, and have also exclusively licensed two issued U.S. patents, two pending U.S. non-provisional patent applications, and sixteen granted patents and eight pending patent applications in foreign jurisdictions. The issued U.S. patents are projected to expire between 2028 and 2036, excluding any patent term adjustments and any patent term extensions, and any U.S. patents that may issue from the pending U.S. non-provisional patent applications would be projected to expire between 2036 and 2042, excluding any patent term adjustments and any patent term extensions.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CPVT</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Exclusive of our platform technologies, our CPVT program includes two patent families. We have exclusively licensed four issued U.S. patents, one pending U.S. non-provisional patent application, and six pending patent applications in foreign jurisdictions. The issued U.S. patents are projected to expire in 2032, excluding any patent term adjustments and any patent term extensions, and any U.S. patents that may issue from the pending U.S. non-provisional patent applications currently pending would be projected to expire in 2039, excluding any patent term adjustments and any patent term extensions.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technologies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own or license patents, patent applications and know-how related to various platform technologies. Certain of these technologies may be applicable to one or more of our current or future gene therapy candidates.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capsid program includes one patent family related to modified AAV capsids. We have filed one pending U.S. patent application and ten pending patent applications in foreign jurisdictions. Any U.S. patents that may issue from the pending U.S. non-provisional patent application would be projected to expire in 2040, excluding any patent term adjustments and any patent term extensions.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collaborations/licenses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 License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2015, we entered into a license agreement with the University of Washington, acting through UW CoMotion, under which we obtained an exclusive, royalty-bearing, sublicensable, worldwide license under certain patent applications owned by the University of Washington relating to novel micro-dystrophins to develop, manufacture, and commercialize products for use in the treatment of Duchenne and related disease indications caused by a lack of functional dystrophin. We have the right to grant sublicenses to third parties contingent upon written approval by the University of Washington prior to executing such sublicense, which approval may not be unreasonably withheld.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consideration for the rights granted by the agreement, we paid a one-time, non-refundable license fee, which was recorded as a research and development expense in 2015. We are required to reimburse the University of Washington for costs incurred in applying for, prosecuting and maintaining patents and pay up to an aggregate of approximately $1 million upon the achievement of certain milestones. There were no milestones achieved during the years ended December 31, 2023, 2022, and 2021. In October 2017, the first milestone was achieved under this agreement. The milestone payment was recorded as a research and development expense in the fourth quarter of 2017. In October 2020, the license agreement was amended such that we were required to pay the University of Washington $375 thousand in connection with the execution of the collaboration and license agreement with Ultragenyx, or the Collaboration Agreement, in October 2020. This payment was recorded as a research and development expense in the fourth quarter of 2020. The license agreement was also amended such that we are required to pay an aggregate of approximately $3.4 million upon the achievement of certain milestones. We must also pay royalties of a low single digit percentage of future sales by us and our sublicensees of products developed under the licensed patent rights. In addition, we must pay an annual maintenance fee until certain milestones are achieved, at which time a minimum annual royalty requirement will replace such maintenance fee and will apply to us and our sublicensees.</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obligated to use our commercially reasonable efforts, consistent with sound and reasonable business practices and judgment, to commercialize the inventions covered by the licensed patent rights and to make and sell products based on that patent as soon as practicable and maximize sales thereof.</w:t>
      </w:r>
    </w:p>
    <w:p>
      <w:pPr>
        <w:spacing w:after="0" w:line="6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University of Washington controls the prosecution and maintenance of the licensed patents in consultation with us and at our expense. In countries in which we have not requested prosecution or maintenance of licensed patents, the University of Washington may prosecute and maintain such licensed patents at its own cost. We have the first right to enforce such licensed patents at our expense. However, we may not enter into any settlement in any manner relating to the licensed patents without the University of Washington’s prior written consent.</w:t>
      </w:r>
    </w:p>
    <w:p>
      <w:pPr>
        <w:spacing w:after="0" w:line="72"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licensed under the agreement. We may terminate the agreement at any time upon providing sixty days’ written notice to the University of Washington. The University of Washington may terminate the agreement upon our uncured, material breach of the agreement or if we enter into an insolvency-related event.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Missouri License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2015, we entered into a license agreement with the Curators of the University of Missouri, or the University of Missouri, a public corporation of Missouri, under which we obtained an exclusive, royalty-bearing, sublicensable, worldwide license under certain patents and patent applications owned by the University of Missouri relating to a novel synthetic microdystrophin gene to make, sell and distribute products for use in the treatment of Duchenne and related disease indications resulting from a lack of functional dystrophin.</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by the agreement, we paid a one-time, non-refundable license fee, which was recorded as a research and development expense in 2015. We were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w:t>
      </w:r>
    </w:p>
    <w:p>
      <w:pPr>
        <w:spacing w:after="0" w:line="72" w:lineRule="exact"/>
        <w:rPr>
          <w:sz w:val="20"/>
          <w:szCs w:val="20"/>
          <w:color w:val="auto"/>
        </w:rPr>
      </w:pPr>
    </w:p>
    <w:p>
      <w:pPr>
        <w:jc w:val="both"/>
        <w:ind w:right="300" w:firstLine="509"/>
        <w:spacing w:after="0" w:line="258" w:lineRule="auto"/>
        <w:rPr>
          <w:sz w:val="20"/>
          <w:szCs w:val="20"/>
          <w:color w:val="auto"/>
        </w:rPr>
      </w:pPr>
      <w:r>
        <w:rPr>
          <w:rFonts w:ascii="Times New Roman" w:cs="Times New Roman" w:eastAsia="Times New Roman" w:hAnsi="Times New Roman"/>
          <w:sz w:val="18"/>
          <w:szCs w:val="18"/>
          <w:color w:val="auto"/>
        </w:rPr>
        <w:t>Under the agreement, in the event we grant a sublicense to another party, we are required to pay the University of Missouri a percentage of the consideration received. The license agreement was amended such that we were required to pay, and did pay, the University of Missouri $0.8 million in February 2021 and $1.3 million in February 2022 as a result of the execution of the Collaboration Agreement with Ultragenyx in October 2020. These amounts were recorded as a research and development expense in the fourth quarter of 2020. The license agreement was also amended such that we are required to make aggregate milestone payments of approximately $1.9 million upon the achievement of certain milestones.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There were no milestones achieved during the years ended December 31, 2023, 2022, and 2021. We must pay a royalty of a low single digit percentage of future sales or by its sublicensees of products developed using the licensed patents. In addition, we must pay an annual maintenance fee until certain milestones are achieved, after which time a minimum annual royalty will replace such maintenance fee.</w:t>
      </w:r>
    </w:p>
    <w:p>
      <w:pPr>
        <w:spacing w:after="0" w:line="68"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Under the agreement, we granted the University of Missouri a non-exclusive, royalty-free, irrevocable, paid-up license, with the right to grant sublicenses to non-profit, academic, educational or governmental institutions, to practice and use improvements made by us using the licensed patent rights, solely for non-commercial research purposes.</w:t>
      </w:r>
    </w:p>
    <w:p>
      <w:pPr>
        <w:spacing w:after="0" w:line="68"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We are obligated to use our reasonable best efforts to introduce products based on the licensed patent rights into the commercial market as soon as possible, consistent with sound and reasonable business practices and judgment, and thereafter to keep such products reasonably available to the public.</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 w:name="page15"/>
    <w:bookmarkEnd w:id="14"/>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University of Missouri controls the prosecution and maintenance of the licensed patents in consultation with us and at our expense. In countries in which we have not requested prosecution or maintenance of licensed patents, the University of Missouri may prosecute and maintain such licensed patents at its own cost. We have the first right to enforce such licensed patents at our expense. However, any settlement, consent judgment or other voluntary disposition of litigation that materially limits the scope, validity or enforceability of the licensed patent or admits fault or wrongdoing on the part of the University of Missouri must be pre-approved in writing by the University of Missouri. 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we and our sublicensees fail to achieve certain milestones. We may terminate the license agreement at any time upon providing six months’ written notice to the University of Missouri and paying a termination fee. Each of the University of Missouri and we may also terminate the agreement for an uncured default or breach of the agreement by the other party. Our ability to cure such breach only applies to the first two notices of such breach provided by the University of Missouri, and thereafter, the University of Missouri may terminate the agreement for our default or breach of the agreement upon thirty days’ written notice without an opportunity to cure such default or breach.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Florida License Agreements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and our subsidiary AavantiBio, have entered into several license agreements with the University of Florida Research Foundation, Inc., or UFRF. Broadly, the agreements relate to FA and our early stage cardiac candidates, including AVB-401, SGT-601 and SGT-701. Under each agreement we obtained an exclusive, royalty-bearing, sublicensable, world-wide license to certain patents and patent applications and a royalty-bearing non-exclusive license under the know-how, to make, have made, use, see, have sold, import and export licensed products. UFRF retains the right to practice the patent rights and know-how for internal non-commercial research, including research sponsored by commercial entities, and educational purposes.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each agreement, AavantiBio paid a one-time non-refundable license fee. In connection with each agreement, we are required to pay an annual license maintenance fee until the first commercial sale of a licensed product after which time a minimum annual royalty will replace such maintenance fees. Under each agreement, we are required to reimburse UFRF for costs incurred in applying for, prosecuting and maintaining patents, pay up to an aggregate of approximately $2.9 million upon the achievement of certain intellectual property, clinical and regulatory milestones for each licensed product under the agreement and pay a low, single digit royalty on annual net sales by us and our sublicensees of licensed products on a licensed-product-by-licensed product basis. For any licensed product covered by both of these agreements, we are only obligated to make one payment for each milestone achieved and royalty payment due. Under each agreement, in the event we grant a sublicense to another party, we are required to pay UFRF a percentage of the consideration received.</w:t>
      </w:r>
    </w:p>
    <w:p>
      <w:pPr>
        <w:spacing w:after="0" w:line="8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Under each agreement, we have the right to grant sublicenses to third parties through multiple tiers, to the extent we are in compliance with our diligence obligations under the agreement and that sublicensee is subject to the terms of such agreement.</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Under each agreement, we are obligated to use commercially reasonable efforts to develop and commercialize products covered by the licensed patent rights or know-how and to achieve certain regulatory and commercialization milestones within estimated time periods.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Under each agreement, UFRF controls the prosecution and maintenance of the licensed patents in consultation with us and at our expense. In countries in which we have not requested prosecution or maintenance of licensed patents in a particular country or jurisdiction, the license granted to such patent rights will terminate in such country or jurisdiction. We have the first right to enforce such licensed patents at our expense.</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Each of the agreements terminates on a licensed product-by-licensed product basis on the later of: (i) expiration of the patent rights covering such licensed product or (ii) ten (10) years from the first commercial sale of such licensed product. After five years, we may terminate an agreement for any reason giving advance written notice and reason for termination. UFRF may terminate an agreement for our uncured default or breach of the agreement. UFRF may immediately terminate an agreement if we bring or assist others in bringing a patent challenge against the licensed patent rights. If UFRF sends us a written demand to terminate a sublicense agreement due to such sublicensee bringing or assisting a patent challenge, UFRF may terminate such agreement if we do not terminate the license with such sublicensee.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Maugeri License Agreement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June 2023 we entered into a license agreement, or the Maugeri License Agreement, with ICS Maugeri S.p.A. SB, or Maugeri, to focus on our development and commercialization of cardiac-related products based on Maugeri’s inventions. Pursuant to the Maugeri License Agreement, Maugeri granted us an exclusive worldwide sublicensable license in certain Maugeri patent rights, including existing patent rights, and those in any improvements or know-how made in performance of</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60"/>
        <w:spacing w:after="0" w:line="258" w:lineRule="auto"/>
        <w:rPr>
          <w:sz w:val="20"/>
          <w:szCs w:val="20"/>
          <w:color w:val="auto"/>
        </w:rPr>
      </w:pPr>
      <w:r>
        <w:rPr>
          <w:rFonts w:ascii="Times New Roman" w:cs="Times New Roman" w:eastAsia="Times New Roman" w:hAnsi="Times New Roman"/>
          <w:sz w:val="18"/>
          <w:szCs w:val="18"/>
          <w:color w:val="auto"/>
        </w:rPr>
        <w:t>the Maugeri License Agreement, and a non-exclusive worldwide sublicensable license in certain Maugeri know-how, including existing know-how, and on any improvement thereto, in each case, subject to certain conditions, that is necessary or reasonably useful to develop licensed products under the terms of the Maugeri License Agreement. We will conduct certain activities agreed to by the parties with respect to the research and development of licensed products. A condition precedent to the effectiveness of the Maugeri License Agreement was regulatory review in Italy, which was completed in the third quarter of 2023 and, upon the completion of the condition precedent, the Maugeri License Agreement became effective</w:t>
      </w:r>
      <w:r>
        <w:rPr>
          <w:rFonts w:ascii="Times New Roman" w:cs="Times New Roman" w:eastAsia="Times New Roman" w:hAnsi="Times New Roman"/>
          <w:sz w:val="21"/>
          <w:szCs w:val="21"/>
          <w:color w:val="auto"/>
        </w:rPr>
        <w:t>.</w:t>
      </w:r>
    </w:p>
    <w:p>
      <w:pPr>
        <w:spacing w:after="0" w:line="65"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We paid Maugeri an upfront license fee of €1,500, which was recorded as research and development expense during the second quarter of 2023. Additionally, we agreed to cumulative developmental, regulatory, and commercial milestone payments of up to €15,000, cumulative sales milestone payments of up to €15,000, upon achievement of specified milestone events, and tiered royalties on worldwide net sales in the low-to-mid-single-digits.</w:t>
      </w:r>
    </w:p>
    <w:p>
      <w:pPr>
        <w:spacing w:after="0" w:line="56"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The Maugeri License Agreement continues until the latest expiry of (i) the last valid claim (as defined in the Maugeri License Agreement), (ii) regulatory exclusivity, and (iii) all payment obligations. Either party may terminate the Maugeri License Agreement for the other party’s uncured material breach. We may also terminate the Maugeri License Agreement in our sole discretion upon 60 days’ prior written notice to Maugeri and payment of a fee.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Ultragenyx Collaboration Agreement</w:t>
      </w:r>
    </w:p>
    <w:p>
      <w:pPr>
        <w:spacing w:after="0" w:line="121"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On October 22, 2020, or the Effective Date, we entered into a collaboration and license agreement with Ultragenyx, to focus on the development and commercialization of new gene therapies for Duchenne. We granted Ultragenyx an exclusive worldwide license for any pharmaceutical product that expresses our proprietary microdystrophin construct from AAV8 and variants thereof in clade E for the treatment of Duchenne and other diseases resulting from the lack of functional dystrophin. We retain exclusive rights to all other uses of our microdystrophin proteins, including under our SGT-003 program.</w:t>
      </w:r>
    </w:p>
    <w:p>
      <w:pPr>
        <w:spacing w:after="0" w:line="5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conducted and may conduct in the future certain activities agreed to by the parties with respect to the development of licensed products. Ultragenyx is obligated to reimburse us for personnel and out-of-pocket costs that we incur in conducting such development activities. Otherwise, Ultragenyx has decision-making authority with respect to the development, manufacturing and commercialization of licensed products. In connection with the execution of the Collaboration Agreement, we also entered into a stock purchase agreement and an investor agreement with Ultragenyx, pursuant to which we issued and sold 521,719 shares of our common stock to Ultragenyx at a price of $76.669 per share for an aggregate purchase price of approximately $40.0 million. The shares purchased by Ultragenyx were subject to a lock-up period until the earliest to occur of (i) 18 months from the closing date, (ii) the termination of the Collaboration Agreement or (iii) other specified events. Pursuant to the terms of the investor agreement, Ultragenyx agreed that, so long as it holds at least 10% of our outstanding common stock, the shares will be subject to a voting agreement, such that until the earliest to occur of certain specified events, and subject to specified conditions, Ultragenyx will, and will cause its permitted transferees to, vote in accordance with the recommendation of our Board of Directors with respect to specified matters.</w:t>
      </w:r>
    </w:p>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Ultragenyx also agreed to pay up to $255.0 million in cumulative milestone payments per product upon achievement of specified milestone events, and tiered royalties on worldwide net sales at low double digit to mid-teens percentages. Upon achievement of proof-of-concept, we have the right to opt-in to co-fund collaboration programs in return for participation in a profit share or increased royalty payments. None of the payments under the Collaboration Agreement are refundable.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each licensed product for which Ultragenyx decides to initiate a registrational trial in humans, we have the option to fund 30% of the development costs in the United States and European Union for such licensed product and forgo the development milestones and regulatory milestones, or the Development Option, and receive tiered royalties on a licensed product-by-licensed product and country-by-country basis ranging from a mid-teens percentage to a low twenties percentage based on Ultragenyx’s, and any of its affiliates’ and sublicensees’ annual worldwide net sales of each such licensed product.</w:t>
      </w:r>
    </w:p>
    <w:p>
      <w:pPr>
        <w:spacing w:after="0" w:line="75"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For each licensed product for which we exercise the Development Option, we may also elect to share 30% of the net income and net losses on net sales of such licensed product in the United States and European Union, or the Income Share Option. For licensed products for which we have exercised the Income Share Option, we will not be entitled to milestone payments and Ultragenyx will pay us tiered royalties on a licensed product-by-licensed product and country-by-country basis ranging from a mid-teens percentage to a low twenties percentage based on Ultragenyx’s, and any of its affiliates’ and sublicensees’, annual net sales of each such licensed product outside of the United States and European Union.</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and Ultragenyx established a Joint Steering Committee, or the JSC. The JSC will, among other responsibilities, review and oversee certain development activities performed under the Collaboration Agreement, including reviewing the development plan and budget for the development activities to be performed by us.</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term of the Collaboration Agreement began on the Effective Date and expires upon the expiration of all payment obligations from Ultragenyx to us under the Collaboration Agreement. Ultragenyx also has the ability to terminate for convenience with prior written notice to us, and either party may terminate for an uncured material breach.</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described in Note 3, we entered into the Collaboration Agreement with Ultragenyx for the research, development and commercialization of other pharmaceutical products that express our MD5 nNOS binding domain form of microdystrophin protein. During the year ended December 31, 2023, we recognized no revenue associated with the Collaboration Agreement. As of December 31, 2023, there was no deferred revenue related to the Collaboration Agreement. There are no amounts due from Ultragenyx as of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changing technologies, significant competition and a strong emphasis on intellectual property. This is also true in treatments of neuromuscular diseases, such as Duchenne, cardiac diseases as well as in gene therapy.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enrolling patients in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or Sarepta, announced that it had received accelerated approval for its gene therapy candidate ELEVIDYS for the treatment of ambulatory pediatric patients aged 4 through 5 years with Duchenne. In December 2023, Sarepta announced that it submitted a supplemental biologics license application, or BLA, to broaden the approved indication for ELEVIDYS to all patients (all ages and ambulation status) with Duchenne, and on February 16, 2024 Sarepta announced that the FDA accepted the supplemental BLA for priority review and set a PDUFA date of June 21, 2024. We are also aware of several companies and research institutions conducting clinical trials of product candidates focused on systemic gene transfers for Duchenne, including Pfizer Inc. with a product candidate currently in Phase 3 clinical development, Genethon with a product candidate currently being evaluated in a Phase 1/2/3 clinical trial, and REGENXBIO Inc. with a product candidate in Phase 1/2 clinical development.</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clinicals trials in small molecule product candidates focused on CPVT, including Armgo Pharmaceuticals, Inc. with an orally administered Rycal in a Phase 2 clinical trial and Cardurion Pharmaceuticals, Inc. with an orally administered CAMKII-delta inhibitor candidate in a Phase 2 clinical trial.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licensure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and product licensure</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the United States, biologic products including gene therapy products, such as our lead candidates, are licensed for marketing by the FDA under the Public Health Service Act, or PHS Act, and regulated by the FDA under the Federal Food, Drug, and Cosmetic Act, or FD&amp;C Act, as well as by other federal, state and local statutes and regulations. Both the FD&amp;C Act and the PHS Act and their corresponding rules and regulations govern, among other things, the testing, manufacturing, safety, efficacy, labeling, packaging, storage, record keeping, distribution, reporting, advertising and other promotional practices involving biologic products. FDA approval must be obtained before conducting human clinical testing of biologic products. FDA must license a biologic product before it may be marketed within the United States.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 products development process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company, institution, or organization which takes responsibility for the initiation and management of a clinical development program for such products is referred to as a sponsor. A sponsor seeking approval to market and distribute a new biological product in the United States must typically secure the following:</w:t>
      </w:r>
    </w:p>
    <w:p>
      <w:pPr>
        <w:spacing w:after="0" w:line="68" w:lineRule="exact"/>
        <w:rPr>
          <w:sz w:val="20"/>
          <w:szCs w:val="20"/>
          <w:color w:val="auto"/>
        </w:rPr>
      </w:pPr>
    </w:p>
    <w:p>
      <w:pPr>
        <w:ind w:left="900" w:right="46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in vivo studies according to the FDA’s good laboratory practices, or GLP, requirements and applicable requirements for the humane use of laboratory animals or other applicable regulations;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900" w:right="24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application for an IND, which allows human clinical trials to begin unless the FDA objects within 30 days;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biosafety committee, or IBC, assessing the safety of the clinical research and identifying any potential risk to public health or the environment;</w:t>
      </w:r>
    </w:p>
    <w:p>
      <w:pPr>
        <w:spacing w:after="0" w:line="53"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 controlled human clinical trials according to the FDA’s regulations commonly referred to as good clinical practices, or GCPs, and any additional requirements for the protection of human research subjects and their health information, to establish the safety, potency and purity of the proposed biologic product for each of its intended uses;</w:t>
      </w:r>
    </w:p>
    <w:p>
      <w:pPr>
        <w:spacing w:after="0" w:line="67"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substantive evidence of safety, purity and potency from results of preclinical testing and clinical trials, and detailed information about the chemistry, manufacturing and controls, or CMC, for the product, reports of the outcomes and full data sets of the clinical trials and proposed labeling and packaging for the product;</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if applicable;</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and purity;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licensure of the BLA; and</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Investigational New Drug Application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in vivo studies to assess the potential safety and activity of the product candidate and to establish a rationale for therapeutic use. These studies are generally referred to as IND-enabling studies. The conduct of certain nonclinical studies must comply with federal regulations and requirements, including GLPs and the U.S. Department of Agriculture’s Animal Welfare Act, if applicable.</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clinical trial sponsor must submit the results of the preclinical tests, together with manufacturing information, analytical data, any available clinical data or literature and a proposed clinical protocol, to the FDA as part of the IND. An IND is an exemption from the FD&amp;C Act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BLA. In addition to reviewing an IND to assure the safety and rights of patients, the FDA also focuses on any CMC issues and the quality of the investigation. Some preclinical tests may continue even after the IND is submitted.</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IND becomes effective 30 days after receipt by the FDA, unless the FDA notifies the sponsor of deficiencies that require correction before human studies can begin. The sponsor cannot initiate studies until the FDA notifies the sponsor that the submitted corrections are satisfactory. The FDA may also place the clinical trial on a full clinical hold or partial clinical hold. In such a case, the IND sponsor and the FDA must resolve any outstanding concerns before the clinical trial can begin.</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following the clearance of an IND, the FDA may impose a full or partial clinical hold at any time during clinical trials. A partial clinical hold is a delay or suspension of only part of the clinical work requested under the IND (e.g., a specific protocol or part of a protocol is not allowed to proceed; however, other protocols or parts of the protocol are allowed to proceed under the IND). If the FDA requires that progress to the next study is contingent on (i) FDA review of additional data and (ii) subsequent specific permission for the study to proceed, this represents a partial clinical hold.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under an IND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biologic product candidate to healthy volunteers or subjects under the supervision of qualified investigators, generally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75" w:lineRule="exact"/>
        <w:rPr>
          <w:sz w:val="20"/>
          <w:szCs w:val="20"/>
          <w:color w:val="auto"/>
        </w:rPr>
      </w:pPr>
    </w:p>
    <w:p>
      <w:pPr>
        <w:ind w:right="140" w:firstLine="554"/>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or DSMB, or a data safety monitoring committee, or DMC. This group provides authorization as to whether or not a trial may move forward at designated check points based on access that only the group maintains to available data from the study. Clinical trials involving recombinant DNA also must be reviewed by an IBC a local institutional committee that reviews and oversees basic and clinical research and utilizes recombinant DNA at that institution. The IBC assesses the safety of the research and identifies any potential risk to public health or the environment.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900" w:right="60" w:hanging="383"/>
        <w:spacing w:after="0" w:line="258"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investigational biologic product is initially introduced into a small group of healthy human subjects and tested for safety, dosage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1 clinical trials of gene therapies are typically conducted in patients rather than healthy volunteers.</w:t>
      </w:r>
    </w:p>
    <w:p>
      <w:pPr>
        <w:spacing w:after="0" w:line="75" w:lineRule="exact"/>
        <w:rPr>
          <w:rFonts w:ascii="Times New Roman" w:cs="Times New Roman" w:eastAsia="Times New Roman" w:hAnsi="Times New Roman"/>
          <w:sz w:val="18"/>
          <w:szCs w:val="18"/>
          <w:color w:val="auto"/>
        </w:rPr>
      </w:pPr>
    </w:p>
    <w:p>
      <w:pPr>
        <w:ind w:left="900" w:right="140" w:hanging="383"/>
        <w:spacing w:after="0" w:line="26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biologic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5" w:lineRule="exact"/>
        <w:rPr>
          <w:rFonts w:ascii="Times New Roman" w:cs="Times New Roman" w:eastAsia="Times New Roman" w:hAnsi="Times New Roman"/>
          <w:sz w:val="18"/>
          <w:szCs w:val="18"/>
          <w:color w:val="auto"/>
        </w:rPr>
      </w:pPr>
    </w:p>
    <w:p>
      <w:pPr>
        <w:ind w:left="900" w:right="60" w:hanging="383"/>
        <w:spacing w:after="0" w:line="257"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Phase 3 clinical trials are commonly referred to as “pivotal” studies, which typically denotes a study that presents the data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 or other relevant regulatory agency will use to determine whether or not to approve a biologic product. In Phase 3 clinical trials, the investigational biologic product is administered to an expanded patient population, generally at multiple geographically dispersed clinical trial sites in adequate and well 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76"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Post-approval clinical trials, sometimes also referred to as post-marketing clinical trials, may be conducted after initial approval. These clinical trials are used to gain additional experience from the treatment of patients in the intended therapeutic indication, particularly for long-term safety follow-up.</w:t>
      </w:r>
    </w:p>
    <w:p>
      <w:pPr>
        <w:spacing w:after="0" w:line="3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biological product. These plans are meant to encourage the enrollment of more diverse patient populations in late-stage clinical trials of FDA-regulated products. Specifically, action plans must include the sponsor’s goals for enrollment, the underlying rationale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9" w:name="page20"/>
    <w:bookmarkEnd w:id="19"/>
    <w:p>
      <w:pPr>
        <w:ind w:right="80"/>
        <w:spacing w:after="0" w:line="282" w:lineRule="auto"/>
        <w:rPr>
          <w:sz w:val="20"/>
          <w:szCs w:val="20"/>
          <w:color w:val="auto"/>
        </w:rPr>
      </w:pPr>
      <w:r>
        <w:rPr>
          <w:rFonts w:ascii="Times New Roman" w:cs="Times New Roman" w:eastAsia="Times New Roman" w:hAnsi="Times New Roman"/>
          <w:sz w:val="18"/>
          <w:szCs w:val="18"/>
          <w:color w:val="auto"/>
        </w:rPr>
        <w:t>for those goals, and an explanation of how the sponsor intends to meet them. In January 2024, the FDA issued draft guidance setting out its policies for the collection of race and ethnicity data in clinical trials.</w:t>
      </w:r>
    </w:p>
    <w:p>
      <w:pPr>
        <w:spacing w:after="0" w:line="5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FDA or the sponsor or its DSMB/DMC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product candidate has been associated with unexpected serious harm to patients.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Finally, sponsors of certain clinical trials are required to register and disclose certain clinical trial information on a public registry (clinicaltrials.gov) maintained by the NIH. In particular, information related to the product, patient population, phase of investigation, study sites and investigators and other aspects of the clinical trial is made public as part of the registration of the clinical trial. The NIH’s Final Rule on registration and reporting requirements for clinical trials became effective in 2017. Although the FDA has historically not enforced these reporting requirements due to the Department of Health and Human Services’, or HHS’s, long delay in issuing final implementing regulations, the FDA has issued several pre-notices for voluntary corrective action and several notices of non-compliance during the past two years. While these notices of non-compliance did not result in civil monetary penalties, the failure to submit clinical trial information to clinicaltrials.gov, as required, is a prohibited act under the FD&amp;C Act with violations subject to potential civil monetary penalties of up to $10,000 for each day the violation continues.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the FDA during the clinical development program</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Written IND safety reports must be promptly submitted to the FDA, the IRB and the investigators for serious and unexpected adverse events, any findings from other trials, in vivo laboratory tests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Annual progress reports detailing the results of the clinical trials must be submitted to the FDA.</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or pre-IND application meeting, at the end of a Phase 2 clinical trial, or EOP2 meeting, and before a BLA is submitted, or pre-BLA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application and pre-BLA meetings, as well as Type B EOP2 meetings. A Type C meeting is any meeting other than a Type A or Type B meeting regarding the development and review of a product. A Type D meeting is focused on a narrow set of issues (and should be limited to no more than two focused topics)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requirements, including undergoing review and receiving approval by an independent ethics committee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is no obligation for a sponsor to make its investigational products available for expanded access; however, as required by the 21st Century Cures Act, or the Cures Act, passed in 2016, if a sponsor has a policy regarding how it responds to expanded access requests, it must make that policy publicly available. Sponsors are required to make such policies publicly available upon the earlier of initiation of a Phase 2 or Phase 3 trial; or 15 days after the drug or biologic receives designation as a breakthrough therapy, fast track product, or regenerative medicine advanced therapy.</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regulations and guidance governing gene therapy products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in vivo or transferred to cells ex vivo prior to administration to the recipient.</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Within the FDA, the Center for Biologics Evaluation and Research, or CBER, regulates gene therapy products. CBER’s Office of Therapeutic Products is responsible for the review of gene therapy and related products, and the FDA has established the Cellular, Tissue and Gene Therapies Advisory Committee to advise CBER on its reviews. The NIH also advises the FDA on gene therapy issues and other issues related to emerging technologies. The FDA and the NIH have published guidance documents with respect to the development and submission of gene therapy protocols.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NIH funding for recombinant DNA research, prior to the submission of an IND to the FDA, a protocol and related documents must be submitted to, and the study registered with, the NIH Office of Biotechnology Activities, pursuant to the NIH Guidelines for Research Involving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w:t>
      </w:r>
    </w:p>
    <w:p>
      <w:pPr>
        <w:spacing w:after="0" w:line="6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therapy-related adverse events for up to a 5-year period. Other types of gene therapy or gene editing products may require longer follow up, potentially up to a maximum 15-year period.</w:t>
      </w:r>
    </w:p>
    <w:p>
      <w:pPr>
        <w:spacing w:after="0" w:line="82"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Finally, for a gene therapy product and where applicable, the FDA also will not approve the product if the manufacturer is not in compliance with good tissue practices, or GTP. These standards are found in FDA regulations and guidance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T-cell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79"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FDA must meet with sponsors by no later than the end-of-phase 1 meeting for serious or life-threatening diseases and by no later than 90 days after the FDA’s receipt of the study plan.</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Additional requirements and procedures relating to deferral requests and requests for extension of deferrals are contained in the Food and Drug Administration Safety and Innovation Act, or FDASIA. The FDA also maintains a list of diseases that are exempt from the requirements PREA, due to low prevalence of disease in the pediatric population. In May 2023, the FDA issued new draft guidance that further describes the pediatric study requirements under the PREA.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cGMP requirements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Manufacturers of biologics must comply with applicable cGMP regulations, including quality control and quality assurance and maintenance of records and documentation. Manufacturers and others involved in the manufacture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60"/>
        <w:spacing w:after="0" w:line="254" w:lineRule="auto"/>
        <w:rPr>
          <w:sz w:val="20"/>
          <w:szCs w:val="20"/>
          <w:color w:val="auto"/>
        </w:rPr>
      </w:pPr>
      <w:r>
        <w:rPr>
          <w:rFonts w:ascii="Times New Roman" w:cs="Times New Roman" w:eastAsia="Times New Roman" w:hAnsi="Times New Roman"/>
          <w:sz w:val="18"/>
          <w:szCs w:val="18"/>
          <w:color w:val="auto"/>
        </w:rPr>
        <w:t>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requiring withdrawal of the product from the market. The PREVENT Pandemics Act, which was enacted in December 2022, clarifies that foreign drug manufacturing establishments are subject to registration and listing requirements even if a biologic undergoes further manufacture, preparation, propagation, compounding, or processing at a separate establishment outside the United States prior to being imported or offered for import into the United States.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preclinical studies and must also develop additional information about the physical characteristics of the biologic product candidate as well as finalize a process for manufacturing the product candidate in commercial quantities in accordance with cGMP requirements. To help reduce the risk of the introduction of adventitious agents or of causing other adverse events with the use of biologic products, the PHS Act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and filing of a BLA</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 product, FDA licensure of a BLA must be obtained before commercial marketing of the biologic product. The BLA must include results of product development, laboratory and animal studies, human studies, information on the manufacture and composition of the product, proposed labeling and other relevant information. In addition, under the PREA, a BLA or supplement to a BLA must contain data to assess the safety and effectiveness of the biologic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significant user fee. Under federal law, the submission of most BLAs is subject to an application user fee, which for federal fiscal year 2024 is approximately $4.05 million for an application requiring clinical data. The sponsor of an approved BLA is also subject to an annual program fee, which for federal fiscal year 2024 is currently $416,734 per eligible prescription product.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FDA reviews a BLA within 60 days of submission to determine if it is substantially complete before the agency accepts it for filing, and it must so notify the sponsor of that determination within the 60 days. The FDA may refuse to file any BLA that it deems incomplete or not properly reviewable at the time of submission and may request additional information. In the event that FDA determines that an application does not satisfy this standard, it will issue a Refuse to File, or RTF, determination to the sponsor. The BLA may be resubmitted with the additional information. The resubmitted application also is subject to review before the FDA accepts it for filing. Once the submission is accepted for filing, the FDA begins an in-depth substantive review of the BLA.</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With filing of the application,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During the biologic product approval process, the FDA also will determine whether a REMS, is necessary to assure the safe use of the biologic product.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180"/>
        <w:spacing w:after="0" w:line="282" w:lineRule="auto"/>
        <w:rPr>
          <w:sz w:val="20"/>
          <w:szCs w:val="20"/>
          <w:color w:val="auto"/>
        </w:rPr>
      </w:pPr>
      <w:r>
        <w:rPr>
          <w:rFonts w:ascii="Times New Roman" w:cs="Times New Roman" w:eastAsia="Times New Roman" w:hAnsi="Times New Roman"/>
          <w:sz w:val="18"/>
          <w:szCs w:val="18"/>
          <w:color w:val="auto"/>
        </w:rPr>
        <w:t>distribution methods, patient registries and other risk minimization tools. If the FDA concludes a REMS is needed, the sponsor of the BLA must submit a proposed REMS; the FDA will not approve the BLA without a REMS, if required.</w:t>
      </w:r>
    </w:p>
    <w:p>
      <w:pPr>
        <w:spacing w:after="0" w:line="54" w:lineRule="exact"/>
        <w:rPr>
          <w:sz w:val="20"/>
          <w:szCs w:val="20"/>
          <w:color w:val="auto"/>
        </w:rPr>
      </w:pPr>
    </w:p>
    <w:p>
      <w:pPr>
        <w:ind w:right="40" w:firstLine="515"/>
        <w:spacing w:after="0" w:line="256" w:lineRule="auto"/>
        <w:rPr>
          <w:sz w:val="20"/>
          <w:szCs w:val="20"/>
          <w:color w:val="auto"/>
        </w:rPr>
      </w:pPr>
      <w:r>
        <w:rPr>
          <w:rFonts w:ascii="Times New Roman" w:cs="Times New Roman" w:eastAsia="Times New Roman" w:hAnsi="Times New Roman"/>
          <w:sz w:val="18"/>
          <w:szCs w:val="18"/>
          <w:color w:val="auto"/>
        </w:rPr>
        <w:t>In connection with its review of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to ensure the integrity of the clinical data. cGMP, GLP and GCP compliance requires significant expenditure of time, money and effort in the areas of training, recordkeeping, production and quality control.</w:t>
      </w:r>
    </w:p>
    <w:p>
      <w:pPr>
        <w:spacing w:after="0" w:line="79" w:lineRule="exact"/>
        <w:rPr>
          <w:sz w:val="20"/>
          <w:szCs w:val="20"/>
          <w:color w:val="auto"/>
        </w:rPr>
      </w:pPr>
    </w:p>
    <w:p>
      <w:pPr>
        <w:ind w:right="140" w:firstLine="515"/>
        <w:spacing w:after="0" w:line="266" w:lineRule="auto"/>
        <w:rPr>
          <w:sz w:val="20"/>
          <w:szCs w:val="20"/>
          <w:color w:val="auto"/>
        </w:rPr>
      </w:pPr>
      <w:r>
        <w:rPr>
          <w:rFonts w:ascii="Times New Roman" w:cs="Times New Roman" w:eastAsia="Times New Roman" w:hAnsi="Times New Roman"/>
          <w:sz w:val="18"/>
          <w:szCs w:val="18"/>
          <w:color w:val="auto"/>
        </w:rPr>
        <w:t>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Decisions on a BLA</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 This “benefit-risk” assessment is informed by the extensive body of evidence about the product in the BLA.</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A CRL generally outlines the deficiencies in the submission and may require substantial additional testing or information in order for the FDA to reconsider the application. The deficiencies identified may be minor, for example, requiring labeling changes; or major, for example, requiring additional clinical trials. Additionally, the CRL may include recommended actions that the sponsor might take to place the application in a condition for approval. If a CRL is issued, the sponsor may either resubmit the BLA, addressing all of the deficiencies identified in the letter, or withdraw the application. For those seeking to challenge FDA’s CRL decision, the agency has indicated that sponsors may request a formal hearing on the CRL or they may file a request for reconsideration or a request for a formal dispute resolution.</w:t>
      </w:r>
    </w:p>
    <w:p>
      <w:pPr>
        <w:spacing w:after="0" w:line="8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FDA will issue an approval letter.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designed to further assess a biologic product’s safety, purity and potency, and testing and surveillance programs to monitor the safety of approved products that have been commercialized.</w:t>
      </w:r>
    </w:p>
    <w:p>
      <w:pPr>
        <w:spacing w:after="0" w:line="7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FDA has agreed to specified performance goals in the review of BLAs under the PDUFA. One such goal is to review standard BLAs in ten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and the companion Health Care and Education Reconciliation Act, or the Health Care Reform Law, which was signed into law on March 23, 2010, included a subtitle called the Biologics Price Competition and Innovation Act of 2009, or BPCIA. That Act established a regulatory scheme authorizing the FDA to approve biosimilars and interchangeable biosimilars. To date, the FDA has approved a number of biosimilars and it has also issued numerous guidance documents outlining its approach to reviewing and licensing biosimilars and interchangeable biosimilars under the PHS Act.</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40"/>
        <w:spacing w:after="0" w:line="261" w:lineRule="auto"/>
        <w:rPr>
          <w:sz w:val="20"/>
          <w:szCs w:val="20"/>
          <w:color w:val="auto"/>
        </w:rPr>
      </w:pPr>
      <w:r>
        <w:rPr>
          <w:rFonts w:ascii="Times New Roman" w:cs="Times New Roman" w:eastAsia="Times New Roman" w:hAnsi="Times New Roman"/>
          <w:sz w:val="18"/>
          <w:szCs w:val="18"/>
          <w:color w:val="auto"/>
        </w:rPr>
        <w:t>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FDA may approve multiple first interchangeable biosimilar biological products so long as the products are all approved on the first day on which such a product is approved as interchangeable with the reference product.</w:t>
      </w:r>
    </w:p>
    <w:p>
      <w:pPr>
        <w:spacing w:after="0" w:line="72"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Under the BPCIA, an application for a biosimilar product may not be submitted to the FDA until four years following the date of first licensure of the reference product. The FDA may not approve a biosimilar product until 12 years from the date on which the reference product was first licensed.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There have been recent government proposals to reduce the 12-year reference product exclusivity period, but none has been enacted to date. Since passage of the BPCIA, many states have passed laws or amendments to laws, which address pharmacy practices involving biosimilar products.</w:t>
      </w:r>
    </w:p>
    <w:p>
      <w:pPr>
        <w:spacing w:after="0" w:line="6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27, 2020 (enacted as part of the Consolidated Appropriations Act, 2021), the “patent dance” lists became public information as listed in the Purple Book (FDA’s “Database of Licensed Biological Products”). In particular, reference product BLA holders must submit to the FDA within 30 days of exchanging a patent list (patents with expiry dates) with a biosimilar applicant, as well as any supplemental lists. This information was previously maintained as confidential as between the BLA holder and biosimilar applicant. Despite publication of these lists, a BLA holder may assert other patents against future filers, and does not exclude enforcement of newly granted patents.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under the Act, the FDA must now publish in the Purple Book the following information about patented biological products:</w:t>
      </w:r>
    </w:p>
    <w:p>
      <w:pPr>
        <w:spacing w:after="0" w:line="117" w:lineRule="exact"/>
        <w:rPr>
          <w:sz w:val="20"/>
          <w:szCs w:val="20"/>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each biological product, by nonproprietary name, for which a biologics license is in effect;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licensure and the application number;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licensure status and, as available, the marketing status;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 periods.</w:t>
      </w:r>
    </w:p>
    <w:p>
      <w:pPr>
        <w:spacing w:after="0" w:line="117" w:lineRule="exact"/>
        <w:rPr>
          <w:sz w:val="20"/>
          <w:szCs w:val="20"/>
          <w:color w:val="auto"/>
        </w:rPr>
      </w:pPr>
    </w:p>
    <w:p>
      <w:pPr>
        <w:ind w:right="100" w:firstLine="509"/>
        <w:spacing w:after="0" w:line="375" w:lineRule="auto"/>
        <w:rPr>
          <w:sz w:val="20"/>
          <w:szCs w:val="20"/>
          <w:color w:val="auto"/>
        </w:rPr>
      </w:pPr>
      <w:r>
        <w:rPr>
          <w:rFonts w:ascii="Times New Roman" w:cs="Times New Roman" w:eastAsia="Times New Roman" w:hAnsi="Times New Roman"/>
          <w:sz w:val="18"/>
          <w:szCs w:val="18"/>
          <w:color w:val="auto"/>
        </w:rPr>
        <w:t xml:space="preserve">The FDA must publish in the Purple Book all of the above information in the first instance within 180 days of enactment and update every 30 days. </w:t>
      </w:r>
      <w:r>
        <w:rPr>
          <w:rFonts w:ascii="Times New Roman" w:cs="Times New Roman" w:eastAsia="Times New Roman" w:hAnsi="Times New Roman"/>
          <w:sz w:val="18"/>
          <w:szCs w:val="18"/>
          <w:b w:val="1"/>
          <w:bCs w:val="1"/>
          <w:i w:val="1"/>
          <w:iCs w:val="1"/>
          <w:color w:val="auto"/>
        </w:rPr>
        <w:t>Pediatric exclusivity</w:t>
      </w:r>
    </w:p>
    <w:p>
      <w:pPr>
        <w:spacing w:after="0" w:line="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exclusivity in the United States and, if granted, provides for the attachment of an additional six months of regulatory exclusivity to the term of any existing regulatory exclusivity, including reference product and orphan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period during which the FDA will not approve a biosimilar application.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if the party holding the exclusivity fails to assure the availability of sufficient quantities of the drug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100"/>
        <w:spacing w:after="0" w:line="258" w:lineRule="auto"/>
        <w:rPr>
          <w:sz w:val="20"/>
          <w:szCs w:val="20"/>
          <w:color w:val="auto"/>
        </w:rPr>
      </w:pPr>
      <w:r>
        <w:rPr>
          <w:rFonts w:ascii="Times New Roman" w:cs="Times New Roman" w:eastAsia="Times New Roman" w:hAnsi="Times New Roman"/>
          <w:sz w:val="18"/>
          <w:szCs w:val="18"/>
          <w:color w:val="auto"/>
        </w:rPr>
        <w:t>meet the needs of patients with the disease or condition for which the drug was designated. In addition, the FDA may not approve other applications to market the same drug or biologic product for the same indication for seven years unless the sponsor of the other product demonstrates that its product is clinically superior to the product with orphan drug exclusivity. Under Omnibus legislation enacted in December 2020, this clinical superiority requirement applies to drugs and biologics that received orphan drug designation before enactment of the FDA Reauthorization Act in 2017, but have not yet been approved or licensed by FDA.</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Orphan exclusivity does not block the approval of a different product for the same rare disease or condition, nor does it block the approval of the same product for different indications. In particular, the concept of what constitutes the "same drug" for purposes of orphan drug exclusivity remains in flux in the context of gene therapies, and the FDA issued final guidance in September 2021 suggesting that it would not consider two gene therapy products to be different drugs solely based on minor differences in the transgenes or capsids. If a product designated as an orphan drug ultimately receives marketing approval for an indication broader than what was designated in its orphan drug application, it may not be entitled to exclusivity. Orphan medicinal product status in the European Union has similar, but not identical, benefits.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In January 2023, FDA announced that, in matters beyond the scope of that court order, FDA will continue to apply its existing regulations tying orphan-drug exclusivity to the uses or indications for which the orphan drug was approved.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BLAs in several ways. 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52" w:lineRule="exact"/>
        <w:rPr>
          <w:sz w:val="20"/>
          <w:szCs w:val="20"/>
          <w:color w:val="auto"/>
        </w:rPr>
      </w:pPr>
    </w:p>
    <w:p>
      <w:pPr>
        <w:ind w:left="900" w:right="100" w:hanging="383"/>
        <w:spacing w:after="0" w:line="25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75" w:lineRule="exact"/>
        <w:rPr>
          <w:rFonts w:ascii="Times New Roman" w:cs="Times New Roman" w:eastAsia="Times New Roman" w:hAnsi="Times New Roman"/>
          <w:sz w:val="18"/>
          <w:szCs w:val="18"/>
          <w:color w:val="auto"/>
        </w:rPr>
      </w:pPr>
    </w:p>
    <w:p>
      <w:pPr>
        <w:ind w:left="900" w:right="60" w:hanging="383"/>
        <w:spacing w:after="0" w:line="26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65" w:lineRule="exact"/>
        <w:rPr>
          <w:rFonts w:ascii="Times New Roman" w:cs="Times New Roman" w:eastAsia="Times New Roman" w:hAnsi="Times New Roman"/>
          <w:sz w:val="18"/>
          <w:szCs w:val="18"/>
          <w:color w:val="auto"/>
        </w:rPr>
      </w:pPr>
    </w:p>
    <w:p>
      <w:pPr>
        <w:ind w:left="900" w:right="100" w:hanging="383"/>
        <w:spacing w:after="0" w:line="25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 products studied for their safety and effectiveness in treating serious or life-threatening illnesses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78" w:lineRule="exact"/>
        <w:rPr>
          <w:rFonts w:ascii="Times New Roman" w:cs="Times New Roman" w:eastAsia="Times New Roman" w:hAnsi="Times New Roman"/>
          <w:sz w:val="18"/>
          <w:szCs w:val="18"/>
          <w:color w:val="auto"/>
        </w:rPr>
      </w:pPr>
    </w:p>
    <w:p>
      <w:pPr>
        <w:ind w:left="9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passage of FDORA,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900"/>
        <w:spacing w:after="0" w:line="258" w:lineRule="auto"/>
        <w:rPr>
          <w:sz w:val="20"/>
          <w:szCs w:val="20"/>
          <w:color w:val="auto"/>
        </w:rPr>
      </w:pPr>
      <w:r>
        <w:rPr>
          <w:rFonts w:ascii="Times New Roman" w:cs="Times New Roman" w:eastAsia="Times New Roman" w:hAnsi="Times New Roman"/>
          <w:sz w:val="18"/>
          <w:szCs w:val="18"/>
          <w:color w:val="auto"/>
        </w:rPr>
        <w:t>accelerated approval to submit progress reports on its post-approval studies to FDA every six months (until the study is completed) and use expedited procedures to withdraw accelerated approval of a BLA after the confirmatory trial fails to verify the product’s clinical benefit. Further, FDORA requires the FDA to publish on its website “the rationale for why a post-approval study is not appropriate or necessary” whenever it decides not to require such a study upon granting accelerated approval. In March 2023, the FDA issued draft guidance that outlines its current thinking and approach to accelerated approval.</w:t>
      </w:r>
    </w:p>
    <w:p>
      <w:pPr>
        <w:spacing w:after="0" w:line="73" w:lineRule="exact"/>
        <w:rPr>
          <w:sz w:val="20"/>
          <w:szCs w:val="20"/>
          <w:color w:val="auto"/>
        </w:rPr>
      </w:pPr>
    </w:p>
    <w:p>
      <w:pPr>
        <w:ind w:left="900" w:right="200" w:hanging="383"/>
        <w:spacing w:after="0" w:line="257"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Regenerative advanced therapy. </w:t>
      </w:r>
      <w:r>
        <w:rPr>
          <w:rFonts w:ascii="Times New Roman" w:cs="Times New Roman" w:eastAsia="Times New Roman" w:hAnsi="Times New Roman"/>
          <w:sz w:val="18"/>
          <w:szCs w:val="18"/>
          <w:color w:val="auto"/>
        </w:rPr>
        <w:t>With passage of the Cures Act in December 2016, Congress authorized the FDA to accelerate review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76"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Rare Pediatric Disease Designation and Priority Review Vouchers</w:t>
      </w:r>
    </w:p>
    <w:p>
      <w:pPr>
        <w:spacing w:after="0" w:line="119"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In 2012, Congress enacted the FDASIA, requiring the FDA to award priority review vouchers, or PRVs, to sponsors of certain rare pediatric disease product applications. This program is designed to encourage development of new drug and biological products for prevention and treatment of “rare pediatric diseases” by, upon initial approval of an application meeting certain specified criteria, providing companies with a voucher that can be redeemed to receive a priority review of a subsequent marketing application for a different product. The sponsor of a rare pediatric disease product receiving a PRV may sell or otherwise transfer the voucher to another company. The voucher may be further transferred any number of times before the voucher is used, as long as the sponsor making the transfer has not yet submitted an application relying on the priority review voucher. The FDA may also revoke any PRV if the rare pediatric disease product for which the voucher was awarded is not marketed in the United States within one year following the date of approval.</w:t>
      </w:r>
    </w:p>
    <w:p>
      <w:pPr>
        <w:spacing w:after="0" w:line="6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receive a PRV upon BLA approval, the product must receive designation from the FDA as a product for a rare pediatric disease prior to submission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PRV,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8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Rare Pediatric Disease PRV program was scheduled to expire after September 30, 2020. After that, only drugs designated as rare pediatric treatments and approved by the FDA by October 1, 2022, could receive a voucher. In December 2020, however, Congress renewed the program as part of the 2021 Coronavirus Response and Relief Supplemental Consolidated Appropriations Act through the federal fiscal year 2024. Thus, under the current statutory sunset provisions, FDA may only award PRVs for approved rare pediatric disease product applications if sponsors have rare pediatric disease designation for the drug granted by September 30, 2024. The FDA may not award any rare pediatric disease PRVs after September 30,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After regulatory approval of a product is obtained, there may be a number of post-approval requirements. For example, as a condition of approval of a BLA, the FDA may require post-marketing testing and surveillance 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Changes to the manufacturing process are strictly regulated, and, depending on the significance of the change, may require prior regulatory approval before being implemented. Regulations also require investigation and correction of any deviations from cGMP and impose reporting and documentation requirements upon us and any third-party manufacturers that we may decide to use. The FDA periodically inspects manufacturing facilities to assess compliance with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160"/>
        <w:spacing w:after="0" w:line="312" w:lineRule="auto"/>
        <w:rPr>
          <w:sz w:val="20"/>
          <w:szCs w:val="20"/>
          <w:color w:val="auto"/>
        </w:rPr>
      </w:pPr>
      <w:r>
        <w:rPr>
          <w:rFonts w:ascii="Times New Roman" w:cs="Times New Roman" w:eastAsia="Times New Roman" w:hAnsi="Times New Roman"/>
          <w:sz w:val="17"/>
          <w:szCs w:val="17"/>
          <w:color w:val="auto"/>
        </w:rPr>
        <w:t>cGMP requirements, which impose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3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although physicians may prescribe legally available products for unapproved uses or patient populations, which are commonly referred to as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FDA will consider in determining the intended use of a biologic. If a company is found to have promoted off-label uses, it may become subject to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 Further, in October 2023, the FDA published draft guidance outlining the FDA’s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terms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the application for the extension must be submitted prior to the expiration of the patent, and only those claims covering the approved drug, a method for using it or a method for manufacturing it may be extended. Moreover, a given patent may only be extended once based on a single product. The USPTO in consultation with the FDA, reviews and approves the application for any patent term extension or restoration.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laws</w:t>
      </w:r>
    </w:p>
    <w:p>
      <w:pPr>
        <w:spacing w:after="0" w:line="12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Health Insurance Portability and Accountability Act, or HIPAA, the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will be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agency—the California Privacy Protection Agency—whose sole responsibility is to enforce the CPRA, which will further increase compliance risk. The provisions in the CPRA may apply to some of our business activities.</w:t>
      </w:r>
    </w:p>
    <w:p>
      <w:pPr>
        <w:spacing w:after="0" w:line="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California, a number of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2024. These laws may impact our business activities, including our identification of research subjects, relationships with business partners and ultimately the marketing and distribution of our products.</w:t>
      </w:r>
    </w:p>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United States, a manufacturer is subject to a variety of regulations in foreign jurisdictions to the extent it chooses to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Because biologically sourced materials are subject to unique contamination risks, their use may also be restricted in some countries.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79"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With the exception of the European Union and European Economic Area, or EEA, applying the harmonized regulatory rules for medicinal products,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200"/>
        <w:spacing w:after="0" w:line="282" w:lineRule="auto"/>
        <w:rPr>
          <w:sz w:val="20"/>
          <w:szCs w:val="20"/>
          <w:color w:val="auto"/>
        </w:rPr>
      </w:pPr>
      <w:r>
        <w:rPr>
          <w:rFonts w:ascii="Times New Roman" w:cs="Times New Roman" w:eastAsia="Times New Roman" w:hAnsi="Times New Roman"/>
          <w:sz w:val="18"/>
          <w:szCs w:val="18"/>
          <w:color w:val="auto"/>
        </w:rPr>
        <w:t>not ensure regulatory approval in another, but a failure or delay in obtaining regulatory approval in one country or jurisdiction may negatively impact the regulatory process in others.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 in the European Union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Beyond streamlining the process,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CTR.</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72" w:lineRule="exact"/>
        <w:rPr>
          <w:sz w:val="20"/>
          <w:szCs w:val="20"/>
          <w:color w:val="auto"/>
        </w:rPr>
      </w:pPr>
    </w:p>
    <w:p>
      <w:pPr>
        <w:ind w:right="1020" w:firstLine="509"/>
        <w:spacing w:after="0" w:line="375" w:lineRule="auto"/>
        <w:rPr>
          <w:sz w:val="20"/>
          <w:szCs w:val="20"/>
          <w:color w:val="auto"/>
        </w:rPr>
      </w:pPr>
      <w:r>
        <w:rPr>
          <w:rFonts w:ascii="Times New Roman" w:cs="Times New Roman" w:eastAsia="Times New Roman" w:hAnsi="Times New Roman"/>
          <w:sz w:val="18"/>
          <w:szCs w:val="18"/>
          <w:color w:val="auto"/>
        </w:rPr>
        <w:t xml:space="preserve">Parties conducting certain clinical studies must post clinical trial information in the European Union at the EU Clinical Trials Register. </w:t>
      </w:r>
      <w:r>
        <w:rPr>
          <w:rFonts w:ascii="Times New Roman" w:cs="Times New Roman" w:eastAsia="Times New Roman" w:hAnsi="Times New Roman"/>
          <w:sz w:val="18"/>
          <w:szCs w:val="18"/>
          <w:b w:val="1"/>
          <w:bCs w:val="1"/>
          <w:i w:val="1"/>
          <w:iCs w:val="1"/>
          <w:color w:val="auto"/>
        </w:rPr>
        <w:t>PRIME designation</w:t>
      </w:r>
    </w:p>
    <w:p>
      <w:pPr>
        <w:spacing w:after="0" w:line="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2016, the EMA, launched the PRIority MEdicines, or PRIME, initiative to foster research and development of medicines that may offer a major therapeutic advantage over existing treatments, or benefit patients without treatment options. PRIME aims to strengthen clinical trial designs to facilitate the generation of high-quality data for the evaluation of an application for marketing authorization. To be accepted for PRIME, a medicine has to show its potential to benefit patients with unmet medical needs based on preclinical and/or early clinical data. These medicines are considered priority medicines within the European Union.</w:t>
      </w:r>
    </w:p>
    <w:p>
      <w:pPr>
        <w:spacing w:after="0" w:line="75"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After an investigational candidate has been selected for PRIME, developers are assigned a rapporteur from the Committee for Human Medicinal Products, or CHMP, to provide continuous support and help to build knowledge ahead of a marketing authorization application, or MAA. A multidisciplinary group of experts will provide broader guidance on the overall development plan and regulatory strategy of the product. Companies are also eligible for accelerated assessment at the time of their regulatory application.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Sponsors developing a new medicinal product must agree upon a Pediatric Investigation Plan, or PIP, with the EMA’s pediatric committee, or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the European Union, marketing authorizations for medicinal products may be obtained through several different procedures founded on the same basic regulatory process.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sponsor in response to questions asked by the CHMP. Accelerated evaluation may be granted by the CHMP in exceptional cases. These are defined as circumstances in which a medicinal product is expected to be of a “major public health interest.” Three cumulative criteria must be fulfilled in such circumstances: the seriousness of the disease, such as severely disabling or life-threatening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EMA’s Committee for Advanced Therapies, or CAT, is responsible for assessing the quality, safety and efficacy of advanced-therapy medicinal products. Advanced-therapy medical products include gene therapy medicine, somatic 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 guidelines. The EMA may issue new guidelines concerning the development and marketing authorization for somatic cell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candidates, but that remains uncertain at this point.</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MAA. The European Commission grants or refuses marketing authorization in light of the opinion delivered by EMA.</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 sponsor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1" w:name="page32"/>
    <w:bookmarkEnd w:id="31"/>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marketing authorization may be granted only to a sponsor established in the European Union. Regulation No. 1901/2006 provides that, prior to obtaining a marketing authorization in the European Union, a sponsor must demonstrate compliance with all measures included in a PIP approved by the PDCO, covering all subsets of the pediatric population, unless the EMA has granted a product-specific waiver, class waiver, or a deferral for one or more of the measures included in the PIP.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marketing authorization</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specific circumstances, European Union legislation on Conditional Marketing Authorizations for Medicinal Products for Human Use, or conditional marketing authorization,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the risk-benefit balance of the product candidate is positive, it is likely that the sponsor will be in a position to provide the required comprehensive clinical trial data, the product fulfills unmet medical needs and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w:t>
      </w:r>
    </w:p>
    <w:p>
      <w:pPr>
        <w:spacing w:after="0" w:line="8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Exceptional circumstances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close to the conditional marketing authorization as it is reserved to medicinal products to be approved for severe diseases or unmet medical needs and the applicant does not hold the complete data set legally required for the grant of a marketing authorization. However, unlike the conditional marketing authorization, the applicant does not have to provide the missing data and will never have to. Although the marketing authorization “under exceptional circumstances” is granted definitively, the risk-benefit balance of the medicinal product is reviewed annually and the MA is withdrawn in case the risk-benefit ratio is no longer favorable. Under these procedures, before granting the marketing authorization, the EMA or the competent authorities of the EU Member States make an assessment of the risk-benefit balance of the product on the basis of scientific criteria concerning its quality, safety, and efficacy. Except conditional marketing authorizations, marketing authorizations have an initial duration of five years. After these five years, the authorization may be renewed on the basis of a reevaluation of the risk-benefit balance.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firstLine="509"/>
        <w:spacing w:after="0" w:line="254" w:lineRule="auto"/>
        <w:rPr>
          <w:sz w:val="20"/>
          <w:szCs w:val="20"/>
          <w:color w:val="auto"/>
        </w:rPr>
      </w:pPr>
      <w:r>
        <w:rPr>
          <w:rFonts w:ascii="Times New Roman" w:cs="Times New Roman" w:eastAsia="Times New Roman" w:hAnsi="Times New Roman"/>
          <w:sz w:val="18"/>
          <w:szCs w:val="18"/>
          <w:color w:val="auto"/>
        </w:rPr>
        <w:t>Orphan medicinal products are eligible for financial incentives such as reduction of fees or fee waivers and are, upon grant of a marketing authorization, entitled to ten years of market exclusivity for the approved therapeutic indication. During this ten year market exclusivity period, the EMA or the competent authorities of the Member States of the European Economic Area, or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Products that are granted a marketing authorization with the results of the pediatric clinical trials conducted in accordance with the PIP are eligible for a six 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United Kingdom’s withdrawal from the European Union took place on January 31, 2020.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w:t>
      </w:r>
    </w:p>
    <w:p>
      <w:pPr>
        <w:spacing w:after="0" w:line="6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European Union will enact legislative measures to bring it into law. On June 9, 2023, the MHRA announced that the medicines aspects of the Windsor Framework will apply from January 1, 2025. The Human Medicines Regulations 2012 (SI 2012/1916) (as amended), or HMR, is the primary legal instrument for the regulation of medicines in the UK. The HMR has incorporated into the domestic law the body of EU law instruments governing medicinal products that pre-existed prior to the UK’s withdrawal from the European Union.</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EU laws which have been transposed into UK law through secondary legislation continue to be applicable as “retained EU law.” However, new legislation such as the (EU) Clinical Trials Regulation will not be applicable in Great Britain. Since a significant proportion of the regulatory framework for pharmaceutical products in the UK covering the quality, safety, and efficacy of pharmaceutical products, clinical trials, marketing authorizations, commercial sales, and distribution of pharmaceutical products is derived from EU directives and regulations, Brexit may have a material impact upon the regulatory regime with respect to the development, manufacture, importation, approval, and commercialization of our product candidates in the UK. For example, the UK is no longer covered by the centralized procedures for obtaining EU-wide marketing authorizations from the EMA, and a separate marketing authorization will be required to market our product candidates in the UK. A new international recognition framework has been in place since January 1, 2024, whereby the MHRA will have regard to decisions on the approval of marketing authorizations made by the EMA and certain other regulators when determining an application for a new Great Britian marketing authorization.</w:t>
      </w:r>
    </w:p>
    <w:p>
      <w:pPr>
        <w:spacing w:after="0" w:line="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with other issues related to withdrawal of the UK from the European Union, there are open questions about how personal data will be protected in the UK and whether personal information can transfer from the European Union to the UK. Following the withdrawal of the UK from the European Union, the UK Data Protection Act of 2018 applies to the processing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18"/>
          <w:szCs w:val="18"/>
          <w:color w:val="auto"/>
        </w:rPr>
        <w:t>of personal data that takes place in the UK and includes parallel obligations to those set forth by the GDPR. While the Data Protection Act of 2018 in the UK that “implements” and complements the GDPR has achieved Royal Assent on May 23, 2018 and is now effective in the UK, it is still unclear whether transfer of data from the EEA to the UK will remain lawful under the GDPR. The UK government has already determined that it considers all EU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European Union to the UK, although this decision may be re-evaluated in the future</w:t>
      </w:r>
      <w:r>
        <w:rPr>
          <w:rFonts w:ascii="Times New Roman" w:cs="Times New Roman" w:eastAsia="Times New Roman" w:hAnsi="Times New Roman"/>
          <w:sz w:val="19"/>
          <w:szCs w:val="19"/>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data protection regulation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80"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color w:val="auto"/>
        </w:rPr>
        <w:t>Compliance with the GDPR will be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spacing w:after="0" w:line="72"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Additionally,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may further impact our business operations in the EU</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Following the withdrawal of the United Kingdom from the European Union, the U.K. Data Protection Act 2018 applies to the processing of personal data that takes place in the United Kingdom and includes parallel obligations to those set forth by GDPR, including in relation to data transfers.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jc w:val="both"/>
        <w:ind w:right="360" w:firstLine="509"/>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75" w:lineRule="exact"/>
        <w:rPr>
          <w:sz w:val="20"/>
          <w:szCs w:val="20"/>
          <w:color w:val="auto"/>
        </w:rPr>
      </w:pPr>
    </w:p>
    <w:p>
      <w:pPr>
        <w:ind w:left="900" w:right="120" w:hanging="383"/>
        <w:spacing w:after="0" w:line="26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900" w:right="52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900" w:right="240"/>
        <w:spacing w:after="0" w:line="282" w:lineRule="auto"/>
        <w:rPr>
          <w:sz w:val="20"/>
          <w:szCs w:val="20"/>
          <w:color w:val="auto"/>
        </w:rPr>
      </w:pPr>
      <w:r>
        <w:rPr>
          <w:rFonts w:ascii="Times New Roman" w:cs="Times New Roman" w:eastAsia="Times New Roman" w:hAnsi="Times New Roman"/>
          <w:sz w:val="18"/>
          <w:szCs w:val="18"/>
          <w:color w:val="auto"/>
        </w:rPr>
        <w:t>making, using or causing to made or used a false record or statement to avoid, decrease or conceal an obligation to pay money to the federal government;</w:t>
      </w:r>
    </w:p>
    <w:p>
      <w:pPr>
        <w:spacing w:after="0" w:line="54" w:lineRule="exact"/>
        <w:rPr>
          <w:sz w:val="20"/>
          <w:szCs w:val="20"/>
          <w:color w:val="auto"/>
        </w:rPr>
      </w:pPr>
    </w:p>
    <w:p>
      <w:pPr>
        <w:ind w:left="900" w:right="4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900" w:right="100" w:hanging="383"/>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Health Care Reform Law,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other healthcare professionals and teaching hospitals, as well as ownership and investment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United States Congress enacted the Health Care Reform Law, which, among other things, includes changes to the coverage and payment for products under government health care programs. In addition, other legislative changes have been proposed and adopted since the Health Care Reform Law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Under current legislation, the actual reductions in Medicare payments may vary up to 4%. The Consolidated Appropriations Act, which was signed into law by President Biden in December 2022, made several changes to sequestration of the Medicare program. Section 1001 of the Consolidated Appropriations Act delays the 4% Statutory Pay-As-You-Go Act of 2010 sequester for two years, through the end of 2024.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5" w:name="page36"/>
    <w:bookmarkEnd w:id="35"/>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Triggered by enactment of the American Rescue Plan Act of 2021, the 4% cut to the Medicare program would have taken effect in January 2023. The Consolidated Appropriations Act’s health care offset title includes Section 4163, which extends the two percent Budget Control Act of 2011 Medicare sequester for six months into 2032 and lowers the payment reduction percentages in years 2030 and 2031.</w:t>
      </w:r>
    </w:p>
    <w:p>
      <w:pPr>
        <w:spacing w:after="0" w:line="68"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candidates for which we may obtain regulatory approval or the frequency with which any such candidate is prescribed or used. Indeed, under current legislation, the actual reductions in Medicare payments may vary up to 4%.</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requires most Americans to carry a minimal level of health insurance, became effective in 2019. On June 17, 2021, the U.S. Supreme Court dismissed the most recent judicial challenge to the Patient Protection and Affordable Care Act, or PPACA, brought by several states without specifically ruling on the constitutionality of the PPACA. Litigation and legislation over the Health Care Reform Law are likely to continue, with unpredictable and uncertain results.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the previous administration took executive actions to undermine or delay implementation of the Health Care Reform Law, President Biden rescinded those actions with the issuance of an Executive Order on January 28, 2021,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Health Care Reform Law that may reduce coverage or undermine the programs, including work requirements; policies that undermine the Health Insurance Marketplace or other markets for health insurance; policies that make it more difficult to enroll in Medicaid and the Health Care Reform Law; and policies that reduce affordability of coverage or financial assistance, including for dependents.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the prior administration issued several executive orders intended to lower the costs of prescription products and certain provisions in these orders have been incorporated into regulations. These regulations include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have passed laws allowing for the importation of drugs from Canada. Certain of these states have submitted Section 804 Importation Program proposals and are awaiting FDA approval. In January 2024, the FDA approved Florida’s plan for Canadian drug importation.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or the IRA, has been delayed by Congress to January 1, 2032.</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right="100"/>
        <w:spacing w:after="0" w:line="261" w:lineRule="auto"/>
        <w:rPr>
          <w:sz w:val="20"/>
          <w:szCs w:val="20"/>
          <w:color w:val="auto"/>
        </w:rPr>
      </w:pPr>
      <w:r>
        <w:rPr>
          <w:rFonts w:ascii="Times New Roman" w:cs="Times New Roman" w:eastAsia="Times New Roman" w:hAnsi="Times New Roman"/>
          <w:sz w:val="18"/>
          <w:szCs w:val="18"/>
          <w:color w:val="auto"/>
        </w:rPr>
        <w:t>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HHS to implement many of these provisions through guidance, as opposed to regulation, for the initial years.</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Medicare Part D drugs in 2027, 15 Medicare Part B or Part D drugs in 2028, and 20 Medicare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79"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7"/>
          <w:szCs w:val="17"/>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the U.S. Chamber of Commerce and pharmaceutical companies, also filed lawsuits in various courts with similar constitutional claims against HHS and CMS. We expect that litigation involving these and other provisions of the IRA will continue, with unpredictable and uncertain results.</w:t>
      </w:r>
    </w:p>
    <w:p>
      <w:pPr>
        <w:spacing w:after="0" w:line="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firstLine="509"/>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EU Member States to restrict the range of products for which their national health insurance 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 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involves the controlled use of hazardous materials, chemicals and viruses.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We recognize that attracting, motivating and retaining talented employees is vital to our success. We value the health and wellness of our employees and their families. It is our goal to deliver innovative programs that provide choice, quality and value. We aim to create an equitable, inclusive and empowering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 Our efforts to recruit and retain a diverse and passionate workforce include providing competitive compensation and benefits packages.</w:t>
      </w:r>
    </w:p>
    <w:p>
      <w:pPr>
        <w:spacing w:after="0" w:line="6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offer a comprehensive benefits program that provides resources to help employees manage their health, finances, and life outside of work.</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88 full-time employees, including 65 in research and development and 23 in general and administrative positions, and of which 19 of our employees hold Ph.D. or M.D. degrees.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offices are located at 500 Rutherford Avenue, Third Floor, Charlestown, Massachusetts 02129 and our telephone number is</w:t>
      </w:r>
    </w:p>
    <w:p>
      <w:pPr>
        <w:spacing w:after="0" w:line="27" w:lineRule="exact"/>
        <w:rPr>
          <w:sz w:val="20"/>
          <w:szCs w:val="20"/>
          <w:color w:val="auto"/>
        </w:rPr>
      </w:pPr>
    </w:p>
    <w:p>
      <w:pPr>
        <w:ind w:right="200" w:firstLine="8"/>
        <w:spacing w:after="0" w:line="260"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337-4680. Our website address is www.solidbio.com. The information contained in, or accessible through, our website does not constitute a part of this Annual Report on Form 10-K.</w:t>
      </w:r>
    </w:p>
    <w:p>
      <w:pPr>
        <w:spacing w:after="0" w:line="73"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20" w:firstLine="749"/>
        <w:spacing w:after="0" w:line="273"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10-K occurs, our business, operating results and financial condition could be seriously harmed and the trading price of our common stock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Acquisition</w:t>
      </w:r>
    </w:p>
    <w:p>
      <w:pPr>
        <w:spacing w:after="0" w:line="33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acquisition of AavantiBio, those benefits may take longer to realize than expected, and we may encounter significant integration difficulties.</w:t>
      </w:r>
    </w:p>
    <w:p>
      <w:pPr>
        <w:spacing w:after="0" w:line="5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December 2, 2022, we completed our acquisition, or the Acquisition, of AavantiBio, Inc., or AavantiBio, and acquired AavantiBio’s pipeline programs which included cardiac and neuromuscular programs. Our ability to realize the anticipated benefits of the Acquisition will depend, to a large extent, on our ongoing ability to integrate AavantiBio and these cardiac and neuromuscular programs into our business and business strategy and realize anticipated growth opportunities and synergies. We may fail to realize some or all of the anticipated benefits of the Acquisition. Potential difficulties we may encounter in the integration process include the following:</w:t>
      </w:r>
    </w:p>
    <w:p>
      <w:pPr>
        <w:spacing w:after="0" w:line="75" w:lineRule="exact"/>
        <w:rPr>
          <w:sz w:val="20"/>
          <w:szCs w:val="20"/>
          <w:color w:val="auto"/>
        </w:rPr>
      </w:pPr>
    </w:p>
    <w:p>
      <w:pPr>
        <w:jc w:val="both"/>
        <w:ind w:left="900" w:right="3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combine the businesses of Solid and AavantiBio in a manner that permits us to achieve the anticipated benefits from the Acquisition, which would result in the anticipated benefits of the Acquisition not being realized partly or wholly in the time frame currently anticipated or at all;</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the expanded operations of a more complex company following the Acquisition;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uniform standards, controls, procedures, policies and information systems;</w:t>
      </w:r>
    </w:p>
    <w:p>
      <w:pPr>
        <w:spacing w:after="0" w:line="11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AavantiBio employees in our business, in maintaining employee morale and in attracting and retaining key personnel; and</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adverse consequences, or unforeseen increased expenses, delays or regulatory conditions associated with the Acquisition.</w:t>
      </w:r>
    </w:p>
    <w:p>
      <w:pPr>
        <w:spacing w:after="0" w:line="54"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Also, we now possess certain liabilities and obligations, including contractual liabilities and obligations, that were assumed by us upon closing of the Acquisition. Further, it is possible that undisclosed, contingent or other liabilities, problems or obligations may arise in the future of which we were previously unaware. These disclosed and undisclosed liabilities could have an adverse effect on our business, financial condition and results of operations.</w:t>
      </w:r>
    </w:p>
    <w:p>
      <w:pPr>
        <w:spacing w:after="0" w:line="5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Any or all of these factors could decrease or delay the expected accretive effect of the Acquisition and negatively impact our stock price. As a result, it cannot be assured that we will be successful in the integration of AavantiBio with our business or that we will realize the benefits anticipated from the Acquisition or in the anticipated time frames or at all.</w:t>
      </w:r>
    </w:p>
    <w:p>
      <w:pPr>
        <w:spacing w:after="0" w:line="2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stockholders may not realize a benefit from the Acquisition and the related private placement commensurate with the ownership dilution they experienced in connection with the Acquisition and the related private placement.</w:t>
      </w:r>
    </w:p>
    <w:p>
      <w:pPr>
        <w:spacing w:after="0" w:line="5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realize the full strategic and financial benefits anticipated from the Acquisition, our stockholders will have experienced substantial dilution of their ownership interests without receiving any commensurate benefit, or only receiving part of the commensurate benefit to the extent the combined company is able to realize only part of the benefits anticipated from the Acquisition and the related private placement.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increased litigation, including stockholder litigation, which could have an adverse effect on our business and operations.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may be exposed to increased litigation from stockholders, customers, suppliers, consumers and other third parties due to the combination of Solid’s and AavantiBio’s businesses following the Acquisition. Such litigation may have 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9" w:name="page40"/>
    <w:bookmarkEnd w:id="39"/>
    <w:p>
      <w:pPr>
        <w:ind w:right="80"/>
        <w:spacing w:after="0" w:line="261" w:lineRule="auto"/>
        <w:rPr>
          <w:sz w:val="20"/>
          <w:szCs w:val="20"/>
          <w:color w:val="auto"/>
        </w:rPr>
      </w:pPr>
      <w:r>
        <w:rPr>
          <w:rFonts w:ascii="Times New Roman" w:cs="Times New Roman" w:eastAsia="Times New Roman" w:hAnsi="Times New Roman"/>
          <w:sz w:val="18"/>
          <w:szCs w:val="18"/>
          <w:color w:val="auto"/>
        </w:rPr>
        <w:t>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 requirements</w:t>
      </w:r>
    </w:p>
    <w:p>
      <w:pPr>
        <w:spacing w:after="0" w:line="3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$96.0 million, $86.0 million and $72.2 million for the years ended December 31, 2023, 2022 and 2021, respectively. As of December 31, 2023, we had an accumulated deficit of $658.8 million. Prior to the Acquisition, we had devoted substantially all of our efforts to research and development, including clinical development of SGT-001, which we are no longer developing, and preclinical development of SGT-003, as well as to building out our management team and infrastructure. Following the Acquisition, we also began devoting efforts to preclinical development of our other Candidates. We expect that it could be several years before we have a commercialized product, and we may never have a commercialized product. We expect to continue to incur significant expenses and see continued operating losses for the foreseeable future. We anticipate that our expenses will increase substantially if, and as, we:</w:t>
      </w:r>
    </w:p>
    <w:p>
      <w:pPr>
        <w:spacing w:after="0" w:line="81"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patients in our INSPIRE Duchenne trial and advance clinical development of SGT-003;</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manufacturing for larger quantities of our product candidates for preclinical and clinical development and potential commercialization;</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 portion of the development or commercialization of products in collaboration with Ultragenyx pursuant to our collaboration and license agreement with Ultragenyx;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one or more product candidates with significant market potential. This will require us to be successful in a range of challenging activities, and our expenses will increase substantially as we enroll patients in and conduct the INSPIRE Duchenne trial and continue to develop our pipeline and complete ongoing and planned preclinical studies and clinical trials of our Candidates, obtain marketing approval for our Candidates, develop adjacent technologies such as assays, develop and validate commercial-scale manufacturing processes, manufacture, market and sell any future candidates for which we may obtain marketing approval and satisfy any post-marketing requirements. Moreover, the manufacturing process requires materials which may fluctuate in cost or be limited or unavailable to us, as well as relationships with contract development and manufacturing organizations to facilitate the manufacturing process. We may never succeed in any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business or continue our operations. A decline in the value of our company also could cause stockholders to lose all or part of their investment.</w:t>
      </w:r>
    </w:p>
    <w:p>
      <w:pPr>
        <w:spacing w:after="0" w:line="3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conduct clinical trials of, and seek marketing approval for our Candidates and otherwise integrate the operations of AavantiBio into our business. In addition, if we obtain marketing approval for our Candidates, we expect to incur significant expenses related to product sales, marketing, manufacturing and distribution. We also expect to continue to incur additional costs associated with operating as a public company. While we believe that our cash, cash equivalents and available-for-sale securities as of December 31, 2023, together with the net proceeds from our private placement that closed in January 2024, will be sufficient to fund our operating expenses and capital requirements into 2026, we have based this estimate on assumptions that may prove to be wrong, and we could use our available capital resources sooner than we currently anticipate. In order to continue to operate our business beyond that time, we will need to raise additional funds. However, there can be no assurance that we will be able to generate funds on terms acceptable to us, on a timely basis, or at all. In addition, we anticipate that we will need additional funding to complete the development of our Candidates.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trial and any future clinical trials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future candidates receive marketing approval;</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Ultragenyx;</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such as the recent COVID-19 pandemic, and collateral consequences related thereto.</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41" w:name="page42"/>
    <w:bookmarkEnd w:id="41"/>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submit a biologic license application, or BLA, or obtain marketing approval and achieve product sales. In addition, our product candidates, if approved, may not achieve commercial success. Our product revenue, if any, will be derived from or based on sales of product candidates that may not be commercially available for many years, if at all. Accordingly, we will need to continue to rely on additional financing to achieve our business objectives. Adequate additional financing may not be available to us on acceptable terms, or at all, and may be impacted by the economic climate and market conditions. Our ability to raise additional funds may be adversely impacted by general economic conditions, both inside and outside the U.S., including disruptions to, and instability and volatility in, the credit and financial markets in the U.S. and worldwide, heightened inflation, interest rate and currency rate fluctuations, and economic slowdown or recession as well as concerns related to public health emergencies or pandemics, such as the recent COVID-19 pandemic, and geopolitical events, including civil or political unrest. In addition, market instability and volatility, high levels of inflation and interest rate fluctuations may increase our cost of financing or restrict our access to potential sources of future liquidity. Alternatively, we may seek additional capital due to favorable market conditions or strategic considerations, even if we believe we have sufficient funds for our current or future operating plans.</w:t>
      </w:r>
    </w:p>
    <w:p>
      <w:pPr>
        <w:spacing w:after="0" w:line="29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Candidates.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Candidates, or grant licenses on terms unfavorable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do not expect to do so for the foreseeable future, if ever.</w:t>
      </w:r>
    </w:p>
    <w:p>
      <w:pPr>
        <w:spacing w:after="0" w:line="121" w:lineRule="exact"/>
        <w:rPr>
          <w:sz w:val="20"/>
          <w:szCs w:val="20"/>
          <w:color w:val="auto"/>
        </w:rPr>
      </w:pPr>
    </w:p>
    <w:p>
      <w:pPr>
        <w:ind w:firstLine="749"/>
        <w:spacing w:after="0" w:line="289" w:lineRule="auto"/>
        <w:rPr>
          <w:sz w:val="20"/>
          <w:szCs w:val="20"/>
          <w:color w:val="auto"/>
        </w:rPr>
      </w:pPr>
      <w:r>
        <w:rPr>
          <w:rFonts w:ascii="Times New Roman" w:cs="Times New Roman" w:eastAsia="Times New Roman" w:hAnsi="Times New Roman"/>
          <w:sz w:val="17"/>
          <w:szCs w:val="17"/>
          <w:color w:val="auto"/>
        </w:rPr>
        <w:t>Our ability to generate revenue from product sales and achieve profitability depends on our ability, alone or with collaborative partners, to successfully complete the development of, and obtain the regulatory approvals necessary to commercialize our Candidates. We do not anticipate generating revenue from product sales for the foreseeable future, if ever. Our ability to generate future revenue from product sales depends heavily on our success in:</w:t>
      </w:r>
    </w:p>
    <w:p>
      <w:pPr>
        <w:spacing w:after="0" w:line="50"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development of our Candidates in a timely and successful manner;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any of our Candidates for which we complete clinical trials;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Candidates for which we obtain regulatory and marketing approval by establishing a sales force and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a commercially viable, sustainable, scalable, reproducible and transferable manufacturing processes for our Candidates that is compliant with cGMPs;</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terms of cost, amount and quality, products and services to support clinical development and the commercial demand for our Candidates, if approved;</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if and when approved, of our Candidates as a viable treatment option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900" w:right="8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coverage and adequate reimbursement by government and third-party payors for our Candidates both in the U.S. and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2" w:name="page43"/>
    <w:bookmarkEnd w:id="42"/>
    <w:p>
      <w:pPr>
        <w:ind w:left="900" w:right="16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trademarks, trade secrets and know-how;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intellectual property infringement, misappropriation and other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for our stockholders to evaluate the success of our business to date and to assess our future viability.</w:t>
      </w:r>
    </w:p>
    <w:p>
      <w:pPr>
        <w:spacing w:after="0" w:line="13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operations to date, with respect to the development of SGT-001, which we are no longer developing, and SGT-003, have been limited to organizing and staffing our company, business planning, raising capital, acquiring rights to our technology, conducting research and development activities, establishing research and development collaborations, establishing arrangements for the manufacture of SGT-001 and SGT-003, identifying SGT-001 and SGT-003 as potential gene transfer candidates and undertaking preclinical studies and clinical trials of SGT-001 and SGT-003. Following the Acquisition, we have expanded our operations to include the development of additional Candidates. As a company, we have limited experience in clinical development and we have not yet demonstrated the ability to complete clinical trials of any product candidate, obtain marketing approvals, manufacture at commercial-scale or conduct sales and marketing activities necessary for successful commercialization. Consequently, any predictions our stockholders make about our prospects may not be as accurate as they could be if we had a longer operating history or prior experience integrating acquired businesses into our existing business.</w:t>
      </w:r>
    </w:p>
    <w:p>
      <w:pPr>
        <w:spacing w:after="0" w:line="292"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health emergencies or pandemics, including the recent COVID-19 pandemic, may affect our ability to initiate and complete current or future preclinical studies or clinical trials, disrupt regulatory activities, disrupt our manufacturing and supply chain or have other adverse effects on our business and operations.</w:t>
      </w:r>
    </w:p>
    <w:p>
      <w:pPr>
        <w:spacing w:after="0" w:line="6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Public health emergencies or pandemics, including the recent COVID-19 pandemic, could adversely affect our business, financial condition, results of operations, and prospects.</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and our third-party manufacturers for supply of drug product for our candidates, and prospective contract research organizations, or CROs, may face disruptions as a result of such pandemics that may affect our ability to initiate and complete preclinical studies or clinical trials, including disruptions in procuring items that are essential for our research and development activities, including, for example, raw materials used in the manufacturing of drug product for our candidates, and laboratory supplies for our current and future preclinical studies and clinical trials, in each case, for which there may be shortages because of ongoing efforts to address the outbreak. We and our third-party manufacturers, and prospective CROs, may face disruptions related to future clinical trials arising from delays in IND-enabling studies, manufacturing disruptions, and the ability to obtain necessary institutional review board or other necessary site approvals, as well as other delays at clinical trial sites.</w:t>
      </w:r>
    </w:p>
    <w:p>
      <w:pPr>
        <w:spacing w:after="0" w:line="8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We may also face difficulties recruiting or enrolling patients for our clinical trials if patients are affected by the recent COVID-19 pandemic or other public health emergencies or are fearful of visiting or traveling to, or unable to travel to, clinical trial sites. For example, we experienced a few missed or postponed patient visits in our IGNITE DMD trial for SGT-001, which we are no longer developing, due to site closures early in the COVID-19 pandemic.</w:t>
      </w:r>
    </w:p>
    <w:p>
      <w:pPr>
        <w:spacing w:after="0" w:line="5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response to public health emergencies or pandemics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While the public health emergency declarations related to COVID-19 ended on May 11, 2023 the FDA retained a number of COVID-19 related policies. It is unclear how, if at all, these policies will impact our efforts to develop and commercialize our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harm our business, financial condition or results of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harmed by general conditions in the global economy and in the global financial markets. A severe or prolonged economic downturn, including the impact of increased interest rates and inflation (such as the recent rise in inflation in the United States), could result in a variety of risks to our business, including weakened demand for our product candidates and our ability to raise additional capital when needed on acceptable terms, if at all. A weak or declining economy could strain our manufacturers, possibly resulting in manufacturing disruption, or cause delays 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right="200"/>
        <w:spacing w:after="0" w:line="282" w:lineRule="auto"/>
        <w:rPr>
          <w:sz w:val="20"/>
          <w:szCs w:val="20"/>
          <w:color w:val="auto"/>
        </w:rPr>
      </w:pPr>
      <w:r>
        <w:rPr>
          <w:rFonts w:ascii="Times New Roman" w:cs="Times New Roman" w:eastAsia="Times New Roman" w:hAnsi="Times New Roman"/>
          <w:sz w:val="18"/>
          <w:szCs w:val="18"/>
          <w:color w:val="auto"/>
        </w:rPr>
        <w:t>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a portion of our cash and cash equivalents that we use to meet our working capital and operating expense needs in deposit accounts that could be adversely affected if the financial institutions holding such funds fail.</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hold a portion of our cash and cash equivalents that we use to meet our working capital and operating expense needs in deposit accounts at multiple financial institutions. The balance held in these accounts may exceed the Federal Deposit Insurance Corporation, or FDIC, standard deposit insurance limit of $250,000.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including payroll obligations.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March 10, 2023, Silicon Valley Bank, or SVB, and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and operating expenses were to fail, we cannot provide any assurances that such governmental agencies would take action to protect our uninsured deposits or investments in a similar manner.</w:t>
      </w:r>
    </w:p>
    <w:p>
      <w:pPr>
        <w:spacing w:after="0" w:line="7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also maintain investment accounts with other financial institutions in which we hold our investments and marketable securities and, if access to the funds we use for working capital and operating expenses is impaired, we may not be able to sell investments or transfer funds from our investment accounts to other operating accounts on a timely basis sufficient to meet our operating expense obligations.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33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transfer candidates are based on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evaluating SGT-003 for the treatment of Duchenne and are advancing a portfolio of programs for the treatment of other rare genetic diseases, and our future success depends on our successful development of these Candidates. Our risk of failure is high. We have experienced problems and delays in developing SGT-001, which we are no longer developing, and may in the future experience problems or delays in developing Candidates. Any such problems or delays would cause unanticipated costs, and any development problems may not be solved. For example, we or another party may uncover a previously unknown risk associated with our Candidates, the adeno-associated virus, or AAV, capsid, construct or other issues resulting in toxicity or lack of efficacy that may be more problematic than we currently believe and this may prolong the period of observation required for obtaining, or result in the failure to obtain, regulatory approval or may necessitate additional clinical testing.</w:t>
      </w:r>
    </w:p>
    <w:p>
      <w:pPr>
        <w:spacing w:after="0" w:line="8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addition, our ability to conduct and complete our preclinical development testing and studies is contingent on our ability to source animals and other supplies required for the conduct of such testing and studies and the performance of animal models. If we are unable to obtain all necessary animals and other supplies required for the conduct of our preclinical testing and studies, or the animal models do not perform as expected, we may be unable to complete such preclinical development testing and studies in a timely manner or at all. For example, some of our IND-enabling toxicology and other studies require certain non-human primates, or NHPs, that may be imported from countries in which trade relation with the U.S. are or may become challenging or through vendors who may not be able to timely source certain NHPs or at all, which may impair our ability to complete preclinical development testing and studies to support IND or similar applications or delay submission of such applications. Additionally, we may fail to demonstrate adequate product candidate efficacy and/or safety as required by regulatory authorities. We may fail to access relevant, adequate, or necessary animal models, including genetic models of disease and non-human primates in particular, for use in such studies as requested by regulatory authorities. We may also experience substantial delays as a result of our reliance on CROs to conduct all animal model experimentation necessary to assess the efficacy and safety of our product candidates. Any of these factors may result in delays to candidate progression, inability to obtain regulatory approval, and/or substantial increases in candidate development costs.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4" w:name="page45"/>
    <w:bookmarkEnd w:id="44"/>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product specifications and the clinical trial requirements of the FDA, the European Commission, the European Medicines Agency, or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a limited number of gene transfer products have been approved for commercialization in the United States and the European Union. As a result, it is difficult to determine how long it will take or how much it will cost to obtain regulatory approvals for our gene transfer candidates in either the United States or the European Union, if at all. Approvals by the European Commission may not be indicative of what the FDA may require for approval and vice versa.</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 transfer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current Candidates have not yet been studied in human patients. During the conduct of clinical trials, patients may experience changes in their health, including illnesses, injuries, discomforts or a fatal outcome. Often, it is not possible to determine whether the product candidate being studied caused these conditions. For instance, we reported a serious adverse event in IGNITE DMD, which resulted in a clinical hold in November 2019, which has since been resolved. In April 2021, a patient treated with SGT-001 in IGNITE DMD experienced a systemic inflammatory response classified as a serious adverse event and considered by the investigator to be drug related.</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it is possible that as we test Candidates in larger, longer and more extensive clinical programs, or as use of these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trials or, in some cases, after they are made available to patients on a commercial scale after approval. If additional clinical experience indicates that a Candidate has side effects or causes serious or life-threatening side effects, the development of the candidate may fail or be delayed, or, if the candidate has received regulatory approval, such approval may be withdrawn.</w:t>
      </w:r>
    </w:p>
    <w:p>
      <w:pPr>
        <w:spacing w:after="0" w:line="79" w:lineRule="exact"/>
        <w:rPr>
          <w:sz w:val="20"/>
          <w:szCs w:val="20"/>
          <w:color w:val="auto"/>
        </w:rPr>
      </w:pPr>
    </w:p>
    <w:p>
      <w:pPr>
        <w:ind w:right="140" w:firstLine="509"/>
        <w:spacing w:after="0" w:line="252" w:lineRule="auto"/>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reported cases of leukemia and death seen in other clinical trials. The FDA convened the Cellular, Tissue, and Gene Therapies Advisory Committee in September 2021 to discuss toxicity risks of AAV based gene therapy products and discussed risks included oncogenicity risks due to capsid genome integration, hepatotoxicity, thrombotic microangiopathy, and neurotoxicity (especially related to dorsal root ganglion toxicity). While new recombinant capsids have been developed with the intent to reduce these side effects, gene therapy is still a relatively new approach to disease treatment and additional adverse side effects could develop. There have been reports of significant adverse side effects, including muscle weakness and myocarditis, in clinical trials of other gene therapy treatments for Duchenne that may be related to the type and location of the specific gene mutation causing the disease. One clinical trial sponsor reported a death, preceded by hypovolemia and cardiogenic shock, of a non-ambulatory Duchenne subject with advanced disease and cardiac dysfunction.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capsids for gene therapy, some subjects experienced the development of a positive ELISPOT test associated with T-cell responses, which is of unclear clinical translatability. If T-cells are activated, the cellular immune response system may trigger the removal of transduced cells. If our gene transfer candidates demonstrate a similar effect or other undesirable side effects, we may decide or be required to halt or delay further clinical development of our Candidates involving AAV capsids for gene therapy.</w:t>
      </w:r>
    </w:p>
    <w:p>
      <w:pPr>
        <w:spacing w:after="0" w:line="8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Adverse side effects may be observed following administration of any AAV gene therapy, including SGT-003 or other Candidates. Not all contemplated AAV delivery systems have been validated in human clinical trials previously, such as AAV-SLB101, which is a novel capsid. If a delivery system does not meet the safety criteria or cannot provide the desired efficacy results, then we may be forced to suspend or terminate our development of SGT-003 or other Candidates. The FDA convened the Cellular, Tissue, and Gene Therapies Advisory Committee in September 2021 to discuss toxicity risks of AAV based gene therapy products. Discussed risks included oncogenicity risks due to capsid genome integration, hepatotoxicity, thrombotic microangiopathy, and neurotoxicity (especially related to dorsal root ganglion toxicity). If any such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SGT-003 or other Candidates for any or all targeted indications. Even if we 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right="140"/>
        <w:spacing w:after="0" w:line="266" w:lineRule="auto"/>
        <w:rPr>
          <w:sz w:val="20"/>
          <w:szCs w:val="20"/>
          <w:color w:val="auto"/>
        </w:rPr>
      </w:pPr>
      <w:r>
        <w:rPr>
          <w:rFonts w:ascii="Times New Roman" w:cs="Times New Roman" w:eastAsia="Times New Roman" w:hAnsi="Times New Roman"/>
          <w:sz w:val="18"/>
          <w:szCs w:val="18"/>
          <w:color w:val="auto"/>
        </w:rPr>
        <w:t>able to demonstrate that any serious adverse events are not product-related, such occurrences could affect patient recruitment or the ability of enrolled patients to complete the clinical trial. Patients will also create antibodies to the AAV capsid and a second administration of gene transfer might not be safe or successful.</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Additionally, if one or more of our Candidates receive marketing approval, the FDA could require us to adopt a Risk Evaluation and Mitigation Strategy, or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our Candidates, several potentially significant negative consequences could result, including:</w:t>
      </w:r>
    </w:p>
    <w:p>
      <w:pPr>
        <w:spacing w:after="0" w:line="72"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product candidate;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prior clinical trials had been placed on clinical hold by the FDA in the past, and we cannot guarantee that similar events will not happen in future clinical trials for our Candidates.</w:t>
      </w:r>
    </w:p>
    <w:p>
      <w:pPr>
        <w:spacing w:after="0" w:line="5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November 2019, the FDA placed a clinical hold on SGT-001 following a serious adverse event in IGNITE DMD. The third patient in the 2E14 vg/kg cohort of IGNITE DMD, dosed in late October 2019, experienced a serious adverse event deemed related to the study drug that was characterized by complement activation, thrombocytopenia, decrease in red blood cell count, acute kidney injury, and cardio-pulmonary insufficiency. In April 2021, an eighth patient was treated with SGT-001. The patient experienced a systemic inflammatory response which has since fully resolved. The event was classified as a serious adverse event and considered by the investigator to be drug related. While SGT-003 utilizes a different capsid than SGT-001 and includes other changes to the construct and manufacturing process to help avoid or mitigate any such events, we cannot guarantee that similar serious adverse events or clinical holds will not happen in future clinical trials.</w:t>
      </w:r>
    </w:p>
    <w:p>
      <w:pPr>
        <w:spacing w:after="0" w:line="8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Delays in the completion of, or our inability to conduct, any clinical trial of SGT-003 or any other Candidate, as a result of similar serious adverse events or clinical holds or otherwise, will increase our costs, slow down or cease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SGT-003 or other Candidates.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completed a clinical trial and may be unable to do so for any product candidate, including SGT-003 and other Candidates.</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never completed a clinical trial. We anticipate dosing our first patient in our INSPIRE Duchenne trial in the second quarter of 2024. All of our other Candidates are still in preclinical development. Preclinical studies involve a lengthy and expensive process with an uncertain outcome. There are many potential preclinical models to test for different disease states, and we could fail to choose the best or a predictive preclinical model to determine proof of concept and potential safety and efficacy of our candidates. We may decide to suspend further testing on our candidates or technologies if, in the judgment of our management and advisors, the preclinical test results do not support further development.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will need to successfully initiate our planned and complete our ongoing clinical trials in order to obtain FDA approval to market SGT-003 and other Candidates. We have limited experience in preparing, submitting and prosecuting regulatory submissions, and have not previously submitted a BLA for any product candidate. We cannot be sure that submission of an IND will result in the FDA allowing clinical trials to begin or to begin as proposed, or that, once begun, issues will not arise that suspend or terminate such clinical trials. Carrying out later-stage clinical trials and the submission of a successful BLA is a complicated process. This may be particularly true for design of a pivotal trial for the treatment of Duchenne as the FDA has not given clear guidance as to the necessary endpoints for approval of a treatment for Duchenne. In addition, we cannot be certain how many clinical trials of SGT-003 or other Candidates will be required or how such trials should be designed. Consequently, we may be unable to successfully and efficiently execute and complete necessary clinical trials in a way that leads to BLA submission and approval of SGT-003 or other Candidates. We may require more time and incur greater costs than our competitors and may not succeed in obtaining regulatory approvals of product candidates that we develop. Failure to commence or complete, or delays in, clinical trials, could prevent us from or delay us in commercializing SGT-003 and other Candidates.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future clinical trial results and are not necessarily indicative of final results. Our preclinical studies for certain Candidates in animals have been limited. We have not dosed human subjects with SGT-003 or any of our other Candidates.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We also may experience regulatory delays or rejections as a result of many factors, including due to changes in regulatory policy during the period of our product candidate development. Our Candidates may fail to show the desired safety and efficacy in clinical development despite positive results in preclinical studies. This failure could cause us to abandon any of our Candidates.</w:t>
      </w:r>
    </w:p>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announce or publish preliminary or interim data from clinical trials. Positive preliminary or interim data may not be predictive of such trial’s subsequent or overall results. Preliminary or interim data are subject to the risk that one or more of the outcomes may materially change as more data becomes available. Additionally, preliminary or interim data are subject to the risk that one or more of the biologic or clinical outcomes may materially change as patient enrollment continues and more patient data becomes available. Therefore, positive preliminary or interim data in any ongoing clinical trial may not be predictive of such results in the completed trial. We also make assumptions, estimations, calculations and conclusions as part of our analyses of data, and we may not have received or had the opportunity to fully evaluate all data. As a result, preliminary or interim data that we report may differ from future results from the clinical trials,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or interim data we previously published. As a result, preliminary or interim data should be viewed with caution until the final data are available. Material adverse changes in the final data compared to preliminary or interim data could significantly harm our business prospects.</w:t>
      </w:r>
    </w:p>
    <w:p>
      <w:pPr>
        <w:spacing w:after="0" w:line="29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Candidates, we must conduct extensive clinical trials to demonstrate the safety and efficacy of the product candidate for its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72"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animals in sufficient quantities to run our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appropriate external parties on dose escalation;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IRB or independent ethics committee approval at each clinical trial site;</w:t>
      </w:r>
    </w:p>
    <w:p>
      <w:pPr>
        <w:spacing w:after="0" w:line="11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subjects to participate in our clinical trials, including because such trials have restrictive eligibility criteria or may be placebo-controlled trials and patients are not guaranteed to receive treatment with our product candidates, or as a result of alternative therapies or competing trials;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finding suitable animal models to demonstrate a disease specific phenotype;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FDA good clinical practices, or GCPs, or applicable regulatory guidelines in the European Union and other countries;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47" w:name="page48"/>
    <w:bookmarkEnd w:id="47"/>
    <w:p>
      <w:pPr>
        <w:ind w:left="9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Candidates to the clinical sites, including delays by third parties with whom we have contracted to perform certain of those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subjects completing participation in a trial or returning for post-treatment follow-up;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subjects dropping out of a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trial sites or manufacturing facilities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900" w:right="680" w:hanging="383"/>
        <w:spacing w:after="0" w:line="312" w:lineRule="auto"/>
        <w:tabs>
          <w:tab w:leader="none" w:pos="9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as a result of public health emergencies or pandemics, such as the recent COVID-19 pandemic or from the outbreak of another pandemic or contagious disease or other global instability could delay the initiation or rate of completion of any clinical trial; or</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Additionally, if the results of any clinical trials are inconclusive or if there are safety concerns or serious adverse events associated with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we may:</w:t>
      </w:r>
    </w:p>
    <w:p>
      <w:pPr>
        <w:spacing w:after="0" w:line="99"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 or halt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fail in obtaining marketing approval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our products, if approved, are administered;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and held liable for harm caused to patients;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Food and Drug Omnibus Reform Act, or FDORA, Congress required sponsors to develop and submit a diversity action plan for each Phase 3 clinical trial or any other “pivotal study” of a new drug or biological product. Similarly, the regulatory landscape related to clinical trials in the EU recently evolved. If we are not able to adapt to these and other changes in existing requirements or the adoption of new requirements or policies governing clinical trials, our development plans may be impacted.</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testing or marketing approvals. In addition, if we make manufacturing or other changes to our Candidates, we may need to conduct additional studies to bridge our modified product candidates to earlier versions. We do not know whether any of our preclinical studies or clinical trials will begin as planned, will need to be restructured or will be completed on schedule, or at all. We may also determine to change the design or protocol of one or more of our clinical trials, which we have done in the past and which could result in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2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If our third-party clinical trial vendors fail to comply with strict regulations, any clinical trials for our Candidates may be delayed or unsuccessful.</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8" w:name="page49"/>
    <w:bookmarkEnd w:id="48"/>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do not have the personnel capacity to conduct or manage the clinical trials that will be necessary for the development of our Candidates. For our INSPIRE Duchenne trial we are relying, and for any future clinical trials we expect we will rely, on third parties to assist us in managing, monitoring and conducting our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clinical trials for SGT-003 or other Candidates may be delayed or unsuccessful.</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clinical trials of SGT-003 or other Candidates.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any clinical trials of SGT-003 and other Candidates are critical to our success. Because of our primary focus on rare diseases, we may have difficulty enrolling a sufficient number of eligible patients. The timing of any clinical trials depends on our ability to recruit patients to participate as well as complete required follow-up periods. If patients are unwilling or unable to participate in our gene therapy clinical trials, including because of negative publicity from adverse events related to our candidates, other approved therapies, or due to competitive clinical trials or approvals for similar patient populations, clinical trials in products employing our capsid or our platform or for other reasons, the timeline for recruiting patients, conducting clinical trials and obtaining regulatory approval of SGT-003 or other Candidates may be delayed. We may also experience delays if patients withdraw from the clinical trial or do not complete the required monitoring period. Furthermore, we may face difficulties in recruiting patients to enroll in, or once enrolled, retaining patients in future clinical trials if they or their caretakers are affected by public health emergencies or pandemics, such as the recent COVID-19 virus or are fearful of traveling to, or are unable to travel to, our clinical trial sites because of public health emergencies or pandemics or other unforeseen events. These delays could result in increased costs, delays in advancing SGT-003 or other Candidates, delays in testing the effectiveness of our Candidates or termination of clinical trials altogether.</w:t>
      </w:r>
    </w:p>
    <w:p>
      <w:pPr>
        <w:spacing w:after="0" w:line="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complete any clinical trials in a timely manner. Patient enrollment and trial completion is affected by many factors, including:</w:t>
      </w:r>
    </w:p>
    <w:p>
      <w:pPr>
        <w:spacing w:after="0" w:line="54"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the process for identifying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including age, size and functional ability and pre-existing antibodies to AAV capsids that preclude subjects from being able to receive AAV-mediated gene transfer;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and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therapy-based approaches to the treatment of diseases;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disclosure of data from our completed or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pivotal trials, the risk that patients may opt not to enroll because they are not assured treatment with our product candidate.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 For example, in December 2022, with the passage of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Similarly, the regulatory landscape related to clinical trials in the EU recently evolved. The EU Clinical Trials Regulation, or CTR, which was adopted in April 2014 and repeals the EU Clinical Trials Directive, became applicable on January 31, 2022. The CTR aims to simplify and streamline the authorization, conduct and transparency of clinical trials in the EU. We have not previously secured authorization to conduct clinical studies in the European Union pursuant to the CTR and, accordingly, there is a risk that we may be delayed in commencing such studies. If we are slow or unable to adapt to changes in existing requirements or the adoption of new requirements or policies governing clinical trials, our development plans may be impacted.</w:t>
      </w:r>
    </w:p>
    <w:p>
      <w:pPr>
        <w:spacing w:after="0" w:line="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Our ability to successfully initiate, enroll and complete a clinical trial in any foreign country is subject to numerous risks unique to conducting business in foreign countries, including:</w:t>
      </w:r>
    </w:p>
    <w:p>
      <w:pPr>
        <w:spacing w:after="0" w:line="54"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in some countries of established groups with sufficient regulatory expertise for review of gene therapy protocols;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identifying and partnering with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research and products.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our Candidates and the approval may be for a more narrow indication than we seek.</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cannot commercialize our Candidates until the appropriate regulatory authorities have reviewed and approved the product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84"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Further, under the Pediatric Research Equity Act of 2003,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product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Even if we receive regulatory approval, regulatory authorities may approve a product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 candidates will remain subject to regulatory oversight.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we obtain any regulatory approval for any of our Candidates, we will be subject to ongoing regulatory requirements for manufacturing, labeling, packaging, storage, advertising, promotion, sampling, record-keeping and submission of safety and other post-market information. Any regulatory approvals that we receive for our product candidates may also be subject to a REMS, limitations on the approved indicated uses for which the product may be marketed or conditions of approval, or requirements for potentially costly post-marketing testing and surveillance to monitor the safety, purity, and potency of the biologic product.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1" w:name="page52"/>
    <w:bookmarkEnd w:id="51"/>
    <w:p>
      <w:pPr>
        <w:ind w:firstLine="509"/>
        <w:spacing w:after="0" w:line="253"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ongoing litigation challenging the FDA’s approval of mifepristone. Specifically, in April 2023, the U.S. District Court for the Northern District of Texas stayed the approval by the FDA of mifepristone, a drug product which was originally approved in 2000 and whose distribution is governed by various conditions adopted under a REMS. In reaching that decision, the district court made a number of findings that may negatively impact the development, approval and distribution of drug products in the U.S. Among other determinations, the district court held that plaintiffs were likely to prevail in their claim that FDA had acted arbitrarily and capriciously in approving mifepristone without sufficiently considering evidence bearing on whether the drug was safe to use under the conditions identified in its labeling. Further, the district court read the standing requirements governing litigation in federal court as permitting a plaintiff to bring a lawsuit against the FDA in connection with its decision to approve an new drug application or establish requirements under a REMS based on a showing that the plaintiff or its members would be harmed to the extent that FDA’s drug approval decision effectively compelled the plaintiffs to provide care for patients suffering adverse events caused by a given drug.</w:t>
      </w:r>
    </w:p>
    <w:p>
      <w:pPr>
        <w:spacing w:after="0" w:line="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April 12, 2023, the district court decision was stayed, in part, by the U.S. Court of Appeals for the Fifth Circuit. Thereafter, on April 21, 2023, the U.S. Supreme Court entered a stay of the district court’s decision, in its entirety, pending disposition of the appeal of the district court decision in the Court of Appeals for the Fifth Circuit and the disposition of any petition for a writ of certiorari to or the Supreme Court. The Court of Appeals for the Fifth Circuit held oral argument in the case on May 17, 2023 and, on August 16, 2023, issued its decision. The court declined to order the removal of mifepristone from the market, finding that a challenge to the FDA’s initial approval in 2000 is barred by the statute of limitations. But the Appeals Court did hold that plaintiffs were likely to prevail in their claim that changes allowing for expanded access of mifepristone that FDA authorized in 2016 and 2021 were arbitrary and capricious. On September 8, 2023, the Justice Department and a manufacturer of mifepristone filed petitions for a writ of certiorari, requesting that asked the U.S. Supreme Court to review the Appeals Court decision. On December 13, 2023, the Supreme Court granted these petitions for writ of certiorari for the appeals court decision.</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Further, similar restrictions apply to approved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Accordingly, assuming we, or our collaborators, receive marketing approval for one or more of our product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8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Medicines and Healthcare products Regulatory Agency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October 2023, the FDA published draft guidance outlining the agency’s non-binding policies governing the distribution of scientific information on unapproved uses to healthcare providers. This draft guidance calls for such communications to be truthful, non-misleading, factual, and unbiased and include all information necessary for healthcare providers to interpret the strengths and weaknesses and validity and utility of the information about the unapproved use. In addition, under some relatively recent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HHS, the FDA, the Federal Trade Commission, or the FTC, and various state Attorneys General offices. These investigations have alleged violations of various federal and state laws and regulations, including claims asserting antitrust violations, violations of the FD&amp;C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of one or more of our Candidates from the FDA, we may never obtain approval for our product candidates outside of the United States, which would limit our market opportunities and adversely affect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Even if we receive FDA approval of one or more of our Candidates in the United States, 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Future sales of our product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If we submit a marketing authorization application, or MAA, to the EMA for approval of SGT-003 or other Candidates in the European Union,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Candidates in certain countries.</w:t>
      </w:r>
    </w:p>
    <w:p>
      <w:pPr>
        <w:spacing w:after="0" w:line="8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our Candidates may be withdrawn. If we fail to comply with the regulatory requirements, our target market will be reduced, and our ability to realize the full market potential of our product candidates will be harmed.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2021, the MHRA became responsible for supervising medicines and medical devices in Great Britain, comprising England, Scotland and Wales under domestic law, whereas under the terms of the Northern Ireland Protocol, Northern Ireland is currently subject to European Union rules. The United Kingdom and European Union have however agreed to the Windsor Framework which fundamentally changes the existing system under the Northern Ireland Protocol, including with respect to the regulation of medicinal products in the United Kingdom. Once implemented, the changes introduced by the Windsor Framework will see the MHRA be responsible for approving all medicinal products destined for the UK market (i.e., Great Britain and Northern Ireland), and the EMA will no longer have any role in approving medicinal products destined for Northern Ireland. Any delay in obtaining, or an inability to obtain, any marketing authorizations, as a result of Brexit or otherwise, may force us to restrict or delay efforts to seek regulatory approval in the United Kingdom for our product candidates, which could significantly and materially harm our business.</w:t>
      </w:r>
    </w:p>
    <w:p>
      <w:pPr>
        <w:spacing w:after="0" w:line="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 therapy products are periodically updated and may continue to change in the future.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Regulatory requirements governing gene therapy products have changed frequently and will likely continue to change in the future. Moreover, there is substantial, and sometimes uncoordinated, overlap in those responsible for regulation of gene therapy products. For example, in the United States, the FDA has established the Office of Therapeutic Products within the Center for Biologics Evaluation and Research, or the CBER, to consolidate the review of gene therapy and related products, and the Cellular, Tissue and Gene Therapies Advisory Committee to advise CBER on its review. Gene therapy clinical trials may also be subject to review and oversight by an institutional biosafety committee,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4"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therapy-related adverse events for up to a 5-year period. Other types of gene therapy or gene editing products may require longer follow up, potentially up to a maximum 15-year period.</w:t>
      </w:r>
    </w:p>
    <w:p>
      <w:pPr>
        <w:spacing w:after="0" w:line="8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Similarly, the EMA may issue new guidelines concerning the development and marketing authorization for gene therapy products and require that we comply with these new guidelines. The grant of marketing authorization in the European Union for gene therapy products is governed by Regulation 1394/2007/EC on advanced therapy medicinal products, read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80"/>
        <w:spacing w:after="0" w:line="261" w:lineRule="auto"/>
        <w:rPr>
          <w:sz w:val="20"/>
          <w:szCs w:val="20"/>
          <w:color w:val="auto"/>
        </w:rPr>
      </w:pPr>
      <w:r>
        <w:rPr>
          <w:rFonts w:ascii="Times New Roman" w:cs="Times New Roman" w:eastAsia="Times New Roman" w:hAnsi="Times New Roman"/>
          <w:sz w:val="18"/>
          <w:szCs w:val="18"/>
          <w:color w:val="auto"/>
        </w:rPr>
        <w:t>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Finally,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product candidates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we advance our product candidates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product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29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 similar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8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FDA has granted orphan drug designation to SGT-003 for the treatment of Duchenne and the FDA and EMA have granted orphan drug designation to SGT-501 for the treatment of CPVT.</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orphan drug exclusivity is sought does not meet this standard. Even if we obtain orphan drug exclusivity for a product, that exclusivity may not effectively protect the product from competition because different products can be approved for the same condition.</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under the FDA September 2021 guidance for interpreting sameness of gene therapy products under the orphan drug regulations, even after an orphan drug is approved, the FDA can subsequently approve a similar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FDA Reauthorization Act of 2017, or FDARA, requires that a drug sponsor demonstrate the clinical superiority of an orphan drug that is otherwise the same as a previously approved drug for the same rare disease in order to receive orphan drug exclusivity. FDARA reverses prior precedent holding that the Orphan Drug Act unambiguously requires that the FDA recognize the orphan exclusivity period regardless of a showing of clinical superiority.</w:t>
      </w:r>
    </w:p>
    <w:p>
      <w:pPr>
        <w:spacing w:after="0" w:line="7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that orphan drug exclusivity applies to the entire designated disease or condition rather than the “indication or use.” Although there have been legislative proposals to overrule this decision, they have not been enacted into law. In January 2023, the FDA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t>announced that, in matters beyond the scope of that court order,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or Congress may make to its orphan drug regulations and policies, our business could be adversely impacted.</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breakthrough therapy designation for one or more of our product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product candidates; however, we cannot assure our stockholders that one or more of our product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priority review if supported by clinical data at the time the biologics license application is submitted to the FDA.</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qualifies as a breakthrough therapy, the FDA may later decide that the product candidate no longer meets the conditions for qualification or decide that the time period for FDA review or approval will not be shortened.</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one or more of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may seek approval of one or more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or intermediate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surrogate or intermediate endpoint is reasonably likely to predict long-term clinical benefit. Given that expression of microdystrophin has not yet been established to predict long-term clinical benefit, it is not currently accepted, and it is possible the FDA and/or other applicable regulatory agencies could decide never to accept it, as a surrogate endpoint for the accelerated approval pathway for the treatment of Duchenne.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ind w:firstLine="509"/>
        <w:spacing w:after="0" w:line="254" w:lineRule="auto"/>
        <w:rPr>
          <w:sz w:val="20"/>
          <w:szCs w:val="20"/>
          <w:color w:val="auto"/>
        </w:rPr>
      </w:pPr>
      <w:r>
        <w:rPr>
          <w:rFonts w:ascii="Times New Roman" w:cs="Times New Roman" w:eastAsia="Times New Roman" w:hAnsi="Times New Roman"/>
          <w:sz w:val="18"/>
          <w:szCs w:val="18"/>
          <w:color w:val="auto"/>
        </w:rPr>
        <w:t>As a condition of approval, the FDA may require that a sponsor of a drug or biologic product candidate receiving accelerated approval perform adequate and well-controlled post-marketing clinical trials. These confirmatory trials must be completed with due diligence and may be required to be initiated prior to submission of the BLA. In addition, the FDA currently requires as a condition for accelerated approval pre-approval of promotional materials, which could adversely impact the timing of the commercial launch of the product. Further,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after the confirmatory trial fails to verify the product’s clinical benefit.</w:t>
      </w:r>
    </w:p>
    <w:p>
      <w:pPr>
        <w:spacing w:after="0" w:line="84"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FDA or comparable foreign regulatory agencies will agree with our surrogate endpoints or intermediate clinical endpoints in any of our clinical trials, or that we will decide to pursue or submit any additional application for accelerated approval or any other form of expedited development, review or approval. Similarly, there can be no assurance that, after feedback from the FDA or comparable foreign regulatory agencies, we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6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product candidates, or withdrawal of a product candidate, would result in a longer time period until commercialization of such product candidate, could increase the cost of development of such product candidate and could harm our competitive position in the marketplace.</w:t>
      </w:r>
    </w:p>
    <w:p>
      <w:pPr>
        <w:spacing w:after="0" w:line="28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potential regenerative medicine advanced therapy designation by the FDA for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may seek a regenerative medicine advanced therapy designation for some of our product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w:t>
      </w:r>
    </w:p>
    <w:p>
      <w:pPr>
        <w:spacing w:after="0" w:line="8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Designation as a regenerative medicine advanced therapy is within the discretion of the FDA. Accordingly, even if we believe one of our product candidates meets the criteria for designation as a regenerative medicine advanced therapy, the FDA may disagree and instead determine not to make such designation. In any event, the receipt of a regenerative medicine advanced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regenerative medicine advanced therapies, the FDA may later decide that the biological products no longer meet the conditions for qualification.</w:t>
      </w:r>
    </w:p>
    <w:p>
      <w:pPr>
        <w:spacing w:after="0" w:line="291"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one or more of our product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EU,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right="100"/>
        <w:spacing w:after="0" w:line="261" w:lineRule="auto"/>
        <w:rPr>
          <w:sz w:val="20"/>
          <w:szCs w:val="20"/>
          <w:color w:val="auto"/>
        </w:rPr>
      </w:pPr>
      <w:r>
        <w:rPr>
          <w:rFonts w:ascii="Times New Roman" w:cs="Times New Roman" w:eastAsia="Times New Roman" w:hAnsi="Times New Roman"/>
          <w:sz w:val="18"/>
          <w:szCs w:val="18"/>
          <w:color w:val="auto"/>
        </w:rPr>
        <w:t>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7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Committee for Medicinal Products for Human Use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29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our product candidates. However, a BLA for such product candidates may not meet the eligibility criteria for a priority review voucher upon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w:t>
      </w:r>
    </w:p>
    <w:p>
      <w:pPr>
        <w:spacing w:after="0" w:line="8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order to receive a priority review voucher upon BLA approval, the product must receive designation from the FDA as a product for a rare pediatric disease prior to approval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priority review voucher,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current statutory sunset provisions for the Rare Pediatric Disease Priority Review Voucher Program, after September 30, 2024, FDA may only award a voucher for an approved rare pediatric disease product application if the sponsor has rare pediatric disease designation for the drug, and that designation was granted by September 30, 2024. After September 30, 2026, FDA may not award any rare pediatric disease priority review vouchers. If we do not obtain approval of a BLA by these dates, and if the Rare Pediatric Disease Priority Review Voucher Program is not further extended by congressional action, we may not receive a Priority Review Voucher.</w:t>
      </w:r>
    </w:p>
    <w:p>
      <w:pPr>
        <w:spacing w:after="0" w:line="287" w:lineRule="exact"/>
        <w:rPr>
          <w:sz w:val="20"/>
          <w:szCs w:val="20"/>
          <w:color w:val="auto"/>
        </w:rPr>
      </w:pPr>
    </w:p>
    <w:p>
      <w:pPr>
        <w:ind w:right="8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seek a fast track designation for one or more of our product candidates. However, such designation may not actually lead to a faster development or regulatory review or approval process. We might not receive such designation for one or more of our product candidates.</w:t>
      </w:r>
    </w:p>
    <w:p>
      <w:pPr>
        <w:spacing w:after="0" w:line="2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If a therapy is intended for the treatment of a serious condition and nonclinical or clinical data demonstrates the potential to address unmet medical need for this condition, a drug sponsor may apply for FDA fast track designation. However, fast track designation does not ensure that we will receive marketing approval or that approval will be granted within any particular timeframe. The FDA has broad discretion with respect to whether or not to grant fast track designation to a product candidate, so even if we believe a particular product candidate is eligible for such designation, the FDA may decide not to grant it. Moreover,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or if the unmet need has been fulfilled with the approval of another product. Fast track designation alone does not guarantee qualification for the FDA’s priority review procedures.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520"/>
        <w:spacing w:after="0"/>
        <w:rPr>
          <w:sz w:val="20"/>
          <w:szCs w:val="20"/>
          <w:color w:val="auto"/>
        </w:rPr>
      </w:pPr>
      <w:r>
        <w:rPr>
          <w:rFonts w:ascii="Times New Roman" w:cs="Times New Roman" w:eastAsia="Times New Roman" w:hAnsi="Times New Roman"/>
          <w:sz w:val="18"/>
          <w:szCs w:val="18"/>
          <w:color w:val="auto"/>
        </w:rPr>
        <w:t>The FDA has granted fast track designation to SGT-003 for the treatment of Duchenne.</w:t>
      </w:r>
    </w:p>
    <w:p>
      <w:pPr>
        <w:spacing w:after="0" w:line="3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product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however, we cannot assume that one or more of our product candidates will meet the criteria for that designation.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or foreign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product candidates to be reviewed and/or approved by necessary government agencies, which would adversely affect our business. For example, in recent years, including 2018 and 2019, the U.S. government has shut down several times and certain regulatory agencies, such as the FDA and the SEC, have had to furlough critical employees and stop critical activities. In addition, disruptions may result in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EMA or other regulatory agency to review and process our regulatory submissions in a timely manner, which could have a material adverse effect on our business. Further, future government shutdowns or other disruptions affect other government agencies such as the SEC, which may also impact our business by delaying review of our public filings, to the extent such review is necessary and could impact our ability to access the public markets and obtain necessary capital in order to properly capitalize and continue our operations.</w:t>
      </w:r>
    </w:p>
    <w:p>
      <w:pPr>
        <w:spacing w:after="0" w:line="28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w:t>
      </w:r>
    </w:p>
    <w:p>
      <w:pPr>
        <w:spacing w:after="0" w:line="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product candidates, if successfully developed and approved, will compete with established therapies as well as with new treatments that may be introduced by our competitors. There are a variety of product candidates, including gene therapies, in development for Duchenne, CPVT, other cardiomyopathies or FA. Many of our competitors have significantly greater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spacing w:after="0" w:line="256" w:lineRule="auto"/>
        <w:rPr>
          <w:sz w:val="20"/>
          <w:szCs w:val="20"/>
          <w:color w:val="auto"/>
        </w:rPr>
      </w:pPr>
      <w:r>
        <w:rPr>
          <w:rFonts w:ascii="Times New Roman" w:cs="Times New Roman" w:eastAsia="Times New Roman" w:hAnsi="Times New Roman"/>
          <w:sz w:val="18"/>
          <w:szCs w:val="18"/>
          <w:color w:val="auto"/>
        </w:rPr>
        <w:t>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enrolling patients in clinical trials, as well as in acquiring technologies complementary to, or necessary for, our programs.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or Sarepta, announced that it had received accelerated approval for its gene therapy candidate ELEVIDYS for the treatment of ambulatory pediatric patients aged 4 through 5 years with Duchenne. In December 2023, Sarepta announced that it submitted a supplemental BLA to broaden the approved indication for ELEVIDYS to all patients (all ages and ambulation status) with Duchenne, and on February 16, 2024 Sarepta announced that the FDA accepted the supplemental BLA for priority review and set a PDUFA date of June 21, 2024. We are also aware of several companies and research institutions conducting clinical trials of product candidates focused on systemic gene transfers for Duchenne, including Pfizer Inc. with a product candidate currently in Phase 3 clinical development, Genethon with a product candidate currently being evaluated in a Phase 1/2/3 clinical trial, and REGENXBIO Inc. with a product candidate in Phase 1/2 clinical development. We are also aware of several companies and research institutions conducting clinicals trials in small molecule product candidates focused on CPVT, including Armgo Pharmaceuticals, Inc. with an orally administered Rycal in a Phase 2 clinical trial and Cardurion Pharmaceuticals, Inc. with an orally administered CAMKII-delta inhibitor candidate in a Phase 2 clinical trial.</w:t>
      </w:r>
    </w:p>
    <w:p>
      <w:pPr>
        <w:spacing w:after="0" w:line="8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competitors develop and commercialize products that are first to market or are safer, more effective, have fewer or less severe side effects, have broader market acceptance, are more convenient or are less expensive than any product candidate that we may develop. Changes within the competitive landscape could lead us to alter clinical trial strategy, baseline eligibility criteria or make other modifications to clinical trial designs.</w:t>
      </w:r>
    </w:p>
    <w:p>
      <w:pPr>
        <w:spacing w:after="0" w:line="72"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Candidates we develop.</w:t>
      </w:r>
    </w:p>
    <w:p>
      <w:pPr>
        <w:spacing w:after="0" w:line="280"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capitalize on other potential product candidates that may represent a greater commercial opportunity or for which there is a greater likelihood of success.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develop and commercialize our Candidates. Because we have limited resources, we may forego or delay pursuit of opportunities with certain programs or product candidates or for indications that later prove to have greater commercial potential than our Candidates. For example, in September 2022, we announced that we would be pausing activities for SGT-001, which we are now no longer developing.</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addition, in October 2020, we entered into a collaboration and license agreement with Ultragenyx, pursuant to which we granted Ultragenyx an exclusive worldwide license under certain intellectual property rights controlled by us to develop AAV8 or other clade E AAV variant pharmaceutical products that express our MD5 nNOS binding domain form of microdystrophin protein for the treatment of Duchenne and other disease indications resulting from a lack of functional dystrophin, which we refer to as the Licensed Products.</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If any of these events occur, we may be forced to abandon our development efforts with respect to a particular product candidate or fail to develop a potentially successful product candidate.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product candidates</w:t>
      </w:r>
    </w:p>
    <w:p>
      <w:pPr>
        <w:spacing w:after="0" w:line="333"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October 2020, we entered into a collaboration and license agreement with Ultragenyx, pursuant to which we granted Ultragenyx an exclusive worldwide license under certain intellectual property rights controlled by us to develop the Licensed Products.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have retained all rights to and are developing on our own SGT-003, we may in the future enter into development, distribution or marketing arrangements with third parties with respect to SGT-003 or other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Candidates. Our ability to generate revenues from these arrangements will depend on our collaborators’ abilities and efforts to successfully perform the functions assigned to them in these arrangements.</w:t>
      </w:r>
    </w:p>
    <w:p>
      <w:pPr>
        <w:spacing w:after="0" w:line="8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with Ultragenyx,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2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including Ultragenyx, could develop products that compete directly or indirectly with our product candidates and products pursuant to the collaboration;</w:t>
      </w:r>
    </w:p>
    <w:p>
      <w:pPr>
        <w:spacing w:after="0" w:line="53"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ind w:left="900" w:hanging="383"/>
        <w:spacing w:after="0" w:line="261"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6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seek to establish strategic partnerships for developing Candidates or platform technologies due to capital costs required to develop, manufacture and commercialize our product candidates or platform technologies. We may not be successful in our efforts to establish strategic partnerships or other alternative arrangements because, among other things, our research and development pipeline may be insufficient, Candidates or platform technologies may be deemed to be at too early of a stage of development for collaborative effort or third parties may not view our Candidates or platform technologies as having the requisite potential to demonstrate safety and efficacy. We cannot be certain that, following a strategic transaction, we will achieve an economic or business benefit that justifies such transaction. If we seek to but are unable to reach agreements with suitable collaborators on a timely basis, on acceptable terms or at all, we may have to curtail, reduce or delay the development of a product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our Candidates or platform technologies.</w:t>
      </w:r>
    </w:p>
    <w:p>
      <w:pPr>
        <w:spacing w:after="0" w:line="2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gene therapy manufacturing experience and could experience production problems and delays in obtaining regulatory approval of our manufacturing processes, which could result in delays in the development or commercialization of SGT-003, SGT-501, or other current and future candidates. In addition, changes to manufacturing sites or processes, or formulations for our product candidates may result in additional cost or delay.</w:t>
      </w:r>
    </w:p>
    <w:p>
      <w:pPr>
        <w:spacing w:after="0" w:line="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limited experience manufacturing SGT-003, SGT-501 and our other current or future candidates. The manufacturing process we have used historically and the manufacturing process we plan to use in the future to produce product for our candidates are complex and our processes have not been validated for commercial use. As candidates progress through preclinical studies and clinical trials to marketing approval and commercialization, it is common that various aspects of the development program, such as manufacturing methods and formulation, are altered along the way in an</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2" w:name="page63"/>
    <w:bookmarkEnd w:id="62"/>
    <w:p>
      <w:pPr>
        <w:spacing w:after="0" w:line="254" w:lineRule="auto"/>
        <w:rPr>
          <w:sz w:val="20"/>
          <w:szCs w:val="20"/>
          <w:color w:val="auto"/>
        </w:rPr>
      </w:pPr>
      <w:r>
        <w:rPr>
          <w:rFonts w:ascii="Times New Roman" w:cs="Times New Roman" w:eastAsia="Times New Roman" w:hAnsi="Times New Roman"/>
          <w:sz w:val="18"/>
          <w:szCs w:val="18"/>
          <w:color w:val="auto"/>
        </w:rPr>
        <w:t>effort to optimize safety, quality, efficacy, yield, manufacturing batch size, minimize costs and achieve consistent results. For example, we have moved to a transient transfection-based manufacturing process for SGT-003. While we have observed positive results in preclinical studies using this new manufacturing process, any further changes in manufacturing or formulation may result in effects and results that are different from those observed in our completed preclinical studies to date. Similarly, in the future we may further optimize our existing process or introduce an alternative process or formulation of one or more of our candidates during the course of our planned preclinical studies or clinical trials. Such changes carry the risk that they will not achieve these intended objectives. Any of these changes could cause our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candidates and jeopardize our ability to commercialize our candidates, if approved, and generate revenue.</w:t>
      </w:r>
    </w:p>
    <w:p>
      <w:pPr>
        <w:spacing w:after="0" w:line="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production of SGT-003 and SGT-501 uses a transient transfection-based process which requires processing steps that are more complex than those required for most chemical pharmaceuticals. We also intend to use transient transfection manufacturing for our other Candidates. Moreover, unlike chemical pharmaceuticals, the physical and chemical properties of a gene therapy candidate such as ours generally cannot be fully characterized. As a result, assays of the finished product may not be sufficient to ensure that the product will perform in the intended manner. Accordingly, we have and will continue to employ multiple steps to control our manufacturing processes to assure that the process works and that SGT-003, SGT-501 and our other Candidates are made strictly and consistently in compliance with such processes. We must supply all necessary documentation in support of an IND, BLA or MAA on a timely basis and must adhere to the FDA’s and the European Union’s cGMP requirements before we can obtain marketing approval for SGT-003, SGT-501, and other Candidates. In order to obtain approval, we will need to ensure that all of our processes, methods and equipment are compliant with cGMP requirements, by performing extensive audits of contract laboratories, manufacturers and suppliers.</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currently rely on third-party manufacturers for SGT-003 and SGT-501 and plan to rely on third-party manufacturers for our Candidates. In order to produce sufficient quantities of product candidates for clinical trials and initial U.S. commercial demand, we have and will continue to further optimize and increase the capacity of our manufacturing process at our third-party manufacturers. We may need to make changes to our manufacturing processes, beyond implementation of a transient transfection-based manufacturing process. We may not be able to produce sufficient quantities of drug product due to several factors, including equipment malfunctions, facility contamination, material shortages or contamination, natural disasters, a public health issue (for example, an outbreak of a contagious disease such as the recent COVID-19 pandemic), disruption in utility services, human error or disruptions in the operations of our suppliers. For example, we have not released a manufacturing lot for clinical supply utilizing the transient transfection-based manufacturing process and may experience variability with respect to the success and yield between lots that will require continued engagement in process development activities to improve the reproducibility, reliability, quality and consistency of yields of the manufacturing process. Additional manufacturing runs will be required to produce necessary or adequate supply for our future clinical trials and there is no guarantee that all of those runs will be within specifications or produce adequate supply. If we are not able to produce sufficient supply on the timeline expected, our overall development schedule for SGT-003, SGT-501 and other Candidates could be delayed, and we could incur additional expense. Any such failure could delay or prevent our IND or commercialization of SGT-003, SGT-501 or other Candidates.</w:t>
      </w:r>
    </w:p>
    <w:p>
      <w:pPr>
        <w:spacing w:after="0" w:line="7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supply from a manufacturing facility is interrupted, including as a result of equipment malfunctions, facility contamination, material shortages or contamination, natural disasters, public health emergencies or pandemics, such as the recent COVID-19 pandemic, disruption in utility services or human error, there could be a significant disruption in supply of SGT-003 or other Candidates. In such instance, we may need to locate appropriate replacement third-party manufacturers, and we may not be able to enter into arrangements with such additional third-party manufacturers on favorable terms or at all. Use of new third-party manufacturers could increase the risk of delays in production or insufficient supplies of our product candidates as we transfer our manufacturing technology to these manufacturers and as they gain experience manufacturing our product candidates.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or abandon clinical trials or product launches.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oversee our manufacturing and quality control process, which could result in delays in our production or difficulties in maintaining compliance with applicable regulatory requirements.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biotechnology and pharmaceutical companies and academic research institutions, which could limit our access to additional attractive development programs. Problems in our manufacturing process or facilities also could restrict our ability to meet market demand for our product candidates.</w:t>
      </w:r>
    </w:p>
    <w:p>
      <w:pPr>
        <w:spacing w:after="0" w:line="2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do not independently manufacture material for our ongoing or planned clinical programs and we are utilizing and expect to utilize materials manufactured by cGMP-compliant third-party suppliers. If these third-party manufacturers do not successfully carry out their contractual duties, meet expected deadlines or manufacture our product candidates in accordance with quality and regulatory requirements or if there are disagreements between us and these third-party manufacturers, we may not be able to complete, or may be delayed in completing, the clinical trials required for approval of our product candidates. In such instances, we may need to locate an appropriate replacement third-party relationship, which may not be readily available or on acceptable terms, which would cause additional delay or increased expense prior to the approval of our product candidates.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FDA-initiated or judicial action, including fines, injunctions, civil penalties, license revocations, seizure, total or partial suspension of production or criminal penalties, any of which could significantly and adversely affect supplies of our product candidates.</w:t>
      </w:r>
    </w:p>
    <w:p>
      <w:pPr>
        <w:spacing w:after="0" w:line="80"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we do not currently have long-term supply or manufacturing arrangements in place for the production of our product candidates at commercial scale. Although we intend to establish additional sources for long-term supply, from one or more third-party manufacturers, if the gene therapy industry were to grow, we may encounter increasing competition for the materials necessary for the production of product candidates.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our product candidates for future clinical trials or to meet initial commercial demand in the United States. We currently rely, and expect to continue to rely, on additional third parties to manufacture materials for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400"/>
        <w:spacing w:after="0" w:line="282" w:lineRule="auto"/>
        <w:rPr>
          <w:sz w:val="20"/>
          <w:szCs w:val="20"/>
          <w:color w:val="auto"/>
        </w:rPr>
      </w:pPr>
      <w:r>
        <w:rPr>
          <w:rFonts w:ascii="Times New Roman" w:cs="Times New Roman" w:eastAsia="Times New Roman" w:hAnsi="Times New Roman"/>
          <w:sz w:val="18"/>
          <w:szCs w:val="18"/>
          <w:color w:val="auto"/>
        </w:rPr>
        <w:t>product candidates and to perform quality testing. We intend to maintain third-party manufacturers for these materials, as well as to serve as additional sources of our product candidates, which will expose us to risks including:</w:t>
      </w:r>
    </w:p>
    <w:p>
      <w:pPr>
        <w:spacing w:after="0" w:line="54"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of manufacturing activities;</w:t>
      </w:r>
    </w:p>
    <w:p>
      <w:pPr>
        <w:spacing w:after="0" w:line="117"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certain CMOs to produce our product candidates in the necessary quantities, or in compliance with current cGMP or in compliance with pertinent regulatory requirements and within our planned time frame and cost parameters;</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and service agreements with third parties in a manner or at a time that is costly or damaging to us; and</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 and our and their suppliers caused by conditions unrelated to our business or operations, including the bankruptcy of the manufacturer or supplier, natural disasters or public health issues.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product candidates. Some of these events could be the basis for FDA action, including injunction, recall, seizure or total or partial suspension of product manufacture.</w:t>
      </w:r>
    </w:p>
    <w:p>
      <w:pPr>
        <w:spacing w:after="0" w:line="2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distribution and marketing capabilities or enter into agreements with third parties to market and sell our Candidates, we will be unable to generate any product revenue.</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product candidate that may result from our development programs,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our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will also face competition in our search for third parties to assist us with the sales and marketing efforts of any future products. Without an internal team or the support of a third party to perform marketing and sales functions, we will be unable to compete successfully against these more established companies.</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medical affairs capabilities, we will be unable to establish an educated market of physicians to administer any future products.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currently have no medical affairs team. If we are unable to successfully build a medical affairs team to address scientific and medical questions and provide expert guidance and education in the application, administration and utilization of any future products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of our future products are smaller than we believe they are, our revenue prospects may be adversely affected and our business may suffer.</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rare genetic neuromuscular and cardiac indications. Our understanding of the patient population with these diseases is based on estimates in published literature and by disease-focused foundations. These estimates may prove to be incorrect and new studies may reduce the estimated incidence or prevalence of these diseases. The number of patients in the United States, the European Union and elsewhere may turn out to be lower than expected, patients may not be otherwise amenable to treatment with our product candidates or patients may become increasingly difficult to identify and access.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reducing the actual number of patients who could receive our Candidates less than the potentially addressable market. These include the lack of widespread availability of, and limited reimbursement for, new therapies in many underdeveloped markets. Further, the severity of the progression of a degenerative disease such as Duchenne and FA up to the time of treatment will likely diminish the therapeutic benefit conferred by a gene therapy due to irreversible cell damage.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patients’ immune systems might prohibit the successful delivery of certain gene therapy products, thereby potentially limiting the population of patients amenable to gene transfer.</w:t>
      </w:r>
    </w:p>
    <w:p>
      <w:pPr>
        <w:spacing w:after="0" w:line="5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As with many AAV-mediated gene therapy approaches, certain patients’ immune systems might prohibit the successful delivery of certain gene therapy products, thereby potentially limiting the population of patients amenable to gene transfer. While we are working to better understand the prevalence of antibodies to AAV, or seroprevalence, as it relates to gene therapy, the exact seroprevalence is currently unknown and varies by AAV serotype and age. We may not be able to address these potentially limiting factors for gene therapy as a treatment for certain patients.</w:t>
      </w:r>
    </w:p>
    <w:p>
      <w:pPr>
        <w:spacing w:after="0" w:line="2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candidates, if approved, will depend upon market acceptance by physicians, patients, third-party payors and others in the medical community.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 with the requisite approvals from the FDA in the United States, the European Commission in the European Union and other regulatory authorities internationally, the commercial success of our candidates will depend, in part, on the acceptance of physicians, patients and health care payors of gene therapy products in general, and, in particular for each of our current and future candidate, as medically necessary, cost-effective and safe. Any product that we commercialize may not gain acceptance by physicians, patients, health care payors and others in the medical community due to ethical, social, medical and legal concerns. If our products do not achieve an adequate level of acceptance, we may not generate significant product revenue and may not become profitable. The degree of market acceptance of gene therapy products and, in particular, our current and future candidates, if approved for commercial sale, will depend on multiple factors, including:</w:t>
      </w:r>
    </w:p>
    <w:p>
      <w:pPr>
        <w:spacing w:after="0" w:line="81"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current and future candidates as demonstrated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 by the FDA, the European Commission or other regulatory authorities, as applicable;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products to meet market demand;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candidates or competing products and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payor coverage and adequate reimbursement.</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Even if a potential product candidate displays a favorable efficacy and safety profile in preclinical studies and clinical trials, market acceptance of the product will not be fully known until after it is launched.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 candidates. If our product candidates are approved but fail to achieve market acceptance among physicians, patients or third-party payors, we will not be able to generate significant revenue from any such product.</w:t>
      </w:r>
    </w:p>
    <w:p>
      <w:pPr>
        <w:spacing w:after="0" w:line="284" w:lineRule="exact"/>
        <w:rPr>
          <w:sz w:val="20"/>
          <w:szCs w:val="20"/>
          <w:color w:val="auto"/>
        </w:rPr>
      </w:pPr>
    </w:p>
    <w:p>
      <w:pPr>
        <w:jc w:val="both"/>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product candidates and adversely affect our ability to conduct our business or obtain regulatory approvals for our Candidates.</w:t>
      </w:r>
    </w:p>
    <w:p>
      <w:pPr>
        <w:spacing w:after="0" w:line="6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Gene transfer remains a novel technology that faces many challenges imposed by the humoral immune response. The immunogenicity of AAV gene transfers is a very complex process that we and others continue to work understand through the extensive clinical experience that now exists over a broad spectrum of therapeutic areas and indications. Marked inflammatory toxicities have been observed, including complement activation, cytopenias, severe hepatotoxicity as well as transgene related toxicities representing part of the continuum of diverse aspects of clinical immune responses that can be observed post gene transfer.</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particular, our success will depend upon physicians who specialize in the treatment of our pipeline indications, prescribing treatments that involve the use of viral capsids in lieu of, or in addition to, other treatments with which they are more familiar and for which greater clinical data may be available. More restrictive government regulations or negative public opinion may delay or impair the development and commercialization or demand for any product candidate we may develop. A public backlash developed against gene therapy following the death of a patient in 1999 during a gene therapy clinical trial of research subjects with ornithine transcarbamylase, or OTC, deficiency, a rare disorder in which the liver lacks a functional copy of the OTC gene. The death of the clinical trial subject was due to complications of adenovirus capsid administration. Dr. James M. Wilson, former chair of our Scientific Advisory Board, was a co-investigator of the 1999 trial while he was Director of the Institute for Human Gene Therapy of the University of Pennsylvania. Serious adverse events in our clinical trials, including the events that led to the previously-lifted clinical holds on IGNITE DMD or other clinical trials involving gene transfer products or our competitors’ products, even if not ultimately attributable to the relevant product candidates, and the resulting publicity, could result in increased government regulation, unfavorable public perception, potential regulatory delays in the testing or approval of our Candidates, stricter labeling requirements for our Candidates, if approved, and a decrease in demand for our Candidates.</w:t>
      </w:r>
    </w:p>
    <w:p>
      <w:pPr>
        <w:spacing w:after="0" w:line="2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5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our manufacturing processes. Any contamination could materially adversely affect our ability to produce our candidates on schedule and could cause reputational damage.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candidates could adversely impact or disrupt the manufacturing or the production of clinical material, which could materially and adversely affect our development timelines.</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our future products, if approved, will depend substantially, both domestically and abroad, on the extent to which the costs of such product candidates will be paid by health maintenance, managed care, pharmacy benefit and similar health 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and a one-time treatment, as applicable;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our future products, if approved. Even if coverage is provided, the approved reimbursement amount may not be adequate to realize a sufficient return on our investment.</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To our knowledge, only a limited number of gene transfer products have been approved for coverage and reimbursement by the Centers for Medicare &amp; Medicaid Services, or the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our future products, if approved.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product revenue.</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Reimbursement of our products may be unavailable or limited in scope or amount, which would adversely affect our revenue, if any.</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future products outside of the United States, in particular in the European Union, a variety of risks associated with international operations could materially adversely affect our business.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our future products, if approved, outside the United States, including:</w:t>
      </w:r>
    </w:p>
    <w:p>
      <w:pPr>
        <w:spacing w:after="0" w:line="117"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therapeutics in foreign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left="900" w:right="8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54"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acquisition or strategic collaboration;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collaboration or even to offset transaction costs.</w:t>
      </w:r>
    </w:p>
    <w:p>
      <w:pPr>
        <w:spacing w:after="0" w:line="54"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 employment at any time. We currently do not have “key person” insurance on any of our employees. The loss of the services of one or more of our current key employees might impede the achievement of our research, development and commercialization objectives.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capsid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failure to succeed in preclinical or clinical trials or applications for marketing approval may make it more challenging to recruit and retain qualified personnel. The inability to</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ind w:right="600"/>
        <w:spacing w:after="0" w:line="282" w:lineRule="auto"/>
        <w:rPr>
          <w:sz w:val="20"/>
          <w:szCs w:val="20"/>
          <w:color w:val="auto"/>
        </w:rPr>
      </w:pPr>
      <w:r>
        <w:rPr>
          <w:rFonts w:ascii="Times New Roman" w:cs="Times New Roman" w:eastAsia="Times New Roman" w:hAnsi="Times New Roman"/>
          <w:sz w:val="18"/>
          <w:szCs w:val="18"/>
          <w:color w:val="auto"/>
        </w:rPr>
        <w:t>recruit, or loss of services of certain executives, key employees, consultants or advisors, may impede the progress of our research, development and commercialization objectives.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strategic plan and associated workforce reductions may not result in anticipated savings, could result in total costs and expenses that are greater than expected and could disrupt our business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April 2022 and December 2022, we announced a reduction in workforce by approximately 35% and 18%, respectively, as part of a strategic plan designed to streamline our operating structure.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our operating results and financial condition would be adversely affected. We also cannot guarantee that we will not have to undertake additional workforce reductions or restructuring activities in the future. Furthermore, our strategic restructuring plan and the Acquisition may be disruptive to our operations. For example, our workforce reductions and integration of AavantiBio’s business and operations into ours could yield unanticipated consequences, such as attrition beyond planned staff reductions, or increase difficulties in our day-to-day operations. Our workforce reductions and the Acquisition could also harm our ability to attract and retain qualified management, scientific, clinical, manufacturing and sales and marketing personnel who are critical to our business. Any failure to attract or retain qualified personnel could prevent us from successfully developing and commercializing our product candidates in the future.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in the scale and complexity of our operations, our performance may suffer.</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our current and future candidates and products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the federal Health Insurance Portability and Accountability Act of 1996, or HIPAA, other U.S. federal and state law, and requirements of non-U.S. 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there is significant interest in promoting health care reform, as evidenced by the enactment of the Patient Protection and Affordable Care Act and the companion Health Care and Education Reconciliation Act, or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72" w:lineRule="exact"/>
        <w:rPr>
          <w:sz w:val="20"/>
          <w:szCs w:val="20"/>
          <w:color w:val="auto"/>
        </w:rPr>
      </w:pPr>
    </w:p>
    <w:p>
      <w:pPr>
        <w:ind w:right="20" w:firstLine="515"/>
        <w:spacing w:after="0" w:line="253" w:lineRule="auto"/>
        <w:rPr>
          <w:sz w:val="20"/>
          <w:szCs w:val="20"/>
          <w:color w:val="auto"/>
        </w:rPr>
      </w:pPr>
      <w:r>
        <w:rPr>
          <w:rFonts w:ascii="Times New Roman" w:cs="Times New Roman" w:eastAsia="Times New Roman" w:hAnsi="Times New Roman"/>
          <w:sz w:val="18"/>
          <w:szCs w:val="18"/>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86" w:lineRule="exact"/>
        <w:rPr>
          <w:sz w:val="20"/>
          <w:szCs w:val="20"/>
          <w:color w:val="auto"/>
        </w:rPr>
      </w:pPr>
    </w:p>
    <w:p>
      <w:pPr>
        <w:ind w:right="80" w:firstLine="515"/>
        <w:spacing w:after="0" w:line="252" w:lineRule="auto"/>
        <w:rPr>
          <w:sz w:val="20"/>
          <w:szCs w:val="20"/>
          <w:color w:val="auto"/>
        </w:rPr>
      </w:pPr>
      <w:r>
        <w:rPr>
          <w:rFonts w:ascii="Times New Roman" w:cs="Times New Roman" w:eastAsia="Times New Roman" w:hAnsi="Times New Roman"/>
          <w:sz w:val="18"/>
          <w:szCs w:val="18"/>
          <w:color w:val="auto"/>
        </w:rPr>
        <w:t>In addition to legislative changes resulting from the passage of the Health Care Reform Law, other legislative changes have been proposed and adopted since the Health Care Reform Law was enacted. In August 2011, the Budget Control Act of 2011, among other things, led to aggregate reductions to Medicare payments to providers of up to 2% per fiscal year, which will remain in effect for the first half of 2032.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or the CARES Act, suspended the 2% Medicare sequester from May 1, 2020 through December 31, 2020, and extended the sequester through 2031. These Medicare sequester reductions were suspended through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4%. The Consolidated Appropriations Act, which was signed into law by President Biden in December 2022, made several changes to sequestration of the Medicare program. Section 1001 of the Consolidated Appropriations Act delays the 4% Statutory Pay-As-You-Go Act of 2010 sequester for two years, through the end of calendar year 2024. Triggered by enactment of the American Rescue Plan Act of 2021, the 4% cut to the Medicare program would have taken effect in January 2023. The Act’s health care offset title includes Section 4163, which extends the 2% Budget Control Act of 2011 Medicare sequester for six months into fiscal year 2032 and lowers the payment reduction percentages in fiscal years 2030 and 2031.</w:t>
      </w:r>
    </w:p>
    <w:p>
      <w:pPr>
        <w:spacing w:after="0" w:line="84"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 of 2017, or the TCJA, Congress repealed the “individual mandate.” The repeal of this provision of the Health Care Reform Law, which requires most Americans to carry a minimal level of health insurance, became effective in 2019. Further, on December 14, 2018, a U.S. District Court judge in the Northern District of Texas ruled that the individual mandate portion of the Health Care Reform Law is an essential and inseverable feature of the Health Care Reform Law, and therefore because the mandate 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statute. It is unclear how such litigation and other efforts to repeal and replace the Health Care Reform Law will impact the Health Care Reform Law and our business. Litigation and legislation over the Health Care Reform Law are likely to continue, with unpredictable and uncertain results.</w:t>
      </w:r>
    </w:p>
    <w:p>
      <w:pPr>
        <w:spacing w:after="0" w:line="80" w:lineRule="exact"/>
        <w:rPr>
          <w:sz w:val="20"/>
          <w:szCs w:val="20"/>
          <w:color w:val="auto"/>
        </w:rPr>
      </w:pPr>
    </w:p>
    <w:p>
      <w:pPr>
        <w:ind w:firstLine="515"/>
        <w:spacing w:after="0" w:line="258" w:lineRule="auto"/>
        <w:rPr>
          <w:sz w:val="20"/>
          <w:szCs w:val="20"/>
          <w:color w:val="auto"/>
        </w:rPr>
      </w:pPr>
      <w:r>
        <w:rPr>
          <w:rFonts w:ascii="Times New Roman" w:cs="Times New Roman" w:eastAsia="Times New Roman" w:hAnsi="Times New Roman"/>
          <w:sz w:val="18"/>
          <w:szCs w:val="18"/>
          <w:color w:val="auto"/>
        </w:rPr>
        <w:t>Although the previous administration took actions to undermine or delay implementation of the Health Care Reform Law, President Biden rescinded those actions with the issuance of an Executive Order on January 28, 2021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Health Care Reform Law that may reduce coverage or undermine the programs,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1" w:name="page72"/>
    <w:bookmarkEnd w:id="71"/>
    <w:p>
      <w:pPr>
        <w:ind w:right="220"/>
        <w:spacing w:after="0" w:line="261" w:lineRule="auto"/>
        <w:rPr>
          <w:sz w:val="20"/>
          <w:szCs w:val="20"/>
          <w:color w:val="auto"/>
        </w:rPr>
      </w:pPr>
      <w:r>
        <w:rPr>
          <w:rFonts w:ascii="Times New Roman" w:cs="Times New Roman" w:eastAsia="Times New Roman" w:hAnsi="Times New Roman"/>
          <w:sz w:val="18"/>
          <w:szCs w:val="18"/>
          <w:color w:val="auto"/>
        </w:rPr>
        <w:t>including work requirements; policies that undermine the Health Insurance Marketplace or other markets for health insurance; policies that make it more difficult to enroll in Medicaid and the Health Care Reform Law; and policies that reduce affordability of coverage or financial assistance, including for dependents. This Executive Order also directs the U.S. Department of Health and Human Services to create a special enrollment period for the Health Insurance Marketplace in response to the recent COVID-19 pandemic.</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In 2020, CMS issued an interim final rule implementing a most favored nation model for prices that would tie Medicare Part B payments for certain physician-administered pharmaceuticals to the lowest price paid in other economically advanced countries, effective January 1, 2021. That rule, however, has been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in October 2020, the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Nine states have passed laws allowing for the importation of drugs from Canada. Certain of these states have submitted Section 804 Importation Program proposals and are awaiting FDA approval. In January 2024, the FDA approved Florida’s plan for Canadian drug importation. Further, the HHS finalized a regulation removing safe harbor protection for price reductions from pharmaceutical manufacturers to plan sponsors under Part D, either directly or through pharmacy benefit managers, unless the price reduction is required by law.</w:t>
      </w:r>
    </w:p>
    <w:p>
      <w:pPr>
        <w:spacing w:after="0" w:line="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which has been delayed until January 1, 2032 by the IRA.</w:t>
      </w:r>
    </w:p>
    <w:p>
      <w:pPr>
        <w:spacing w:after="0" w:line="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June 2023, Merck filed a lawsuit against HHS and CMS asserting that, among other things, the IRA’s Drug Price Negotiation Program for Medicare constitutes an uncompensated taking in violation of the Fifth Amendment of the Constitution. Subsequently, a number of other parties, including the U.S. Chamber of Commerce and pharmaceutical companies, also filed lawsuits in various courts with similar constitutional claims against HHS and CMS. Litigation involving these and other provisions of the IRA will continue with unpredictable and uncertain results.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of to contain or reduce costs of health care may adversely affect:</w:t>
      </w:r>
    </w:p>
    <w:p>
      <w:pPr>
        <w:spacing w:after="0" w:line="72"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 candidates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231F20"/>
        </w:rPr>
        <w:t>Finally, 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firstLine="509"/>
        <w:spacing w:after="0" w:line="256" w:lineRule="auto"/>
        <w:rPr>
          <w:sz w:val="20"/>
          <w:szCs w:val="20"/>
          <w:color w:val="auto"/>
        </w:rPr>
      </w:pPr>
      <w:r>
        <w:rPr>
          <w:rFonts w:ascii="Times New Roman" w:cs="Times New Roman" w:eastAsia="Times New Roman" w:hAnsi="Times New Roman"/>
          <w:sz w:val="18"/>
          <w:szCs w:val="18"/>
          <w:color w:val="231F20"/>
        </w:rPr>
        <w:t>In markets outside of the United States and the European Union,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6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we obtain FDA approval for our current or future candidates and begin commercializing one or more of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the Physician Payment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9" w:lineRule="exact"/>
        <w:rPr>
          <w:sz w:val="20"/>
          <w:szCs w:val="20"/>
          <w:color w:val="auto"/>
        </w:rPr>
      </w:pPr>
    </w:p>
    <w:p>
      <w:pPr>
        <w:ind w:left="900" w:right="20" w:hanging="383"/>
        <w:spacing w:after="0" w:line="25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80" w:lineRule="exact"/>
        <w:rPr>
          <w:rFonts w:ascii="Times New Roman" w:cs="Times New Roman" w:eastAsia="Times New Roman" w:hAnsi="Times New Roman"/>
          <w:sz w:val="18"/>
          <w:szCs w:val="18"/>
          <w:color w:val="auto"/>
        </w:rPr>
      </w:pPr>
    </w:p>
    <w:p>
      <w:pPr>
        <w:ind w:left="900" w:right="200" w:hanging="383"/>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5"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53" w:lineRule="exact"/>
        <w:rPr>
          <w:rFonts w:ascii="Times New Roman" w:cs="Times New Roman" w:eastAsia="Times New Roman" w:hAnsi="Times New Roman"/>
          <w:sz w:val="18"/>
          <w:szCs w:val="18"/>
          <w:color w:val="auto"/>
        </w:rPr>
      </w:pPr>
    </w:p>
    <w:p>
      <w:pPr>
        <w:ind w:left="900" w:right="120" w:hanging="383"/>
        <w:spacing w:after="0" w:line="277"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left="900" w:right="16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other healthcare professionals and teaching hospitals and (ii)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1"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40" w:firstLine="515"/>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1" w:lineRule="exact"/>
        <w:rPr>
          <w:sz w:val="20"/>
          <w:szCs w:val="20"/>
          <w:color w:val="auto"/>
        </w:rPr>
      </w:pPr>
    </w:p>
    <w:p>
      <w:pPr>
        <w:ind w:firstLine="515"/>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79" w:lineRule="exact"/>
        <w:rPr>
          <w:sz w:val="20"/>
          <w:szCs w:val="20"/>
          <w:color w:val="auto"/>
        </w:rPr>
      </w:pPr>
    </w:p>
    <w:p>
      <w:pPr>
        <w:ind w:right="100" w:firstLine="515"/>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20" w:firstLine="515"/>
        <w:spacing w:after="0" w:line="252"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 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privacy laws that will go into effect in 2025 and beyond. Other states will be considering these laws in the future, and Congress has also been debating passing a federal privacy law. There are also states that are specifically regulating health information that may affect our business. These laws may impact our business activities, including our identification of research subjects, relationships with business partners and ultimately the marketing and distribution of our products.</w:t>
      </w:r>
    </w:p>
    <w:p>
      <w:pPr>
        <w:spacing w:after="0" w:line="83" w:lineRule="exact"/>
        <w:rPr>
          <w:sz w:val="20"/>
          <w:szCs w:val="20"/>
          <w:color w:val="auto"/>
        </w:rPr>
      </w:pPr>
    </w:p>
    <w:p>
      <w:pPr>
        <w:ind w:right="60" w:firstLine="515"/>
        <w:spacing w:after="0" w:line="254"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 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80" w:lineRule="exact"/>
        <w:rPr>
          <w:sz w:val="20"/>
          <w:szCs w:val="20"/>
          <w:color w:val="auto"/>
        </w:rPr>
      </w:pPr>
    </w:p>
    <w:p>
      <w:pPr>
        <w:ind w:right="40" w:firstLine="515"/>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European Commission to offer adequate data protection legislation, such as the United States.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84"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spacing w:after="0" w:line="84" w:lineRule="exact"/>
        <w:rPr>
          <w:sz w:val="20"/>
          <w:szCs w:val="20"/>
          <w:color w:val="auto"/>
        </w:rPr>
      </w:pPr>
    </w:p>
    <w:p>
      <w:pPr>
        <w:ind w:right="220" w:firstLine="515"/>
        <w:spacing w:after="0" w:line="258" w:lineRule="auto"/>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serves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 to the 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68" w:lineRule="exact"/>
        <w:rPr>
          <w:sz w:val="20"/>
          <w:szCs w:val="20"/>
          <w:color w:val="auto"/>
        </w:rPr>
      </w:pPr>
    </w:p>
    <w:p>
      <w:pPr>
        <w:ind w:right="160" w:firstLine="515"/>
        <w:spacing w:after="0" w:line="261" w:lineRule="auto"/>
        <w:rPr>
          <w:sz w:val="20"/>
          <w:szCs w:val="20"/>
          <w:color w:val="auto"/>
        </w:rPr>
      </w:pPr>
      <w:r>
        <w:rPr>
          <w:rFonts w:ascii="Times New Roman" w:cs="Times New Roman" w:eastAsia="Times New Roman" w:hAnsi="Times New Roman"/>
          <w:sz w:val="18"/>
          <w:szCs w:val="18"/>
          <w:color w:val="auto"/>
        </w:rPr>
        <w:t>Following Brexit, the UK Data Protection Act 2018 applies to the processing of personal data that takes place in the United Kingdom and includes parallel obligations to those set forth by GDPR. In relation to data transfers, both the United Kingdom and the EU have determined, through separate “adequacy” decisions, that data transfers between the two jurisdictions are in compliance with the UK Data Protection Act and the GDPR, respectively. Any changes or updates to these adequacy decisions have the potential to impact our business.</w:t>
      </w:r>
    </w:p>
    <w:p>
      <w:pPr>
        <w:spacing w:after="0" w:line="72" w:lineRule="exact"/>
        <w:rPr>
          <w:sz w:val="20"/>
          <w:szCs w:val="20"/>
          <w:color w:val="auto"/>
        </w:rPr>
      </w:pPr>
    </w:p>
    <w:p>
      <w:pPr>
        <w:ind w:right="80" w:firstLine="515"/>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9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231F20"/>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SGT-003 and any of our current and future candidates in preclinical studies and clinical trials and may face an even greater risk if we commercialize any product candidate that we may develop. If we cannot successfully defend ourselves against claims that our product candidates caused injuries, we could incur substantial liabilities. Regardless of merit or eventual outcome, liability claims may result in:</w:t>
      </w:r>
    </w:p>
    <w:p>
      <w:pPr>
        <w:spacing w:after="0" w:line="72"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that we may develop;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 liabilities. Accordingly, in the event of contamination or injury, we could be held liable for damages or be penalized with fines in an amount exceeding our resources, and our clinical trials or regulatory approvals could be suspended.</w:t>
      </w:r>
    </w:p>
    <w:p>
      <w:pPr>
        <w:spacing w:after="0" w:line="8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8" w:name="page79"/>
    <w:bookmarkEnd w:id="78"/>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51" w:lineRule="exact"/>
        <w:rPr>
          <w:sz w:val="20"/>
          <w:szCs w:val="20"/>
          <w:color w:val="auto"/>
        </w:rPr>
      </w:pPr>
    </w:p>
    <w:p>
      <w:pPr>
        <w:ind w:right="200" w:firstLine="515"/>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While we are not aware of any such material system failure, accident, cyber-attack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current and other future candidates could be delayed.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3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51" w:lineRule="exact"/>
        <w:rPr>
          <w:sz w:val="20"/>
          <w:szCs w:val="20"/>
          <w:color w:val="auto"/>
        </w:rPr>
      </w:pPr>
    </w:p>
    <w:p>
      <w:pPr>
        <w:ind w:right="20" w:firstLine="515"/>
        <w:spacing w:after="0" w:line="254" w:lineRule="auto"/>
        <w:rPr>
          <w:sz w:val="20"/>
          <w:szCs w:val="20"/>
          <w:color w:val="auto"/>
        </w:rPr>
      </w:pPr>
      <w:r>
        <w:rPr>
          <w:rFonts w:ascii="Times New Roman" w:cs="Times New Roman" w:eastAsia="Times New Roman" w:hAnsi="Times New Roman"/>
          <w:sz w:val="18"/>
          <w:szCs w:val="18"/>
          <w:color w:val="auto"/>
        </w:rPr>
        <w:t>Our ability to develop and commercialize our product candidates is heavily dependent on licenses to patent rights and other intellectual property granted to us by third parties. In particular, we have licensed certain patents and patent applications from the University of Missouri, the University of Washington and others that are important or necessary to the development of SGT-003, our other Candidates and other elements of our gene transfer program. Our existing license agreements impose, and we expect that future license agreements will impose, various diligence, development and commercialization obligations, milestone payments, royalties and other obligations on us. If we fail to comply with our obligations under our agreements, we may be subject to damages, which may be significant, and the licensor may have the right to terminate the license, in which event we may not be able to develop or market product candidates or technologies covered by the license. In addition, certain of these license agreements are not assignable by us without the consent of the respective licensor, which may have an adverse effect on our ability to engage in certain transactions.</w:t>
      </w:r>
    </w:p>
    <w:p>
      <w:pPr>
        <w:spacing w:after="0" w:line="84" w:lineRule="exact"/>
        <w:rPr>
          <w:sz w:val="20"/>
          <w:szCs w:val="20"/>
          <w:color w:val="auto"/>
        </w:rPr>
      </w:pPr>
    </w:p>
    <w:p>
      <w:pPr>
        <w:ind w:right="60" w:firstLine="515"/>
        <w:spacing w:after="0" w:line="254" w:lineRule="auto"/>
        <w:rPr>
          <w:sz w:val="20"/>
          <w:szCs w:val="20"/>
          <w:color w:val="auto"/>
        </w:rPr>
      </w:pPr>
      <w:r>
        <w:rPr>
          <w:rFonts w:ascii="Times New Roman" w:cs="Times New Roman" w:eastAsia="Times New Roman" w:hAnsi="Times New Roman"/>
          <w:sz w:val="18"/>
          <w:szCs w:val="18"/>
          <w:color w:val="auto"/>
        </w:rPr>
        <w:t>Under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Missouri and the University of Washington, each of the applicable licensors controls the prosecution of patent applications and the maintenance of patents and patent applications. Therefore, we cannot be certain that the licensed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product candidates that are the subject of such licensed rights could be adversely affected. For more information, see Part I, Item 1, “Business—Strategic partnerships and collaborations/licenses” of this Annual Report on Form 10-K.</w:t>
      </w:r>
    </w:p>
    <w:p>
      <w:pPr>
        <w:spacing w:after="0" w:line="80" w:lineRule="exact"/>
        <w:rPr>
          <w:sz w:val="20"/>
          <w:szCs w:val="20"/>
          <w:color w:val="auto"/>
        </w:rPr>
      </w:pPr>
    </w:p>
    <w:p>
      <w:pPr>
        <w:ind w:firstLine="515"/>
        <w:spacing w:after="0" w:line="254" w:lineRule="auto"/>
        <w:rPr>
          <w:sz w:val="20"/>
          <w:szCs w:val="20"/>
          <w:color w:val="auto"/>
        </w:rPr>
      </w:pPr>
      <w:r>
        <w:rPr>
          <w:rFonts w:ascii="Times New Roman" w:cs="Times New Roman" w:eastAsia="Times New Roman" w:hAnsi="Times New Roman"/>
          <w:sz w:val="18"/>
          <w:szCs w:val="18"/>
          <w:color w:val="auto"/>
        </w:rPr>
        <w:t>Moreover, licenses to additional third-party intellectual property, technology and materials may be required for our development programs but may not be available in the future or may not be available on commercially reasonable terms. For example, third parties may claim that the constructs containing the gene or protein of interest and the AAV capsids we are developing for use in product candidates are covered by patents held by them. We believe that we would have valid defenses to any such claims; however, if any such claims were ultimately successful, we might require a license to continue to use and sell product candidates and such AAV capsids. Such licenses may not be available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ind w:right="20"/>
        <w:spacing w:after="0" w:line="266" w:lineRule="auto"/>
        <w:rPr>
          <w:sz w:val="20"/>
          <w:szCs w:val="20"/>
          <w:color w:val="auto"/>
        </w:rPr>
      </w:pPr>
      <w:r>
        <w:rPr>
          <w:rFonts w:ascii="Times New Roman" w:cs="Times New Roman" w:eastAsia="Times New Roman" w:hAnsi="Times New Roman"/>
          <w:sz w:val="18"/>
          <w:szCs w:val="18"/>
          <w:color w:val="auto"/>
        </w:rPr>
        <w:t>unwilling to assign our license rights to us. We also may be unable to license or acquire third-party intellectual property rights on terms that would allow us to make an appropriate return on our investment. Moreover, even if we are able to obtain such licenses, they may only be non-exclusive, which could permit competitors and other third parties to use the same intellectual property in competition with us.</w:t>
      </w:r>
    </w:p>
    <w:p>
      <w:pPr>
        <w:spacing w:after="0" w:line="68" w:lineRule="exact"/>
        <w:rPr>
          <w:sz w:val="20"/>
          <w:szCs w:val="20"/>
          <w:color w:val="auto"/>
        </w:rPr>
      </w:pPr>
    </w:p>
    <w:p>
      <w:pPr>
        <w:jc w:val="both"/>
        <w:ind w:right="80" w:firstLine="515"/>
        <w:spacing w:after="0" w:line="261" w:lineRule="auto"/>
        <w:rPr>
          <w:sz w:val="20"/>
          <w:szCs w:val="20"/>
          <w:color w:val="auto"/>
        </w:rPr>
      </w:pPr>
      <w:r>
        <w:rPr>
          <w:rFonts w:ascii="Times New Roman" w:cs="Times New Roman" w:eastAsia="Times New Roman" w:hAnsi="Times New Roman"/>
          <w:sz w:val="18"/>
          <w:szCs w:val="18"/>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72" w:lineRule="exact"/>
        <w:rPr>
          <w:sz w:val="20"/>
          <w:szCs w:val="20"/>
          <w:color w:val="auto"/>
        </w:rPr>
      </w:pPr>
    </w:p>
    <w:p>
      <w:pPr>
        <w:ind w:right="20" w:firstLine="515"/>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or successfully challenge such rights, to any third-party intellectual property rights that are required for the development and commercialization of our Candidates, and such third-party intellectual property rights are successfully asserted against us, we may be liable for damages, which may be significant, and we may be required to cease the development and commercialization of our Candidates.</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seek, obtain, maintain, enforce and defend patent rights in the United States and other countries with respect to our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our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although we have pending patent applications in the United States and abroad, we cannot predict whether or in which jurisdictions the pending applications will result in issuance of patents that effectively protect any of our product candidates or will effectively prevent others from commercializing competitive products. Further, each of the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product candidates or will effectively prevent others from commercializing competitive products.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file, prosecute, maintain, enforce, defend or license all patents that are necessary to our business.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product candidates in certain jurisdictions. We or our licensors may not be able to obtain or maintain patent protection with respect to our Candidates.</w:t>
      </w:r>
    </w:p>
    <w:p>
      <w:pPr>
        <w:spacing w:after="0" w:line="68"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product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spacing w:after="0" w:line="81"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our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product candidates or otherwise materially harm our business. As a result, the issuance, scope, validity, enforceability and commercial value of our patent rights cannot be predicted with any certainty.</w:t>
      </w:r>
    </w:p>
    <w:p>
      <w:pPr>
        <w:spacing w:after="0" w:line="9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 competing with us or otherwise provide us with any competitive advantage. Any patents that we license or may own in the future may be challenged, narrowed, circumvented, or invalidated by third parties. Consequently, we do not know whether any of our product candidates will be protectable or remain protected by valid and enforceable patents. Our competitors or other third parties may be able to circumvent our patents by developing similar or alternative products in a non-infringing manner.</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our product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product candidates, including biosimilar versions of such products.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licensed patents, and any patents we may own in the future, may be challenged, narrowed, invalidated or held unenforceable.</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 Third parties also may raise similar claims before administrative bodies in the United States or abroad, even outside the context of litigation. Such proceedings could result in the revocation or cancellation of or amendment to our licensed patents and any patents we may own in the future in such a way that they no longer cover our product candidates.</w:t>
      </w:r>
    </w:p>
    <w:p>
      <w:pPr>
        <w:spacing w:after="0" w:line="79" w:lineRule="exact"/>
        <w:rPr>
          <w:sz w:val="20"/>
          <w:szCs w:val="20"/>
          <w:color w:val="auto"/>
        </w:rPr>
      </w:pPr>
    </w:p>
    <w:p>
      <w:pPr>
        <w:ind w:firstLine="515"/>
        <w:spacing w:after="0" w:line="252" w:lineRule="auto"/>
        <w:rPr>
          <w:sz w:val="20"/>
          <w:szCs w:val="20"/>
          <w:color w:val="auto"/>
        </w:rPr>
      </w:pPr>
      <w:r>
        <w:rPr>
          <w:rFonts w:ascii="Times New Roman" w:cs="Times New Roman" w:eastAsia="Times New Roman" w:hAnsi="Times New Roman"/>
          <w:sz w:val="18"/>
          <w:szCs w:val="18"/>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 Patent and Trademark Office, or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SGT-003,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product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co-inventor, as a result of the work they performed.</w:t>
      </w:r>
    </w:p>
    <w:p>
      <w:pPr>
        <w:spacing w:after="0" w:line="89" w:lineRule="exact"/>
        <w:rPr>
          <w:sz w:val="20"/>
          <w:szCs w:val="20"/>
          <w:color w:val="auto"/>
        </w:rPr>
      </w:pPr>
    </w:p>
    <w:p>
      <w:pPr>
        <w:ind w:right="20" w:firstLine="515"/>
        <w:spacing w:after="0" w:line="254"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product candidates. Such challenges may also result in our inability to manufacture or commercialize our product candidates without infringing third-party patent rights, and we may be required to obtain a license from third parties, which may not be available on commercially reasonable terms or at all, or we may need to cease the development, manufacture and commercialization of one or more of our product candidates. In addition, if the breadth or strength of protection provided by the patents and patent applications included in our patent rights is threatened, it could dissuade companies from collaborating with us to license, develop or commercialize current or future product candidates. Such proceedings also may result in substantial cost and require significant time from our scientists and management, even if the eventual outcome is favorable to us.</w:t>
      </w:r>
    </w:p>
    <w:p>
      <w:pPr>
        <w:spacing w:after="0" w:line="80" w:lineRule="exact"/>
        <w:rPr>
          <w:sz w:val="20"/>
          <w:szCs w:val="20"/>
          <w:color w:val="auto"/>
        </w:rPr>
      </w:pPr>
    </w:p>
    <w:p>
      <w:pPr>
        <w:ind w:right="60" w:firstLine="515"/>
        <w:spacing w:after="0" w:line="256" w:lineRule="auto"/>
        <w:rPr>
          <w:sz w:val="20"/>
          <w:szCs w:val="20"/>
          <w:color w:val="auto"/>
        </w:rPr>
      </w:pPr>
      <w:r>
        <w:rPr>
          <w:rFonts w:ascii="Times New Roman" w:cs="Times New Roman" w:eastAsia="Times New Roman" w:hAnsi="Times New Roman"/>
          <w:sz w:val="18"/>
          <w:szCs w:val="18"/>
          <w:color w:val="auto"/>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 competitive therapeutic that provides benefits similar to one or more of our product candidates but that uses a capsid or an expression construct that falls outside the scope of our patent protection. If the patent protection provided by the patents and patent applications we license or pursue with respect to our product candidates is not sufficiently broad to impede such competition, our ability to successfully commercialize our product candidates could be negatively affected.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currently depend, and will continue to depend, on our license, collaboration and other similar agreements. Further development and commercialization of our Candidates and platform technologies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impact our ability to sublicense the relevant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spacing w:after="0" w:line="266" w:lineRule="auto"/>
        <w:rPr>
          <w:sz w:val="20"/>
          <w:szCs w:val="20"/>
          <w:color w:val="auto"/>
        </w:rPr>
      </w:pPr>
      <w:r>
        <w:rPr>
          <w:rFonts w:ascii="Times New Roman" w:cs="Times New Roman" w:eastAsia="Times New Roman" w:hAnsi="Times New Roman"/>
          <w:sz w:val="18"/>
          <w:szCs w:val="18"/>
          <w:color w:val="auto"/>
        </w:rPr>
        <w:t>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any of our licenses or material relationships are terminated or breached, we may:</w:t>
      </w:r>
    </w:p>
    <w:p>
      <w:pPr>
        <w:spacing w:after="0" w:line="117"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protection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Candidates.</w:t>
      </w:r>
    </w:p>
    <w:p>
      <w:pPr>
        <w:spacing w:after="0" w:line="329" w:lineRule="exact"/>
        <w:rPr>
          <w:sz w:val="20"/>
          <w:szCs w:val="20"/>
          <w:color w:val="auto"/>
        </w:rPr>
      </w:pPr>
    </w:p>
    <w:p>
      <w:pPr>
        <w:ind w:right="7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or plan to enter into, license agreements with third parties and may need to obtain additional licenses from one or more of these same third parties or from others to advance our research or allow our commercialization of our Candidates. It is possible that we may be unable to obtain such licenses at a reasonable cost or on reasonable terms, if at all. In that event, we may be required to expend significant time and resources to redesign Candidates or the methods for manufacturing them or to develop or license replacement products, all of which may not be feasible on a technical or commercial basis. If we are unable to do so, we may be unable to develop or commercialize our Candidates. We cannot provide any assurances that third-party patents or other intellectual property rights do not exist that might be enforced against our manufacturing methods, product candidates or any technologies we may develop, resulting in either an injunction prohibiting our manufacture or sales, or, with respect to our sales, an obligation on our part to pay royalties and/or other forms of compensation to third parties.</w:t>
      </w:r>
    </w:p>
    <w:p>
      <w:pPr>
        <w:spacing w:after="0" w:line="8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each of our existing license agreements, and we expect in our future agreements, patent prosecution of our licensed technology is controlled solely by the licensor, and we may be required to reimburse the licensor for their costs of patent prosecution.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certain of our license agreements our licensors have the first right to bring any actions against any third party for infringing on the patents we have licensed. Our license agreements also require us to meet development thresholds to maintain the license, including establishing a set timeline for developing and commercializing product candidates. Disputes may arise regarding intellectual property subject to our licensing agreements, including:</w:t>
      </w:r>
    </w:p>
    <w:p>
      <w:pPr>
        <w:spacing w:after="0" w:line="81"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or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licensed patented inventions.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83" w:name="page84"/>
    <w:bookmarkEnd w:id="83"/>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future collaborators to develop, manufacture, market and sell our product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our Candidates,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Given the vast number of patents in our field of technology, we cannot be certain or guarantee that a court would hold that any of our Candidates do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product candidates and we may or may not be aware of such patents. If a patent holder believes the manufacture, use, sale or importation of one of our product candidates infringes its patent, the patent holder may sue us even if we have licensed other patent protection for our product candidates.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which we may need a license to develop and commercialize our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product candidates.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product candidates.</w:t>
      </w:r>
    </w:p>
    <w:p>
      <w:pPr>
        <w:spacing w:after="0" w:line="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third parties may claim that gene or protein of interest, such as microdystrophin, or the AAV capsids we are developing for use in our Candidates are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our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640"/>
        <w:spacing w:after="0" w:line="282" w:lineRule="auto"/>
        <w:rPr>
          <w:sz w:val="20"/>
          <w:szCs w:val="20"/>
          <w:color w:val="auto"/>
        </w:rPr>
      </w:pPr>
      <w:r>
        <w:rPr>
          <w:rFonts w:ascii="Times New Roman" w:cs="Times New Roman" w:eastAsia="Times New Roman" w:hAnsi="Times New Roman"/>
          <w:sz w:val="18"/>
          <w:szCs w:val="18"/>
          <w:color w:val="auto"/>
        </w:rPr>
        <w:t>that a court of competent jurisdiction would invalidate the claims of any such U.S. patent. Similarly, there is no assurance that a court of competent jurisdiction would find that our product candidates did not infringe a third-party patent.</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product candidate.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product candidates or force us to cease some or all of our business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including such rights licensed from the University of Missouri, the University of Washington and the University of Florida, are stated to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Filing, prosecuting, maintaining, enforcing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in-licensed U.S. patents lack corresponding foreign patents or patent applications. For example,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product candidates and our patents or other intellectual property rights may not be effective or sufficient to prevent them from competing.</w:t>
      </w:r>
    </w:p>
    <w:p>
      <w:pPr>
        <w:spacing w:after="0" w:line="6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 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our Candidates or technology platforms that involve proprietary know-how, information or technology that is not covered by patents. Aspects of our manufacturing process are protected by trade secrets. However, trade secrets can be difficult to protect and some courts inside and outside the United States are less willing or unwilling to protect trade secrets.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could purchase our product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product candidates. Moreover, any such litigation or the threat of such litigation may adversely affect our ability to hire employees or contract with independent contractors. A loss of key personnel or their work product could hamper or prevent our ability to commercialize our product candidates. Even if we are successful in defending against such claims, litigation could result in substantial costs and be a distraction to management.</w:t>
      </w:r>
    </w:p>
    <w:p>
      <w:pPr>
        <w:spacing w:after="0" w:line="8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7" w:name="page88"/>
    <w:bookmarkEnd w:id="87"/>
    <w:p>
      <w:pPr>
        <w:ind w:right="600"/>
        <w:spacing w:after="0" w:line="282" w:lineRule="auto"/>
        <w:rPr>
          <w:sz w:val="20"/>
          <w:szCs w:val="20"/>
          <w:color w:val="auto"/>
        </w:rPr>
      </w:pPr>
      <w:r>
        <w:rPr>
          <w:rFonts w:ascii="Times New Roman" w:cs="Times New Roman" w:eastAsia="Times New Roman" w:hAnsi="Times New Roman"/>
          <w:sz w:val="18"/>
          <w:szCs w:val="18"/>
          <w:color w:val="auto"/>
        </w:rPr>
        <w:t>obligations to a third party, such as an academic institution, and thus an agreement with us may be ineffective in perfecting ownership of inventions developed by that individual.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 implement various regulations. However, the Leahy-Smith Act and its implementation could increase the uncertainties and costs surrounding the prosecution of our patent applications and the enforcement or defense of our issued patents.</w:t>
      </w:r>
    </w:p>
    <w:p>
      <w:pPr>
        <w:spacing w:after="0" w:line="89" w:lineRule="exact"/>
        <w:rPr>
          <w:sz w:val="20"/>
          <w:szCs w:val="20"/>
          <w:color w:val="auto"/>
        </w:rPr>
      </w:pPr>
    </w:p>
    <w:p>
      <w:pPr>
        <w:ind w:right="40" w:firstLine="515"/>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biologics and pharmaceuticals are particularly uncertain. Two cases involving diagnostic method claims and “gene patents” have been decided by the U.S. Supreme Court. On March 20, 2012, the U.S. Supreme Court issued a decision in Mayo Collaborative Services v. Prometheus Laboratories, Inc., or Prometheus, a case involving patent claims directed to a process of measuring a metabolic product in a patient to optimize a drug dosage for the patient. According to the U.S.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U.S.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82"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In 2014, the USPTO issued a guidance to its patent examiners for evaluating claims for patent subject matter eligibility under the relevant statute (35 U.S.C. § 101). This guidance was in response to a series of decisions from the U.S. Supreme Court on patent claims reciting judicial exceptions, including Abstract Ideas, Laws of Nature/Natural Principles, Natural Phenomena and/or Natural Products. Based on judicial decisions and public feedback, several supplements to this guidance and additional memoranda and materials have since been issued and are continually being issued, while the current eligibility guidance has been incorporated into the latest (10th) edition of the MPEP (Manual for Patent Examination Procedure), last revised in June 2020. The current subject matter eligibility guideline instructs USPTO examiners to follow a two-part test, set forth in the U.S. Supreme Court decisions Alice/Mayo, as the only test that should be used to evaluate the eligibility of claims under examination, including claims directed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current USPTO subject matter eligibility guidance and the constantly evolving case law, together with contemplated congressional action, could all impact our ability to pursue similar patent claims in patent applications we may prosecute in the future.</w:t>
      </w:r>
    </w:p>
    <w:p>
      <w:pPr>
        <w:spacing w:after="0" w:line="84" w:lineRule="exact"/>
        <w:rPr>
          <w:sz w:val="20"/>
          <w:szCs w:val="20"/>
          <w:color w:val="auto"/>
        </w:rPr>
      </w:pPr>
    </w:p>
    <w:p>
      <w:pPr>
        <w:ind w:right="80" w:firstLine="515"/>
        <w:spacing w:after="0" w:line="261" w:lineRule="auto"/>
        <w:rPr>
          <w:sz w:val="20"/>
          <w:szCs w:val="20"/>
          <w:color w:val="auto"/>
        </w:rPr>
      </w:pPr>
      <w:r>
        <w:rPr>
          <w:rFonts w:ascii="Times New Roman" w:cs="Times New Roman" w:eastAsia="Times New Roman" w:hAnsi="Times New Roman"/>
          <w:sz w:val="18"/>
          <w:szCs w:val="18"/>
          <w:color w:val="auto"/>
        </w:rPr>
        <w:t>We cannot assure our stockholders that our efforts to seek patent protection for our product candidates will not be negatively impacted by the decisions described above, rulings in other cases or changes in guidance or procedures issued by the USPTO. We cannot fully predict what impact the U.S. Supreme Court’s decisions in Prometheus and Myriad may have on the ability of life science companies to obtain or enforce patents relating to their products in the future. These decisions,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right="360"/>
        <w:spacing w:after="0" w:line="282" w:lineRule="auto"/>
        <w:rPr>
          <w:sz w:val="20"/>
          <w:szCs w:val="20"/>
          <w:color w:val="auto"/>
        </w:rPr>
      </w:pPr>
      <w:r>
        <w:rPr>
          <w:rFonts w:ascii="Times New Roman" w:cs="Times New Roman" w:eastAsia="Times New Roman" w:hAnsi="Times New Roman"/>
          <w:sz w:val="18"/>
          <w:szCs w:val="18"/>
          <w:color w:val="auto"/>
        </w:rPr>
        <w:t>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Moreover, although the U.S.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patents relating to our product candidates, our business may be materially harmed.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Candidates, one or more U.S. patents that we license or may own in the future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have registered trademarks with the USPTO for the marks “SOLID BIOSCIENCES”, and “SOLID BIOSCIENCES” logo and registered marks in foreign jurisdictions for “SOLID BIOSCIENCES”, “SOLID GT” and “SOLID BIOSCIENCES” logo.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candidates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ind w:left="9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and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products or duplicate any of our processes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900" w:right="620" w:hanging="383"/>
        <w:spacing w:after="0" w:line="312" w:lineRule="auto"/>
        <w:tabs>
          <w:tab w:leader="none" w:pos="9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00" w:right="58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 how, and a third party may subsequently file a patent covering such intellectual property.</w:t>
      </w:r>
    </w:p>
    <w:p>
      <w:pPr>
        <w:spacing w:after="0" w:line="26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licensed and regulated as biologics may face competition from biosimilars approved through an abbreviated regulatory pathway.</w:t>
      </w:r>
    </w:p>
    <w:p>
      <w:pPr>
        <w:spacing w:after="0" w:line="5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Health Care Reform Law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December 2022, Congress clarified through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product candidates would have a material adverse impact on our business due to increased competition and pricing pressure.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3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maintain the ability to control or significantly influence all matters submitted to our stockholders for approval.</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and principal stockholders, in the aggregate, beneficially own shares representing a significant percentage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voting power may:</w:t>
      </w:r>
    </w:p>
    <w:p>
      <w:pPr>
        <w:spacing w:after="0" w:line="117"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our Board of Directors;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on terms that other stockholders may desire.</w:t>
      </w:r>
    </w:p>
    <w:p>
      <w:pPr>
        <w:spacing w:after="0" w:line="32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number of our total outstanding shares may be sold into the market in the near future, which could cause the market price of our common stock to drop significantly, even if our business is performing well.</w:t>
      </w:r>
    </w:p>
    <w:p>
      <w:pPr>
        <w:spacing w:after="0" w:line="51"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or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October 2020, in connection with the execution of our collaboration and license agreement with Ultragenyx, we issued and sold 521,719 shares of our common stock to Ultragenyx. For the ten-year period after date of such sale, subject to specified conditions, we have agreed to file a registration statement in order to register all or a portion of the shares sold to Ultragenyx.</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July 2019, December 2020 and January 2024, we completed private placements of shares of our common stock and pre-funded warrants to purchase shares of our common stock to several accredited investors. In December 2022, we also issued shares of our common stock in the Acquisition and in a related private placement to several accredited investors. We have filed registration statements covering the resale of these shares by the purchasers in these private placements and the stock consideration issued in the Acquisition, and have agreed to keep such registration statements effective until the date the shares covered by the respective registration statement have been sold or can be resold without restriction under Rule 144 of the Securities Act.</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we have filed registration statements registering all shares of common stock that we may issue under our equity compensation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can be freely sold in the public market upon issuance, subject to black-out periods and volume limitations applicable to affiliates.</w:t>
      </w:r>
    </w:p>
    <w:p>
      <w:pPr>
        <w:spacing w:after="0" w:line="9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at prices and terms to be determined at the time of sale.</w:t>
      </w:r>
    </w:p>
    <w:p>
      <w:pPr>
        <w:spacing w:after="0" w:line="2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in the future is likely to be, volatile and fluctuate substantially, which could result in substantial losses for holders of our common stock.</w:t>
      </w:r>
    </w:p>
    <w:p>
      <w:pPr>
        <w:spacing w:after="0" w:line="51"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Our stock price has been, and in the future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1" w:name="page92"/>
    <w:bookmarkEnd w:id="91"/>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anticipated benefits of the Acquisition and to successfully implement our proposed business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Candidates or those of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emergencies or pandemics, such as the recent COVID-19 pandemic, on both the healthcare system and the patient population;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the European Union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our clinical development programs and our commercialization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development timelines;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for our stock and daily share volumes transacted;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Select Market;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54"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often has been instituted against that company. We and certain of our executive officers and board members have previously been named as defendants in purported class action lawsuits. Any such litigation instituted against us could cause us to incur substantial costs to defend such claims and divert management’s attention and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if at all.</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2" w:name="page93"/>
    <w:bookmarkEnd w:id="92"/>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so long as the market value of our common stock held by non-affiliates is less than $250 million measured on the last business day of our second fiscal quarter, or our annual revenues are more than $100 million during the most recently completed fiscal year and the market value of our common stock held by non-affiliates is more than $700 million measured on the last business day of our second fiscal quarter. Smaller reporting companies are able to provide simplified executive compensation disclosure and have certain other reduced disclosure obligations, including, among other things, being permitted to provide only two years of audited financial statements, with correspondingly reduced “Management’s Discussion and Analysis of Financial Condition and Results of Operations”; not being required to furnish a contractual obligations table in “Management's Discussion and Analysis of Financial Condition and Results of Operations”; and not being required to furnish a stock performance graph in our annual report.</w:t>
      </w:r>
    </w:p>
    <w:p>
      <w:pPr>
        <w:spacing w:after="0" w:line="8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our filings with the SEC.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5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Those expenses will increase if we do not remain a smaller reporting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However, while we remain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3" w:name="page94"/>
    <w:bookmarkEnd w:id="93"/>
    <w:p>
      <w:pPr>
        <w:ind w:left="900" w:right="10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certain provisions of our certificate of incorporation or bylaws.</w:t>
      </w:r>
    </w:p>
    <w:p>
      <w:pPr>
        <w:spacing w:after="0" w:line="5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is the only sole source of gain for an investment in our common stock.</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2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6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We do not intend to have this choice of forum provision apply to, and this choice of forum provision will not apply to, actions arising under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as well as secure our networks, systems and data. Such processes include physical, procedural, and technical safeguards, employee training and incident simulations. We have the capacity to engage certain external parties, such as consultants, independent privacy assessors, computer security firms and risk management, peer companies, industry groups and governance experts, to enhance our cybersecurity oversight. We also consider the internal risk oversight programs of third-party service providers before engaging them to help protect us from any related vulnerabilities.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4" w:name="page95"/>
    <w:bookmarkEnd w:id="94"/>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To help manage our material risks from cybersecurity threats and to help protect against, detect, and prepare to respond to cybersecurity incidents, we conduct periodic training for employees involved in our systems and processes that handle sensitive data. We also conduct on-boarding cybersecurity awareness assessments, cybersecurity training for all employees, and regular phishing email simulations for all employees. In addition, we use technology-based tools to help mitigate cybersecurity risks and to bolster our employee-based cybersecurity programs.</w:t>
      </w:r>
    </w:p>
    <w:p>
      <w:pPr>
        <w:spacing w:after="0" w:line="7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oversight of our cybersecurity risk and provides regular updates to the Board of Directors regarding such oversight. The Audit Committee receives periodic updates from management regarding cybersecurity matters, and is notified between such updates regarding significant new cybersecurity threats or incidents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Senior Director of Information Technology's leads the operational oversight of company-wide cybersecurity strategy, policy, standards and processes and works across relevant departments to assess and help us prepare our employees to address cybersecurity risks. Our Senior Director of Information Technology has over sixteen years of experience in information technology, ten years of experience in information technology for life sciences companies, and a relevant bachelor's degree in information technology. We do not believe that there are currently any known risks from cybersecurity threats that are reasonably likely to materially affect us or our business strategy, results of operations or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which consists of approximately 49,869 square feet of office, laboratory, research and development and manufacturing space in Charlestown, Massachusetts. The lease for our corporate headquarters has an initial term of approximately ten years that expires in 2032 with an option to extend the lease for an additional five years. In addition, we lease smaller laboratory and office space in North Carolina and Florida.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8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“SLDB” since January 26, 2018 in connection with our initial public offering. Prior to that date, there was no established public trading market for our common stock.</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to The Nasdaq Composite Index and to The Nasdaq Biotechnology Index from December 31, 2018 through December 31, 2023. The comparison assumes $100 was invested after the market closed on December 31, 2018 in our common stock and in each of the foregoing indices, and it assumes reinvestment of dividends, if any. The stock price performance included in this graph is not necessarily indicative of future stock price performance.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COMPARISON OF CUMULATIVE TOTAL RETURN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Among The Nasdaq Composite Index, The Nasdaq Biotechnology Index and 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142875</wp:posOffset>
            </wp:positionV>
            <wp:extent cx="4585970" cy="2717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8597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performance graph in this Item 5 is not deemed to be “soliciting material” or to be “filed” with the SEC for purposes of Section 18 of the Exchange Act, or otherwise subject to the liabilities under that Section, and shall not be deemed incorporated by reference into any of our filings under the Securities Act or the Exchange Act, except to the extent we specifically incorporate it by reference into such a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13, 2024, we had approximately 57 holders of record of our common stock. This number does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did not sell any securities, during the year ended December 31, 2023 that were not registered under the Securities Act of 1933, as amended, or the Securities Act, and that have not otherwise been described in a Quarterly Report on Form 10-Q or in a Current Report on Form 8-K.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60"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information in this Annual Report on Form 10-K gives effect to a 1-for-15 reverse stock split of our common stock that became effective on October 27, 2022, and all references to historical share and per share amounts give effect to the reverse stock split.</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or Duchenne, SGT-501 for the treatment of Catecholaminergic polymorphic ventricular tachycardia, or CPVT, and additional assets for the treatment of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7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Solid expands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patients with neuromuscular and cardiac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33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On December 2, 2022, we completed our acquisition of AavantiBio, Inc., or AavantiBio, a privately held gene therapy company focused on transforming the lives of patients with Friedreich’s ataxia, or FA, and rare cardiomyopathies, or the Acquisition. Upon the consummation of the Acquisition, we acquired AavantiBio’s gene therapy programs, AVB-202-TT for the treatment of FA and AVB-401 for the treatment of BAG3-mediated dilated cardiomyopathy ("DCM"), additional assets for the treatment of cardiac diseases, platform technologies and know-how related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Our Operations</w:t>
      </w:r>
    </w:p>
    <w:p>
      <w:pPr>
        <w:spacing w:after="0" w:line="22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Our current programs are all designed to treat these diseases with gene transfer products. Gene transfer, a type of gene therapy, is designed to address diseases caused by mutated genes through the delivery of functional versions of those genes, called transgenes. The transgenes are then utilized by the body to produce proteins that are absent or not functional prior to treatment, potentially offering long-lasting clinical benefit.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 its ability to introduce new genetic material directly into patients’ cells. Adeno-associated virus, or AAV, capsids have been approved for use to deliver transgenes to patients, including via systemic delivery. The use of AAV capsids to deliver gene therapies has also been extensively studied by third parties in human clinical trials for multiple disease indications, and in certain of these trials AAV was delivered systemically to the patient.</w:t>
      </w:r>
    </w:p>
    <w:p>
      <w:pPr>
        <w:spacing w:after="0" w:line="18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 licensing and patent investment, and general administrative costs associated with our operations, we have generated substantial operating losses in each period since our inception. Our net losses were $96.0 million, $86.0 million and $72.2 million for the years ended December 31, 2023,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8" w:name="page99"/>
    <w:bookmarkEnd w:id="98"/>
    <w:p>
      <w:pPr>
        <w:ind w:right="60" w:firstLine="45"/>
        <w:spacing w:after="0" w:line="282" w:lineRule="auto"/>
        <w:rPr>
          <w:sz w:val="20"/>
          <w:szCs w:val="20"/>
          <w:color w:val="auto"/>
        </w:rPr>
      </w:pPr>
      <w:r>
        <w:rPr>
          <w:rFonts w:ascii="Times New Roman" w:cs="Times New Roman" w:eastAsia="Times New Roman" w:hAnsi="Times New Roman"/>
          <w:sz w:val="18"/>
          <w:szCs w:val="18"/>
          <w:color w:val="auto"/>
        </w:rPr>
        <w:t>and 2021, respectively. As of December 31, 2023, we had an accumulated deficit of $658.8 million. We expect to incur significant expenses and operating losses for the foreseeable future.</w:t>
      </w:r>
    </w:p>
    <w:p>
      <w:pPr>
        <w:spacing w:after="0" w:line="162"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8"/>
          <w:szCs w:val="18"/>
          <w:color w:val="auto"/>
        </w:rPr>
        <w:t>As we seek to develop and commercialize our Candidates, we anticipate that our expenses will increase significantly and that we will need substantial additional funding to support our continuing operations. Until such time as we can generate significant revenue from product sales, if ever, we expect to finance our operations through a combination of public or private equity financings, debt financings or other sources, which may include licensing agreements or strategic collaborations. We may be unable to raise additional funds or enter into such agreements or arrangements when needed on favorable terms, if at all. If we fail to raise capital or enter into such agreements as and when needed, we may have to significantly delay, scale back or discontinue the development or commercialization of our Candidates.</w:t>
      </w:r>
    </w:p>
    <w:p>
      <w:pPr>
        <w:spacing w:after="0" w:line="17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cash equivalents, and available-for-sale securities of $123.6 million, excluding restricted cash of $1.8 million. In January 2024, we sold to investors in a private placement, or the January 2024 Private Placement, an aggregate of 16,973,103 shares of our common stock at a price of $5.53 per share, and, to one investor in lieu of shares, pre-funded warrants to purchase 2,712,478 shares of our common stock, at a price of $5.529 per pre-funded warrant. We received approximately $104.0 million of aggregate net proceeds, after deducting offering costs. We believe that our cash, cash equivalents, and available-for-sale securities as of December 31, 2023, together with the net proceeds from the January 2024 Private Placement, will enable us to fund our operating expenses and capital expenditure requirements into 2026. We have based this estimate on assumptions that may prove to be wrong, and we could use our available capital resources sooner than we currently anticipate.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There was no collaboration revenue for the year ended December 31, 2023. Collaboration revenue was $8.1 million for the year ended December 31, 2022. We recognized this revenue related to research services and cost reimbursement from the collaboration and license agreement, or the Collaboration Agreement, with Ultragenyx Pharmaceutical Inc., or Ultragenyx. No other research and development has commenced under the Collaboration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not generated any product revenue to date and do not expect to generate any product revenue from the sale of our products, if approved, for the foreseeable future, if ever. If our development efforts for our Candidates are successful and result in marketing approval, we may generate product revenue in the future from product sales.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and general and administrative expenses. Personnel costs, including salaries, benefits, bonuses and equity-based compensation expense, comprise a significant component of each of these expense categories. We allocate expenses associated with personnel costs based on the nature of work associated with these resources.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SGT-003 and other Candidates and include:</w:t>
      </w:r>
    </w:p>
    <w:p>
      <w:pPr>
        <w:spacing w:after="0" w:line="54" w:lineRule="exact"/>
        <w:rPr>
          <w:sz w:val="20"/>
          <w:szCs w:val="20"/>
          <w:color w:val="auto"/>
        </w:rPr>
      </w:pPr>
    </w:p>
    <w:p>
      <w:pPr>
        <w:ind w:left="900" w:right="20" w:hanging="383"/>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and preclinical activities on our behalf, as well as contract manufacturing organizations, or CMOs, that manufacture SGT-003 and other Candidates for use in our preclinical studies and clinical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99" w:name="page100"/>
    <w:bookmarkEnd w:id="99"/>
    <w:p>
      <w:pPr>
        <w:ind w:left="900" w:right="28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equity-based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engaged to assist in our research and development activities, including their fees, equity-based compensation and related travel expenses;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seeking regulatory approval of SGT-003 and other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our intellectual property licenses;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research and development expenses, which include direct depreciation costs and allocated expenses for rent and maintenance of facilities and other operating costs.</w:t>
      </w:r>
    </w:p>
    <w:p>
      <w:pPr>
        <w:spacing w:after="0" w:line="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are still in the early stages of development of our Candidates. Product candidates in later stages of clinical development generally have higher development costs than those in preclinical development or in earlier stages of clinical development, primarily due to the increased size and duration of later-stage clinical trials. We expect that our research and development expenses will continue to increase for the foreseeable future if and as we conduct clinical trials for SGT-003, initiate clinical trials for our other Candidates and continue to identify and develop additional candidates.</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our product candidates. We track outsourced development costs and milestone payments made under our licensing arrangements by product candidates, but we do not allocate personnel costs, license payments made under our licensing arrangements or other internal costs to product candidates on a program-specific basis. These costs are included in unallocated research and development expenses in the table below.</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product candidates for the respective periods:</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r>
      <w:tr>
        <w:trPr>
          <w:trHeight w:val="23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SGT-001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SGT-003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SGT-501</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External expenses</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unallocated research and development expenses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80" w:type="dxa"/>
            <w:vAlign w:val="bottom"/>
          </w:tcPr>
          <w:p>
            <w:pPr>
              <w:spacing w:after="0"/>
              <w:rPr>
                <w:sz w:val="20"/>
                <w:szCs w:val="20"/>
                <w:color w:val="auto"/>
              </w:rPr>
            </w:pPr>
          </w:p>
        </w:tc>
      </w:tr>
      <w:tr>
        <w:trPr>
          <w:trHeight w:val="276"/>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76,563</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-350520</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cannot determine with certainty the duration, costs and timing of clinical trials of SGT-003 or other Candidates, or if, when or to what extent we will generate revenue from the commercialization and sale of any of our product candidates for which we obtain marketing approval or our other research and development expenses. We may never succeed in obtaining marketing approval for any of our product candidates. The duration, costs and timing of clinical trials and development of our candidates will depend on a variety of factors, including:</w:t>
      </w:r>
    </w:p>
    <w:p>
      <w:pPr>
        <w:spacing w:after="0" w:line="72" w:lineRule="exact"/>
        <w:rPr>
          <w:sz w:val="20"/>
          <w:szCs w:val="20"/>
          <w:color w:val="auto"/>
        </w:rPr>
      </w:pPr>
    </w:p>
    <w:p>
      <w:pPr>
        <w:ind w:left="900" w:right="24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any clinical trials of our Candidates and other research and development activities that we may conduct;</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restrictions on clinical trials, including full and partial clinical holds and the time and activities required to lift any such holds;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or drop out or discontinuation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studies or clinical trials requested by regulatory agencies;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acquisition costs, and facility-related expenses, which include direct depreciation costs and allocated expenses for rent and maintenance of office facilities and other operating costs.</w:t>
      </w:r>
    </w:p>
    <w:p>
      <w:pPr>
        <w:spacing w:after="0" w:line="56"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in the future as we support our research and development activities and activities related to our INSPIRE Duchenne trial and any planned or future clinical trials for and potential commercialization of our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April 2022, we implemented changes to our corporate strategy. In connection with the changes to corporate operations, we reduced headcount by approximately 35 percent.</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November 2022, we approved a plan designed to streamline our operating structure in connection with the Acquisition. In connection with the plan, we reduced headcount by approximately 18 percent in December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on our cash, cash equivalents, available-for-sale securities, amortization of investment premium or accretion of investment discount.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at the end of this Annual Report on Form 10-K, we believe that the following accounting policies are those most critical to the judgments and estimates used in the preparation of our consolidated financial statements and that involve a significant level of estimation uncertainty.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As discussed in Note 2 to our consolidated audited financial statements, under Accounting Standards Codification, or ASC 606, Revenue from Contracts with Customers, an entity recognizes revenue when its customer obtains control of promised goods or services, in an amount that reflects the consideration which the entity expects to receive in exchange for those goods or services.</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88"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current condition, or if the utility of the license is dependent on or influenced by our ongoing activities or being associated with us.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At each reporting date, we calculate the measure of progress for the performance obligations transferred over time. The calculation generally uses an input measure based on costs incurred to-date relative to estimated total costs to complete the transfer of the performance obligation. The measurement of progress is then used to calculate the total revenue earned, including any cumulative catch-up adjustment.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activities on our behalf and conducting clinical trials and preclinical studies on our behalf;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and development and distribution of clinical and preclinical supplies;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under our intellectual property licenses.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equity plans under which we make equity awards to employees, directors and non-employees. We measure all stock options and other stock-based awards granted to employees, directors and non-employees based on the fair value on the date of the grant and recognize compensation expense of those awards, over the requisite service period, which is generally the vesting period of the respective award. Forfeitures are accounted for as they occur. We apply the straight-line method of expense recognition to all awards with only service-based vesting conditions. We have not issued any awards with performance-based vesting conditions. For stock-based awards granted to non-employees, compensation expense is recognized over the period during which services are rendered by such non-employees until completed.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3" w:name="page104"/>
    <w:bookmarkEnd w:id="103"/>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We historically have been a private company and lack company-specific historical and implied volatility information. Therefore, we estimate our expected stock volatility based on the historical volatility of a publicly traded set of peer companies and expect to continue to do so until such time as we have adequate historical data regarding the volatility of our own traded stock price. For options with service-based vesting conditions and options granted to non-employees, 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and do not expect to pay any cash dividends in the foreseeable future, if ever.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62" w:lineRule="exact"/>
        <w:rPr>
          <w:sz w:val="20"/>
          <w:szCs w:val="20"/>
          <w:color w:val="auto"/>
        </w:rPr>
      </w:pPr>
    </w:p>
    <w:tbl>
      <w:tblPr>
        <w:tblLayout w:type="fixed"/>
        <w:tblInd w:w="102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24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0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Chang</w:t>
            </w:r>
          </w:p>
        </w:tc>
        <w:tc>
          <w:tcPr>
            <w:tcW w:w="0" w:type="dxa"/>
            <w:vAlign w:val="bottom"/>
          </w:tcPr>
          <w:p>
            <w:pPr>
              <w:spacing w:after="0"/>
              <w:rPr>
                <w:sz w:val="1"/>
                <w:szCs w:val="1"/>
                <w:color w:val="auto"/>
              </w:rPr>
            </w:pPr>
          </w:p>
        </w:tc>
      </w:tr>
      <w:tr>
        <w:trPr>
          <w:trHeight w:val="252"/>
        </w:trPr>
        <w:tc>
          <w:tcPr>
            <w:tcW w:w="5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1"/>
                <w:szCs w:val="21"/>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(8,094 )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(1,857 )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(1,196 )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expense</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(7,241 )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(10,294 )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(104,252 )</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(106,452 )</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acquisition</w:t>
            </w:r>
          </w:p>
        </w:tc>
        <w:tc>
          <w:tcPr>
            <w:tcW w:w="22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(18,236 )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(381 )</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7"/>
        </w:trPr>
        <w:tc>
          <w:tcPr>
            <w:tcW w:w="50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000" w:type="dxa"/>
            <w:vAlign w:val="bottom"/>
            <w:vMerge w:val="continue"/>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(96,015 )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(85,981 )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(10,034 )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-1757045</wp:posOffset>
            </wp:positionV>
            <wp:extent cx="584644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-1122045</wp:posOffset>
            </wp:positionV>
            <wp:extent cx="584644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-814070</wp:posOffset>
            </wp:positionV>
            <wp:extent cx="584644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4644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-2073910</wp:posOffset>
            </wp:positionV>
            <wp:extent cx="5846445"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46445" cy="16319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-1447800</wp:posOffset>
            </wp:positionV>
            <wp:extent cx="584644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46445" cy="1625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-504825</wp:posOffset>
            </wp:positionV>
            <wp:extent cx="5846445"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46445" cy="1625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-179070</wp:posOffset>
            </wp:positionV>
            <wp:extent cx="584644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46445" cy="17970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There was no collaboration revenue for the year ended December 31, 2023, compared to $8.1 million of collaboration revenue for the year ended December 31, 2022. The decrease in collaboration revenue of $8.1 million was related to the completion of research and development services contemplated under the Collaboration Agreement during the second quarter of fiscal year 2022, resulting in the recognition of the remaining deferred revenue, which was recorded at the time the Collaboration Agreement was executed. No other research and development has commenced under the Collaboration Agreement.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spacing w:after="0" w:line="307"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3"/>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w w:val="97"/>
              </w:rPr>
              <w:t>Chang</w:t>
            </w:r>
          </w:p>
        </w:tc>
        <w:tc>
          <w:tcPr>
            <w:tcW w:w="0" w:type="dxa"/>
            <w:vAlign w:val="bottom"/>
          </w:tcPr>
          <w:p>
            <w:pPr>
              <w:spacing w:after="0"/>
              <w:rPr>
                <w:sz w:val="1"/>
                <w:szCs w:val="1"/>
                <w:color w:val="auto"/>
              </w:rPr>
            </w:pPr>
          </w:p>
        </w:tc>
      </w:tr>
      <w:tr>
        <w:trPr>
          <w:trHeight w:val="252"/>
        </w:trPr>
        <w:tc>
          <w:tcPr>
            <w:tcW w:w="4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SGT-001</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(21,412 )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SGT-003</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SGT-501</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 programs</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16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8"/>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External expenses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6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unallocated research and development expenses</w:t>
            </w: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
        </w:trPr>
        <w:tc>
          <w:tcPr>
            <w:tcW w:w="4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880" w:type="dxa"/>
            <w:vAlign w:val="bottom"/>
            <w:vMerge w:val="continue"/>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76,563</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(1,857 )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-1430655</wp:posOffset>
            </wp:positionV>
            <wp:extent cx="570039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-1122045</wp:posOffset>
            </wp:positionV>
            <wp:extent cx="570039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-505460</wp:posOffset>
            </wp:positionV>
            <wp:extent cx="570039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2023 were $76.6 million, compared to $78.4 million for the year ended December 31, 2022. The decrease of $1.8 million in research and development expenses was primarily related to a $21.4 million decrease in costs for SGT-001 due to our decision to prioritize development of SGT-003, offset by an $11.0 million increase in manufacturing, clinical, and study related costs for SGT-003, a $4.0 million increase in costs for other development programs, a $3.2 million increase in costs for SGT-501, and a $1.4 million increase in external expenses.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$27.8 million for the year ended December 31, 2023, compared to $28.9 million for the year ended December 31, 2022. The decrease of $1.1 million was primarily related to a $1.6 million decrease in legal fees due to acquisition related costs occurring in 2022, a $1.0 million decrease in insurance premiums, a $0.4 million decrease in business development research, and a $0.1 million decrease in charitable contributions, offset by a $1.0 million increase in personnel related costs, a $0.4 million increase in IT related costs, a $0.3 million increase in recruiting costs, and a $0.3 million increase in facilities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jc w:val="both"/>
        <w:ind w:right="340" w:firstLine="509"/>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2023, restructuring charges were $(0.1) million compared to $7.2 million for the year ended December 31, 2022. The restructuring charges were related to severance and other employee-related costs in connection with the restructurings that occurred in April 2022 and December 2022. We paid $3.7 million during the year ended December 31, 2023 and $3.3 million during the year ended December 31, 2022.</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Other income (expense) was $8.2 million and $20.5 million for the years ended December 31, 2023 and 2022, respectively. The decrease in other income was primarily related to the gain recorded in connection with the Acquisition of $18.2 million during the year ended December 31, 2022, partially offset by a $4.5 million increase in interest income primarily related to available-for-sale securities included within our portfolio, and a $1.5 million increase in other income primarily related to our sublease of space at our Massachusetts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operations—Years ended December 31, 2022 and 2021</w:t>
      </w:r>
    </w:p>
    <w:p>
      <w:pPr>
        <w:spacing w:after="0" w:line="121"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Discussion and analysis of the year ended December 31, 2022 compared to the year ended December 31, 2021 is included in Part II, Item 7, “Management’s Discussion and Analysis of Financial Condition and Results of Operations” in our Annual Report on Form 10-K for the year ended December 31, 2022 as filed with the SEC on March 23, 2023 (the “2022 Form 10-K”).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redeemable preferred units and member units, the sale of common stock and prefunded warrants to purchase shares of our common stock in private placements and the sale of common stock in our initial public offering and a follow-on public offering, and sales of common stock under our “at-the-market offering” sales agreement, dated March 13, 2019 and as amended on August 16, 2021, by and between us and Jefferies LLC, or Jefferies, or the ATM Sales Agreement. Through December 31, 2023, we raised an aggregate of $144.6 million of gross proceeds from our sales of preferred units prior to the completion of our initial public offering, and an aggregate of $546.8 million of net proceeds from the sale of our common stock through public offerings, including our IPO and follow-on public offering, private placements, the ATM Sales Agreement, and pursuant to the stock purchase agreement with Ultragenyx, as detailed in the following paragraphs.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March 13, 2019, we entered into the ATM Sales Agreement, which was amended in August 2021, under which we may offer and sell, from time to time, shares of our common stock having aggregate gross proceeds of up to $75.0 million through Jefferies as sales agent. Any such sales being made by any method that is deemed an “at-the-market offering” as defined in Rule 415 promulgated under the Securities Act. We pay Jefferies a commission of up to 3% of the gross proceeds of any sales of common stock pursuant to the ATM Sales Agreement. During the years ended December 31, 2023 and 2022, we sold 602,030 and 0 shares of common stock, respectively, pursuant to the ATM Sales Agreement resulting in net proceeds of $3.0 million and $0, respectively. During the three months ended December 31, 2023, we sold 182,030 shares pursuant to the ATM Sales Agreement.</w:t>
      </w:r>
    </w:p>
    <w:p>
      <w:pPr>
        <w:spacing w:after="0" w:line="18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March 23, 2021, we issued and sold in a public offering 1,666,666 shares of our common stock at a price per share of $86.25, including the full exercise by the underwriters of an option to purchase additional shares of common stock. We received net proceeds of approximately $134.9 million after deducting underwriting discounts and commissions and offering expenses.</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On December 2, 2022, we issued and sold 10,638,290 shares of our common stock at a price per share of $7.05 in a private placement, or the December 2022 Private Placement, which closed immediately following the Acquisition. We received $72.6 million of net proceeds from the December 2022 Private Placement after deducting placement agent fees.</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cash, cash equivalents and available-for-sale securities of $123.6 million, excluding restricted cash of $1.8 million, and had no debt outstanding.</w:t>
      </w:r>
    </w:p>
    <w:p>
      <w:pPr>
        <w:spacing w:after="0" w:line="162" w:lineRule="exact"/>
        <w:rPr>
          <w:sz w:val="20"/>
          <w:szCs w:val="20"/>
          <w:color w:val="auto"/>
        </w:rPr>
      </w:pPr>
    </w:p>
    <w:p>
      <w:pPr>
        <w:ind w:right="160" w:firstLine="509"/>
        <w:spacing w:after="0" w:line="289" w:lineRule="auto"/>
        <w:rPr>
          <w:sz w:val="20"/>
          <w:szCs w:val="20"/>
          <w:color w:val="auto"/>
        </w:rPr>
      </w:pPr>
      <w:r>
        <w:rPr>
          <w:rFonts w:ascii="Times New Roman" w:cs="Times New Roman" w:eastAsia="Times New Roman" w:hAnsi="Times New Roman"/>
          <w:sz w:val="17"/>
          <w:szCs w:val="17"/>
          <w:color w:val="auto"/>
        </w:rPr>
        <w:t>On January 11, 2024, we issued and sold 16,973,103 shares of our common stock at a price per share of $5.53 and, to one investor in lieu of shares of common stock, pre-funded warrants to purchase 2,712,478 shares of common stock at a price of $5.529 per pre-funded warrant, in the January 2024 Private Placement. We received approximately $104.0 million of net proceeds from the January 2024 Private Placement after deducting offering costs.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(94,180 )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(97,977 )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74,831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(81,369 )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80" w:type="dxa"/>
            <w:vAlign w:val="bottom"/>
            <w:vMerge w:val="restart"/>
          </w:tcPr>
          <w:p>
            <w:pPr>
              <w:ind w:left="43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-1096645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$94.2 million of cash, primarily resulting from our net loss of $96.0 million offset by non-cash charges of $8.2 million due primarily to equity-based compensation of $7.6 million and depreciation and impairment expense of $3.0 million, partially offset by amortization of discount on available-for sale-securities of $2.4 million. Net cash used by changes in our operating assets and liabilities was $6.3 million which included a decrease of $9.0 million in accrued other current and non-current liabilities, and a decrease in accounts payable of $0.7 million, partially offset by a decrease in prepaid and other non-current assets of $3.4 million.</w:t>
      </w:r>
    </w:p>
    <w:p>
      <w:pPr>
        <w:spacing w:after="0" w:line="1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$98.0 million of cash, primarily resulting from our net loss of $86.0 million and non-cash charges of $8.3 million due primarily to the gain on acquisition of $18.2 million, offset by equity-based compensation of $7.5 million and depreciation expense of $2.4 million. Net cash used by changes in our operating assets and liabilities was $3.7 million which included a decrease in deferred revenue of $8.1 million, a decrease in accounts receivable of $0.1 million as a result of the Ultragenyx Collaboration Agreement, and a decrease in accounts payable of $5.2 million due to the timing of payments, partially offset by an increase in prepaid and other non-current assets of $3.7 million and a decrease in accrued other liabilities and non-current liabilities of $5.8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provided cash of $9.7 million, consisting primarily of the sale of available-for-sale securities of $128.6 million, partially offset by net purchases of available-for-sale securities of $117.4 million and the purchase of property and equipment of $1.5 million primarily related to the corporate headquarters lease.</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investing activities provided cash of $59.2 million, consisting primarily of the sale of available-for-sale securities of $212.8 million, net cash received upon the closing of the Acquisition of $31.5 million, and cash proceeds from the sale of property and equipment of $0.6 million, partially offset by net purchases of available-for-sale securities of $182.8 million and the purchase of property and equipment of $3.0 million primarily related to our corporate headquarters lease.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$3.1 million as a result of proceeds from the issuance of common stock of $3.0 million and from the issuance of shares of $0.1 million under the Company's employee stock purchase plan.</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$74.8 million as a result of the December 2022 Private Placement.</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discussion of changes in our cash flow from the year ended December 31, 2021 to the year ended December 31, 2022 can be found in Part II, Item 7, “Management’s Discussion and Analysis of Financial Condition and Results of Operations” of the 2022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development activities related to our Candidates. In addition, we have incurred and expect to continue to incur costs associated with operating as a public company. We expect that our expenses will increase substantially if and as we:</w:t>
      </w:r>
    </w:p>
    <w:p>
      <w:pPr>
        <w:spacing w:after="0" w:line="68" w:lineRule="exact"/>
        <w:rPr>
          <w:sz w:val="20"/>
          <w:szCs w:val="20"/>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patients in our INSPIRE Duchenne trial and advance clinical development of SGT-003;</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manufacturing for larger quantities of our product candidates for preclinical and clinical development and potential commercialization;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 portion of the development or commercialization of products in collaboration with Ultragenyx pursuant to the Collaboration Agreement;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cash equivalents and available-for-sale securities of $123.6 million, excluding restricted cash of $1.8 million. Based on our current operating plan, we believe that our cash, cash equivalents and available-for-sale securities as of December 31, 2023, together with the net proceeds from our January 2024 Private Placement, will be sufficient to fund our operating expenses and capital requirements into 2026.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use our available capital resources sooner than we currently anticipate.</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Candidates and because the extent to which we may enter collaborations with third parties for development of our product candidates is unknown, we 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08" w:name="page109"/>
    <w:bookmarkEnd w:id="108"/>
    <w:p>
      <w:pPr>
        <w:ind w:right="60"/>
        <w:spacing w:after="0" w:line="282" w:lineRule="auto"/>
        <w:rPr>
          <w:sz w:val="20"/>
          <w:szCs w:val="20"/>
          <w:color w:val="auto"/>
        </w:rPr>
      </w:pPr>
      <w:r>
        <w:rPr>
          <w:rFonts w:ascii="Times New Roman" w:cs="Times New Roman" w:eastAsia="Times New Roman" w:hAnsi="Times New Roman"/>
          <w:sz w:val="18"/>
          <w:szCs w:val="18"/>
          <w:color w:val="auto"/>
        </w:rPr>
        <w:t>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54"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trial and any future clinical trials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Candidates receive marketing approval;</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Ultragenyx;</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such as the recent COVID-19 pandemic, and collateral consequences related thereto.</w:t>
      </w:r>
    </w:p>
    <w:p>
      <w:pPr>
        <w:spacing w:after="0" w:line="54"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We are supplying, and expect to continue to supply, our ongoing and future clinical development programs with drug produced at a cGMP compliant facility located at one of our CMOs. We intend to establish the capability and capacity to supply Candidates at commercial scale from multiple sources.</w:t>
      </w:r>
    </w:p>
    <w:p>
      <w:pPr>
        <w:spacing w:after="0" w:line="32" w:lineRule="exact"/>
        <w:rPr>
          <w:sz w:val="20"/>
          <w:szCs w:val="20"/>
          <w:color w:val="auto"/>
        </w:rPr>
      </w:pPr>
    </w:p>
    <w:p>
      <w:pPr>
        <w:ind w:right="460" w:firstLine="509"/>
        <w:spacing w:after="0" w:line="277" w:lineRule="auto"/>
        <w:rPr>
          <w:sz w:val="20"/>
          <w:szCs w:val="20"/>
          <w:color w:val="auto"/>
        </w:rPr>
      </w:pPr>
      <w:r>
        <w:rPr>
          <w:rFonts w:ascii="Times New Roman" w:cs="Times New Roman" w:eastAsia="Times New Roman" w:hAnsi="Times New Roman"/>
          <w:sz w:val="17"/>
          <w:szCs w:val="17"/>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6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29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licensing agreements and strategic collaborations with third parties, we may have to relinquish valuable rights to our technology, future revenue streams, research programs, or product candidates or grant licenses on terms that may not be favorable to us. If we are unable to raise additional funds, we may be required to delay, limit, reduce and/or terminate development of our product candidates or any future commercialization efforts or grant rights to develop and market product candidates that we would otherwise prefer to develop and market ourselves.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lease certain office space, lab space and lab equipment in Massachusetts, North Carolina and Florida. These leases are used for our continuing operations. For a description of our lease obligations, refer to Note 11 to our consolidated financial statements appearing at the end of this Annual Report on Form 10-K.</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Under various agreements with third-party licensors, we have agreed to make milestone payments and pay royalties to third parties based on specified milestones. For a description of our license agreements, see “Business—Strategic partnerships and collaborations/licenses” and see Note 13 of our consolidated financial statements appearing at the end of this Annual Report on Form 10-K.</w:t>
      </w:r>
    </w:p>
    <w:p>
      <w:pPr>
        <w:spacing w:after="0" w:line="176"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We enter into contracts in the normal course of business with CROs and CMOs for clinical trials, preclinical research studies and testing, manufacturing and other services and products for operating purposes. These contracts are cancelable by us upon prior notice of 30 days.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to our consolidated financial statements appearing at the end of this Annual Report on Form 10-K, such standards will not have a material impact on our consolidated financial statements or do not otherwise apply to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2023, our cash equivalents consisted of money market accounts that have contractual maturities of less than 90 days from the date of acquisition. As of December 31, 2023, our investments consisted of treasury bills that have contractual maturities of less than one year.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do not believe that inflation had a material effect on our business, financial condition or results of operations in the last three years. However, our operations may be adversely affected by the inflation in the future.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3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2023. The term "disclosure controls and procedures," as defined in Rules 13a-15(e) and 15d-15(e) under the Securities Exchange Act of 1934, as amended, or the Exchange Act, refers to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required to be disclosed by a company in the reports that it files or submits under the Exchange Act is accumulated and communicated to a company's management, including its principal executive and principal financial officers, or persons performing similar functions, as appropriate to allow timely decisions regarding required disclosure.</w:t>
      </w:r>
    </w:p>
    <w:p>
      <w:pPr>
        <w:spacing w:after="0" w:line="21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designed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22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as of December 31, 2023, our disclosure controls and procedures were effective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 xml:space="preserve">Management conducted an evaluation of the effectiveness of our internal control over financial reporting as of December 31, 2023 based on the framework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 Based on that evaluation, management has concluded that the Company's internal control over financial reporting was effective as of December 31, 2023.</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a non-accelerated filer and a “smaller reporting company”, as defined in Rule 12b-2 under the Exchange Act, our independent registered public accounting firm is not required to issue an attestation report on the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 months ended December 31, 2023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Director and Officer Trading Arrangements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fourth quarter of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under this Item 10 is incorporated by reference to our definitive proxy statement for our 2024 Annual Meeting of Stockholders, which we intend to file with the Securities and Exchange Commission not later than 120 days after the end of the fiscal year ended December 31, 2023</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or the Code of Conduct, that applies to our directors, executive officers and employees, including our principal executive officer, principal financial officer, principal accounting officer or controller, or persons performing similar functions. The Code of Conduct is available on the Investor Relations portion of our website, www.solidbio.com. The nominating and corporate governance committee of our Board of Directors is responsible for overseeing the Code of Conduct and must approve any waivers of the Code of Conduct for employees, executive officers and directors. In addition, we intend to post on our website all disclosures that are required by law or the listing standards of Nasdaq concerning any amendments to, or waivers of, any provision of the Code of Conduct.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11 is incorporated by reference to our definitive proxy statement for our 2024 Annual Meeting of Stockholders, which we intend to file with the Securities and Exchange Commission not later than 120 days after the end of the fiscal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12 is incorporated by reference to our definitive proxy statement for our 2024 Annual Meeting of Stockholders, which we intend to file with the Securities and Exchange Commission not later than 120 days after the end of the fiscal year ended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13 is incorporated by reference to our definitive proxy statement for our 2024 Annual Meeting of Stockholders, which we intend to file with the Securities and Exchange Commission not later than 120 days after the end of the fiscal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under this Item 14 is incorporated by reference to our definitive proxy statement for our 2024 Annual Meeting of Stockholders, which we intend to file with the Securities and Exchange Commission not later than 120 days after the end of the fiscal year ended December 31,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52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768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3520" w:type="dxa"/>
            <w:vAlign w:val="bottom"/>
          </w:tcPr>
          <w:p>
            <w:pPr>
              <w:ind w:left="3280"/>
              <w:spacing w:after="0" w:line="194" w:lineRule="exact"/>
              <w:rPr>
                <w:sz w:val="20"/>
                <w:szCs w:val="20"/>
                <w:color w:val="auto"/>
              </w:rPr>
            </w:pPr>
            <w:r>
              <w:rPr>
                <w:rFonts w:ascii="Times New Roman" w:cs="Times New Roman" w:eastAsia="Times New Roman" w:hAnsi="Times New Roman"/>
                <w:sz w:val="18"/>
                <w:szCs w:val="18"/>
                <w:color w:val="auto"/>
                <w:w w:val="87"/>
              </w:rPr>
              <w:t>F-1</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2023 and 2022</w:t>
            </w:r>
          </w:p>
        </w:tc>
        <w:tc>
          <w:tcPr>
            <w:tcW w:w="3240" w:type="dxa"/>
            <w:vAlign w:val="bottom"/>
            <w:gridSpan w:val="3"/>
          </w:tcPr>
          <w:p>
            <w:pPr>
              <w:spacing w:after="0"/>
              <w:rPr>
                <w:sz w:val="20"/>
                <w:szCs w:val="20"/>
                <w:color w:val="auto"/>
              </w:rPr>
            </w:pPr>
          </w:p>
        </w:tc>
        <w:tc>
          <w:tcPr>
            <w:tcW w:w="352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87"/>
              </w:rPr>
              <w:t>F-3</w:t>
            </w:r>
          </w:p>
        </w:tc>
      </w:tr>
      <w:tr>
        <w:trPr>
          <w:trHeight w:val="237"/>
        </w:trPr>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2022 and 2021</w:t>
            </w:r>
          </w:p>
        </w:tc>
        <w:tc>
          <w:tcPr>
            <w:tcW w:w="352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2023, 2022 and 2021</w:t>
            </w:r>
          </w:p>
        </w:tc>
        <w:tc>
          <w:tcPr>
            <w:tcW w:w="352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36"/>
        </w:trPr>
        <w:tc>
          <w:tcPr>
            <w:tcW w:w="76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352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87"/>
              </w:rPr>
              <w:t>F-6</w:t>
            </w:r>
          </w:p>
        </w:tc>
      </w:tr>
      <w:tr>
        <w:trPr>
          <w:trHeight w:val="237"/>
        </w:trPr>
        <w:tc>
          <w:tcPr>
            <w:tcW w:w="7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680" w:type="dxa"/>
            <w:vAlign w:val="bottom"/>
          </w:tcPr>
          <w:p>
            <w:pPr>
              <w:spacing w:after="0"/>
              <w:rPr>
                <w:sz w:val="20"/>
                <w:szCs w:val="20"/>
                <w:color w:val="auto"/>
              </w:rPr>
            </w:pPr>
          </w:p>
        </w:tc>
        <w:tc>
          <w:tcPr>
            <w:tcW w:w="352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37"/>
        </w:trPr>
        <w:tc>
          <w:tcPr>
            <w:tcW w:w="7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520" w:type="dxa"/>
            <w:vAlign w:val="bottom"/>
          </w:tcPr>
          <w:p>
            <w:pPr>
              <w:ind w:left="328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5480" w:right="3740" w:hanging="4963"/>
        <w:spacing w:after="0" w:line="532" w:lineRule="auto"/>
        <w:tabs>
          <w:tab w:leader="none" w:pos="7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is a list of exhibits filed as part of this Annual Report on Form 10-K.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40" w:type="dxa"/>
            <w:vAlign w:val="bottom"/>
            <w:gridSpan w:val="2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Agreement and Plan of Merger, dated as of September 29, 2022, by and among Solid Biosciences Inc., Greenland Merger Sub LLC,</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AavantiBio, Inc. and, solely in his capacity as the Equityholder Representative, Doug Swirsky (incorporated by reference to Exhibit</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Current Report on Form 8-K filed on September 30, 2022).</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Certificate of Incorporation of Solid Biosciences Inc., as amended (incorporated by reference to Exhibit 4.1 to the Registration</w:t>
              </w:r>
            </w:hyperlink>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Statement on Form S-8 filed on December 2, 2022).</w:t>
              </w:r>
            </w:hyperlink>
          </w:p>
        </w:tc>
        <w:tc>
          <w:tcPr>
            <w:tcW w:w="59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Bylaws of Solid Biosciences Inc. (incorporated by reference to Exhibit 4.2 to the Registration Statement on Form S-8 filed on January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29, 2018).</w:t>
              </w:r>
            </w:hyperlink>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Specimen Common Stock Certificate (incorporated by reference to Exhibit 4.1 to the Registration Statement on Form S-1 filed on</w:t>
              </w:r>
            </w:hyperlink>
          </w:p>
        </w:tc>
        <w:tc>
          <w:tcPr>
            <w:tcW w:w="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December 29, 2017).</w:t>
              </w:r>
            </w:hyperlink>
          </w:p>
        </w:tc>
        <w:tc>
          <w:tcPr>
            <w:tcW w:w="81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Description of the Company’s Securities Registered under Section 12 of the Exchange Act (incorporated by reference to Exhibit 4.2 to</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the Annual Report on Form 10-K filed on March 23, 2023).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Registration Rights Agreement dated March 29, 2017 by and among Solid Biosciences, LLC and certain</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investors (incorporated by reference to Exhibit 10.17 to the Registration Statement on Form S-1 filed on December 29, 2017).</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Solid Biosciences, LLC Amended and Restated Equity Incentive Plan and form of unit restriction agreement (incorporated by</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reference to Exhibit 10.7 to the Annual Report on Form 10-K filed on March 29, 2018).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Solid Biosciences Inc. 2018 Omnibus Incentive Plan (incorporated by reference to Exhibit 99.1 to the Registration Statement on Form</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S-8 filed on January 29, 2018).</w:t>
              </w:r>
            </w:hyperlink>
          </w:p>
        </w:tc>
        <w:tc>
          <w:tcPr>
            <w:tcW w:w="74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Incentive Stock Option Agreement under 2018 Omnibus Incentive Plan. (incorporated by reference to Exhibit 10.7 to the</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Annual Report on Form 10-K filed on March 13, 2019).</w:t>
              </w:r>
            </w:hyperlink>
          </w:p>
        </w:tc>
        <w:tc>
          <w:tcPr>
            <w:tcW w:w="56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Nonqualified Stock Option Agreement under 2018 Omnibus Incentive Plan. (incorporated by reference to Exhibit 10.8 to the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Annual Report on Form 10-K filed on March 13, 2019).</w:t>
              </w:r>
            </w:hyperlink>
          </w:p>
        </w:tc>
        <w:tc>
          <w:tcPr>
            <w:tcW w:w="56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Restricted Stock Agreement under 2018 Omnibus Incentive Plan (incorporated by reference to Exhibit 10.9 to the</w:t>
              </w:r>
            </w:hyperlink>
          </w:p>
        </w:tc>
        <w:tc>
          <w:tcPr>
            <w:tcW w:w="8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Registration Statement on Form S-1 filed on December 29, 2017).</w:t>
              </w:r>
            </w:hyperlink>
          </w:p>
        </w:tc>
        <w:tc>
          <w:tcPr>
            <w:tcW w:w="49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Exclusive Patent License Agreement, dated as of October 16, 2015, by and between Solid GT, LLC and the University of Washington.</w:t>
            </w: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License Agreement, dated as of October 15, 2015, by and between Solid GT, LLC and The Curators of the University of Missouri.</w:t>
            </w:r>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Indemnification Agreement for Directors and Officers (incorporated by reference to Exhibit 10.16 to the Registration</w:t>
              </w:r>
            </w:hyperlink>
          </w:p>
        </w:tc>
        <w:tc>
          <w:tcPr>
            <w:tcW w:w="280" w:type="dxa"/>
            <w:vAlign w:val="bottom"/>
            <w:tcBorders>
              <w:top w:val="single" w:sz="8" w:color="0000FF"/>
            </w:tcBorders>
            <w:gridSpan w:val="6"/>
          </w:tcPr>
          <w:p>
            <w:pPr>
              <w:spacing w:after="0"/>
              <w:rPr>
                <w:sz w:val="24"/>
                <w:szCs w:val="24"/>
                <w:color w:val="auto"/>
              </w:rPr>
            </w:pPr>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Statement on Form S-1 filed on December 29, 2017).</w:t>
              </w:r>
            </w:hyperlink>
          </w:p>
        </w:tc>
        <w:tc>
          <w:tcPr>
            <w:tcW w:w="58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Summary of Non-Employee Director Compensation Program (incorporated by reference to Exhibit 10.12 to the Annual Report on</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10-K filed on March 23, 2023).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right w:val="single" w:sz="8" w:color="0000EE"/>
            </w:tcBorders>
            <w:gridSpan w:val="4"/>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Securities Purchase Agreement, dated July 25, 2019, by and among the Company and the other parties thereto (incorporated by</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to Exhibit 10.1 to the Current Report on Form 8-K filed on July 26,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Borders>
              <w:right w:val="single" w:sz="8" w:color="0000FF"/>
            </w:tcBorders>
            <w:gridSpan w:val="10"/>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80" w:type="dxa"/>
            <w:vAlign w:val="bottom"/>
            <w:tcBorders>
              <w:left w:val="single" w:sz="8" w:color="0000EE"/>
            </w:tcBorders>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Form of Pre-Funded Warrant to Purchase Common Stock to be issued pursuant to the Securities Purchase Agreement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reference to Exhibit 10.2 to the Current Report on Form 8-K filed on July 26,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Borders>
              <w:right w:val="single" w:sz="8" w:color="0000FF"/>
            </w:tcBorders>
            <w:gridSpan w:val="10"/>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80" w:type="dxa"/>
            <w:vAlign w:val="bottom"/>
            <w:tcBorders>
              <w:left w:val="single" w:sz="8" w:color="0000EE"/>
            </w:tcBorders>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Registration Rights Agreement, dated July 25, 2019, by and among the Company and the other parties thereto (incorporated by</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0"/>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reference to Exhibit 10.3 to the Current Report on Form 8-K filed on July 26,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Borders>
              <w:right w:val="single" w:sz="8" w:color="0000FF"/>
            </w:tcBorders>
            <w:gridSpan w:val="10"/>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Consulting Agreement, dated as of November 19, 2020, by and between Solid Biosciences Inc. and Danforth Advisors, LLC.</w:t>
              </w:r>
            </w:hyperlink>
          </w:p>
        </w:tc>
        <w:tc>
          <w:tcPr>
            <w:tcW w:w="6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(incorporated by reference to Exhibit 10.24 to the Annual Report on Form 10-K filed on March 15, 2021).</w:t>
              </w:r>
            </w:hyperlink>
          </w:p>
        </w:tc>
        <w:tc>
          <w:tcPr>
            <w:tcW w:w="21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20" w:type="dxa"/>
            <w:vAlign w:val="bottom"/>
          </w:tcPr>
          <w:p>
            <w:pPr>
              <w:spacing w:after="0"/>
              <w:rPr>
                <w:sz w:val="24"/>
                <w:szCs w:val="24"/>
                <w:color w:val="auto"/>
              </w:rPr>
            </w:pPr>
          </w:p>
        </w:tc>
        <w:tc>
          <w:tcPr>
            <w:tcW w:w="4580" w:type="dxa"/>
            <w:vAlign w:val="bottom"/>
            <w:gridSpan w:val="10"/>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4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rPr>
              <w:t>Executive Chair Agreement, effective January 1, 2022, by and between Solid Biosciences Inc. and Ian F. Smith, as amended by the</w:t>
            </w:r>
          </w:p>
        </w:tc>
        <w:tc>
          <w:tcPr>
            <w:tcW w:w="28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28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Executive Chair Agreement, effective September 30, 2022, and Second Amendment to the Executive Chair</w:t>
            </w:r>
          </w:p>
        </w:tc>
        <w:tc>
          <w:tcPr>
            <w:tcW w:w="48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27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Agreement, effective January 1, 2024</w:t>
            </w:r>
          </w:p>
        </w:tc>
        <w:tc>
          <w:tcPr>
            <w:tcW w:w="20" w:type="dxa"/>
            <w:vAlign w:val="bottom"/>
            <w:tcBorders>
              <w:bottom w:val="single" w:sz="8" w:color="0000EE"/>
            </w:tcBorders>
          </w:tcPr>
          <w:p>
            <w:pPr>
              <w:spacing w:after="0"/>
              <w:rPr>
                <w:sz w:val="17"/>
                <w:szCs w:val="17"/>
                <w:color w:val="auto"/>
              </w:rPr>
            </w:pPr>
          </w:p>
        </w:tc>
        <w:tc>
          <w:tcPr>
            <w:tcW w:w="7020" w:type="dxa"/>
            <w:vAlign w:val="bottom"/>
            <w:gridSpan w:val="32"/>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7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Amended and Restated 2020 Equity Incentive Plan (incorporated by reference to Exhibit 99.1 to the Current Report on Form 8-K filed</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on December 1, 2022).</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4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Form of Stock Option Agreement under the 2020 Equity Incentive Plan (incorporated by reference to Exhibit 10.4 to the Quarterly</w:t>
              </w:r>
            </w:hyperlink>
          </w:p>
        </w:tc>
        <w:tc>
          <w:tcPr>
            <w:tcW w:w="300" w:type="dxa"/>
            <w:vAlign w:val="bottom"/>
            <w:gridSpan w:val="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Report on Form 10-Q filed on August 6,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4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Restricted Stock Unit Agreement under the 2020 Equity Incentive Plan (incorporated by reference to Exhibit 10.28 to the</w:t>
              </w:r>
            </w:hyperlink>
          </w:p>
        </w:tc>
        <w:tc>
          <w:tcPr>
            <w:tcW w:w="34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Annual Report on Form 10-K filed on March 14, 2022).</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5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Collaboration and License Agreement, dated as of October 22, 2020, by and between the Company and Ultragenyx Pharmaceutical</w:t>
              </w:r>
            </w:hyperlink>
          </w:p>
        </w:tc>
        <w:tc>
          <w:tcPr>
            <w:tcW w:w="2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 (incorporated by reference to Exhibit 10.1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0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Stock Purchase Agreement, dated as of October 22, 2020, by and between the Company and Ultragenyx Pharmaceutical Inc.</w:t>
              </w:r>
            </w:hyperlink>
          </w:p>
        </w:tc>
        <w:tc>
          <w:tcPr>
            <w:tcW w:w="720" w:type="dxa"/>
            <w:vAlign w:val="bottom"/>
            <w:gridSpan w:val="1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(incorporated by reference to Exhibit 10.2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7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Investor Agreement, dated as of October 22, 2020, by and between the Company and Ultragenyx Pharmaceutical Inc. (incorporated by</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reference to Exhibit 10.3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5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First Amendment, dated as of October 9, 2020, to the Exclusive Patent License by and between the Company and the University of</w:t>
              </w:r>
            </w:hyperlink>
          </w:p>
        </w:tc>
        <w:tc>
          <w:tcPr>
            <w:tcW w:w="26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Washington (incorporated by reference to Exhibit 10.4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96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Securities Purchase Agreement, dated December 10, 2020, by and among the Company and the other parties thereto (incorporated by</w:t>
              </w:r>
            </w:hyperlink>
          </w:p>
        </w:tc>
        <w:tc>
          <w:tcPr>
            <w:tcW w:w="10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reference to Exhibit 10.1 to the Current Report on Form 8-K filed on December 11, 2020).</w:t>
              </w:r>
            </w:hyperlink>
          </w:p>
        </w:tc>
        <w:tc>
          <w:tcPr>
            <w:tcW w:w="20" w:type="dxa"/>
            <w:vAlign w:val="bottom"/>
            <w:tcBorders>
              <w:bottom w:val="single" w:sz="8" w:color="0000EE"/>
            </w:tcBorders>
          </w:tcPr>
          <w:p>
            <w:pPr>
              <w:spacing w:after="0"/>
              <w:rPr>
                <w:sz w:val="17"/>
                <w:szCs w:val="17"/>
                <w:color w:val="auto"/>
              </w:rPr>
            </w:pPr>
          </w:p>
        </w:tc>
        <w:tc>
          <w:tcPr>
            <w:tcW w:w="3220" w:type="dxa"/>
            <w:vAlign w:val="bottom"/>
            <w:gridSpan w:val="23"/>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96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Registration Rights Agreement, dated December 10, 2020, by and among the Company and the other parties thereto (incorporated by</w:t>
              </w:r>
            </w:hyperlink>
          </w:p>
        </w:tc>
        <w:tc>
          <w:tcPr>
            <w:tcW w:w="12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5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reference to Exhibit 10.2 to the Current Report on Form 8-K filed on December 11, 2020).</w:t>
              </w:r>
            </w:hyperlink>
          </w:p>
        </w:tc>
        <w:tc>
          <w:tcPr>
            <w:tcW w:w="20" w:type="dxa"/>
            <w:vAlign w:val="bottom"/>
            <w:tcBorders>
              <w:bottom w:val="single" w:sz="8" w:color="0000EE"/>
            </w:tcBorders>
          </w:tcPr>
          <w:p>
            <w:pPr>
              <w:spacing w:after="0"/>
              <w:rPr>
                <w:sz w:val="17"/>
                <w:szCs w:val="17"/>
                <w:color w:val="auto"/>
              </w:rPr>
            </w:pPr>
          </w:p>
        </w:tc>
        <w:tc>
          <w:tcPr>
            <w:tcW w:w="3220" w:type="dxa"/>
            <w:vAlign w:val="bottom"/>
            <w:gridSpan w:val="23"/>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97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First Amendment, dated as of January 27, 2021, to the Exclusive Patent License by and between the Company and the Curators of the</w:t>
              </w:r>
            </w:hyperlink>
          </w:p>
        </w:tc>
        <w:tc>
          <w:tcPr>
            <w:tcW w:w="6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3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University of Missouri (incorporated by reference to Exhibit 10.36 to the Annual Report on Form 10-K filed on March 14, 2021).</w:t>
              </w:r>
            </w:hyperlink>
          </w:p>
        </w:tc>
        <w:tc>
          <w:tcPr>
            <w:tcW w:w="420" w:type="dxa"/>
            <w:vAlign w:val="bottom"/>
            <w:gridSpan w:val="11"/>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93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Lease, dated June 15, 2021, between Solid Biosciences Inc. and Hood Park LLC (incorporated by reference to Exhibit 10.1 to the</w:t>
              </w:r>
            </w:hyperlink>
          </w:p>
        </w:tc>
        <w:tc>
          <w:tcPr>
            <w:tcW w:w="3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42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Quarterly Report on Form 10-Q filed on August 16, 2021).</w:t>
              </w:r>
            </w:hyperlink>
          </w:p>
        </w:tc>
        <w:tc>
          <w:tcPr>
            <w:tcW w:w="20" w:type="dxa"/>
            <w:vAlign w:val="bottom"/>
            <w:tcBorders>
              <w:bottom w:val="single" w:sz="8" w:color="0000EE"/>
            </w:tcBorders>
          </w:tcPr>
          <w:p>
            <w:pPr>
              <w:spacing w:after="0"/>
              <w:rPr>
                <w:sz w:val="17"/>
                <w:szCs w:val="17"/>
                <w:color w:val="auto"/>
              </w:rPr>
            </w:pPr>
          </w:p>
        </w:tc>
        <w:tc>
          <w:tcPr>
            <w:tcW w:w="5480" w:type="dxa"/>
            <w:vAlign w:val="bottom"/>
            <w:gridSpan w:val="26"/>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97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Amended and Restated 2021 Employee Stock Purchase Plan</w:t>
            </w:r>
            <w:r>
              <w:rPr>
                <w:rFonts w:ascii="Times New Roman" w:cs="Times New Roman" w:eastAsia="Times New Roman" w:hAnsi="Times New Roman"/>
                <w:sz w:val="18"/>
                <w:szCs w:val="18"/>
                <w:color w:val="000000"/>
              </w:rPr>
              <w:t>.</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58"/>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93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Form of Nonstatutory Inducement Stock Option Agreement (incorporated by reference to Exhibit 10.4 to the Quarterly Report on</w:t>
              </w:r>
            </w:hyperlink>
          </w:p>
        </w:tc>
        <w:tc>
          <w:tcPr>
            <w:tcW w:w="3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27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Form 10-Q filed on August 16, 2021).</w:t>
              </w:r>
            </w:hyperlink>
          </w:p>
        </w:tc>
        <w:tc>
          <w:tcPr>
            <w:tcW w:w="7000" w:type="dxa"/>
            <w:vAlign w:val="bottom"/>
            <w:gridSpan w:val="31"/>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97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Inducement Restricted Stock Unit Award Agreement (incorporated by reference to Exhibit 99.5 to the Registration Statement</w:t>
              </w:r>
            </w:hyperlink>
          </w:p>
        </w:tc>
        <w:tc>
          <w:tcPr>
            <w:tcW w:w="6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on Form S-8 filed on August 16, 2021).</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97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Amended and Restated Sales Agreement, dated March 13, 2024, by and between the Company and Jefferies LLC.</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2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58"/>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9760" w:type="dxa"/>
            <w:vAlign w:val="bottom"/>
            <w:gridSpan w:val="39"/>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Parent Support Agreement (incorporated by reference to Exhibit 10.1 to the Current Report on Form 8-K filed on September</w:t>
              </w:r>
            </w:hyperlink>
          </w:p>
        </w:tc>
      </w:tr>
      <w:tr>
        <w:trPr>
          <w:trHeight w:val="196"/>
        </w:trPr>
        <w:tc>
          <w:tcPr>
            <w:tcW w:w="148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10">
              <w:r>
                <w:rPr>
                  <w:rFonts w:ascii="Times New Roman" w:cs="Times New Roman" w:eastAsia="Times New Roman" w:hAnsi="Times New Roman"/>
                  <w:sz w:val="18"/>
                  <w:szCs w:val="18"/>
                  <w:color w:val="0000FF"/>
                  <w:w w:val="97"/>
                </w:rPr>
                <w:t>30,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92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Support and Joinder Agreement (incorporated by reference to Exhibit 10.2 to the Current Report on Form 8-K filed on</w:t>
              </w:r>
            </w:hyperlink>
          </w:p>
        </w:tc>
        <w:tc>
          <w:tcPr>
            <w:tcW w:w="54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September 30, 2022).</w:t>
              </w:r>
            </w:hyperlink>
          </w:p>
        </w:tc>
        <w:tc>
          <w:tcPr>
            <w:tcW w:w="20" w:type="dxa"/>
            <w:vAlign w:val="bottom"/>
            <w:tcBorders>
              <w:bottom w:val="single" w:sz="8" w:color="0000EE"/>
            </w:tcBorders>
          </w:tcPr>
          <w:p>
            <w:pPr>
              <w:spacing w:after="0"/>
              <w:rPr>
                <w:sz w:val="17"/>
                <w:szCs w:val="17"/>
                <w:color w:val="auto"/>
              </w:rPr>
            </w:pPr>
          </w:p>
        </w:tc>
        <w:tc>
          <w:tcPr>
            <w:tcW w:w="8180" w:type="dxa"/>
            <w:vAlign w:val="bottom"/>
            <w:gridSpan w:val="35"/>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10.33</w:t>
            </w:r>
          </w:p>
        </w:tc>
        <w:tc>
          <w:tcPr>
            <w:tcW w:w="91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Securities Purchase Agreement, dated September 29, 2022, by and among Solid Biosciences Inc. and the persons party thereto</w:t>
              </w:r>
            </w:hyperlink>
          </w:p>
        </w:tc>
        <w:tc>
          <w:tcPr>
            <w:tcW w:w="60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8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(incorporated by reference to Exhibit 10.3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20"/>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10.34</w:t>
            </w:r>
          </w:p>
        </w:tc>
        <w:tc>
          <w:tcPr>
            <w:tcW w:w="91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Registration Rights Agreement, dated September 29, 2022, by and among Solid Biosciences Inc. and the persons party thereto</w:t>
              </w:r>
            </w:hyperlink>
          </w:p>
        </w:tc>
        <w:tc>
          <w:tcPr>
            <w:tcW w:w="62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to Exhibit 10.4 to the Current Report on Form 8-K filed on September 30, 2022).</w:t>
              </w:r>
            </w:hyperlink>
          </w:p>
        </w:tc>
      </w:tr>
      <w:tr>
        <w:trPr>
          <w:trHeight w:val="574"/>
        </w:trPr>
        <w:tc>
          <w:tcPr>
            <w:tcW w:w="1480" w:type="dxa"/>
            <w:vAlign w:val="bottom"/>
          </w:tcPr>
          <w:p>
            <w:pPr>
              <w:spacing w:after="0"/>
              <w:rPr>
                <w:sz w:val="24"/>
                <w:szCs w:val="24"/>
                <w:color w:val="auto"/>
              </w:rPr>
            </w:pPr>
          </w:p>
        </w:tc>
        <w:tc>
          <w:tcPr>
            <w:tcW w:w="4380" w:type="dxa"/>
            <w:vAlign w:val="bottom"/>
            <w:tcBorders>
              <w:top w:val="single" w:sz="8" w:color="0000FF"/>
            </w:tcBorders>
            <w:gridSpan w:val="14"/>
          </w:tcPr>
          <w:p>
            <w:pPr>
              <w:ind w:left="4020"/>
              <w:spacing w:after="0"/>
              <w:rPr>
                <w:sz w:val="20"/>
                <w:szCs w:val="20"/>
                <w:color w:val="auto"/>
              </w:rPr>
            </w:pPr>
            <w:r>
              <w:rPr>
                <w:rFonts w:ascii="Times New Roman" w:cs="Times New Roman" w:eastAsia="Times New Roman" w:hAnsi="Times New Roman"/>
                <w:sz w:val="18"/>
                <w:szCs w:val="18"/>
                <w:color w:val="auto"/>
              </w:rPr>
              <w:t>110</w:t>
            </w:r>
          </w:p>
        </w:tc>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10.35†</w:t>
            </w:r>
          </w:p>
        </w:tc>
        <w:tc>
          <w:tcPr>
            <w:tcW w:w="95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Employment Agreement, dated September 29, 2022, by and between Solid Biosciences Inc. and Alexander Cumbo (incorporated by</w:t>
              </w:r>
            </w:hyperlink>
          </w:p>
        </w:tc>
        <w:tc>
          <w:tcPr>
            <w:tcW w:w="18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65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reference to Exhibit 10.5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3180" w:type="dxa"/>
            <w:vAlign w:val="bottom"/>
            <w:gridSpan w:val="28"/>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10.36†</w:t>
            </w:r>
          </w:p>
        </w:tc>
        <w:tc>
          <w:tcPr>
            <w:tcW w:w="94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Executive Transition and Separation Agreement, dated September 29, 2022, by and between Solid Biosciences Inc. and Ilan Ganot</w:t>
              </w:r>
            </w:hyperlink>
          </w:p>
        </w:tc>
        <w:tc>
          <w:tcPr>
            <w:tcW w:w="30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8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(incorporated by reference to Exhibit 10.6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19"/>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10.37†</w:t>
            </w:r>
          </w:p>
        </w:tc>
        <w:tc>
          <w:tcPr>
            <w:tcW w:w="97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Consulting Agreement, dated September 29, 2022, by and between Solid Biosciences Inc. and Ilan Ganot (incorporated by reference to</w:t>
              </w:r>
            </w:hyperlink>
          </w:p>
        </w:tc>
      </w:tr>
      <w:tr>
        <w:trPr>
          <w:trHeight w:val="196"/>
        </w:trPr>
        <w:tc>
          <w:tcPr>
            <w:tcW w:w="1480" w:type="dxa"/>
            <w:vAlign w:val="bottom"/>
          </w:tcPr>
          <w:p>
            <w:pPr>
              <w:spacing w:after="0"/>
              <w:rPr>
                <w:sz w:val="17"/>
                <w:szCs w:val="17"/>
                <w:color w:val="auto"/>
              </w:rPr>
            </w:pPr>
          </w:p>
        </w:tc>
        <w:tc>
          <w:tcPr>
            <w:tcW w:w="5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Exhibit 10.7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33"/>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10.38†</w:t>
            </w:r>
          </w:p>
        </w:tc>
        <w:tc>
          <w:tcPr>
            <w:tcW w:w="95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Executive Transition and Separation Agreement, dated September 29, 2022, by and between Solid Biosciences Inc. and Erin Powers</w:t>
              </w:r>
            </w:hyperlink>
          </w:p>
        </w:tc>
        <w:tc>
          <w:tcPr>
            <w:tcW w:w="18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0"/>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Brennan (incorporated by reference to Exhibit 10.8 to the Current Report on Form 8-K filed on September 30, 2022).</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10.39†</w:t>
            </w:r>
          </w:p>
        </w:tc>
        <w:tc>
          <w:tcPr>
            <w:tcW w:w="966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Consulting Agreement, dated September 29, 2022, by and between Solid Biosciences Inc. and Erin Powers Brennan (incorporated by</w:t>
              </w:r>
            </w:hyperlink>
          </w:p>
        </w:tc>
        <w:tc>
          <w:tcPr>
            <w:tcW w:w="10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5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reference to Exhibit 10.9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3180" w:type="dxa"/>
            <w:vAlign w:val="bottom"/>
            <w:gridSpan w:val="28"/>
          </w:tcPr>
          <w:p>
            <w:pPr>
              <w:spacing w:after="0"/>
              <w:rPr>
                <w:sz w:val="17"/>
                <w:szCs w:val="17"/>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10.40</w:t>
            </w:r>
          </w:p>
        </w:tc>
        <w:tc>
          <w:tcPr>
            <w:tcW w:w="974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Employment Agreement, dated September 29, 2022, by and between Solid Biosciences Inc. and David Tyronne Howton (incorporated</w:t>
              </w:r>
            </w:hyperlink>
          </w:p>
        </w:tc>
        <w:tc>
          <w:tcPr>
            <w:tcW w:w="2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by reference to Exhibit 10.2 to the Quarterly Report on Form 10-Q filed on May 11, 2023).</w:t>
              </w:r>
            </w:hyperlink>
          </w:p>
        </w:tc>
        <w:tc>
          <w:tcPr>
            <w:tcW w:w="3140" w:type="dxa"/>
            <w:vAlign w:val="bottom"/>
            <w:gridSpan w:val="27"/>
          </w:tcPr>
          <w:p>
            <w:pPr>
              <w:spacing w:after="0"/>
              <w:rPr>
                <w:sz w:val="17"/>
                <w:szCs w:val="17"/>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89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Executive Transition and Separation Agreement, dated as of May 22, 2023, between Solid Biosciences Inc. and Carl Morris</w:t>
              </w:r>
            </w:hyperlink>
          </w:p>
        </w:tc>
        <w:tc>
          <w:tcPr>
            <w:tcW w:w="800" w:type="dxa"/>
            <w:vAlign w:val="bottom"/>
            <w:gridSpan w:val="17"/>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77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22">
              <w:r>
                <w:rPr>
                  <w:rFonts w:ascii="Times New Roman" w:cs="Times New Roman" w:eastAsia="Times New Roman" w:hAnsi="Times New Roman"/>
                  <w:sz w:val="18"/>
                  <w:szCs w:val="18"/>
                  <w:color w:val="0000FF"/>
                  <w:w w:val="99"/>
                </w:rPr>
                <w:t>(incorporated by reference to Exhibit 10.1 to the Quarterly Report on Form 10-Q filed on August 14, 2023).</w:t>
              </w:r>
            </w:hyperlink>
          </w:p>
        </w:tc>
        <w:tc>
          <w:tcPr>
            <w:tcW w:w="20" w:type="dxa"/>
            <w:vAlign w:val="bottom"/>
            <w:tcBorders>
              <w:bottom w:val="single" w:sz="8" w:color="0000EE"/>
            </w:tcBorders>
          </w:tcPr>
          <w:p>
            <w:pPr>
              <w:spacing w:after="0"/>
              <w:rPr>
                <w:sz w:val="17"/>
                <w:szCs w:val="17"/>
                <w:color w:val="auto"/>
              </w:rPr>
            </w:pPr>
          </w:p>
        </w:tc>
        <w:tc>
          <w:tcPr>
            <w:tcW w:w="1960" w:type="dxa"/>
            <w:vAlign w:val="bottom"/>
            <w:gridSpan w:val="20"/>
          </w:tcPr>
          <w:p>
            <w:pPr>
              <w:spacing w:after="0"/>
              <w:rPr>
                <w:sz w:val="17"/>
                <w:szCs w:val="17"/>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10.42</w:t>
            </w:r>
          </w:p>
        </w:tc>
        <w:tc>
          <w:tcPr>
            <w:tcW w:w="9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Consulting Agreement dated as of July 14, 2023, between Solid Biosciences Inc. and PHDL Consulting LLC (incorporated by</w:t>
              </w:r>
            </w:hyperlink>
          </w:p>
        </w:tc>
        <w:tc>
          <w:tcPr>
            <w:tcW w:w="620" w:type="dxa"/>
            <w:vAlign w:val="bottom"/>
            <w:gridSpan w:val="14"/>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0"/>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reference to Exhibit 10.2 to the Quarterly Report on Form 10-Q filed on August 14, 2023)</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10.43</w:t>
            </w:r>
          </w:p>
        </w:tc>
        <w:tc>
          <w:tcPr>
            <w:tcW w:w="976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Employment Agreement, dated October 2, 2023, by and between Solid Biosciences Inc. and Gabriel Brooks (incorporated by reference</w:t>
              </w:r>
            </w:hyperlink>
          </w:p>
        </w:tc>
      </w:tr>
      <w:tr>
        <w:trPr>
          <w:trHeight w:val="196"/>
        </w:trPr>
        <w:tc>
          <w:tcPr>
            <w:tcW w:w="1480" w:type="dxa"/>
            <w:vAlign w:val="bottom"/>
          </w:tcPr>
          <w:p>
            <w:pPr>
              <w:spacing w:after="0"/>
              <w:rPr>
                <w:sz w:val="17"/>
                <w:szCs w:val="17"/>
                <w:color w:val="auto"/>
              </w:rPr>
            </w:pPr>
          </w:p>
        </w:tc>
        <w:tc>
          <w:tcPr>
            <w:tcW w:w="9760" w:type="dxa"/>
            <w:vAlign w:val="bottom"/>
            <w:gridSpan w:val="40"/>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to Exhibit 10.1 to the Quarterly Report on Form 10-Q filed on November, 8 2023).</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10.44#</w:t>
            </w:r>
          </w:p>
        </w:tc>
        <w:tc>
          <w:tcPr>
            <w:tcW w:w="93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Standard Exclusive License Agreement With Know-How (Agreement No. A19110), dated as of March 17, 2020, by and between</w:t>
              </w:r>
            </w:hyperlink>
          </w:p>
        </w:tc>
        <w:tc>
          <w:tcPr>
            <w:tcW w:w="3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3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AavantiBio, Inc. and University of Florida Research Foundation, Incorporated, as amended on August 23, 2022 (incorporated by</w:t>
              </w:r>
            </w:hyperlink>
          </w:p>
        </w:tc>
        <w:tc>
          <w:tcPr>
            <w:tcW w:w="420" w:type="dxa"/>
            <w:vAlign w:val="bottom"/>
            <w:gridSpan w:val="12"/>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0"/>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reference to Exhibit 10.42 to the Annual Report on Form 10-K filed as on March 23, 2023).</w:t>
              </w:r>
            </w:hyperlink>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tcBorders>
              <w:right w:val="single" w:sz="8" w:color="0000EE"/>
            </w:tcBorders>
            <w:gridSpan w:val="5"/>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10.45#</w:t>
            </w:r>
          </w:p>
        </w:tc>
        <w:tc>
          <w:tcPr>
            <w:tcW w:w="93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Standard Exclusive License Agreement With Know-How (Agreement No. A19111), dated as of March 17, 2020, by and between</w:t>
              </w:r>
            </w:hyperlink>
          </w:p>
        </w:tc>
        <w:tc>
          <w:tcPr>
            <w:tcW w:w="40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4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AavantiBio, Inc. and University of Florida Research Foundation, Incorporated, as amended on May 25, 2021 and August 23, 2022</w:t>
              </w:r>
            </w:hyperlink>
          </w:p>
        </w:tc>
        <w:tc>
          <w:tcPr>
            <w:tcW w:w="320" w:type="dxa"/>
            <w:vAlign w:val="bottom"/>
            <w:gridSpan w:val="7"/>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26">
              <w:r>
                <w:rPr>
                  <w:rFonts w:ascii="Times New Roman" w:cs="Times New Roman" w:eastAsia="Times New Roman" w:hAnsi="Times New Roman"/>
                  <w:sz w:val="18"/>
                  <w:szCs w:val="18"/>
                  <w:color w:val="0000FF"/>
                  <w:w w:val="99"/>
                </w:rPr>
                <w:t>(incorporated by reference to Exhibit 10.43 to the Annual Report on Form 10-K filed on March 23,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22"/>
          </w:tcPr>
          <w:p>
            <w:pPr>
              <w:spacing w:after="0"/>
              <w:rPr>
                <w:sz w:val="17"/>
                <w:szCs w:val="17"/>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10.46</w:t>
            </w:r>
          </w:p>
        </w:tc>
        <w:tc>
          <w:tcPr>
            <w:tcW w:w="9760" w:type="dxa"/>
            <w:vAlign w:val="bottom"/>
            <w:gridSpan w:val="40"/>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on Pre-Funded Warrant (incorporated by reference to Exhibit 4.1 to the Current Report on Form 8-K filed on January 8, 2024).</w:t>
              </w:r>
            </w:hyperlink>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10.47</w:t>
            </w:r>
          </w:p>
        </w:tc>
        <w:tc>
          <w:tcPr>
            <w:tcW w:w="9420" w:type="dxa"/>
            <w:vAlign w:val="bottom"/>
            <w:tcBorders>
              <w:top w:val="single" w:sz="8" w:color="0000FF"/>
              <w:bottom w:val="single" w:sz="8" w:color="0000FF"/>
            </w:tcBorders>
            <w:gridSpan w:val="32"/>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Securities Purchase Agreement, dated January 8, 2024, by and among Solid Biosciences Inc. and the other parties thereto</w:t>
              </w:r>
            </w:hyperlink>
          </w:p>
        </w:tc>
        <w:tc>
          <w:tcPr>
            <w:tcW w:w="140" w:type="dxa"/>
            <w:vAlign w:val="bottom"/>
            <w:tcBorders>
              <w:top w:val="single" w:sz="8" w:color="0000FF"/>
            </w:tcBorders>
            <w:gridSpan w:val="4"/>
          </w:tcPr>
          <w:p>
            <w:pPr>
              <w:spacing w:after="0"/>
              <w:rPr>
                <w:sz w:val="19"/>
                <w:szCs w:val="19"/>
                <w:color w:val="auto"/>
              </w:rPr>
            </w:pPr>
          </w:p>
        </w:tc>
        <w:tc>
          <w:tcPr>
            <w:tcW w:w="200" w:type="dxa"/>
            <w:vAlign w:val="bottom"/>
            <w:gridSpan w:val="4"/>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75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(incorporated by reference to Exhibit 10.1 to the Current Report on Form 8-K filed on January 8, 2024).</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24"/>
          </w:tcPr>
          <w:p>
            <w:pPr>
              <w:spacing w:after="0"/>
              <w:rPr>
                <w:sz w:val="17"/>
                <w:szCs w:val="17"/>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10.48</w:t>
            </w:r>
          </w:p>
        </w:tc>
        <w:tc>
          <w:tcPr>
            <w:tcW w:w="94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Registration Rights Agreement, dated January 8, 2024, by and among Solid Biosciences Inc. and the other parties thereto</w:t>
              </w:r>
            </w:hyperlink>
          </w:p>
        </w:tc>
        <w:tc>
          <w:tcPr>
            <w:tcW w:w="360" w:type="dxa"/>
            <w:vAlign w:val="bottom"/>
            <w:gridSpan w:val="9"/>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75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29">
              <w:r>
                <w:rPr>
                  <w:rFonts w:ascii="Times New Roman" w:cs="Times New Roman" w:eastAsia="Times New Roman" w:hAnsi="Times New Roman"/>
                  <w:sz w:val="18"/>
                  <w:szCs w:val="18"/>
                  <w:color w:val="0000FF"/>
                  <w:w w:val="99"/>
                </w:rPr>
                <w:t>(incorporated by reference to Exhibit 10.2 to the Current Report on Form 8-K filed on January 8, 2024).</w:t>
              </w:r>
            </w:hyperlink>
          </w:p>
        </w:tc>
        <w:tc>
          <w:tcPr>
            <w:tcW w:w="2260" w:type="dxa"/>
            <w:vAlign w:val="bottom"/>
            <w:gridSpan w:val="25"/>
          </w:tcPr>
          <w:p>
            <w:pPr>
              <w:spacing w:after="0"/>
              <w:rPr>
                <w:sz w:val="17"/>
                <w:szCs w:val="17"/>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10.49*†</w:t>
            </w:r>
          </w:p>
        </w:tc>
        <w:tc>
          <w:tcPr>
            <w:tcW w:w="976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2024 Inducement Stock Incentive Plan.</w:t>
            </w: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10.50*†</w:t>
            </w:r>
          </w:p>
        </w:tc>
        <w:tc>
          <w:tcPr>
            <w:tcW w:w="976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Form of Non-Statutory Stock Option Agreement under the 2024 Inducement Stock Incentive Plan.</w:t>
            </w: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10.51*†</w:t>
            </w:r>
          </w:p>
        </w:tc>
        <w:tc>
          <w:tcPr>
            <w:tcW w:w="71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the 2024 Inducement Stock Incentive Plan.</w:t>
            </w:r>
          </w:p>
        </w:tc>
        <w:tc>
          <w:tcPr>
            <w:tcW w:w="2660" w:type="dxa"/>
            <w:vAlign w:val="bottom"/>
            <w:gridSpan w:val="26"/>
          </w:tcPr>
          <w:p>
            <w:pPr>
              <w:spacing w:after="0"/>
              <w:rPr>
                <w:sz w:val="19"/>
                <w:szCs w:val="19"/>
                <w:color w:val="auto"/>
              </w:rPr>
            </w:pPr>
          </w:p>
        </w:tc>
      </w:tr>
      <w:tr>
        <w:trPr>
          <w:trHeight w:val="223"/>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10.52*†</w:t>
            </w:r>
          </w:p>
        </w:tc>
        <w:tc>
          <w:tcPr>
            <w:tcW w:w="66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under the 2020 Equity Incentive Plan.</w:t>
            </w:r>
          </w:p>
        </w:tc>
        <w:tc>
          <w:tcPr>
            <w:tcW w:w="3140" w:type="dxa"/>
            <w:vAlign w:val="bottom"/>
            <w:gridSpan w:val="27"/>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960" w:type="dxa"/>
            <w:vAlign w:val="bottom"/>
            <w:tcBorders>
              <w:right w:val="single" w:sz="8" w:color="0000EE"/>
            </w:tcBorders>
            <w:gridSpan w:val="3"/>
            <w:shd w:val="clear" w:color="auto" w:fill="0000FF"/>
          </w:tcPr>
          <w:p>
            <w:pPr>
              <w:spacing w:after="0" w:line="20" w:lineRule="exact"/>
              <w:rPr>
                <w:sz w:val="1"/>
                <w:szCs w:val="1"/>
                <w:color w:val="auto"/>
              </w:rPr>
            </w:pPr>
          </w:p>
        </w:tc>
        <w:tc>
          <w:tcPr>
            <w:tcW w:w="32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10.53*##</w:t>
            </w:r>
          </w:p>
        </w:tc>
        <w:tc>
          <w:tcPr>
            <w:tcW w:w="976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w w:val="99"/>
              </w:rPr>
              <w:t>Patent License Agreement, dated as of March 10, 2016, by and between Solid GT, LLC and the Regents of the University of Michigan.</w:t>
            </w: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10.54*##</w:t>
            </w:r>
          </w:p>
        </w:tc>
        <w:tc>
          <w:tcPr>
            <w:tcW w:w="9500" w:type="dxa"/>
            <w:vAlign w:val="bottom"/>
            <w:tcBorders>
              <w:top w:val="single" w:sz="8" w:color="0000FF"/>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Life Technologies Cell Line License Agreement, dated as of November 20, 2016, by and between Solid Biosciences, LLC and Life</w:t>
            </w:r>
          </w:p>
        </w:tc>
        <w:tc>
          <w:tcPr>
            <w:tcW w:w="240" w:type="dxa"/>
            <w:vAlign w:val="bottom"/>
            <w:tcBorders>
              <w:top w:val="single" w:sz="8" w:color="0000FF"/>
            </w:tcBorders>
            <w:gridSpan w:val="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FF"/>
              </w:rPr>
              <w:t>Technologies Corporation.</w:t>
            </w:r>
          </w:p>
        </w:tc>
      </w:tr>
      <w:tr>
        <w:trPr>
          <w:trHeight w:val="20"/>
        </w:trPr>
        <w:tc>
          <w:tcPr>
            <w:tcW w:w="1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4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10.55*##</w:t>
            </w:r>
          </w:p>
        </w:tc>
        <w:tc>
          <w:tcPr>
            <w:tcW w:w="91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License Agreement, dated as of June 23, 2016, by and between Solid GT, LLC and President and Fellows of Harvard College.</w:t>
            </w:r>
          </w:p>
        </w:tc>
        <w:tc>
          <w:tcPr>
            <w:tcW w:w="20" w:type="dxa"/>
            <w:vAlign w:val="bottom"/>
            <w:tcBorders>
              <w:bottom w:val="single" w:sz="8" w:color="0000EE"/>
            </w:tcBorders>
          </w:tcPr>
          <w:p>
            <w:pPr>
              <w:spacing w:after="0"/>
              <w:rPr>
                <w:sz w:val="24"/>
                <w:szCs w:val="24"/>
                <w:color w:val="auto"/>
              </w:rPr>
            </w:pPr>
          </w:p>
        </w:tc>
        <w:tc>
          <w:tcPr>
            <w:tcW w:w="640" w:type="dxa"/>
            <w:vAlign w:val="bottom"/>
            <w:gridSpan w:val="15"/>
          </w:tcPr>
          <w:p>
            <w:pPr>
              <w:spacing w:after="0"/>
              <w:rPr>
                <w:sz w:val="24"/>
                <w:szCs w:val="24"/>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10.56*##</w:t>
            </w:r>
          </w:p>
        </w:tc>
        <w:tc>
          <w:tcPr>
            <w:tcW w:w="92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License Agreement, dated as of August 3, 2017, by and between Solid Biosciences, LLC and President and Fellows of Harvard</w:t>
            </w:r>
          </w:p>
        </w:tc>
        <w:tc>
          <w:tcPr>
            <w:tcW w:w="54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College.</w:t>
            </w:r>
          </w:p>
        </w:tc>
        <w:tc>
          <w:tcPr>
            <w:tcW w:w="20" w:type="dxa"/>
            <w:vAlign w:val="bottom"/>
            <w:tcBorders>
              <w:bottom w:val="single" w:sz="8" w:color="0000EE"/>
            </w:tcBorders>
          </w:tcPr>
          <w:p>
            <w:pPr>
              <w:spacing w:after="0"/>
              <w:rPr>
                <w:sz w:val="17"/>
                <w:szCs w:val="17"/>
                <w:color w:val="auto"/>
              </w:rPr>
            </w:pPr>
          </w:p>
        </w:tc>
        <w:tc>
          <w:tcPr>
            <w:tcW w:w="9120" w:type="dxa"/>
            <w:vAlign w:val="bottom"/>
            <w:gridSpan w:val="38"/>
          </w:tcPr>
          <w:p>
            <w:pPr>
              <w:spacing w:after="0"/>
              <w:rPr>
                <w:sz w:val="17"/>
                <w:szCs w:val="17"/>
                <w:color w:val="auto"/>
              </w:rPr>
            </w:pPr>
          </w:p>
        </w:tc>
      </w:tr>
      <w:tr>
        <w:trPr>
          <w:trHeight w:val="331"/>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2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Subsidiaries of Solid Biosciences Inc.</w:t>
            </w:r>
          </w:p>
        </w:tc>
        <w:tc>
          <w:tcPr>
            <w:tcW w:w="120" w:type="dxa"/>
            <w:vAlign w:val="bottom"/>
            <w:tcBorders>
              <w:bottom w:val="single" w:sz="8" w:color="0000EE"/>
            </w:tcBorders>
          </w:tcPr>
          <w:p>
            <w:pPr>
              <w:spacing w:after="0"/>
              <w:rPr>
                <w:sz w:val="24"/>
                <w:szCs w:val="24"/>
                <w:color w:val="auto"/>
              </w:rPr>
            </w:pPr>
          </w:p>
        </w:tc>
        <w:tc>
          <w:tcPr>
            <w:tcW w:w="6900" w:type="dxa"/>
            <w:vAlign w:val="bottom"/>
            <w:gridSpan w:val="35"/>
          </w:tcPr>
          <w:p>
            <w:pPr>
              <w:spacing w:after="0"/>
              <w:rPr>
                <w:sz w:val="24"/>
                <w:szCs w:val="24"/>
                <w:color w:val="auto"/>
              </w:rPr>
            </w:pPr>
          </w:p>
        </w:tc>
      </w:tr>
      <w:tr>
        <w:trPr>
          <w:trHeight w:val="601"/>
        </w:trPr>
        <w:tc>
          <w:tcPr>
            <w:tcW w:w="1480" w:type="dxa"/>
            <w:vAlign w:val="bottom"/>
          </w:tcPr>
          <w:p>
            <w:pPr>
              <w:spacing w:after="0"/>
              <w:rPr>
                <w:sz w:val="24"/>
                <w:szCs w:val="24"/>
                <w:color w:val="auto"/>
              </w:rPr>
            </w:pPr>
          </w:p>
        </w:tc>
        <w:tc>
          <w:tcPr>
            <w:tcW w:w="5660" w:type="dxa"/>
            <w:vAlign w:val="bottom"/>
            <w:gridSpan w:val="6"/>
          </w:tcPr>
          <w:p>
            <w:pPr>
              <w:ind w:left="4020"/>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7" w:name="page118"/>
    <w:bookmarkEnd w:id="117"/>
    <w:tbl>
      <w:tblPr>
        <w:tblLayout w:type="fixed"/>
        <w:tblInd w:w="1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3140" w:type="dxa"/>
            <w:vAlign w:val="bottom"/>
            <w:gridSpan w:val="4"/>
          </w:tcPr>
          <w:p>
            <w:pPr>
              <w:spacing w:after="0"/>
              <w:rPr>
                <w:sz w:val="17"/>
                <w:szCs w:val="17"/>
                <w:color w:val="auto"/>
              </w:rPr>
            </w:pPr>
          </w:p>
        </w:tc>
      </w:tr>
      <w:tr>
        <w:trPr>
          <w:trHeight w:val="35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Section 302 of the Sarbanes-Oxley Act of 2002.</w:t>
            </w:r>
          </w:p>
        </w:tc>
        <w:tc>
          <w:tcPr>
            <w:tcW w:w="1240" w:type="dxa"/>
            <w:vAlign w:val="bottom"/>
            <w:gridSpan w:val="2"/>
          </w:tcPr>
          <w:p>
            <w:pPr>
              <w:spacing w:after="0"/>
              <w:rPr>
                <w:sz w:val="24"/>
                <w:szCs w:val="24"/>
                <w:color w:val="auto"/>
              </w:rPr>
            </w:pPr>
          </w:p>
        </w:tc>
      </w:tr>
      <w:tr>
        <w:trPr>
          <w:trHeight w:val="35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Section 302 of the Sarbanes-Oxley Act of 2002.</w:t>
            </w:r>
          </w:p>
        </w:tc>
        <w:tc>
          <w:tcPr>
            <w:tcW w:w="1260" w:type="dxa"/>
            <w:vAlign w:val="bottom"/>
            <w:gridSpan w:val="3"/>
          </w:tcPr>
          <w:p>
            <w:pPr>
              <w:spacing w:after="0"/>
              <w:rPr>
                <w:sz w:val="24"/>
                <w:szCs w:val="24"/>
                <w:color w:val="auto"/>
              </w:rPr>
            </w:pPr>
          </w:p>
        </w:tc>
      </w:tr>
      <w:tr>
        <w:trPr>
          <w:trHeight w:val="35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Registrant Pursuant to 18 U.S.C. Section 1350, as adopted pursuant to Section 906 of</w:t>
            </w:r>
          </w:p>
        </w:tc>
        <w:tc>
          <w:tcPr>
            <w:tcW w:w="1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7320" w:type="dxa"/>
            <w:vAlign w:val="bottom"/>
            <w:gridSpan w:val="6"/>
          </w:tcPr>
          <w:p>
            <w:pPr>
              <w:spacing w:after="0"/>
              <w:rPr>
                <w:sz w:val="17"/>
                <w:szCs w:val="17"/>
                <w:color w:val="auto"/>
              </w:rPr>
            </w:pPr>
          </w:p>
        </w:tc>
      </w:tr>
      <w:tr>
        <w:trPr>
          <w:trHeight w:val="33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Registrant Pursuant to 18 U.S.C. Section 1350, as adopted pursuant to Section 906 of the</w:t>
            </w:r>
          </w:p>
        </w:tc>
      </w:tr>
      <w:tr>
        <w:trPr>
          <w:trHeight w:val="196"/>
        </w:trPr>
        <w:tc>
          <w:tcPr>
            <w:tcW w:w="134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580" w:type="dxa"/>
            <w:vAlign w:val="bottom"/>
            <w:gridSpan w:val="7"/>
          </w:tcPr>
          <w:p>
            <w:pPr>
              <w:spacing w:after="0"/>
              <w:rPr>
                <w:sz w:val="17"/>
                <w:szCs w:val="17"/>
                <w:color w:val="auto"/>
              </w:rPr>
            </w:pPr>
          </w:p>
        </w:tc>
      </w:tr>
      <w:tr>
        <w:trPr>
          <w:trHeight w:val="223"/>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Dodd-Frank Compensation Recovery Policy</w:t>
            </w:r>
          </w:p>
        </w:tc>
        <w:tc>
          <w:tcPr>
            <w:tcW w:w="6520" w:type="dxa"/>
            <w:vAlign w:val="bottom"/>
            <w:gridSpan w:val="5"/>
          </w:tcPr>
          <w:p>
            <w:pPr>
              <w:spacing w:after="0"/>
              <w:rPr>
                <w:sz w:val="19"/>
                <w:szCs w:val="19"/>
                <w:color w:val="auto"/>
              </w:rPr>
            </w:pPr>
          </w:p>
        </w:tc>
      </w:tr>
      <w:tr>
        <w:trPr>
          <w:trHeight w:val="39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5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117" w:lineRule="exact"/>
        <w:rPr>
          <w:sz w:val="20"/>
          <w:szCs w:val="20"/>
          <w:color w:val="auto"/>
        </w:rPr>
      </w:pPr>
    </w:p>
    <w:p>
      <w:pPr>
        <w:ind w:left="1480" w:hanging="1342"/>
        <w:spacing w:after="0"/>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right="400" w:firstLine="8"/>
        <w:spacing w:after="0" w:line="250" w:lineRule="auto"/>
        <w:tabs>
          <w:tab w:leader="none" w:pos="1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not material and contain information that the Registrant customarily and actually treats as private or confidential.</w:t>
      </w:r>
    </w:p>
    <w:p>
      <w:pPr>
        <w:ind w:righ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with this Annual Report on Form 10-K solely for the purpose of transitioning this previously-filed exhibit, which is the subject of expiring confidential treatment orders, to the rules governing the filing of redacted exhibits under Regulation S-K Item 601(b)(10)(iv) pursuant to the SEC’s CF Disclosure Guidance: Topic 7. Portions of this exhibit have been omitted pursuant to Item 601(b)(10)(iv) of Regulation S-K.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8" w:name="page119"/>
    <w:bookmarkEnd w:id="1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SOLID BIOSCIENCES INC.</w:t>
      </w:r>
    </w:p>
    <w:p>
      <w:pPr>
        <w:spacing w:after="0" w:line="279" w:lineRule="exact"/>
        <w:rPr>
          <w:sz w:val="20"/>
          <w:szCs w:val="20"/>
          <w:color w:val="auto"/>
        </w:rPr>
      </w:pPr>
    </w:p>
    <w:p>
      <w:pPr>
        <w:ind w:left="20"/>
        <w:spacing w:after="0"/>
        <w:tabs>
          <w:tab w:leader="none" w:pos="6720" w:val="left"/>
          <w:tab w:leader="none" w:pos="844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6"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Alexander Cumbo</w:t>
      </w:r>
    </w:p>
    <w:p>
      <w:pPr>
        <w:spacing w:after="0" w:line="3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4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Cumbo</w:t>
            </w:r>
          </w:p>
        </w:tc>
        <w:tc>
          <w:tcPr>
            <w:tcW w:w="2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Alexander Cumbo</w:t>
            </w:r>
          </w:p>
        </w:tc>
        <w:tc>
          <w:tcPr>
            <w:tcW w:w="2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Kevin Tan</w:t>
            </w:r>
          </w:p>
        </w:tc>
        <w:tc>
          <w:tcPr>
            <w:tcW w:w="2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F. Smith</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Ian F. Smith</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Freed</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Martin Freed</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Ilan Ganot</w:t>
            </w:r>
          </w:p>
        </w:tc>
        <w:tc>
          <w:tcPr>
            <w:tcW w:w="20" w:type="dxa"/>
            <w:vAlign w:val="bottom"/>
            <w:tcBorders>
              <w:bottom w:val="single" w:sz="8" w:color="auto"/>
            </w:tcBorders>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Ilan Ganot</w:t>
            </w:r>
          </w:p>
        </w:tc>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Clare Kahn</w:t>
            </w:r>
          </w:p>
        </w:tc>
        <w:tc>
          <w:tcPr>
            <w:tcW w:w="20" w:type="dxa"/>
            <w:vAlign w:val="bottom"/>
            <w:tcBorders>
              <w:bottom w:val="single" w:sz="8" w:color="auto"/>
            </w:tcBorders>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Clare Kahn</w:t>
            </w:r>
          </w:p>
        </w:tc>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Georgia Keresty</w:t>
            </w:r>
          </w:p>
        </w:tc>
        <w:tc>
          <w:tcPr>
            <w:tcW w:w="20" w:type="dxa"/>
            <w:vAlign w:val="bottom"/>
            <w:tcBorders>
              <w:bottom w:val="single" w:sz="8" w:color="auto"/>
            </w:tcBorders>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Georgia Keresty</w:t>
            </w:r>
          </w:p>
        </w:tc>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Koppel</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Adam Koppel</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Sukumar Nagendran</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Sukumar Nagendran</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Rajeev Shah</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Rajeev Shah</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Stone</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Adam Stone</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Lynne Sullivan</w:t>
            </w:r>
          </w:p>
        </w:tc>
        <w:tc>
          <w:tcPr>
            <w:tcW w:w="20" w:type="dxa"/>
            <w:vAlign w:val="bottom"/>
          </w:tcPr>
          <w:p>
            <w:pPr>
              <w:spacing w:after="0"/>
              <w:rPr>
                <w:sz w:val="24"/>
                <w:szCs w:val="24"/>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7"/>
              </w:rPr>
              <w:t>March 13, 2024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Lynne Sullivan</w:t>
            </w:r>
          </w:p>
        </w:tc>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54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113</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838" w:gutter="0" w:footer="0" w:header="0"/>
        </w:sectPr>
      </w:pPr>
    </w:p>
    <w:bookmarkStart w:id="119" w:name="page120"/>
    <w:bookmarkEnd w:id="119"/>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Solid Biosciences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0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Solid Biosciences Inc. and its subsidiaries (the “Company”) as of December 31, 2023 and 2022, and the related consolidated statements of operations, of comprehensive loss, of stockholders’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Georgia" w:cs="Georgia" w:eastAsia="Georgia" w:hAnsi="Georgia"/>
          <w:sz w:val="19"/>
          <w:szCs w:val="19"/>
          <w:b w:val="1"/>
          <w:bCs w:val="1"/>
          <w:i w:val="1"/>
          <w:iCs w:val="1"/>
          <w:color w:val="auto"/>
        </w:rPr>
        <w:t>.</w:t>
      </w:r>
    </w:p>
    <w:p>
      <w:pPr>
        <w:spacing w:after="0" w:line="14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Research and Development Costs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The Company has entered into various research and development contracts with research institutions and other companies. These agreements are generally cancelable, and related payments are recorded as research and development expenses as incurred. Management records accruals for estimated ongoing research costs. When evaluating the adequacy of the accrued liabilities, management analyzes progress of the studies, including the phase or completion of events, invoices received and contracted costs. As disclosed by management, the majority of service providers invoice the Company in arrears for services performed, on a pre-determined schedule or when contractual milestones are met; however, some require advanced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0" w:name="page121"/>
    <w:bookmarkEnd w:id="120"/>
    <w:p>
      <w:pPr>
        <w:ind w:right="380"/>
        <w:spacing w:after="0" w:line="282" w:lineRule="auto"/>
        <w:rPr>
          <w:sz w:val="20"/>
          <w:szCs w:val="20"/>
          <w:color w:val="auto"/>
        </w:rPr>
      </w:pPr>
      <w:r>
        <w:rPr>
          <w:rFonts w:ascii="Times New Roman" w:cs="Times New Roman" w:eastAsia="Times New Roman" w:hAnsi="Times New Roman"/>
          <w:sz w:val="18"/>
          <w:szCs w:val="18"/>
          <w:color w:val="auto"/>
        </w:rPr>
        <w:t>payments. The Company’s research and development expense for the year ended December 31, 2023 was $76.6 million, a majority of which relates to external research and development costs.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7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by agreeing relevant information, including overall contract value, amounts incurred to date, and percentage of completion amounts to the (i) underlying agreements with outside vendors engaged to conduct preclinical studies and clinical trials, (ii) purchase orders, (iii) invoices received, (iv) underlying payments made for expenses incurred on the contracts, and (v) external confirmations or communications obtained by management from outside vendors.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1" w:name="page122"/>
    <w:bookmarkEnd w:id="1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74,015</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155,384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6,094</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assets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129,734</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26,539</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6,624</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assets</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164,939</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260,252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26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14,517</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22,707</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Finance lease obligations, excluding current portion</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9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38,458</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48,586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$0.001 par value; 10,000,000 shares authorized</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at December 31, 2023 and December 31, 2022; no shares issued and</w:t>
            </w:r>
          </w:p>
        </w:tc>
        <w:tc>
          <w:tcPr>
            <w:tcW w:w="98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2"/>
                <w:szCs w:val="12"/>
                <w:color w:val="auto"/>
              </w:rPr>
            </w:pP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7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at December 31, 2023 and December 31, 2022</w:t>
            </w:r>
          </w:p>
        </w:tc>
        <w:tc>
          <w:tcPr>
            <w:tcW w:w="9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7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$0.001 par value; 60,000,000 shares authorized at December 31, 2023 and</w:t>
            </w:r>
          </w:p>
        </w:tc>
        <w:tc>
          <w:tcPr>
            <w:tcW w:w="9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December 31, 2022; 20,386,606 shares issued and outstanding at December 31, 2023 and 19,556,732</w:t>
            </w:r>
          </w:p>
        </w:tc>
        <w:tc>
          <w:tcPr>
            <w:tcW w:w="9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shares issued and outstanding at December 31, 2022</w:t>
            </w:r>
          </w:p>
        </w:tc>
        <w:tc>
          <w:tcPr>
            <w:tcW w:w="98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785,199</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774,452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75"/>
        </w:trPr>
        <w:tc>
          <w:tcPr>
            <w:tcW w:w="7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9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(658,753 )</w:t>
            </w:r>
          </w:p>
        </w:tc>
        <w:tc>
          <w:tcPr>
            <w:tcW w:w="46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(562,738 )</w:t>
            </w:r>
          </w:p>
        </w:tc>
        <w:tc>
          <w:tcPr>
            <w:tcW w:w="0" w:type="dxa"/>
            <w:vAlign w:val="bottom"/>
          </w:tcPr>
          <w:p>
            <w:pPr>
              <w:spacing w:after="0"/>
              <w:rPr>
                <w:sz w:val="1"/>
                <w:szCs w:val="1"/>
                <w:color w:val="auto"/>
              </w:rPr>
            </w:pPr>
          </w:p>
        </w:tc>
      </w:tr>
      <w:tr>
        <w:trPr>
          <w:trHeight w:val="169"/>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126,481</w:t>
            </w:r>
          </w:p>
        </w:tc>
        <w:tc>
          <w:tcPr>
            <w:tcW w:w="26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spacing w:after="0"/>
              <w:rPr>
                <w:sz w:val="14"/>
                <w:szCs w:val="1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211,666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164,939</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-3514090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-2802890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-2802890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-1894205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-1894205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-1431290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7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26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shd w:val="clear" w:color="auto" w:fill="CFF0FC"/>
          </w:tcPr>
          <w:p>
            <w:pPr>
              <w:spacing w:after="0"/>
              <w:rPr>
                <w:sz w:val="24"/>
                <w:szCs w:val="24"/>
                <w:color w:val="auto"/>
              </w:rPr>
            </w:pPr>
          </w:p>
        </w:tc>
      </w:tr>
      <w:tr>
        <w:trPr>
          <w:trHeight w:val="21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76,563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104,252</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114,546</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85,874</w:t>
            </w:r>
          </w:p>
        </w:tc>
        <w:tc>
          <w:tcPr>
            <w:tcW w:w="100" w:type="dxa"/>
            <w:vAlign w:val="bottom"/>
            <w:tcBorders>
              <w:top w:val="single" w:sz="8" w:color="CFF0FC"/>
            </w:tcBorders>
          </w:tcPr>
          <w:p>
            <w:pPr>
              <w:spacing w:after="0"/>
              <w:rPr>
                <w:sz w:val="20"/>
                <w:szCs w:val="20"/>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(104,252 )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(106,452 )</w:t>
            </w:r>
          </w:p>
        </w:tc>
        <w:tc>
          <w:tcPr>
            <w:tcW w:w="3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(72,254 )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acquisition</w:t>
            </w:r>
          </w:p>
        </w:tc>
        <w:tc>
          <w:tcPr>
            <w:tcW w:w="3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(381 )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6"/>
        </w:trPr>
        <w:tc>
          <w:tcPr>
            <w:tcW w:w="66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other income, net</w:t>
            </w: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FF0FC"/>
            </w:tcBorders>
          </w:tcPr>
          <w:p>
            <w:pPr>
              <w:spacing w:after="0"/>
              <w:rPr>
                <w:sz w:val="20"/>
                <w:szCs w:val="20"/>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(96,015 )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(85,981 )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(72,188 )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outstanding, basic and diluted</w:t>
            </w:r>
          </w:p>
        </w:tc>
        <w:tc>
          <w:tcPr>
            <w:tcW w:w="30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19,884,007</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8,512,089</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7,118,024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-2296795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-2279650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-2279650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-1654175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-1654175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-1654175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-711200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-711200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-711200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-385445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-368300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-385445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-368300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(96,015 )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(85,981 )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(72,188 )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(95,932 )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(86,004 )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(72,233 )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760" w:type="dxa"/>
            <w:vAlign w:val="bottom"/>
          </w:tcPr>
          <w:p>
            <w:pPr>
              <w:spacing w:after="0"/>
              <w:rPr>
                <w:sz w:val="10"/>
                <w:szCs w:val="10"/>
                <w:color w:val="auto"/>
              </w:rPr>
            </w:pPr>
          </w:p>
        </w:tc>
        <w:tc>
          <w:tcPr>
            <w:tcW w:w="1300" w:type="dxa"/>
            <w:vAlign w:val="bottom"/>
            <w:gridSpan w:val="2"/>
          </w:tcPr>
          <w:p>
            <w:pPr>
              <w:jc w:val="right"/>
              <w:ind w:right="50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center"/>
              <w:ind w:right="1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paid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180" w:type="dxa"/>
            <w:vAlign w:val="bottom"/>
          </w:tcPr>
          <w:p>
            <w:pPr>
              <w:spacing w:after="0"/>
              <w:rPr>
                <w:sz w:val="10"/>
                <w:szCs w:val="10"/>
                <w:color w:val="auto"/>
              </w:rPr>
            </w:pPr>
          </w:p>
        </w:tc>
        <w:tc>
          <w:tcPr>
            <w:tcW w:w="1080" w:type="dxa"/>
            <w:vAlign w:val="bottom"/>
            <w:gridSpan w:val="2"/>
          </w:tcPr>
          <w:p>
            <w:pPr>
              <w:jc w:val="right"/>
              <w:ind w:right="342"/>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200" w:type="dxa"/>
            <w:vAlign w:val="bottom"/>
          </w:tcPr>
          <w:p>
            <w:pPr>
              <w:spacing w:after="0"/>
              <w:rPr>
                <w:sz w:val="10"/>
                <w:szCs w:val="10"/>
                <w:color w:val="auto"/>
              </w:rPr>
            </w:pPr>
          </w:p>
        </w:tc>
        <w:tc>
          <w:tcPr>
            <w:tcW w:w="920" w:type="dxa"/>
            <w:vAlign w:val="bottom"/>
            <w:gridSpan w:val="2"/>
          </w:tcPr>
          <w:p>
            <w:pPr>
              <w:jc w:val="right"/>
              <w:ind w:right="500"/>
              <w:spacing w:after="0" w:line="122" w:lineRule="exact"/>
              <w:rPr>
                <w:sz w:val="20"/>
                <w:szCs w:val="20"/>
                <w:color w:val="auto"/>
              </w:rPr>
            </w:pPr>
            <w:r>
              <w:rPr>
                <w:rFonts w:ascii="Times New Roman" w:cs="Times New Roman" w:eastAsia="Times New Roman" w:hAnsi="Times New Roman"/>
                <w:sz w:val="11"/>
                <w:szCs w:val="11"/>
                <w:b w:val="1"/>
                <w:bCs w:val="1"/>
                <w:color w:val="auto"/>
              </w:rPr>
              <w:t>Total</w:t>
            </w:r>
          </w:p>
        </w:tc>
      </w:tr>
      <w:tr>
        <w:trPr>
          <w:trHeight w:val="146"/>
        </w:trPr>
        <w:tc>
          <w:tcPr>
            <w:tcW w:w="3760" w:type="dxa"/>
            <w:vAlign w:val="bottom"/>
          </w:tcPr>
          <w:p>
            <w:pPr>
              <w:spacing w:after="0"/>
              <w:rPr>
                <w:sz w:val="12"/>
                <w:szCs w:val="12"/>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income (loss)</w:t>
            </w:r>
          </w:p>
        </w:tc>
        <w:tc>
          <w:tcPr>
            <w:tcW w:w="180" w:type="dxa"/>
            <w:vAlign w:val="bottom"/>
          </w:tcPr>
          <w:p>
            <w:pPr>
              <w:spacing w:after="0"/>
              <w:rPr>
                <w:sz w:val="12"/>
                <w:szCs w:val="12"/>
                <w:color w:val="auto"/>
              </w:rPr>
            </w:pPr>
          </w:p>
        </w:tc>
        <w:tc>
          <w:tcPr>
            <w:tcW w:w="1080" w:type="dxa"/>
            <w:vAlign w:val="bottom"/>
            <w:gridSpan w:val="2"/>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4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5,803,487</w:t>
            </w:r>
          </w:p>
        </w:tc>
        <w:tc>
          <w:tcPr>
            <w:tcW w:w="1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536,649</w:t>
            </w: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CFF"/>
          </w:tcPr>
          <w:p>
            <w:pPr>
              <w:spacing w:after="0"/>
              <w:rPr>
                <w:sz w:val="12"/>
                <w:szCs w:val="12"/>
                <w:color w:val="auto"/>
              </w:rPr>
            </w:pPr>
          </w:p>
        </w:tc>
        <w:tc>
          <w:tcPr>
            <w:tcW w:w="18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(404,569</w:t>
            </w:r>
          </w:p>
        </w:tc>
        <w:tc>
          <w:tcPr>
            <w:tcW w:w="1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tcBorders>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132,086</w:t>
            </w:r>
          </w:p>
        </w:tc>
        <w:tc>
          <w:tcPr>
            <w:tcW w:w="100" w:type="dxa"/>
            <w:vAlign w:val="bottom"/>
            <w:shd w:val="clear" w:color="auto" w:fill="CFF0FC"/>
          </w:tcPr>
          <w:p>
            <w:pPr>
              <w:spacing w:after="0"/>
              <w:rPr>
                <w:sz w:val="12"/>
                <w:szCs w:val="12"/>
                <w:color w:val="auto"/>
              </w:rPr>
            </w:pPr>
          </w:p>
        </w:tc>
      </w:tr>
      <w:tr>
        <w:trPr>
          <w:trHeight w:val="121"/>
        </w:trPr>
        <w:tc>
          <w:tcPr>
            <w:tcW w:w="37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Equity-based</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13,373</w:t>
            </w:r>
          </w:p>
        </w:tc>
        <w:tc>
          <w:tcPr>
            <w:tcW w:w="100" w:type="dxa"/>
            <w:vAlign w:val="bottom"/>
          </w:tcPr>
          <w:p>
            <w:pPr>
              <w:spacing w:after="0"/>
              <w:rPr>
                <w:sz w:val="12"/>
                <w:szCs w:val="12"/>
                <w:color w:val="auto"/>
              </w:rPr>
            </w:pPr>
          </w:p>
        </w:tc>
      </w:tr>
      <w:tr>
        <w:trPr>
          <w:trHeight w:val="12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Sale of common stock,</w:t>
            </w: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22"/>
        </w:trPr>
        <w:tc>
          <w:tcPr>
            <w:tcW w:w="3760" w:type="dxa"/>
            <w:vAlign w:val="bottom"/>
            <w:shd w:val="clear" w:color="auto" w:fill="CFF0FC"/>
          </w:tcPr>
          <w:p>
            <w:pPr>
              <w:ind w:left="240"/>
              <w:spacing w:after="0" w:line="122" w:lineRule="exact"/>
              <w:rPr>
                <w:sz w:val="20"/>
                <w:szCs w:val="20"/>
                <w:color w:val="auto"/>
              </w:rPr>
            </w:pPr>
            <w:r>
              <w:rPr>
                <w:rFonts w:ascii="Times New Roman" w:cs="Times New Roman" w:eastAsia="Times New Roman" w:hAnsi="Times New Roman"/>
                <w:sz w:val="11"/>
                <w:szCs w:val="11"/>
                <w:color w:val="auto"/>
              </w:rPr>
              <w:t>net of issuance costs</w:t>
            </w: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of $8,872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1,666,666</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134,877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134,878</w:t>
            </w:r>
          </w:p>
        </w:tc>
        <w:tc>
          <w:tcPr>
            <w:tcW w:w="100" w:type="dxa"/>
            <w:vAlign w:val="bottom"/>
            <w:shd w:val="clear" w:color="auto" w:fill="CFF0FC"/>
          </w:tcPr>
          <w:p>
            <w:pPr>
              <w:spacing w:after="0"/>
              <w:rPr>
                <w:sz w:val="12"/>
                <w:szCs w:val="12"/>
                <w:color w:val="auto"/>
              </w:rPr>
            </w:pP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Exercise of common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2"/>
                <w:szCs w:val="12"/>
                <w:color w:val="auto"/>
              </w:rPr>
            </w:pP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Issuance of common stock in connection with employee stock purchase plan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2,978</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FF0FC"/>
          </w:tcPr>
          <w:p>
            <w:pPr>
              <w:spacing w:after="0"/>
              <w:rPr>
                <w:sz w:val="13"/>
                <w:szCs w:val="13"/>
                <w:color w:val="auto"/>
              </w:rPr>
            </w:pP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27,946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Forfeiture of restricted stock awards</w:t>
            </w: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(1,947 )</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r>
      <w:tr>
        <w:trPr>
          <w:trHeight w:val="14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(72,188 )</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(72,188 )</w:t>
            </w:r>
          </w:p>
        </w:tc>
      </w:tr>
      <w:tr>
        <w:trPr>
          <w:trHeight w:val="20"/>
        </w:trPr>
        <w:tc>
          <w:tcPr>
            <w:tcW w:w="37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7,499,905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685,006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180" w:type="dxa"/>
            <w:vAlign w:val="bottom"/>
          </w:tcPr>
          <w:p>
            <w:pPr>
              <w:spacing w:after="0"/>
              <w:rPr>
                <w:sz w:val="12"/>
                <w:szCs w:val="12"/>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(476,757 )</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208,211</w:t>
            </w:r>
          </w:p>
        </w:tc>
        <w:tc>
          <w:tcPr>
            <w:tcW w:w="100" w:type="dxa"/>
            <w:vAlign w:val="bottom"/>
          </w:tcPr>
          <w:p>
            <w:pPr>
              <w:spacing w:after="0"/>
              <w:rPr>
                <w:sz w:val="12"/>
                <w:szCs w:val="12"/>
                <w:color w:val="auto"/>
              </w:rPr>
            </w:pPr>
          </w:p>
        </w:tc>
      </w:tr>
      <w:tr>
        <w:trPr>
          <w:trHeight w:val="125"/>
        </w:trPr>
        <w:tc>
          <w:tcPr>
            <w:tcW w:w="3760" w:type="dxa"/>
            <w:vAlign w:val="bottom"/>
            <w:shd w:val="clear" w:color="auto" w:fill="CFF0FC"/>
          </w:tcPr>
          <w:p>
            <w:pPr>
              <w:ind w:left="160"/>
              <w:spacing w:after="0" w:line="125" w:lineRule="exact"/>
              <w:rPr>
                <w:sz w:val="20"/>
                <w:szCs w:val="20"/>
                <w:color w:val="auto"/>
              </w:rPr>
            </w:pPr>
            <w:r>
              <w:rPr>
                <w:rFonts w:ascii="Times New Roman" w:cs="Times New Roman" w:eastAsia="Times New Roman" w:hAnsi="Times New Roman"/>
                <w:sz w:val="11"/>
                <w:szCs w:val="11"/>
                <w:color w:val="auto"/>
              </w:rPr>
              <w:t>Equity-based</w:t>
            </w:r>
          </w:p>
        </w:tc>
        <w:tc>
          <w:tcPr>
            <w:tcW w:w="1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37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color w:val="auto"/>
              </w:rPr>
              <w:t>compensation</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7,537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7,537</w:t>
            </w:r>
          </w:p>
        </w:tc>
        <w:tc>
          <w:tcPr>
            <w:tcW w:w="100" w:type="dxa"/>
            <w:vAlign w:val="bottom"/>
            <w:shd w:val="clear" w:color="auto" w:fill="CFF0FC"/>
          </w:tcPr>
          <w:p>
            <w:pPr>
              <w:spacing w:after="0"/>
              <w:rPr>
                <w:sz w:val="12"/>
                <w:szCs w:val="12"/>
                <w:color w:val="auto"/>
              </w:rPr>
            </w:pPr>
          </w:p>
        </w:tc>
      </w:tr>
      <w:tr>
        <w:trPr>
          <w:trHeight w:val="121"/>
        </w:trPr>
        <w:tc>
          <w:tcPr>
            <w:tcW w:w="37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Sale of common stock,</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7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net of issuance costs</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of $2,449</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10,638,290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72,540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72,551</w:t>
            </w:r>
          </w:p>
        </w:tc>
        <w:tc>
          <w:tcPr>
            <w:tcW w:w="100" w:type="dxa"/>
            <w:vAlign w:val="bottom"/>
          </w:tcPr>
          <w:p>
            <w:pPr>
              <w:spacing w:after="0"/>
              <w:rPr>
                <w:sz w:val="12"/>
                <w:szCs w:val="12"/>
                <w:color w:val="auto"/>
              </w:rPr>
            </w:pP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Exercise of pre-funded warrants</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FF0FC"/>
          </w:tcPr>
          <w:p>
            <w:pPr>
              <w:spacing w:after="0"/>
              <w:rPr>
                <w:sz w:val="13"/>
                <w:szCs w:val="13"/>
                <w:color w:val="auto"/>
              </w:rPr>
            </w:pP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common stock in connection with employee stock 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2"/>
                <w:szCs w:val="12"/>
                <w:color w:val="auto"/>
              </w:rPr>
            </w:pP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35,149</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 of shares in connection with acquisition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1,354,258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9,168</w:t>
            </w:r>
          </w:p>
        </w:tc>
        <w:tc>
          <w:tcPr>
            <w:tcW w:w="100" w:type="dxa"/>
            <w:vAlign w:val="bottom"/>
          </w:tcPr>
          <w:p>
            <w:pPr>
              <w:spacing w:after="0"/>
              <w:rPr>
                <w:sz w:val="12"/>
                <w:szCs w:val="12"/>
                <w:color w:val="auto"/>
              </w:rPr>
            </w:pP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(85,981 )</w:t>
            </w:r>
          </w:p>
        </w:tc>
        <w:tc>
          <w:tcPr>
            <w:tcW w:w="20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(85,981 )</w:t>
            </w:r>
          </w:p>
        </w:tc>
      </w:tr>
      <w:tr>
        <w:trPr>
          <w:trHeight w:val="20"/>
        </w:trPr>
        <w:tc>
          <w:tcPr>
            <w:tcW w:w="37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19,556,732</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774,452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(68 )</w:t>
            </w: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(562,738 )</w:t>
            </w: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211,666</w:t>
            </w:r>
          </w:p>
        </w:tc>
        <w:tc>
          <w:tcPr>
            <w:tcW w:w="100" w:type="dxa"/>
            <w:vAlign w:val="bottom"/>
            <w:shd w:val="clear" w:color="auto" w:fill="CFF0FC"/>
          </w:tcPr>
          <w:p>
            <w:pPr>
              <w:spacing w:after="0"/>
              <w:rPr>
                <w:sz w:val="12"/>
                <w:szCs w:val="12"/>
                <w:color w:val="auto"/>
              </w:rPr>
            </w:pPr>
          </w:p>
        </w:tc>
      </w:tr>
      <w:tr>
        <w:trPr>
          <w:trHeight w:val="121"/>
        </w:trPr>
        <w:tc>
          <w:tcPr>
            <w:tcW w:w="37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Equity-based</w:t>
            </w: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37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compensation</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7,625</w:t>
            </w:r>
          </w:p>
        </w:tc>
        <w:tc>
          <w:tcPr>
            <w:tcW w:w="100" w:type="dxa"/>
            <w:vAlign w:val="bottom"/>
          </w:tcPr>
          <w:p>
            <w:pPr>
              <w:spacing w:after="0"/>
              <w:rPr>
                <w:sz w:val="12"/>
                <w:szCs w:val="12"/>
                <w:color w:val="auto"/>
              </w:rPr>
            </w:pP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183,951</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Sale of common stock net of issuance costs of $76</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602,030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2,974</w:t>
            </w:r>
          </w:p>
        </w:tc>
        <w:tc>
          <w:tcPr>
            <w:tcW w:w="100" w:type="dxa"/>
            <w:vAlign w:val="bottom"/>
          </w:tcPr>
          <w:p>
            <w:pPr>
              <w:spacing w:after="0"/>
              <w:rPr>
                <w:sz w:val="12"/>
                <w:szCs w:val="12"/>
                <w:color w:val="auto"/>
              </w:rPr>
            </w:pPr>
          </w:p>
        </w:tc>
      </w:tr>
      <w:tr>
        <w:trPr>
          <w:trHeight w:val="153"/>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Issuance of common stock in connection with employee stock purchase plan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43,893</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FF0FC"/>
          </w:tcPr>
          <w:p>
            <w:pPr>
              <w:spacing w:after="0"/>
              <w:rPr>
                <w:sz w:val="13"/>
                <w:szCs w:val="13"/>
                <w:color w:val="auto"/>
              </w:rPr>
            </w:pPr>
          </w:p>
        </w:tc>
      </w:tr>
      <w:tr>
        <w:trPr>
          <w:trHeight w:val="144"/>
        </w:trPr>
        <w:tc>
          <w:tcPr>
            <w:tcW w:w="3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2"/>
                <w:szCs w:val="12"/>
                <w:color w:val="auto"/>
              </w:rPr>
            </w:pPr>
          </w:p>
        </w:tc>
      </w:tr>
      <w:tr>
        <w:trPr>
          <w:trHeight w:val="148"/>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(96,015 )</w:t>
            </w:r>
          </w:p>
        </w:tc>
        <w:tc>
          <w:tcPr>
            <w:tcW w:w="2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(96,015 )</w:t>
            </w:r>
          </w:p>
        </w:tc>
      </w:tr>
      <w:tr>
        <w:trPr>
          <w:trHeight w:val="20"/>
        </w:trPr>
        <w:tc>
          <w:tcPr>
            <w:tcW w:w="376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38"/>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20,386,606</w:t>
            </w:r>
          </w:p>
        </w:tc>
        <w:tc>
          <w:tcPr>
            <w:tcW w:w="12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785,199</w:t>
            </w:r>
          </w:p>
        </w:tc>
        <w:tc>
          <w:tcPr>
            <w:tcW w:w="10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(658,753 )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126,481</w:t>
            </w: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-1931670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-1931670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-1931670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-1931670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-1931670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-1931670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-97155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-97155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-97155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-97155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-97155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-97155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4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(96,015 )</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(85,981 )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(72,188 )</w:t>
            </w:r>
          </w:p>
        </w:tc>
      </w:tr>
      <w:tr>
        <w:trPr>
          <w:trHeight w:val="17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amortization of (discount)/premium on available-for-sale securities</w:t>
            </w:r>
          </w:p>
        </w:tc>
        <w:tc>
          <w:tcPr>
            <w:tcW w:w="8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(2,408 )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15"/>
                <w:szCs w:val="15"/>
                <w:color w:val="auto"/>
              </w:rPr>
            </w:pPr>
          </w:p>
        </w:tc>
      </w:tr>
      <w:tr>
        <w:trPr>
          <w:trHeight w:val="176"/>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Equity-based compensation expense</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7,537</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13,373</w:t>
            </w:r>
          </w:p>
        </w:tc>
        <w:tc>
          <w:tcPr>
            <w:tcW w:w="100" w:type="dxa"/>
            <w:vAlign w:val="bottom"/>
            <w:shd w:val="clear" w:color="auto" w:fill="CFF0FC"/>
          </w:tcPr>
          <w:p>
            <w:pPr>
              <w:spacing w:after="0"/>
              <w:rPr>
                <w:sz w:val="15"/>
                <w:szCs w:val="15"/>
                <w:color w:val="auto"/>
              </w:rPr>
            </w:pPr>
          </w:p>
        </w:tc>
      </w:tr>
      <w:tr>
        <w:trPr>
          <w:trHeight w:val="176"/>
        </w:trPr>
        <w:tc>
          <w:tcPr>
            <w:tcW w:w="6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100" w:type="dxa"/>
            <w:vAlign w:val="bottom"/>
          </w:tcPr>
          <w:p>
            <w:pPr>
              <w:spacing w:after="0"/>
              <w:rPr>
                <w:sz w:val="15"/>
                <w:szCs w:val="15"/>
                <w:color w:val="auto"/>
              </w:rPr>
            </w:pPr>
          </w:p>
        </w:tc>
      </w:tr>
      <w:tr>
        <w:trPr>
          <w:trHeight w:val="175"/>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on sale of property and equipment</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FF0FC"/>
          </w:tcPr>
          <w:p>
            <w:pPr>
              <w:spacing w:after="0"/>
              <w:rPr>
                <w:sz w:val="15"/>
                <w:szCs w:val="15"/>
                <w:color w:val="auto"/>
              </w:rPr>
            </w:pPr>
          </w:p>
        </w:tc>
      </w:tr>
      <w:tr>
        <w:trPr>
          <w:trHeight w:val="176"/>
        </w:trPr>
        <w:tc>
          <w:tcPr>
            <w:tcW w:w="6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on lease termination</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(249 )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(81 )</w:t>
            </w:r>
          </w:p>
        </w:tc>
      </w:tr>
      <w:tr>
        <w:trPr>
          <w:trHeight w:val="175"/>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on acquisition</w:t>
            </w:r>
          </w:p>
        </w:tc>
        <w:tc>
          <w:tcPr>
            <w:tcW w:w="8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(18,236 )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(9,247 )</w:t>
            </w:r>
          </w:p>
        </w:tc>
      </w:tr>
      <w:tr>
        <w:trPr>
          <w:trHeight w:val="176"/>
        </w:trPr>
        <w:tc>
          <w:tcPr>
            <w:tcW w:w="6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 - related party</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(110 )</w:t>
            </w:r>
          </w:p>
        </w:tc>
      </w:tr>
      <w:tr>
        <w:trPr>
          <w:trHeight w:val="176"/>
        </w:trPr>
        <w:tc>
          <w:tcPr>
            <w:tcW w:w="6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(764 )</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(5,246 )</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shd w:val="clear" w:color="auto" w:fill="CFF0FC"/>
          </w:tcPr>
          <w:p>
            <w:pPr>
              <w:spacing w:after="0"/>
              <w:rPr>
                <w:sz w:val="15"/>
                <w:szCs w:val="15"/>
                <w:color w:val="auto"/>
              </w:rPr>
            </w:pPr>
          </w:p>
        </w:tc>
      </w:tr>
      <w:tr>
        <w:trPr>
          <w:trHeight w:val="175"/>
        </w:trPr>
        <w:tc>
          <w:tcPr>
            <w:tcW w:w="6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8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(9,009 )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(2,255 )</w:t>
            </w:r>
          </w:p>
        </w:tc>
      </w:tr>
      <w:tr>
        <w:trPr>
          <w:trHeight w:val="176"/>
        </w:trPr>
        <w:tc>
          <w:tcPr>
            <w:tcW w:w="6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revenue - related party, current and non-current</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(8,080 )</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(12,638 )</w:t>
            </w:r>
          </w:p>
        </w:tc>
      </w:tr>
      <w:tr>
        <w:trPr>
          <w:trHeight w:val="20"/>
        </w:trPr>
        <w:tc>
          <w:tcPr>
            <w:tcW w:w="64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(94,180 )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(97,977 )</w:t>
            </w:r>
          </w:p>
        </w:tc>
        <w:tc>
          <w:tcPr>
            <w:tcW w:w="3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(77,764 )</w:t>
            </w:r>
          </w:p>
        </w:tc>
      </w:tr>
      <w:tr>
        <w:trPr>
          <w:trHeight w:val="16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88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(1,515 )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(3,015 )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(1,281 )</w:t>
            </w:r>
          </w:p>
        </w:tc>
      </w:tr>
      <w:tr>
        <w:trPr>
          <w:trHeight w:val="17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Acquisition of business, net of cash received</w:t>
            </w:r>
          </w:p>
        </w:tc>
        <w:tc>
          <w:tcPr>
            <w:tcW w:w="8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31,523</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128,632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212,811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51,444</w:t>
            </w:r>
          </w:p>
        </w:tc>
        <w:tc>
          <w:tcPr>
            <w:tcW w:w="100" w:type="dxa"/>
            <w:vAlign w:val="bottom"/>
            <w:shd w:val="clear" w:color="auto" w:fill="CFF0FC"/>
          </w:tcPr>
          <w:p>
            <w:pPr>
              <w:spacing w:after="0"/>
              <w:rPr>
                <w:sz w:val="15"/>
                <w:szCs w:val="15"/>
                <w:color w:val="auto"/>
              </w:rPr>
            </w:pPr>
          </w:p>
        </w:tc>
      </w:tr>
      <w:tr>
        <w:trPr>
          <w:trHeight w:val="175"/>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88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(117,428 )</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(182,762 )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(141,249 )</w:t>
            </w:r>
          </w:p>
        </w:tc>
      </w:tr>
      <w:tr>
        <w:trPr>
          <w:trHeight w:val="20"/>
        </w:trPr>
        <w:tc>
          <w:tcPr>
            <w:tcW w:w="6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9,689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59,157</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(91,086 )</w:t>
            </w:r>
          </w:p>
        </w:tc>
      </w:tr>
      <w:tr>
        <w:trPr>
          <w:trHeight w:val="169"/>
        </w:trPr>
        <w:tc>
          <w:tcPr>
            <w:tcW w:w="6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72,551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134,878</w:t>
            </w:r>
          </w:p>
        </w:tc>
        <w:tc>
          <w:tcPr>
            <w:tcW w:w="100" w:type="dxa"/>
            <w:vAlign w:val="bottom"/>
            <w:shd w:val="clear" w:color="auto" w:fill="CFF0FC"/>
          </w:tcPr>
          <w:p>
            <w:pPr>
              <w:spacing w:after="0"/>
              <w:rPr>
                <w:sz w:val="15"/>
                <w:szCs w:val="15"/>
                <w:color w:val="auto"/>
              </w:rPr>
            </w:pPr>
          </w:p>
        </w:tc>
      </w:tr>
      <w:tr>
        <w:trPr>
          <w:trHeight w:val="175"/>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financing liabilities</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FF0FC"/>
          </w:tcPr>
          <w:p>
            <w:pPr>
              <w:spacing w:after="0"/>
              <w:rPr>
                <w:sz w:val="15"/>
                <w:szCs w:val="15"/>
                <w:color w:val="auto"/>
              </w:rPr>
            </w:pPr>
          </w:p>
        </w:tc>
      </w:tr>
      <w:tr>
        <w:trPr>
          <w:trHeight w:val="175"/>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pre-funded warrants</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purchases and withholdings</w:t>
            </w:r>
          </w:p>
        </w:tc>
        <w:tc>
          <w:tcPr>
            <w:tcW w:w="8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FF0FC"/>
          </w:tcPr>
          <w:p>
            <w:pPr>
              <w:spacing w:after="0"/>
              <w:rPr>
                <w:sz w:val="15"/>
                <w:szCs w:val="15"/>
                <w:color w:val="auto"/>
              </w:rPr>
            </w:pPr>
          </w:p>
        </w:tc>
      </w:tr>
      <w:tr>
        <w:trPr>
          <w:trHeight w:val="175"/>
        </w:trPr>
        <w:tc>
          <w:tcPr>
            <w:tcW w:w="6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financing liabilities</w:t>
            </w:r>
          </w:p>
        </w:tc>
        <w:tc>
          <w:tcPr>
            <w:tcW w:w="8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(66 )</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74,831</w:t>
            </w:r>
          </w:p>
        </w:tc>
        <w:tc>
          <w:tcPr>
            <w:tcW w:w="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134,985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8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(81,369 )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(33,865 )</w:t>
            </w:r>
          </w:p>
        </w:tc>
      </w:tr>
      <w:tr>
        <w:trPr>
          <w:trHeight w:val="175"/>
        </w:trPr>
        <w:tc>
          <w:tcPr>
            <w:tcW w:w="6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157,217</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121,206</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155,071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75,848</w:t>
            </w:r>
          </w:p>
        </w:tc>
        <w:tc>
          <w:tcPr>
            <w:tcW w:w="120" w:type="dxa"/>
            <w:vAlign w:val="bottom"/>
          </w:tcPr>
          <w:p>
            <w:pPr>
              <w:spacing w:after="0"/>
              <w:rPr>
                <w:sz w:val="14"/>
                <w:szCs w:val="14"/>
                <w:color w:val="auto"/>
              </w:rPr>
            </w:pP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157,217</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121,206</w:t>
            </w:r>
          </w:p>
        </w:tc>
        <w:tc>
          <w:tcPr>
            <w:tcW w:w="100" w:type="dxa"/>
            <w:vAlign w:val="bottom"/>
          </w:tcPr>
          <w:p>
            <w:pPr>
              <w:spacing w:after="0"/>
              <w:rPr>
                <w:sz w:val="14"/>
                <w:szCs w:val="14"/>
                <w:color w:val="auto"/>
              </w:rPr>
            </w:pPr>
          </w:p>
        </w:tc>
      </w:tr>
      <w:tr>
        <w:trPr>
          <w:trHeight w:val="20"/>
        </w:trPr>
        <w:tc>
          <w:tcPr>
            <w:tcW w:w="6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4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6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in acquisition</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w:t>
            </w:r>
          </w:p>
        </w:tc>
        <w:tc>
          <w:tcPr>
            <w:tcW w:w="24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40" w:type="dxa"/>
            <w:vAlign w:val="bottom"/>
            <w:tcBorders>
              <w:bottom w:val="single" w:sz="8" w:color="CFF0FC"/>
            </w:tcBorders>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880" w:type="dxa"/>
            <w:vAlign w:val="bottom"/>
            <w:tcBorders>
              <w:bottom w:val="single" w:sz="8" w:color="auto"/>
            </w:tcBorders>
            <w:shd w:val="clear" w:color="auto" w:fill="CFF0FC"/>
          </w:tcPr>
          <w:p>
            <w:pPr>
              <w:jc w:val="right"/>
              <w:ind w:right="7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410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29,126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44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Decrease in right-of-use asset and lease liability due to lease termination</w:t>
            </w:r>
          </w:p>
        </w:tc>
        <w:tc>
          <w:tcPr>
            <w:tcW w:w="880" w:type="dxa"/>
            <w:vAlign w:val="bottom"/>
          </w:tcPr>
          <w:p>
            <w:pPr>
              <w:jc w:val="right"/>
              <w:ind w:right="7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(252 )</w:t>
            </w:r>
          </w:p>
        </w:tc>
        <w:tc>
          <w:tcPr>
            <w:tcW w:w="460" w:type="dxa"/>
            <w:vAlign w:val="bottom"/>
            <w:gridSpan w:val="2"/>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(464 )</w:t>
            </w:r>
          </w:p>
        </w:tc>
        <w:tc>
          <w:tcPr>
            <w:tcW w:w="320" w:type="dxa"/>
            <w:vAlign w:val="bottom"/>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(1,233 )</w:t>
            </w:r>
          </w:p>
        </w:tc>
      </w:tr>
      <w:tr>
        <w:trPr>
          <w:trHeight w:val="20"/>
        </w:trPr>
        <w:tc>
          <w:tcPr>
            <w:tcW w:w="6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40" w:type="dxa"/>
            <w:vAlign w:val="bottom"/>
            <w:shd w:val="clear" w:color="auto" w:fill="CFF0FC"/>
          </w:tcPr>
          <w:p>
            <w:pPr>
              <w:ind w:left="200"/>
              <w:spacing w:after="0" w:line="156" w:lineRule="exact"/>
              <w:rPr>
                <w:sz w:val="20"/>
                <w:szCs w:val="20"/>
                <w:color w:val="auto"/>
              </w:rPr>
            </w:pPr>
            <w:r>
              <w:rPr>
                <w:rFonts w:ascii="Times New Roman" w:cs="Times New Roman" w:eastAsia="Times New Roman" w:hAnsi="Times New Roman"/>
                <w:sz w:val="14"/>
                <w:szCs w:val="14"/>
                <w:color w:val="auto"/>
              </w:rPr>
              <w:t>Decrease in property, plant and equipment due to asset exchange</w:t>
            </w:r>
          </w:p>
        </w:tc>
        <w:tc>
          <w:tcPr>
            <w:tcW w:w="880" w:type="dxa"/>
            <w:vAlign w:val="bottom"/>
            <w:shd w:val="clear" w:color="auto" w:fill="CFF0FC"/>
          </w:tcPr>
          <w:p>
            <w:pPr>
              <w:jc w:val="right"/>
              <w:ind w:right="7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(950 )</w:t>
            </w:r>
          </w:p>
        </w:tc>
        <w:tc>
          <w:tcPr>
            <w:tcW w:w="460" w:type="dxa"/>
            <w:vAlign w:val="bottom"/>
            <w:gridSpan w:val="2"/>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56"/>
        </w:trPr>
        <w:tc>
          <w:tcPr>
            <w:tcW w:w="6440" w:type="dxa"/>
            <w:vAlign w:val="bottom"/>
            <w:tcBorders>
              <w:top w:val="single" w:sz="8" w:color="CFF0FC"/>
            </w:tcBorders>
          </w:tcPr>
          <w:p>
            <w:pPr>
              <w:ind w:left="200"/>
              <w:spacing w:after="0" w:line="156" w:lineRule="exact"/>
              <w:rPr>
                <w:sz w:val="20"/>
                <w:szCs w:val="20"/>
                <w:color w:val="auto"/>
              </w:rPr>
            </w:pPr>
            <w:r>
              <w:rPr>
                <w:rFonts w:ascii="Times New Roman" w:cs="Times New Roman" w:eastAsia="Times New Roman" w:hAnsi="Times New Roman"/>
                <w:sz w:val="14"/>
                <w:szCs w:val="14"/>
                <w:color w:val="auto"/>
              </w:rPr>
              <w:t>Property and equipment included in accounts payable and accruals</w:t>
            </w:r>
          </w:p>
        </w:tc>
        <w:tc>
          <w:tcPr>
            <w:tcW w:w="880" w:type="dxa"/>
            <w:vAlign w:val="bottom"/>
            <w:tcBorders>
              <w:top w:val="single" w:sz="8" w:color="auto"/>
              <w:bottom w:val="single" w:sz="8" w:color="auto"/>
            </w:tcBorders>
          </w:tcPr>
          <w:p>
            <w:pPr>
              <w:jc w:val="right"/>
              <w:ind w:right="7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527</w:t>
            </w:r>
          </w:p>
        </w:tc>
        <w:tc>
          <w:tcPr>
            <w:tcW w:w="240" w:type="dxa"/>
            <w:vAlign w:val="bottom"/>
            <w:tcBorders>
              <w:top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FF0FC"/>
            </w:tcBorders>
          </w:tcPr>
          <w:p>
            <w:pPr>
              <w:spacing w:after="0"/>
              <w:rPr>
                <w:sz w:val="13"/>
                <w:szCs w:val="13"/>
                <w:color w:val="auto"/>
              </w:rPr>
            </w:pPr>
          </w:p>
        </w:tc>
      </w:tr>
      <w:tr>
        <w:trPr>
          <w:trHeight w:val="20"/>
        </w:trPr>
        <w:tc>
          <w:tcPr>
            <w:tcW w:w="6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-2999740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-2999740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-2082165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-2082165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-1174115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-1174115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-942340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-942340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-436245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-419735</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-436245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-419735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-162560</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-145415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-162560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-145415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Solid Biosciences Inc. was organized in March 2013 under the name SOLID Ventures Management, LLC and operated as a Delaware limited liability company until immediately prior to the effectiveness of its registration statement on Form S-1 on January 25, 2018, at which time it completed a statutory corporate conversion into a Delaware corporation and changed its name to Solid Biosciences Inc. (the “Company” or “Solid”). On December 2, 2022, the Company completed its acquisition of AavantiBio, Inc. (“AavantiBio”), a privately held gene therapy company focused on transforming the lives of patients with Friedreich’s ataxia (“FA”) and rare Cardiomyopathies (the “Acquisition”). Upon the consummation of the Acquisition, the Company acquired AavantiBio’s gene therapy programs, AVB-202-TT for FA and AVB-401 for BAG3 mediated dilated cardiomyopathy, as well as additional assets for the treatment of other cardiac diseases, platform technologies and know-how related thereto. AavantiBio is a wholly owned subsidiary of the Company.</w:t>
      </w:r>
    </w:p>
    <w:p>
      <w:pPr>
        <w:spacing w:after="0" w:line="6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Company is a life sciences company focused on advancing a portfolio of current and future gene therapy candidates (collectively, “Candidates”), including SGT-003 for the treatment of Duchenne muscular dystrophy (“Duchenne”), SGT-501 for the treatment of Catecholaminergic polymorphic ventricular tachycardia ("CPVT"), and additional assets for the treatment of cardiac and other diseases, at different stages of development with varying levels of investment. The Company is advancing its diverse pipeline across rare neuromuscular and cardiac diseases, bringing together experts in science, technology, disease management and care. Patient-focused and founded by those directly impacted by Duchenne, Solid’s mission is to improve the daily lives of patients living with these devastating diseases</w:t>
      </w:r>
      <w:r>
        <w:rPr>
          <w:rFonts w:ascii="Times New Roman" w:cs="Times New Roman" w:eastAsia="Times New Roman" w:hAnsi="Times New Roman"/>
          <w:sz w:val="21"/>
          <w:szCs w:val="21"/>
          <w:color w:val="auto"/>
        </w:rPr>
        <w:t>.</w:t>
      </w:r>
    </w:p>
    <w:p>
      <w:pPr>
        <w:spacing w:after="0" w:line="9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spacing w:after="0" w:line="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October 27, 2022, the Company effected a reverse stock split of its outstanding shares of common stock at a ratio of one-for-15 pursuant to a certificate of amendment to its certificate of incorporation filed with the Secretary of State of the State of Delaware. The reverse stock split was reflected on the Nasdaq Stock Market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Nasdaq”) beginning with the opening of trading on October 28, 2022. Pursuant to the reverse stock split, every 15 shares of the Company's issued and outstanding shares of common stock were automatically combined into one issued and outstanding share of common stock, without any change in the par value per share of the common stock. The reverse stock split reduced the authorized number of shares of common stock from 300,000,000 to 20,000,000 and, pursuant to the certificate of amendment, such reduced authorized number of shares of common stock was subsequently multiplied by three, such that following the reverse stock split the Company has 60,000,000 shares of common stock authorized. The reverse stock split affected all issued and outstanding shares of the Company's common stock, and the respective numbers of shares of common stock underlying the Company’s outstanding stock options, outstanding restricted stock units, outstanding warrants and the Company's equity incentive plans were proportionately adjusted. All share and per share amounts of the common stock included in the accompanying consolidated financial statements have been retrospectively adjusted to give effect to the reverse stock split for all periods presented, including reclassifying an amount equal to the reduction in par value to additional paid-in capital.</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the Company will continue as a going concern and which contemplates the realization of assets and satisfaction of liabilities and commitments in the ordinary course of business. Through December 31, 2023, the Company has funded its operations primarily with the proceeds from the sale of redeemable preferred units and member units as well as the sale of common stock and prefunded warrants to purchase shares of its common stock in private placements and the sale of common stock in its initial public offering and follow-on public offering in March 2021 and under its at-the-market sales agreement.</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29, 2022, the Company entered into the securities purchase agreement, pursuant to which, on December 2, 2022, the Company issued an aggregate of 10,638,290 shares of the Company’s common stock in a private placement. The private placement closed immediately following the closing of the Acquisition on December 2, 2022. The Company received net proceeds from the private placement of $72,551.</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issued 602,030 shares of its common stock, pursuant to the Company's “at-the-market offering” sales agreement, dated March 13, 2019, as amended on August 16, 2021, between the Company and Jefferies LLC (the “ATM Sales Agreement”). During the year ended December 31, 2023, the Company received net proceeds of $2,974 from the sale of shares pursuant to the ATM Sales Agreement.</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11, 2024, the Company issued and sold in a private placement 16,973,103 shares of the Company’s common stock at a price per share of $5.53 and, to one investor in lieu of shares of common stock, pre-funded warrants to purchase 2,712,478 shares of common stock at a price of $5.529 per pre-funded warrant (the “January 2024 Private Placement”). The Company received approximately $104,034 of net proceeds from the January 2024 Private Placement after deducting offering costs.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the financial statements are issued. As of December 31, 2023, the Company had an accumulated deficit of $658,753. During the years ended December 31, 2023, 2022 and 2021, the Company incurred a net loss of $96,015, $85,981 and $72,188, respectively. The Company used $94,180 of cash in operations for the year ended December 31, 2023. The Company expects to continue to generate operating losses in the foreseeable future. Based upon its current operating plan, the Company expects that its cash, cash equivalents and available-for-sale securities of $123,640, excluding restricted cash of $1,833, as of December 31, 2023, together with the net proceeds from the January 2024 Private Placement,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The accompanying consolidated financial statements include the accounts of the Company and its wholly owned or controlled subsidiaries. All intercompany accounts and transactions have been eliminated.</w:t>
      </w:r>
    </w:p>
    <w:p>
      <w:pPr>
        <w:spacing w:after="0" w:line="64" w:lineRule="exact"/>
        <w:rPr>
          <w:sz w:val="20"/>
          <w:szCs w:val="20"/>
          <w:color w:val="auto"/>
        </w:rPr>
      </w:pPr>
    </w:p>
    <w:p>
      <w:pPr>
        <w:ind w:right="7680" w:firstLine="8"/>
        <w:spacing w:after="0" w:line="378" w:lineRule="auto"/>
        <w:tabs>
          <w:tab w:leader="none" w:pos="1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estimates related to revenue recognition, the recognition of research and development expenses and equity-based compensation. Estimates are periodically reviewed in light of changes in circumstances, facts and experience. Changes in estimates are recorded in the period in which they become known. Actual results could differ from the Company’s estimates.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acquisition date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held restricted cash of $1,833 in a restricted bank account as a security deposit for lease of the Company’s facilities as of December 31, 2023 and December 31, 2022. The Company has included restricted cash of $1,833 as a non-current asset as of December 31, 2023 and December 31, 2022. A reconciliation of the amounts of cash and cash equivalents and restricted cash from the cash flow statement to the balance sheet is as follows: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155,384</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119,136</w:t>
            </w: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80" w:type="dxa"/>
            <w:vAlign w:val="bottom"/>
          </w:tcPr>
          <w:p>
            <w:pPr>
              <w:spacing w:after="0"/>
              <w:rPr>
                <w:sz w:val="20"/>
                <w:szCs w:val="20"/>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75,848</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157,217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Available-for-sale securities consist of investments with original maturities greater than 90 days at acquisition date. The Company has classified its investments with maturities beyond one year as short term, based on their highly liquid nature and because such available-for-sale securities represent the investment of cash that is available for current operations.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securities. The Company’s investments are measured and reported at fair value using quoted prices in active markets for similar securities. Unrealized gains and losses on available-for-sale debt securities are reported as a separate component of stockholders’ equity. The cost of debt securities sold is determined on a specific identification basis, and realized gains and losses are included in other income (expense) within the consolidated statement of operations. If any adjustment to fair value reflects a decline in the value of the investment that the Company considers to be “other than temporary,” the Company reduces the investment to fair value through a charge to the consolidated statement of operations. No such adjustments were necessary during the periods presented.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Suppliers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available-for-sale securities. Periodically, the Company maintains deposits in accredited financial institutions in excess of federally insured limits. The Company maintains each of its cash, cash equivalents and available-for-sale securities balances with high-quality and accredited financial institutions and accordingly, such funds are not exposed to significant credit risk. The Company does not believe that it is subject to unusual credit risk beyond the normal credit risk associated with commercial banking relationships.</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of its programs, including clinical and preclinical testing. These programs could be adversely affected by a significant interruption in the supply of such drug substance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9" w:name="page130"/>
    <w:bookmarkEnd w:id="129"/>
    <w:p>
      <w:pPr>
        <w:ind w:left="900" w:right="40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cash equivalents and available-for-sale securities are carried at fair value, determined according to the fair value hierarchy described above. See Note 5, </w:t>
      </w:r>
      <w:r>
        <w:rPr>
          <w:rFonts w:ascii="Times New Roman" w:cs="Times New Roman" w:eastAsia="Times New Roman" w:hAnsi="Times New Roman"/>
          <w:sz w:val="18"/>
          <w:szCs w:val="18"/>
          <w:i w:val="1"/>
          <w:iCs w:val="1"/>
          <w:color w:val="auto"/>
        </w:rPr>
        <w:t>Fair Value of Financial Assets and Liabilities</w:t>
      </w:r>
      <w:r>
        <w:rPr>
          <w:rFonts w:ascii="Times New Roman" w:cs="Times New Roman" w:eastAsia="Times New Roman" w:hAnsi="Times New Roman"/>
          <w:sz w:val="18"/>
          <w:szCs w:val="18"/>
          <w:color w:val="auto"/>
        </w:rPr>
        <w:t>, for additional information. The carrying values of the Company’s accounts payable and accrued expenses and other current liabilities approximate their fair value due to the short-term nature of these liabilities.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At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minimum future lease payments. Adjustments to the right-of-use asset may be required for items such as lease prepayments or incentives received. The Company’s policy is to not record leases with an original term of twelve months or less on the consolidated balance sheets. The Company recognizes lease expense for these short-term leases on a straight-line basis over the lease term. 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right-of-use asset and liability. Only when lease components and their associated non-lease components are fixed are they accounted for as a single lease component and recognized as part of a right-of-use asset and liability. Total contract consideration is allocated to the combined fixed lease and non-lease components.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asset. Laboratory equipment is depreciated over five years. Computer equipment is depreciated over three years. Computer software is depreciated over two years. Furniture and office equipment are depreciated over five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 Equipment under a finance lease is stated at fair value at the inception of the lease less accumulated depreciation and is depreciated over the remaining lease term or the estimated useful life of the equipment.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Revenue from Contracts with Customers (“ASC 606”). 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8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w:t>
      </w:r>
    </w:p>
    <w:p>
      <w:pPr>
        <w:spacing w:after="0" w:line="1" w:lineRule="exact"/>
        <w:rPr>
          <w:sz w:val="20"/>
          <w:szCs w:val="20"/>
          <w:color w:val="auto"/>
        </w:rPr>
      </w:pPr>
    </w:p>
    <w:p>
      <w:pPr>
        <w:ind w:right="20" w:firstLine="8"/>
        <w:spacing w:after="0" w:line="251" w:lineRule="auto"/>
        <w:tabs>
          <w:tab w:leader="none" w:pos="19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prices, the Company evaluates whether changes in the key assumptions used to determine its estimated stand-alone selling prices will have a significant effect on the allocation of arrangement consideration between performance obligations.</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be received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the transaction price based on which method better predicts the amount of consideration expected to be received. If it is probable that a significant reversal in the amount of cumulative revenue recognized would not occur, the variable consideration is included in the transaction price.</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whether the required expertise is readily available.</w:t>
      </w:r>
    </w:p>
    <w:p>
      <w:pPr>
        <w:spacing w:after="0" w:line="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For performance obligations which consist of licenses and other promises, the Company utilizes judgment to assess the nature of the combined performance obligation in order to determine whether the combined performance obligation is satisfied over time or at a point in time. 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 Amounts recognized as revenue, but not yet received or invoiced are generally recognized as contract assets.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ind w:right="20"/>
        <w:spacing w:after="0" w:line="253" w:lineRule="auto"/>
        <w:rPr>
          <w:sz w:val="20"/>
          <w:szCs w:val="20"/>
          <w:color w:val="auto"/>
        </w:rPr>
      </w:pPr>
      <w:r>
        <w:rPr>
          <w:rFonts w:ascii="Times New Roman" w:cs="Times New Roman" w:eastAsia="Times New Roman" w:hAnsi="Times New Roman"/>
          <w:sz w:val="18"/>
          <w:szCs w:val="18"/>
          <w:color w:val="auto"/>
        </w:rPr>
        <w:t>If the license granted in the arrangement is determined to be 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arrangement.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based on certain events, the Company evaluates whether the milestones are considered probable of being achieved and estimates the amount to be included in the transaction price using the most likely amount method. If it is probable that a significant reversal in the amount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in the amount of cumulative revenue recognized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reversal in the amount of cumulative revenue recognized would not occur.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2" w:name="page133"/>
    <w:bookmarkEnd w:id="132"/>
    <w:p>
      <w:pPr>
        <w:ind w:right="40"/>
        <w:spacing w:after="0" w:line="266" w:lineRule="auto"/>
        <w:rPr>
          <w:sz w:val="20"/>
          <w:szCs w:val="20"/>
          <w:color w:val="auto"/>
        </w:rPr>
      </w:pPr>
      <w:r>
        <w:rPr>
          <w:rFonts w:ascii="Times New Roman" w:cs="Times New Roman" w:eastAsia="Times New Roman" w:hAnsi="Times New Roman"/>
          <w:sz w:val="18"/>
          <w:szCs w:val="18"/>
          <w:color w:val="auto"/>
        </w:rPr>
        <w:t>ASC 808 and those that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the Company applies the five-step model described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License and Collaborative Arrangements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All costs associated with license and collaborative arrangements are expensed as incurred and recorded in research and development expense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pre-payments for goods or services that will be used or rendered for future research and development activities are deferred and capitalized. Such amounts are recognized as expense as the goods or services are delivered or the related services are performed, or until it is no longer expected that the goods will be delivered or the services rendered.</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may in-license the rights to develop and commercialize product candidates. For each in-license transaction the Company evaluates whether it has acquired processes or activities along with inputs that would be sufficient to constitute a “business” as defined under GAAP. A “business” as defined under GAAP consists of inputs and processes applied to those inputs that have the ability to create outputs. Although businesses usually have outputs, outputs are not required for an integrated set of activities to qualify as a business. When the Company determines that it has not acquired sufficient processes or activities to constitute a business, any up-front payments, as well as milestone payments, are immediately expensed as acquired research and development in the period in which they are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Contract Costs and Accruals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Estimates based on available information are made in determining the accrual balances at the end of any reporting period. Actual results could differ from the Company's estimates; however, the Company's historical accrual estimates have not been materially different from the actual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for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non-employees based on the fair value on the date of the grant and recognizes compensation expense of those awards, over the requisite service period, which is generally the vesting period of the respective award. Forfeitures are accounted for as they occur. The Company applies the straight-line method of expense recognition to all awards with only service-based vesting conditions. The Company has not issued any awards with performance-based vesting conditions.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and options granted to non-employees,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for restricted stock units (“RSU”) was calculated using the closing price of the Company’s common stock on the date of grant.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3" w:name="page134"/>
    <w:bookmarkEnd w:id="133"/>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 of operations in the same manner in which the award recipient’s payroll costs are classified or in which the award recipient’s service payments are classified.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records valuation allowances to reduce deferred income tax assets to the amount that is more likely than not to be realized. 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January 25, 2018, the Company had not been subject to U.S. federal income taxes as the Company was organized as a limited liability company. As such, the taxable income or loss was passed through to and included in the tax returns of the members. Since January 25, 2018, the Company’s income has since been subject to U.S. federal, state, local, and foreign income taxes and taxed at the prevailing corporate tax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Data</w:t>
      </w:r>
    </w:p>
    <w:p>
      <w:pPr>
        <w:spacing w:after="0" w:line="12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Company’s singular focus is on developing treatments through gene therapy and other means for patients with neuromuscular and cardiac diseases. All of the Company’s tangible assets are held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members. The Company’s only element of other comprehensive income (loss) in all periods presented was unrealized gains (losses) from available-for-sale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by the weighted average number of shares of common stock and pre-funded warrants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and pre-funded warrants outstanding for the period, including potential dilutive shares of common stock assuming the dilutive effect of common stock equivalents.</w:t>
      </w:r>
    </w:p>
    <w:p>
      <w:pPr>
        <w:spacing w:after="0" w:line="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preferred stock could entitle the holders of such shares to participate in dividends and not require the holders of such shares to participate in losses of the Company. Accordingly, in periods in which the Company reports a net loss, such losses are not allocated to such participating securities. In periods in which the Company reports a net loss, diluted net loss per share is the same as basic net loss per share, since dilutive shares of common stock are not assumed to have been issued if their effect is anti-dilutive. As of the years ended December 31, 2023, 2022, and 2021, there was no preferred stock issued or outstanding with any contractual rights.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Loss contingency provisions are recorded if the potential loss from any claim, asserted or unasserted, or legal proceeding, is considered probable and the amount can be reasonably estimated, or a range of loss can be determined. These accruals represent the Company’s best estimate of probable loss. Disclosure also is provided when it is reasonably possible that a loss will be incurred or when it is reasonably possible that the amount of a loss will exceed the recorded provision.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may change its estimates. These changes in the estimates of the potential liabilities could have a material impact on the Company’s consolidated results of operations and financial position.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operations of acquired businesses after the completion of the acquisitions. The Company accounts for acquired businesses using the acquisition method of accounting. Application of this method of accounting requires that (i) identifiable assets acquired (including identifiable intangible assets) and liabilities assumed be measured and recognized at fair value as of the acquisition date, and (ii) the excess of the purchase price over the net fair value of identifiable assets acquired and liabilities assumed be recorded as goodwill. Acquired in-process research and development (“IPR&amp;D”) is recognized at fair value and initially characterized as an indefinite-lived intangible asset, irrespective of whether the acquired IPR&amp;D has an alternative future use. Transaction costs are expensed as incurred. Amounts assigned to goodwill and other identifiable intangible assets are based on independent appraisals or internal estimates.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Accounting Standards Update ("ASU") No. 2023-09, “Income Taxes (Topic 740): Improvements to Income Tax Disclosures.” This ASU updates income tax disclosure requirements primarily by requiring specific categories and greater disaggregation within the rate reconciliation and disaggregation of income taxes paid by jurisdiction. This ASU is effective for annual periods beginning after December 15, 2024 and is applicable to the Company’s fiscal year beginning January 1, 2025, with early application permitted. The Company is currently evaluating the impact of adopting this ASU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Ultragenyx Collaboration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22, 2020, the Company entered into the Collaboration Agreement with Ultragenyx Pharmaceutical Inc. (“Ultragenyx ”) to focus on the development and commercialization of new gene therapies for Duchenne. The Company granted Ultragenyx an exclusive worldwide license for any pharmaceutical product that expresses the Company’s proprietary microdystrophin construct from AAV8 and variants thereof in clade E for the treatment of Duchenne and other diseases resulting from the lack of functional dystrophin (the “Licensed Products”). The Company retains exclusive rights to all other uses of its microdystrophin proteins, including under its SGT-003 program.</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has conducted certain research and development activities with respect to the development of the Licensed Products, and concluded such activities as were contemplated under the Collaboration Agreement during the second quarter of 2022, resulting in the recognition of the remaining deferred revenue recorded at the time the Collaboration Agreement was executed, related to the upfront payment received from Ultragenyx. The Company may conduct additional research and development activities in collaboration with Ultragenyx from time to time in the future. Ultragenyx reimbursed the Company for personnel and out-of-pocket costs that the Company incurred in conducting such activities.</w:t>
      </w:r>
    </w:p>
    <w:p>
      <w:pPr>
        <w:spacing w:after="0" w:line="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addition, Ultragenyx granted to the Company an exclusive Development Option or Income Share Option (each as defined and described below) exercisable in the Company’s sole discretion one time per Licensed Product. After the date of first achievement of clinical proof of concept, Ultragenyx will provide to the Company a data package with respect to the relevant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ind w:right="460"/>
        <w:spacing w:after="0" w:line="282" w:lineRule="auto"/>
        <w:rPr>
          <w:sz w:val="20"/>
          <w:szCs w:val="20"/>
          <w:color w:val="auto"/>
        </w:rPr>
      </w:pPr>
      <w:r>
        <w:rPr>
          <w:rFonts w:ascii="Times New Roman" w:cs="Times New Roman" w:eastAsia="Times New Roman" w:hAnsi="Times New Roman"/>
          <w:sz w:val="18"/>
          <w:szCs w:val="18"/>
          <w:color w:val="auto"/>
        </w:rPr>
        <w:t>Licensed Product. The Company will use the data package to determine whether to exercise the corresponding Development Option or Income Share Option with respect to such Licensed Product.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each Licensed Product for which the Company has not exercised the Development Option or Income Share Option the Company will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entitled to milestone payments of up to $25,000 in the aggregate for each such Licensed Product that achieves specified development milestones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$65,000 in the aggregate for each such Licensed Product that achieves specified regulatory milestones. With respect to each Licensed Product for which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has not exercised the Income Share Option, the Company will also be entitled to milestone payments of up to $165,000 in the aggregate for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 that achieves specified annual worldwide net sales milestones. For Licensed Products for which the Company has not exercised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Option or Income Share Option, Ultragenyx will pay the Company tiered royalties on a Licensed Product-by-Licensed Product and country-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by-country basis ranging from a low double-digit percentage to a mid-teens percentage based on Ultragenyx’s annual worldwide net sales of such Licensed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w:t>
      </w:r>
    </w:p>
    <w:p>
      <w:pPr>
        <w:spacing w:after="0" w:line="9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each Licensed Product for which Ultragenyx decides to initiate a registrational trial in humans, the Company will have the option to fund 30% of the development costs in the United States and European Union for such Licensed Product and forgo the development and regulatory milestones (the “Development Option”) and receive tiered royalties on a Licensed Product-by-Licensed Product and country-by-country basis ranging from a mid-teens percentage to a low twenties percentage based on Ultragenyx’s annual worldwide net sales of each such Licensed Product.</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each Licensed Product for which the Company exercises the Development Option, the Company may also elect to share 30% of the net income and net losses on net sales of such Licensed Product in the United States and European Union (the “Income Share Option”). For Licensed Products for which the Company has exercised the Income Share Option, the Company will not be entitled to milestone payments and Ultragenyx will pay the Company tiered royalties on a Licensed Product-by-Licensed Product and country-by-country basis ranging from a mid-teens percentage to a low twenties percentage based on Ultragenyx’s annual net sales of each such Licensed Product outside of the United States and European Union.</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may only exercise an Income Share Option if neither the Company nor any of its affiliates is then developing or commercializing a product that is competitive with the Licensed Product that is subject to such option. If the Company or any of its affiliates subsequently develops or commercializes a product that is competitive with a Licensed Product for which the Company has exercised an Income Share Option, then the Company and Ultragenyx will no longer share the net income and net losses on net sales of such Licensed Product and such Licensed Product will be treated as if the Company had exercised the Development Option with respect to such Licensed Product.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Following the Company’s exercise of the Development Option or Income Share Option with respect to a Licensed Product, the Company also has the right to cease participation in the sharing of development costs and sharing in net income and net losses on net sales, as applicable, for such Licensed Product by written notice to Ultragenyx. Upon such notice, the Company will no longer share in the development costs and net income and net losses on net sales of such Licensed Product, as applicable, and will be eligible to receive payments on milestones achieved after the opt-out for such Licensed Product and royalties at the rates applicable to Licensed Products for which the Company has not exercised the Development Option or Income Share Option, as described above.</w:t>
      </w:r>
    </w:p>
    <w:p>
      <w:pPr>
        <w:spacing w:after="0" w:line="7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Collaboration Agreement continues on a country-by-country and Licensed Product-by-Licensed Product basis until the expiration of all payment obligations under the agreement. With respect to any Licensed Product for which the Company has exercised an Income Share Option, the Collaboration Agreement continues until there are no longer sales of such Licensed Product in the United States or Europe. Either party has the right to terminate the agreement if the other party has materially breached in the performance of its obligations under the agreement and such breach has not been cured within the applicable cure period. Ultragenyx may also terminate the Collaboration Agreement in its sole discretion upon 90 days’ prior written notice to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Purchase Agreement</w:t>
      </w:r>
    </w:p>
    <w:p>
      <w:pPr>
        <w:spacing w:after="0" w:line="11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the execution of the Collaboration Agreement, Ultragenyx and the Company also entered into a stock purchase agreement (the “Stock Purchase Agreement”) on the Effective Date, pursuant to which the Company issued and sold 521,719 shares of its common stock (the “Shares”) to Ultragenyx at a price of $76.6695 per share for an aggregate purchase price of approximately $40,000. The Stock Purchase Agreement contains customary representations, warranties and covenants of each of the parties thereto. Following the sale of the Shares, Ultragenyx beneficially owned approximately</w:t>
      </w:r>
    </w:p>
    <w:p>
      <w:pPr>
        <w:spacing w:after="0" w:line="3"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14.45% of the Company’s outstanding common stock. As of December 31, 2023, Ultragenyx beneficially owned approximately 2.6% of the Company’s outstanding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Agreement</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connection with the consummation of the transactions contemplated by the Stock Purchase Agreement, the Company and Ultragenyx entered into an Investor Agreement (the “Investor Agreement”) on the Effective Date. Pursuant to the terms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6" w:name="page137"/>
    <w:bookmarkEnd w:id="136"/>
    <w:p>
      <w:pPr>
        <w:ind w:right="20"/>
        <w:spacing w:after="0" w:line="266" w:lineRule="auto"/>
        <w:rPr>
          <w:sz w:val="20"/>
          <w:szCs w:val="20"/>
          <w:color w:val="auto"/>
        </w:rPr>
      </w:pPr>
      <w:r>
        <w:rPr>
          <w:rFonts w:ascii="Times New Roman" w:cs="Times New Roman" w:eastAsia="Times New Roman" w:hAnsi="Times New Roman"/>
          <w:sz w:val="18"/>
          <w:szCs w:val="18"/>
          <w:color w:val="auto"/>
        </w:rPr>
        <w:t>the Investor Agreement, Ultragenyx agreed that, so long as it holds at least 10% of the Company’s outstanding common stock, the Shares will be subject to a voting agreement, such that until the earliest to occur of certain specified events, and subject to specified conditions, Ultragenyx will, and will cause its permitted transferees to, vote in accordance with the recommendation of the Company’s Board of Directors with respect to specified matters.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concluded that the Collaboration Agreement and the Stock Purchase Agreement should be combined and treated as a single arrangement for accounting purposes as the agreements were entered into contemporaneously and in contemplation of one another.</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the contract counterparty, Ultragenyx, is a customer. The Company identified the following promises in the Collaboration Agreement that were evaluated under the scope of ASC 606: (1) an exclusive worldwide license to the Licensed Products; (2) an obligation to perform research and development services; and (3) an obligation to participate in a joint steering committee. The Company assessed the promised goods and services to determine if they are distinct. Based on this assessment, the Company determined that Ultragenyx cannot benefit from the promised goods and services separately from the others as they are highly interrelated and therefore not distinct. Due to the early stage of the Licensed Products, the research and development services could not be performed by another party. The Company’s skill-set, knowledge and expertise are required to conduct the research and development services and the research and development services are expected to involve significant further development of the Licensed Products. Accordingly, the promised goods and services represent one combined performance obligation and the entire transaction price will be allocated to that single combined performance obligation.</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determined the transaction price under ASC 606 at the inception of the Collaboration Agreement to be $22,513, which represents the excess proceeds from the equity investment under the Stock Purchase Agreement, when measured at fair value after taking into consideration a discount for lack of marketability, plus the estimated reimbursement of research and development costs, which represents variable consideration. The Company included the estimated reimbursement of research and development costs in the transaction price at the inception of the arrangement because the Company is required to perform research and development services and the contract requires Ultragenyx to reimburse the Company for costs incurred. Also, since the related revenue would be recognized only as the costs are incurred, the Company determined it is not probable that a significant reversal of cumulative revenue would occur. The Company evaluated how much variable consideration related to development and regulatory milestones, and the Company’s potential exercise of its Development Option or Income Share Option per Licensed Product, to include in the transaction price using the most likely amount approach and concluded that no amount should be included in the transaction price due to the high degree of uncertainty and risk associated with these potential payments. The Company also determined that royalties and sales milestones relate solely to the license of intellectual property and are therefore excluded from the transaction price under the sales- or usage-based royalty exception of ASC 606. Revenue related to these royalties and sales milestones will only be recognized when the associated sales occur, and relevant thresholds are met.</w:t>
      </w:r>
    </w:p>
    <w:p>
      <w:pPr>
        <w:spacing w:after="0" w:line="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determined that revenue under the Collaboration Agreement should be recognized over time as Ultragenyx simultaneously receives the benefit from the Company as the Company performs under the single performance obligation over time. The Company will recognize revenue for the single performance obligation using a cost-to-cost input method as the Company has concluded it best depicts the research and development and joint steering committee participation services performed. Under this method, the transaction price is recognized over the contract’s entire performance period, using costs incurred relative to total estimated costs to determine the extent of progress towards completion.</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Ultragenyx was a related party because Ultragenyx was one of the Company’s significant stockholders as of December 31, 2021 and continued to be a stockholder as of December 31, 2022. However, Ultragenyx is not a significant stockholder as of December 31, 2023. The Company did not recognize any related party collaboration revenue associated with its collaboration with Ultragenyx during the year ended December 31, 2023. The Company recognized $8,094 and $13,620 related party collaboration revenue during the year ended December 31, 2022 and 2021, respectively. Further, the Company has made no payments to Ultragenyx during the years ended December 31, 2023 and 2022. There are no amounts due from Ultragenyx as of December 31, 2023 and December 31, 2022. The amount received is deferred as a contract liability on the Company’s consolidated balance sheet as the performance obligation has been fully satisfied as of December 31, 2022.</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had no changes in related party collaboration receivables or contract liabilities. The following table presents changes in the balances of the Company’s related party collaboration receivables and contract liabilities during the year ended December 31, 2022:</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Related party collaboration receivable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(8,080 )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changes in the related party collaboration receivables balance during the year ended December 31, 2022 are the result of amounts owed to the Company for research and development services provided, offset by the collections received from Ultragenyx.</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was no deferred revenue related to Collaboration Agreement during the years ended December 31, 2023 and 2022. Additionally, there was no related party collaboration receivables during the years ended December 31, 2023 and 2022.</w:t>
      </w:r>
    </w:p>
    <w:p>
      <w:pPr>
        <w:spacing w:after="0" w:line="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Costs incurred relating to the Collaboration Agreement consist of internal and external research and development costs, which primarily include salaries and benefits, lab supplies, preclinical research studies, clinical studies, consulting services, and commercial development. These costs are included in research and development expenses in the Company’s consolidated statement of operations during the years ended December 31, 2022 and 2021. There was no costs incurred during the year ended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September 29, 2022, the Company entered into an Agreement and Plan of Merger with AavantiBio. The Acquisition closed on December 2, 2022 and was announced on December 5, 2022. This acquisition allows the Company to add to its pipeline of assets. The Company acquired AavantiBio for a total purchase price of $9,169, including (i) $1 in cash and (ii) 1,354,258 shares of its common stock, par value $0.001 per share with a fair value of $9,168 to AavantiBio equityholders. The price per share of the Company’s common stock used in the calculation of the purchase price is based on the closing price of Solid’s common stock on the Nasdaq Global Select Market on December 2, 2022, which was $6.77.</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in which the Company, as the accounting acquirer, recorded the assets acquired and liabilities assumed from AavantiBio at their fair values as of the acquisition date. The Company recognized a gain on the purchase of AavantiBio of $18,236 as the net assets acquired of $27,405 were greater than the purchase price of $9,169. Prior to recognizing the gain, the Company reassessed the measurement and recognition of identifiable assets acquired, and liabilities assumed and concluded that the valuation procedures and resulting measures were appropriate, in all material respects. The Company believes that its ability to negotiate a purchase price lower than the fair market value of the acquired net assets was due to a combination of factors, including the then prevailing market conditions and the uncertain future macroeconomic environment. The Company believes the seller, as a smaller, less well capitalized company, was motivated to complete the transaction under the terms described above as growing economic uncertainty and a rising interest rate environment negatively impacted their ability to raise additional capital.</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incurred acquisition related costs of $4,870, which are included in general and administrative expenses in the Company’s consolidated statements of comprehensive loss for the fiscal year ended December 31, 2022.</w:t>
      </w:r>
    </w:p>
    <w:p>
      <w:pPr>
        <w:spacing w:after="0" w:line="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utilizing the fair value hierarchy as described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 and Liabilities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Assets and Liabilities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 the level of the fair value hierarchy utilized to determine such fair values: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80" w:type="dxa"/>
            <w:vAlign w:val="bottom"/>
            <w:gridSpan w:val="12"/>
          </w:tcPr>
          <w:p>
            <w:pPr>
              <w:ind w:left="42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2023:</w:t>
            </w: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25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62,398</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5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F-19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-1096645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-1096645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-1096645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8" w:name="page139"/>
    <w:bookmarkEnd w:id="138"/>
    <w:tbl>
      <w:tblPr>
        <w:tblLayout w:type="fixed"/>
        <w:tblInd w:w="580" w:type="dxa"/>
        <w:tblCellMar>
          <w:top w:w="0" w:type="dxa"/>
          <w:left w:w="0" w:type="dxa"/>
          <w:bottom w:w="0" w:type="dxa"/>
          <w:right w:w="0" w:type="dxa"/>
        </w:tblCellMar>
      </w:tblPr>
      <w:tr>
        <w:trPr>
          <w:trHeight w:val="245"/>
        </w:trPr>
        <w:tc>
          <w:tcPr>
            <w:tcW w:w="5220" w:type="dxa"/>
            <w:vAlign w:val="bottom"/>
          </w:tcPr>
          <w:p>
            <w:pPr>
              <w:spacing w:after="0"/>
              <w:rPr>
                <w:sz w:val="21"/>
                <w:szCs w:val="21"/>
                <w:color w:val="auto"/>
              </w:rPr>
            </w:pPr>
          </w:p>
        </w:tc>
        <w:tc>
          <w:tcPr>
            <w:tcW w:w="4880" w:type="dxa"/>
            <w:vAlign w:val="bottom"/>
            <w:gridSpan w:val="12"/>
          </w:tcPr>
          <w:p>
            <w:pPr>
              <w:ind w:left="42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2022:</w:t>
            </w:r>
          </w:p>
        </w:tc>
      </w:tr>
      <w:tr>
        <w:trPr>
          <w:trHeight w:val="241"/>
        </w:trPr>
        <w:tc>
          <w:tcPr>
            <w:tcW w:w="52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3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69,374</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69,374</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2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127,712</w:t>
            </w:r>
          </w:p>
        </w:tc>
        <w:tc>
          <w:tcPr>
            <w:tcW w:w="10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127,712</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2023 and December 31, 2022 the fair values of the Company’s cash equivalents and available-for-sale securities were determined using Level 2 inputs. During the year ended December 31, 2023 and December 31, 2022, there were no transfers between Level 1, Level 2 and Level 3, respectively.</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Company’s cash, restricted cash, accounts payable, accrued expenses and other current liabilities approximate their carrying value due to their short-term maturities.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Available-for-Sale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fair value of available-for-sale debt securities by type of security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Pr>
          <w:p>
            <w:pPr>
              <w:spacing w:after="0"/>
              <w:rPr>
                <w:sz w:val="21"/>
                <w:szCs w:val="21"/>
                <w:color w:val="auto"/>
              </w:rPr>
            </w:pPr>
          </w:p>
        </w:tc>
      </w:tr>
      <w:tr>
        <w:trPr>
          <w:trHeight w:val="279"/>
        </w:trPr>
        <w:tc>
          <w:tcPr>
            <w:tcW w:w="58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fair value of available-for-sale debt securities by type of security was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45"/>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1"/>
                <w:szCs w:val="21"/>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6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bills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00" w:type="dxa"/>
            <w:vAlign w:val="bottom"/>
          </w:tcPr>
          <w:p>
            <w:pPr>
              <w:spacing w:after="0"/>
              <w:rPr>
                <w:sz w:val="22"/>
                <w:szCs w:val="22"/>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 securities</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(38 )</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23,588</w:t>
            </w:r>
          </w:p>
        </w:tc>
        <w:tc>
          <w:tcPr>
            <w:tcW w:w="100" w:type="dxa"/>
            <w:vAlign w:val="bottom"/>
            <w:shd w:val="clear" w:color="auto" w:fill="CFF0FC"/>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7"/>
        </w:trPr>
        <w:tc>
          <w:tcPr>
            <w:tcW w:w="58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2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10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and amortized cost of the Company’s available-for-sale securities by contractual maturity are summarized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7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r>
      <w:tr>
        <w:trPr>
          <w:trHeight w:val="245"/>
        </w:trPr>
        <w:tc>
          <w:tcPr>
            <w:tcW w:w="7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49,610</w:t>
            </w: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4"/>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07"/>
        </w:trPr>
        <w:tc>
          <w:tcPr>
            <w:tcW w:w="7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8"/>
                <w:szCs w:val="18"/>
                <w:color w:val="auto"/>
              </w:rPr>
            </w:pPr>
          </w:p>
        </w:tc>
      </w:tr>
      <w:tr>
        <w:trPr>
          <w:trHeight w:val="245"/>
        </w:trPr>
        <w:tc>
          <w:tcPr>
            <w:tcW w:w="77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58,406</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average maturity of the Company’s available-for-sale securities as of December 31, 2023 and December 31, 2022 was approximately 0.4 years and 0.5 years,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 Current Assets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Borders>
              <w:bottom w:val="single" w:sz="8" w:color="CFF0FC"/>
            </w:tcBorders>
            <w:shd w:val="clear" w:color="auto" w:fill="CFF0FC"/>
          </w:tcPr>
          <w:p>
            <w:pPr>
              <w:spacing w:after="0"/>
              <w:rPr>
                <w:sz w:val="24"/>
                <w:szCs w:val="24"/>
                <w:color w:val="auto"/>
              </w:rPr>
            </w:pPr>
          </w:p>
        </w:tc>
      </w:tr>
      <w:tr>
        <w:trPr>
          <w:trHeight w:val="76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FF0FC"/>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FF0FC"/>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20,613</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-2553970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-2536825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-2553970</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-2536825</wp:posOffset>
            </wp:positionV>
            <wp:extent cx="431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Depreciation expense was $2,581, $2,408 and $2,964 for the years ended December 31, 2023, 2022 and 2021, respectively. The Company recognized an impairment loss of $374, $0, and $92 for the years ended December 31, 2023, 2022 and 2021, respectively.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4"/>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shd w:val="clear" w:color="auto" w:fill="CFF0FC"/>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w:t>
            </w:r>
          </w:p>
        </w:tc>
        <w:tc>
          <w:tcPr>
            <w:tcW w:w="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Company’s initial public offering, the Company's Board of Directors and stockholders approved the 2018 Omnibus Incentive Plan (the “2018 Plan”), which provides for the reservation of 333,400 shares of common stock for equity awards. On June 16, 2020, the Company’s stockholders approved the 2020 Equity Incentive Plan (as amended or restated, the “2020 Plan”) which consisted of, at the time of approval, (i) 200,000 shares of common stock and (ii) additional shares of common stock (up to 325,268) as is equal to (i) the number of shares reserved under the 2018 Plan that remain available for grant under the 2018 Plan as of immediately prior to the date the 2020 Plan was approved by the Company’s stockholders and (ii) the number of shares subject to awards granted under the 2018 Plan which awards expire, terminate or are otherwise surrendered, cancelled, forfeited or repurchased by the Company at their original issuance price pursuant to a contractual repurchase right.</w:t>
      </w:r>
    </w:p>
    <w:p>
      <w:pPr>
        <w:spacing w:after="0" w:line="8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the effective date of the 2020 Plan, no further awards will be made under the 2018 Plan. Any options or awards outstanding under the 2018 Plan remain outstanding and effective and are governed by their existing terms.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40" w:name="page141"/>
    <w:bookmarkEnd w:id="140"/>
    <w:p>
      <w:pPr>
        <w:ind w:right="340"/>
        <w:spacing w:after="0" w:line="282" w:lineRule="auto"/>
        <w:rPr>
          <w:sz w:val="20"/>
          <w:szCs w:val="20"/>
          <w:color w:val="auto"/>
        </w:rPr>
      </w:pPr>
      <w:r>
        <w:rPr>
          <w:rFonts w:ascii="Times New Roman" w:cs="Times New Roman" w:eastAsia="Times New Roman" w:hAnsi="Times New Roman"/>
          <w:sz w:val="18"/>
          <w:szCs w:val="18"/>
          <w:color w:val="auto"/>
        </w:rPr>
        <w:t>On June 16, 2021, the Company’s stockholders approved an amendment to the 2020 Plan to reserve an additional 466,666 shares of common stock for issuance under the plan.</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1, 2022, the Company’s stockholders approved an amendment and restatement of the 2020 Plan to (i) increase the number of shares of common stock reserved for issuance under the plan by 866,666 shares to 1,533,333 shares, subject to adjustment in the event of stock splits and other similar events, (ii) provide for an annual increase, to be added on the first day of each fiscal year during the term of the plan, beginning with the fiscal year ending December 31, 2023, of 5% of the number of shares of common stock outstanding on the first day of such fiscal year or a lesser number of shares determined by the Company’s Board of Directors, (iii) provide that up to 1,858,601 shares of common stock may be granted as “incentive stock options” under the plan, (iv) extend the term of the plan to December 1, 2032 and (v) revise certain provisions of the plan relating to the Company’s Board of Directors’ ability to delegate authority to make awards under the plan.</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December 31, 2023, 738,778 shares remained available for future issuance under the 2020 Plan. Under the 2020 Plan, stock options may not be granted at less than fair value on the date of grant.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2021 Employee Stock Purchase Plan (the “ESPP”) was adopted by the Company's Board of Directors on April 14, 2021, approved by the stockholders on June 16, 2021, and became effective on June 16, 2021. The first offering period under the ESPP commenced on September 1, 2021.</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6, 2023, the Company's stockholders approved an amendment and restatement of the ESPP to (i) increase the number of shares of common stock reserved for issuance under the ESPP from 73,525 to 473,525 and (ii) provide for an annual increase to be added on the first day of each fiscal year, beginning with the fiscal year ending December 31, 2024 and ending with the fiscal year ending December 31, 2033, equal to the least of (a) 293,597 shares of common stock, (b) one percent (1%) of the outstanding shares of common stock on such date and (c) the number of shares of common stock determined by the Board of Directors. The Company amended and restated the ESPP on November 12, 2023 to provide for 24-month offering periods.</w:t>
      </w:r>
    </w:p>
    <w:p>
      <w:pPr>
        <w:spacing w:after="0" w:line="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reserved for issuance under the ESPP is 473,525 shares. At December 31, 2023, 397,546 shares remained available for future issuance under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g</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4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ual Life</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1,433,968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1,141,449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(54,941 )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(260,804 )</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2,259,672</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December 31, 2023</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2,259,672</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8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616,133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-548005</wp:posOffset>
            </wp:positionV>
            <wp:extent cx="596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-548005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-205105</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596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-205105</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514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 xml:space="preserve">At December 31, 2023, the Company had an aggregate of $8,949 of unrecognized equity-based compensation cost related to stock options outstanding which is expected to be recognized over a weighted average period of 2.8 years. </w:t>
      </w:r>
      <w:r>
        <w:rPr>
          <w:rFonts w:ascii="Times New Roman" w:cs="Times New Roman" w:eastAsia="Times New Roman" w:hAnsi="Times New Roman"/>
          <w:sz w:val="18"/>
          <w:szCs w:val="18"/>
          <w:color w:val="212529"/>
        </w:rPr>
        <w:t>The intrinsic value of stock options outstanding as of December 31,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and 2022 was $863 and $0, respectively. The intrinsic value of stock options exercisable as of December 31, 2023 and 2022 was $27 and $0, respectively. No stock options were exercised during the year ended December 31, 2023.</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41" w:name="page142"/>
    <w:bookmarkEnd w:id="141"/>
    <w:p>
      <w:pPr>
        <w:ind w:right="420"/>
        <w:spacing w:after="0" w:line="282"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using the assumptions noted in the following table for the years ended December 31:</w:t>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220" w:type="dxa"/>
            <w:vAlign w:val="bottom"/>
            <w:gridSpan w:val="5"/>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 - 129.60%  118.5% - 130.3%  115.5% - 123.9%</w:t>
            </w:r>
          </w:p>
        </w:tc>
        <w:tc>
          <w:tcPr>
            <w:tcW w:w="0" w:type="dxa"/>
            <w:vAlign w:val="bottom"/>
          </w:tcPr>
          <w:p>
            <w:pPr>
              <w:spacing w:after="0"/>
              <w:rPr>
                <w:sz w:val="1"/>
                <w:szCs w:val="1"/>
                <w:color w:val="auto"/>
              </w:rPr>
            </w:pPr>
          </w:p>
        </w:tc>
      </w:tr>
      <w:tr>
        <w:trPr>
          <w:trHeight w:val="103"/>
        </w:trPr>
        <w:tc>
          <w:tcPr>
            <w:tcW w:w="4760" w:type="dxa"/>
            <w:vAlign w:val="bottom"/>
            <w:shd w:val="clear" w:color="auto" w:fill="CFF0FC"/>
          </w:tcPr>
          <w:p>
            <w:pPr>
              <w:spacing w:after="0"/>
              <w:rPr>
                <w:sz w:val="8"/>
                <w:szCs w:val="8"/>
                <w:color w:val="auto"/>
              </w:rPr>
            </w:pPr>
          </w:p>
        </w:tc>
        <w:tc>
          <w:tcPr>
            <w:tcW w:w="4220" w:type="dxa"/>
            <w:vAlign w:val="bottom"/>
            <w:gridSpan w:val="5"/>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5.31 - 6.25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5.31 - 6.25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5.10 - 6.25</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- 4.9%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- 3.9%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- 1.4%</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weighted average fair value of options to purchase shares of common stock granted during the year ended </w:t>
      </w:r>
      <w:r>
        <w:rPr>
          <w:rFonts w:ascii="Times New Roman" w:cs="Times New Roman" w:eastAsia="Times New Roman" w:hAnsi="Times New Roman"/>
          <w:sz w:val="18"/>
          <w:szCs w:val="18"/>
          <w:color w:val="212529"/>
        </w:rPr>
        <w:t>December 31,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12529"/>
        </w:rPr>
        <w:t>2022</w:t>
      </w:r>
      <w:r>
        <w:rPr>
          <w:rFonts w:ascii="Times New Roman" w:cs="Times New Roman" w:eastAsia="Times New Roman" w:hAnsi="Times New Roman"/>
          <w:sz w:val="18"/>
          <w:szCs w:val="18"/>
          <w:color w:val="auto"/>
        </w:rPr>
        <w:t xml:space="preserve"> was $4.76 and $7.59,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2023, 2022 and 2021, the Company's Board of Directors issued restricted stock units to employees. Restricted stock unit grants typically vest over one to four years.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Company’s restricted stock unit activity for the year ended </w:t>
      </w:r>
      <w:r>
        <w:rPr>
          <w:rFonts w:ascii="Times New Roman" w:cs="Times New Roman" w:eastAsia="Times New Roman" w:hAnsi="Times New Roman"/>
          <w:sz w:val="18"/>
          <w:szCs w:val="18"/>
          <w:color w:val="212529"/>
        </w:rPr>
        <w:t>December 31, 2023</w:t>
      </w:r>
      <w:r>
        <w:rPr>
          <w:rFonts w:ascii="Times New Roman" w:cs="Times New Roman" w:eastAsia="Times New Roman" w:hAnsi="Times New Roman"/>
          <w:sz w:val="18"/>
          <w:szCs w:val="18"/>
          <w:color w:val="auto"/>
        </w:rPr>
        <w:t>:</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5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512,557</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(183,951 )</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(117,941 )</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877,181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877,181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-205105</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-205105</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color w:val="212529"/>
        </w:rPr>
        <w:t>December 31, 2023</w:t>
      </w:r>
      <w:r>
        <w:rPr>
          <w:rFonts w:ascii="Times New Roman" w:cs="Times New Roman" w:eastAsia="Times New Roman" w:hAnsi="Times New Roman"/>
          <w:sz w:val="17"/>
          <w:szCs w:val="17"/>
          <w:color w:val="auto"/>
        </w:rPr>
        <w:t>, the Company had an aggregate of $4,293 of unrecognized equity-based compensation cost related to restricted stock units outstanding. The unrecognized expense for the restricted stock units is expected to be recognized over a weighted average period of 2.59 years.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Common Stock</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statutory corporate conversion on January 25, 2018, all restricted Series B and D common units were converted into restricted shares of common stock. As of December 31, 2021, there were no remaining restricted shares of common stock outstanding.</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No restricted common shares vested during the years ended </w:t>
      </w:r>
      <w:r>
        <w:rPr>
          <w:rFonts w:ascii="Times New Roman" w:cs="Times New Roman" w:eastAsia="Times New Roman" w:hAnsi="Times New Roman"/>
          <w:sz w:val="18"/>
          <w:szCs w:val="18"/>
          <w:color w:val="212529"/>
        </w:rPr>
        <w:t>December 31, 2023 and 2022.</w:t>
      </w:r>
      <w:r>
        <w:rPr>
          <w:rFonts w:ascii="Times New Roman" w:cs="Times New Roman" w:eastAsia="Times New Roman" w:hAnsi="Times New Roman"/>
          <w:sz w:val="18"/>
          <w:szCs w:val="18"/>
          <w:color w:val="auto"/>
        </w:rPr>
        <w:t xml:space="preserve"> The aggregate intrinsic value of restricted common shares that vested during the </w:t>
      </w:r>
      <w:r>
        <w:rPr>
          <w:rFonts w:ascii="Times New Roman" w:cs="Times New Roman" w:eastAsia="Times New Roman" w:hAnsi="Times New Roman"/>
          <w:sz w:val="18"/>
          <w:szCs w:val="18"/>
          <w:color w:val="212529"/>
        </w:rPr>
        <w:t>year ended December 31, 2021 was</w:t>
      </w:r>
      <w:r>
        <w:rPr>
          <w:rFonts w:ascii="Times New Roman" w:cs="Times New Roman" w:eastAsia="Times New Roman" w:hAnsi="Times New Roman"/>
          <w:sz w:val="18"/>
          <w:szCs w:val="18"/>
          <w:color w:val="auto"/>
        </w:rPr>
        <w:t xml:space="preserve"> $199.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color w:val="212529"/>
        </w:rPr>
        <w:t>December 31, 2023</w:t>
      </w:r>
      <w:r>
        <w:rPr>
          <w:rFonts w:ascii="Times New Roman" w:cs="Times New Roman" w:eastAsia="Times New Roman" w:hAnsi="Times New Roman"/>
          <w:sz w:val="18"/>
          <w:szCs w:val="18"/>
          <w:color w:val="auto"/>
        </w:rPr>
        <w:t>, the Company had an aggregate of $0 of unrecognized equity-based compensation related restricted shares of common stock.</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equity-based compensation expense related to all of its share-based awards to employees and non-employees in the following captions within its consolidated statements of operations for the years ended </w:t>
      </w:r>
      <w:r>
        <w:rPr>
          <w:rFonts w:ascii="Times New Roman" w:cs="Times New Roman" w:eastAsia="Times New Roman" w:hAnsi="Times New Roman"/>
          <w:sz w:val="18"/>
          <w:szCs w:val="18"/>
          <w:color w:val="212529"/>
        </w:rPr>
        <w:t>December 31, 2023, 2022, and 2021:</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r>
        <w:trPr>
          <w:trHeight w:val="39"/>
        </w:trPr>
        <w:tc>
          <w:tcPr>
            <w:tcW w:w="5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80" w:type="dxa"/>
            <w:vAlign w:val="bottom"/>
            <w:shd w:val="clear" w:color="auto" w:fill="CFF0FC"/>
          </w:tcPr>
          <w:p>
            <w:pPr>
              <w:spacing w:after="0"/>
              <w:rPr>
                <w:sz w:val="20"/>
                <w:szCs w:val="20"/>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tcPr>
          <w:p>
            <w:pPr>
              <w:spacing w:after="0"/>
              <w:rPr>
                <w:sz w:val="20"/>
                <w:szCs w:val="20"/>
                <w:color w:val="auto"/>
              </w:rPr>
            </w:pPr>
          </w:p>
        </w:tc>
      </w:tr>
      <w:tr>
        <w:trPr>
          <w:trHeight w:val="276"/>
        </w:trPr>
        <w:tc>
          <w:tcPr>
            <w:tcW w:w="5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laboratory and office space in Massachusetts, North Carolina and Florida.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2" w:name="page143"/>
    <w:bookmarkEnd w:id="142"/>
    <w:p>
      <w:pPr>
        <w:ind w:right="20"/>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lease with Hood Park LLC (“Landlord”), pursuant to which the Company leases approximately 49,869 square feet of office, laboratory, research and development and manufacturing space located in Charlestown, Massachusetts (“Premises”). The Company relocated its corporate headquarters to the Premises in June 2022. The initial term of the lease commenced in June 2022 when the construction of the lessor assets was substantially completed and continues for a ten-year period, unless earlier terminated. The lease provides the Company with an option to extend the lease for an additional five-year term. The Company and the Landlord were each obligated to undertake certain improvements prior to the commencement of the lease, and significant improvements were completed as of June 2022. The monthly lease payment is approximately $305 with annual escalation of approximately 3%. The lease includes a $10,223 construction allowance which is considered a lease incentive and included within the right-of-use asset. The Company was required to post a customary letter of credit in the amount of $1,833, subject to decrease on a set schedule, as a security deposit pursuant to the lease.</w:t>
      </w:r>
    </w:p>
    <w:p>
      <w:pPr>
        <w:spacing w:after="0" w:line="80"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 failed sales-leaseback transaction related to certain lab equipment. The related financing liabilities are recorded on the Company's consolidated balance sheets within financing liabilities. In connection with this transaction, the Company also recorded a cash inflow within the financing activities under proceeds from financing liabilities of $2,143.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minimum future lease payments for these operating and finance leases were as follows:</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80" w:type="dxa"/>
            <w:vAlign w:val="bottom"/>
            <w:shd w:val="clear" w:color="auto" w:fill="CFF0FC"/>
          </w:tcPr>
          <w:p>
            <w:pPr>
              <w:spacing w:after="0"/>
              <w:rPr>
                <w:sz w:val="21"/>
                <w:szCs w:val="21"/>
                <w:color w:val="auto"/>
              </w:rPr>
            </w:pPr>
          </w:p>
        </w:tc>
      </w:tr>
      <w:tr>
        <w:trPr>
          <w:trHeight w:val="237"/>
        </w:trPr>
        <w:tc>
          <w:tcPr>
            <w:tcW w:w="61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38,350</w:t>
            </w:r>
          </w:p>
        </w:tc>
        <w:tc>
          <w:tcPr>
            <w:tcW w:w="80" w:type="dxa"/>
            <w:vAlign w:val="bottom"/>
            <w:tcBorders>
              <w:top w:val="single" w:sz="8" w:color="CFF0FC"/>
            </w:tcBorders>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(242 )</w:t>
            </w: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80" w:type="dxa"/>
            <w:vAlign w:val="bottom"/>
            <w:shd w:val="clear" w:color="auto" w:fill="CFF0FC"/>
          </w:tcPr>
          <w:p>
            <w:pPr>
              <w:spacing w:after="0"/>
              <w:rPr>
                <w:sz w:val="21"/>
                <w:szCs w:val="21"/>
                <w:color w:val="auto"/>
              </w:rPr>
            </w:pPr>
          </w:p>
        </w:tc>
      </w:tr>
      <w:tr>
        <w:trPr>
          <w:trHeight w:val="236"/>
        </w:trPr>
        <w:tc>
          <w:tcPr>
            <w:tcW w:w="61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24,562</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-504825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recorded rent expense of $5,255, $3,881 and $2,568 for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Short-term lease and variable lease costs were not material for the year ended </w:t>
      </w:r>
      <w:r>
        <w:rPr>
          <w:rFonts w:ascii="Times New Roman" w:cs="Times New Roman" w:eastAsia="Times New Roman" w:hAnsi="Times New Roman"/>
          <w:sz w:val="18"/>
          <w:szCs w:val="18"/>
          <w:color w:val="212529"/>
        </w:rPr>
        <w:t>December 31, 2023 and 2022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supplemental disclosure of cash flow information related to the Company’s leases and the weighted average remaining lease term and weighted average discount rate of the Company’s leases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80" w:type="dxa"/>
            <w:vAlign w:val="bottom"/>
          </w:tcPr>
          <w:p>
            <w:pPr>
              <w:spacing w:after="0"/>
              <w:rPr>
                <w:sz w:val="13"/>
                <w:szCs w:val="13"/>
                <w:color w:val="auto"/>
              </w:rPr>
            </w:pPr>
          </w:p>
        </w:tc>
        <w:tc>
          <w:tcPr>
            <w:tcW w:w="2100" w:type="dxa"/>
            <w:vAlign w:val="bottom"/>
            <w:gridSpan w:val="4"/>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8"/>
        </w:trPr>
        <w:tc>
          <w:tcPr>
            <w:tcW w:w="114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3"/>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11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210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11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right-of-use-assets</w:t>
            </w:r>
          </w:p>
        </w:tc>
        <w:tc>
          <w:tcPr>
            <w:tcW w:w="720" w:type="dxa"/>
            <w:vAlign w:val="bottom"/>
            <w:shd w:val="clear" w:color="auto" w:fill="CFF0FC"/>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7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7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8"/>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720" w:type="dxa"/>
            <w:vAlign w:val="bottom"/>
          </w:tcPr>
          <w:p>
            <w:pPr>
              <w:spacing w:after="0"/>
              <w:rPr>
                <w:sz w:val="20"/>
                <w:szCs w:val="20"/>
                <w:color w:val="auto"/>
              </w:rPr>
            </w:pPr>
          </w:p>
        </w:tc>
        <w:tc>
          <w:tcPr>
            <w:tcW w:w="7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10.7 %</w:t>
            </w:r>
          </w:p>
        </w:tc>
        <w:tc>
          <w:tcPr>
            <w:tcW w:w="9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10.6 %</w:t>
            </w:r>
          </w:p>
        </w:tc>
        <w:tc>
          <w:tcPr>
            <w:tcW w:w="19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11.9 %</w:t>
            </w:r>
          </w:p>
        </w:tc>
      </w:tr>
      <w:tr>
        <w:trPr>
          <w:trHeight w:val="243"/>
        </w:trPr>
        <w:tc>
          <w:tcPr>
            <w:tcW w:w="1140" w:type="dxa"/>
            <w:vAlign w:val="bottom"/>
          </w:tcPr>
          <w:p>
            <w:pPr>
              <w:spacing w:after="0"/>
              <w:rPr>
                <w:sz w:val="21"/>
                <w:szCs w:val="21"/>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720" w:type="dxa"/>
            <w:vAlign w:val="bottom"/>
          </w:tcPr>
          <w:p>
            <w:pPr>
              <w:spacing w:after="0"/>
              <w:rPr>
                <w:sz w:val="21"/>
                <w:szCs w:val="21"/>
                <w:color w:val="auto"/>
              </w:rPr>
            </w:pPr>
          </w:p>
        </w:tc>
        <w:tc>
          <w:tcPr>
            <w:tcW w:w="7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22.8 %</w:t>
            </w:r>
          </w:p>
        </w:tc>
        <w:tc>
          <w:tcPr>
            <w:tcW w:w="9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21.3 %</w:t>
            </w:r>
          </w:p>
        </w:tc>
        <w:tc>
          <w:tcPr>
            <w:tcW w:w="194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10.7 %</w:t>
            </w:r>
          </w:p>
        </w:tc>
      </w:tr>
      <w:tr>
        <w:trPr>
          <w:trHeight w:val="661"/>
        </w:trPr>
        <w:tc>
          <w:tcPr>
            <w:tcW w:w="1140" w:type="dxa"/>
            <w:vAlign w:val="bottom"/>
          </w:tcPr>
          <w:p>
            <w:pPr>
              <w:spacing w:after="0"/>
              <w:rPr>
                <w:sz w:val="24"/>
                <w:szCs w:val="24"/>
                <w:color w:val="auto"/>
              </w:rPr>
            </w:pPr>
          </w:p>
        </w:tc>
        <w:tc>
          <w:tcPr>
            <w:tcW w:w="576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F-24</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9"/>
        </w:trPr>
        <w:tc>
          <w:tcPr>
            <w:tcW w:w="114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-1207770</wp:posOffset>
            </wp:positionV>
            <wp:extent cx="5700395"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3" w:name="page144"/>
    <w:bookmarkEnd w:id="143"/>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 xml:space="preserve">The Company had an outstanding letter of credit in the amount of $1,833 at </w:t>
      </w:r>
      <w:r>
        <w:rPr>
          <w:rFonts w:ascii="Times New Roman" w:cs="Times New Roman" w:eastAsia="Times New Roman" w:hAnsi="Times New Roman"/>
          <w:sz w:val="18"/>
          <w:szCs w:val="18"/>
          <w:color w:val="212529"/>
        </w:rPr>
        <w:t>December 31, 2023</w:t>
      </w:r>
      <w:r>
        <w:rPr>
          <w:rFonts w:ascii="Times New Roman" w:cs="Times New Roman" w:eastAsia="Times New Roman" w:hAnsi="Times New Roman"/>
          <w:sz w:val="18"/>
          <w:szCs w:val="18"/>
          <w:color w:val="auto"/>
        </w:rPr>
        <w:t xml:space="preserve"> and 2022, which was required as a condition of the Company’s office and laboratory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its executive officers and members of its Board of Directors that require the Company, among other things, to indemnify them against certain liabilities that may arise by reason of their status or service as executive officers or directors.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2023 and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The Company is not aware of any material legal proceedings or claims as of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Washington License Agreement</w:t>
      </w:r>
    </w:p>
    <w:p>
      <w:pPr>
        <w:spacing w:after="0" w:line="11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In 2015, the Company entered into a license agreement with the University of Washington, acting through UW CoMotion, under which the Company obtained an exclusive, royalty-bearing, sublicensable, worldwide license under a patent application owned by the University of Washington relating to novel micro-dystrophins and all patents claiming priority to such patent to develop, manufacture, and commercialize products for use in the treatment of Duchenne and related disease indications caused by a lack of functional dystrophin. The Company has the right to grant sublicenses to third parties contingent upon written approval by the University of Washington prior to executing such sublicense, which approval may not be unreasonably withheld.</w:t>
      </w:r>
    </w:p>
    <w:p>
      <w:pPr>
        <w:spacing w:after="0" w:line="6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for the rights granted by the agreement, the Company paid a one-time, non-refundable license fee, which was recorded as a research and development expense in 2015. The Company is required to reimburse the University of Washington for costs incurred in applying for, prosecuting and maintaining patents and pay up to an aggregate of approximately $1,000 upon the achievement of certain milestones. In October 2017, the first milestone was achieved under this agreement. The milestone payment was recorded as a research and development expense in the fourth quarter of 2017. In October 2020, the license agreement was amended such that the Company was required to pay the University of Washington $375 in connection with the execution of the Collaboration Agreement. This payment was recorded as a research and development expense in the fourth quarter of 2020. The license agreement was also amended such that the Company is required to pay an aggregate of approximately $3,400 upon the achievement of certain milestones. There were no milestones achieved during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The Company must also pay royalties of a low single digit percentage of future sales by the Company and its sublicensees of products developed under the licensed patent rights. In addition, the Company must pay an annual maintenance fee until certain milestones are achieved, at which time a minimum annual royalty requirement will replace such maintenance fee and will apply to the Company and its sublicensees.</w:t>
      </w:r>
    </w:p>
    <w:p>
      <w:pPr>
        <w:spacing w:after="0" w:line="8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licensed under the agreement. The Company may terminate the agreement at any time upon providing sixty days’ written notice to the University of Washington. The University of Washington may terminate the agreement upon the Company’s uncured, material breach of the agreement or if the Company enters into an insolvency-related event.</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$41, $96, and $60 for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respectively, under the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i w:val="1"/>
          <w:iCs w:val="1"/>
          <w:color w:val="auto"/>
        </w:rPr>
        <w:t>The University of Missouri License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2015, the Company entered into a license agreement with the Curators of the University of Missouri (the “University of Missouri”), a public corporation of Missouri, under which the Company obtained an exclusive, royalty-bearing, sublicensable, worldwide license under certain patent and patent applications owned by the University of Missouri relating to a novel synthetic microdystrophin gene to make, sell and distribute products for use in the treatment of Duchene and related disease indications resulting from a lack of functional dystrophin.</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by the agreement, the Company paid a one-time, non-refundable license fee, which was recorded as a research and development expense in 2015. The Company is required to reimburse the University of Missouri for costs incurred in applying for, prosecuting and maintaining the licensed patents and pay up to an aggregate of approximately $1,000 upon the achievement of certain milestones for each product developed based on the licensed patents. In October 2017, the first milestone was achieved under this agreement. The milestone payment was recorded as a research and development expense in the fourth quarter of 2017.</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agreement, in the event the Company grants a sublicenses to another party, the Company is required to pay the University of Missouri a percentage of the consideration received. The license agreement was amended such that the Company was required to pay the University of Missouri $750 in 2021 and $1,300 in 2022 as a result of the execution of the Collaboration Agreement with Ultragenyx in October 2020. These amounts were recorded as a research and development expense in the fourth quarter of 2020. The Company paid $750 in February 2021 and $1,300 in February 2022. The license agreement was also amended such that the Company is required to pay an aggregate of approximately $1,900 upon the achievement of certain milestones.</w:t>
      </w:r>
    </w:p>
    <w:p>
      <w:pPr>
        <w:spacing w:after="0" w:line="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There were no milestones achieved during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The Company must pay a royalty of a low single digit percentage of future sales or by its sublicensees of products developed using the licensed patents. In addition, the Company must pay an annual maintenance fee until certain milestones are achieved, after which time a minimum annual royalty will replace such maintenance fee.</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agreement, the Company granted the University of Missouri a non-exclusive, royalty-free, irrevocable, paid-up license, with the right to grant sublicenses to non-profit, academic, educational or governmental institutions, to practice and use improvements made by the Company using the licensed patent rights, solely for non-commercial research purposes.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the Company’s sublicensees fail to achieve certain milestones. The Company may terminate the license agreement at any time upon providing six months’ written notice to the University of Missouri and paying a termination fee. Each of the University of Missouri and the Company may also terminate the agreement for an uncured default or breach of the agreement by the other party. The Company’s ability to cure such breach only applies to the first two notices of such breach provided by the University of Missouri, and thereafter, the University of Missouri may terminate the agreement for the Company’s default or breach of the agreement upon thirty days’ written notice without an opportunity to cure such default or breach.</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$132, $133, and $195 for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respectively, under the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University of Michigan License Agreement</w:t>
      </w:r>
    </w:p>
    <w:p>
      <w:pPr>
        <w:spacing w:after="0" w:line="11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2016, the Company entered into a license agreement with the Regents of the University of Michigan, (the “University of Michigan”), a constitutional corporation of Michigan, under which the Company obtained an exclusive, royalty-bearing, sublicensable, worldwide license to make, sell and distribute products under certain patents owned by the University of Michigan related to microdystrophin and utrophin spectrin-like nucleic acid sequences for any use that, but for this agreement, would comprise an infringement of a valid claim included in the licensed patent rights.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consideration for the rights granted by the agreement, the Company paid a one-time license fee and a separate fee to cover past patent prosecution costs, which the Company recorded as a research and development expense in 2016. The Company was required to reimburse the University of Michigan for costs incurred in applying for, prosecuting and maintaining patents, and pay up to an aggregate of approximately $1,000 upon the achievement of certain milestones. There were no milestones achieved during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The Company was also required to pay a royalty of a low single digit percentage on future sales by the Company or its sublicensees of products developed using the licensed rights, with a minimum annual royalty after certain milestones are achieved. In addition, the Company was required to pay an annual maintenance fee in any year in which the minimum annual royalty is not reached.</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agreement, the University of Michigan reserved for itself and its affiliates the right to use the licensed rights for non-commercial research, public service, internal and educational purposes and the right to grant the same limited non-commercial rights to other non-profit research institutions.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145" w:name="page146"/>
    <w:bookmarkEnd w:id="145"/>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$0, $0 and $37 for the years ended </w:t>
      </w:r>
      <w:r>
        <w:rPr>
          <w:rFonts w:ascii="Times New Roman" w:cs="Times New Roman" w:eastAsia="Times New Roman" w:hAnsi="Times New Roman"/>
          <w:sz w:val="18"/>
          <w:szCs w:val="18"/>
          <w:color w:val="212529"/>
        </w:rPr>
        <w:t>December 31, 2023, 2022, and 2021</w:t>
      </w:r>
      <w:r>
        <w:rPr>
          <w:rFonts w:ascii="Times New Roman" w:cs="Times New Roman" w:eastAsia="Times New Roman" w:hAnsi="Times New Roman"/>
          <w:sz w:val="18"/>
          <w:szCs w:val="18"/>
          <w:color w:val="auto"/>
        </w:rPr>
        <w:t>, respectively, under the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Florida License Agreements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2020, AavantiBio entered into license agreements with the University of Florida Research Foundation, Inc. (“UFRF”). Broadly, the agreements relate to FA. The Company acquired the agreements in connection with the Acquisition. In 2023, the Company entered into an additional license agreement with UFRF. Under each agreement the Company obtained an exclusive, royalty-bearing, sublicensable, world-wide license to certain patents and patent applications and a royalty-bearing non-exclusive license under the know-how, to make, have made, use, see, have sold, import and export licensed products. UFRF retains the right to practice the patent rights and know-how for internal non-commercial research, including research sponsored by commercial entities, and educational purposes.</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each agreement, AavantiBio paid a one-time non-refundable license fee. In connection with each agreement, the Company is required to pay an annual license maintenance fee until the first commercial sale of a licensed product after which time a minimum annual royalty will replace such maintenance fees. Under each agreement, the Company is required to reimburse UFRF for costs incurred in applying for, prosecuting and maintaining patents, pay up to an aggregate of approximately $2,900 upon the achievement of certain intellectual property, clinical and regulatory milestones for each licensed product under the agreement, and pay a low, single digit royalty on annual net sales by us and our sublicensees of licensed products on a licensed-product-by-licensed product basis. For any licensed product covered by both of these agreements, the Company is only obligated to make one payment for each milestone achieved and royalty payment due. Prior to the Acquisition, AavantiBio paid a single milestone fee related to the agreements of $50. Under each agreement, in the event the Company grants a sublicense to another party, the Company is required to pay UFRF a percentage of the consideration received.</w:t>
      </w:r>
    </w:p>
    <w:p>
      <w:pPr>
        <w:spacing w:after="0" w:line="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Under each agreement, the Company has the right to grant sublicenses to third parties through multiple tiers, to the extent we are in compliance with our diligence obligations under the agreement and that sublicensee is subject to the terms of such agreement.</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each agreement, the Company is obligated to use commercially reasonable efforts to develop and commercialize products covered by the licensed patent rights or know-how and to achieve certain regulatory and commercialization milestones within estimated time periods. Under the agreement entered in 2023, the Company agreed to pay to UFRF cumulative sales milestones of up to $8,500 upon achievement of specified milestone events and tiered royalties on worldwide net sales in the low-to-mid-single digits.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Under each agreement, UFRF controls the prosecution and maintenance of the licensed patents in consultation with the Company and at the Company's expense. In countries in which the Company has not requested prosecution or maintenance of licensed patents in a particular country or jurisdiction, the license granted to such patent rights will terminate in such country or jurisdiction. The Company has the first right to enforce such licensed patents at our expense.</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of the agreements terminates on a licensed product-by-licensed product basis on the later of: (i) expiration of the patent rights covering such licensed product or (ii) ten (10) years from the first commercial sale of such licensed product. After five years, the Company may terminate an agreement for any reason giving advance written notice and reason for termination. UFRF may terminate an agreement for our uncured default or breach of the agreement. UFRF may immediately terminate an agreement if we bring or assist others in bringing a patent challenge against of the licensed patent rights. If UFRF sends the Company a written demand to terminate a sublicense agreement due to such sublicensee bringing or assisting a patent challenge, UFRF may terminate such agreement if we do not terminate the license with such sublicensee.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Maugeri License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29, 2023, the Company entered into a license agreement (the "Maugeri License Agreement"), with ICS Maugeri S.p.A. SB ("Maugeri"), to focus on the development and commercialization of cardiac-related products by the Company based on Maugeri’s inventions. Pursuant to the Maugeri License Agreement, Maugeri granted us an exclusive worldwide sublicensable license in certain Maugeri patent rights, including existing patent rights, and those in any improvements or know-how made in performance of the Maugeri License Agreement, and a non-exclusive worldwide sublicensable license in certain Maugeri know-how, including existing know-how, and on any improvement thereto, in each case, subject to certain conditions, that is necessary or reasonably useful to develop the licensed products under the terms of the Maugeri License Agreement. The Company will conduct certain activities agreed to by the parties with respect to the research and development of licensed products. A condition precedent to the effectiveness of the Maugeri License Agreement was regulatory review in Italy, which was completed in the third quarter of 2023 and, upon the completion of the condition precedent, the Maugeri License Agreement became effective.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6" w:name="page147"/>
    <w:bookmarkEnd w:id="146"/>
    <w:p>
      <w:pPr>
        <w:ind w:right="40"/>
        <w:spacing w:after="0" w:line="271" w:lineRule="auto"/>
        <w:rPr>
          <w:sz w:val="20"/>
          <w:szCs w:val="20"/>
          <w:color w:val="auto"/>
        </w:rPr>
      </w:pPr>
      <w:r>
        <w:rPr>
          <w:rFonts w:ascii="Times New Roman" w:cs="Times New Roman" w:eastAsia="Times New Roman" w:hAnsi="Times New Roman"/>
          <w:sz w:val="18"/>
          <w:szCs w:val="18"/>
          <w:color w:val="auto"/>
        </w:rPr>
        <w:t>The Company paid Maugeri an upfront license fee of €1,500, which was recorded as research and development expense during the second quarter of 2023. Additionally, the Company agreed to cumulative developmental, regulatory, and commercial milestone payments of up to €15,000, cumulative sales milestone payments of up to €15,000, upon achievement of specified milestone events, and tiered royalties on worldwide net sales in the low-to-mid-single-digits.</w:t>
      </w:r>
    </w:p>
    <w:p>
      <w:pPr>
        <w:spacing w:after="0" w:line="6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Maugeri License Agreement continues until the latest expiry of (i) the last valid claim (as defined in the Maugeri License Agreement), (ii) regulatory exclusivity, and (iii) all payment obligations. Either party may terminate the Maugeri License Agreement for the other party’s uncured material breach. The Company may also terminate the Maugeri License Agreement in its sole discretion upon 60 days’ prior written notice to Maugeri and payment of a fee</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has committed to make potential future milestone payments and pay legal fees to third parties as part of licensing and development programs. The agreements generally required an upfront license fee and, under each agreement, the Company may be required to pay annual maintenance fees, royalties, milestone payments and sublicensing fees. Each license agreement is generally cancelable by the Company, given appropriate prior written notice. At December 31, 2023, potential future milestone payments under these agreements totaled an aggregate of $12,000. None of these milestones were assessed to be probable as of December 31, 2023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were calculated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numerator for basic and diluted net loss per share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52"/>
        </w:trPr>
        <w:tc>
          <w:tcPr>
            <w:tcW w:w="1140" w:type="dxa"/>
            <w:vAlign w:val="bottom"/>
          </w:tcPr>
          <w:p>
            <w:pPr>
              <w:spacing w:after="0"/>
              <w:rPr>
                <w:sz w:val="21"/>
                <w:szCs w:val="21"/>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(96,015 )  $</w:t>
            </w: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(85,981 )  $</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(72,188 )</w:t>
            </w:r>
          </w:p>
        </w:tc>
      </w:tr>
      <w:tr>
        <w:trPr>
          <w:trHeight w:val="20"/>
        </w:trPr>
        <w:tc>
          <w:tcPr>
            <w:tcW w:w="1140" w:type="dxa"/>
            <w:vAlign w:val="bottom"/>
          </w:tcPr>
          <w:p>
            <w:pPr>
              <w:spacing w:after="0" w:line="20" w:lineRule="exact"/>
              <w:rPr>
                <w:sz w:val="1"/>
                <w:szCs w:val="1"/>
                <w:color w:val="auto"/>
              </w:rPr>
            </w:pPr>
          </w:p>
        </w:tc>
        <w:tc>
          <w:tcPr>
            <w:tcW w:w="5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309"/>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denominator is as follows: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1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-540385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-523240</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-540385</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-523240</wp:posOffset>
            </wp:positionV>
            <wp:extent cx="514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-540385</wp:posOffset>
            </wp:positionV>
            <wp:extent cx="514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-523240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3003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5700395" cy="30035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p>
      <w:pPr>
        <w:ind w:left="1280" w:right="720" w:hanging="134"/>
        <w:spacing w:after="0" w:line="262" w:lineRule="auto"/>
        <w:rPr>
          <w:sz w:val="20"/>
          <w:szCs w:val="20"/>
          <w:color w:val="auto"/>
        </w:rPr>
      </w:pPr>
      <w:r>
        <w:rPr>
          <w:rFonts w:ascii="Times New Roman" w:cs="Times New Roman" w:eastAsia="Times New Roman" w:hAnsi="Times New Roman"/>
          <w:sz w:val="18"/>
          <w:szCs w:val="18"/>
          <w:color w:val="auto"/>
        </w:rPr>
        <w:t>Weighted average common stock outstanding, basic and diluted</w:t>
      </w:r>
    </w:p>
    <w:p>
      <w:pPr>
        <w:spacing w:after="0" w:line="1" w:lineRule="exact"/>
        <w:rPr>
          <w:sz w:val="20"/>
          <w:szCs w:val="20"/>
          <w:color w:val="auto"/>
        </w:rPr>
      </w:pPr>
    </w:p>
    <w:p>
      <w:pPr>
        <w:ind w:left="1140"/>
        <w:spacing w:after="0" w:line="367" w:lineRule="auto"/>
        <w:rPr>
          <w:sz w:val="20"/>
          <w:szCs w:val="20"/>
          <w:color w:val="auto"/>
        </w:rPr>
      </w:pPr>
      <w:r>
        <w:rPr>
          <w:rFonts w:ascii="Times New Roman" w:cs="Times New Roman" w:eastAsia="Times New Roman" w:hAnsi="Times New Roman"/>
          <w:sz w:val="18"/>
          <w:szCs w:val="18"/>
          <w:color w:val="auto"/>
        </w:rPr>
        <w:t>Weighted average pre-funded warrants to purchase common stock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-235585</wp:posOffset>
            </wp:positionV>
            <wp:extent cx="5700395" cy="1797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per share, basic and diluted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325755</wp:posOffset>
            </wp:positionV>
            <wp:extent cx="5700395" cy="1797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19,884,007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8,512,089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6,974,136</w:t>
            </w:r>
          </w:p>
        </w:tc>
      </w:tr>
      <w:tr>
        <w:trPr>
          <w:trHeight w:val="250"/>
        </w:trPr>
        <w:tc>
          <w:tcPr>
            <w:tcW w:w="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143,888</w:t>
            </w:r>
          </w:p>
        </w:tc>
      </w:tr>
      <w:tr>
        <w:trPr>
          <w:trHeight w:val="239"/>
        </w:trPr>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19,884,007</w:t>
            </w:r>
          </w:p>
        </w:tc>
        <w:tc>
          <w:tcPr>
            <w:tcW w:w="1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8,512,089</w:t>
            </w:r>
          </w:p>
        </w:tc>
        <w:tc>
          <w:tcPr>
            <w:tcW w:w="16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7,118,024</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2"/>
        </w:trPr>
        <w:tc>
          <w:tcPr>
            <w:tcW w:w="40" w:type="dxa"/>
            <w:vAlign w:val="bottom"/>
          </w:tcPr>
          <w:p>
            <w:pPr>
              <w:spacing w:after="0"/>
              <w:rPr>
                <w:sz w:val="24"/>
                <w:szCs w:val="24"/>
                <w:color w:val="auto"/>
              </w:rPr>
            </w:pPr>
          </w:p>
        </w:tc>
        <w:tc>
          <w:tcPr>
            <w:tcW w:w="284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60" w:type="dxa"/>
            <w:vAlign w:val="bottom"/>
            <w:tcBorders>
              <w:bottom w:val="single" w:sz="8" w:color="auto"/>
            </w:tcBorders>
          </w:tcPr>
          <w:p>
            <w:pPr>
              <w:spacing w:after="0"/>
              <w:rPr>
                <w:sz w:val="24"/>
                <w:szCs w:val="24"/>
                <w:color w:val="auto"/>
              </w:rPr>
            </w:pPr>
          </w:p>
        </w:tc>
      </w:tr>
      <w:tr>
        <w:trPr>
          <w:trHeight w:val="184"/>
        </w:trPr>
        <w:tc>
          <w:tcPr>
            <w:tcW w:w="40" w:type="dxa"/>
            <w:vAlign w:val="bottom"/>
          </w:tcPr>
          <w:p>
            <w:pPr>
              <w:spacing w:after="0"/>
              <w:rPr>
                <w:sz w:val="15"/>
                <w:szCs w:val="15"/>
                <w:color w:val="auto"/>
              </w:rPr>
            </w:pPr>
          </w:p>
        </w:tc>
        <w:tc>
          <w:tcPr>
            <w:tcW w:w="106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0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-8890</wp:posOffset>
            </wp:positionV>
            <wp:extent cx="228028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00" w:space="500"/>
            <w:col w:w="4800"/>
          </w:cols>
          <w:pgMar w:left="320" w:top="1201" w:right="379" w:bottom="1440" w:gutter="0" w:footer="0" w:header="0"/>
          <w:type w:val="continuous"/>
        </w:sectPr>
      </w:pPr>
    </w:p>
    <w:p>
      <w:pPr>
        <w:ind w:left="1140"/>
        <w:spacing w:after="0"/>
        <w:tabs>
          <w:tab w:leader="none" w:pos="6440" w:val="left"/>
          <w:tab w:leader="none" w:pos="7100" w:val="left"/>
          <w:tab w:leader="none" w:pos="7740" w:val="left"/>
          <w:tab w:leader="none" w:pos="8300" w:val="left"/>
          <w:tab w:leader="none" w:pos="8980" w:val="left"/>
          <w:tab w:leader="none" w:pos="9540" w:val="left"/>
        </w:tabs>
        <w:rPr>
          <w:sz w:val="20"/>
          <w:szCs w:val="20"/>
          <w:color w:val="auto"/>
        </w:rPr>
      </w:pPr>
      <w:r>
        <w:rPr>
          <w:rFonts w:ascii="Times New Roman" w:cs="Times New Roman" w:eastAsia="Times New Roman" w:hAnsi="Times New Roman"/>
          <w:sz w:val="18"/>
          <w:szCs w:val="18"/>
          <w:color w:val="auto"/>
        </w:rPr>
        <w:t>Net loss per share, basic and diluted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(4.83 )</w:t>
        <w:tab/>
        <w:t>$</w:t>
      </w:r>
      <w:r>
        <w:rPr>
          <w:sz w:val="20"/>
          <w:szCs w:val="20"/>
          <w:color w:val="auto"/>
        </w:rPr>
        <w:tab/>
      </w:r>
      <w:r>
        <w:rPr>
          <w:rFonts w:ascii="Times New Roman" w:cs="Times New Roman" w:eastAsia="Times New Roman" w:hAnsi="Times New Roman"/>
          <w:sz w:val="18"/>
          <w:szCs w:val="18"/>
          <w:color w:val="auto"/>
        </w:rPr>
        <w:t>(10.10 )</w:t>
        <w:tab/>
        <w:t>$</w:t>
      </w:r>
      <w:r>
        <w:rPr>
          <w:sz w:val="20"/>
          <w:szCs w:val="20"/>
          <w:color w:val="auto"/>
        </w:rPr>
        <w:tab/>
      </w:r>
      <w:r>
        <w:rPr>
          <w:rFonts w:ascii="Times New Roman" w:cs="Times New Roman" w:eastAsia="Times New Roman" w:hAnsi="Times New Roman"/>
          <w:sz w:val="17"/>
          <w:szCs w:val="17"/>
          <w:color w:val="auto"/>
        </w:rPr>
        <w:t>(10.14 )</w:t>
      </w:r>
    </w:p>
    <w:p>
      <w:pPr>
        <w:spacing w:after="0" w:line="16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9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1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1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2,259,672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1,433,968</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400,842</w:t>
            </w:r>
          </w:p>
        </w:tc>
        <w:tc>
          <w:tcPr>
            <w:tcW w:w="80" w:type="dxa"/>
            <w:vAlign w:val="bottom"/>
            <w:shd w:val="clear" w:color="auto" w:fill="CFF0FC"/>
          </w:tcPr>
          <w:p>
            <w:pPr>
              <w:spacing w:after="0"/>
              <w:rPr>
                <w:sz w:val="20"/>
                <w:szCs w:val="20"/>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877,181</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512,557</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33,979</w:t>
            </w:r>
          </w:p>
        </w:tc>
        <w:tc>
          <w:tcPr>
            <w:tcW w:w="80" w:type="dxa"/>
            <w:vAlign w:val="bottom"/>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3,136,853</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1,946,525</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434,821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-25400</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03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514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recorded no tax benefit for the years ended December 31, 2023 and 2022 for the net operating losses incurred due to its uncertainty of realizing a benefit from those items.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type w:val="continuous"/>
        </w:sectPr>
      </w:pPr>
    </w:p>
    <w:bookmarkStart w:id="147" w:name="page148"/>
    <w:bookmarkEnd w:id="147"/>
    <w:p>
      <w:pPr>
        <w:ind w:right="44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that reflected in operations as of December 31, 2023 and 2022 is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0" w:type="dxa"/>
            <w:vAlign w:val="bottom"/>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r>
      <w:tr>
        <w:trPr>
          <w:trHeight w:val="22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computed at federal statutory tax rate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Bargain purchase gain</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tax rate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cancelations</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Impact of ownership change</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(108.5 )%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(40.6 )%</w:t>
            </w:r>
          </w:p>
        </w:tc>
      </w:tr>
      <w:tr>
        <w:trPr>
          <w:trHeight w:val="20"/>
        </w:trPr>
        <w:tc>
          <w:tcPr>
            <w:tcW w:w="5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9"/>
        </w:trPr>
        <w:tc>
          <w:tcPr>
            <w:tcW w:w="584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0.0 %</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8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-1731010</wp:posOffset>
            </wp:positionV>
            <wp:extent cx="5700395" cy="154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-1422400</wp:posOffset>
            </wp:positionV>
            <wp:extent cx="5700395" cy="154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-179705</wp:posOffset>
            </wp:positionV>
            <wp:extent cx="5700395" cy="1803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established deferred tax assets and liabilities on identified book to tax temporary differences as of the date of conversion to a C-corporation. Deferred income taxes reflect the net tax effects of these temporary differences between the carrying amounts of assets and liabilities for financial reporting purposes and the amounts used for income tax purposes. Significant components of the Company’s net deferred tax assets as of December 31, 2023 and 2022 are as follows:</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7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5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70,965</w:t>
            </w:r>
          </w:p>
        </w:tc>
        <w:tc>
          <w:tcPr>
            <w:tcW w:w="80" w:type="dxa"/>
            <w:vAlign w:val="bottom"/>
          </w:tcPr>
          <w:p>
            <w:pPr>
              <w:spacing w:after="0"/>
              <w:rPr>
                <w:sz w:val="20"/>
                <w:szCs w:val="20"/>
                <w:color w:val="auto"/>
              </w:rPr>
            </w:pPr>
          </w:p>
        </w:tc>
      </w:tr>
      <w:tr>
        <w:trPr>
          <w:trHeight w:val="247"/>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80" w:type="dxa"/>
            <w:vAlign w:val="bottom"/>
            <w:shd w:val="clear" w:color="auto" w:fill="CFF0FC"/>
          </w:tcPr>
          <w:p>
            <w:pPr>
              <w:spacing w:after="0"/>
              <w:rPr>
                <w:sz w:val="21"/>
                <w:szCs w:val="21"/>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expenses</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80" w:type="dxa"/>
            <w:vAlign w:val="bottom"/>
          </w:tcPr>
          <w:p>
            <w:pPr>
              <w:spacing w:after="0"/>
              <w:rPr>
                <w:sz w:val="20"/>
                <w:szCs w:val="20"/>
                <w:color w:val="auto"/>
              </w:rPr>
            </w:pPr>
          </w:p>
        </w:tc>
      </w:tr>
      <w:tr>
        <w:trPr>
          <w:trHeight w:val="247"/>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shd w:val="clear" w:color="auto" w:fill="CFF0FC"/>
          </w:tcPr>
          <w:p>
            <w:pPr>
              <w:spacing w:after="0"/>
              <w:rPr>
                <w:sz w:val="21"/>
                <w:szCs w:val="21"/>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80" w:type="dxa"/>
            <w:vAlign w:val="bottom"/>
          </w:tcPr>
          <w:p>
            <w:pPr>
              <w:spacing w:after="0"/>
              <w:rPr>
                <w:sz w:val="20"/>
                <w:szCs w:val="20"/>
                <w:color w:val="auto"/>
              </w:rPr>
            </w:pPr>
          </w:p>
        </w:tc>
      </w:tr>
      <w:tr>
        <w:trPr>
          <w:trHeight w:val="247"/>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80" w:type="dxa"/>
            <w:vAlign w:val="bottom"/>
            <w:shd w:val="clear" w:color="auto" w:fill="CFF0FC"/>
          </w:tcPr>
          <w:p>
            <w:pPr>
              <w:spacing w:after="0"/>
              <w:rPr>
                <w:sz w:val="21"/>
                <w:szCs w:val="21"/>
                <w:color w:val="auto"/>
              </w:rPr>
            </w:pP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0"/>
                <w:szCs w:val="20"/>
                <w:color w:val="auto"/>
              </w:rPr>
            </w:pPr>
          </w:p>
        </w:tc>
      </w:tr>
      <w:tr>
        <w:trPr>
          <w:trHeight w:val="243"/>
        </w:trPr>
        <w:tc>
          <w:tcPr>
            <w:tcW w:w="46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99,004</w:t>
            </w: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171,500</w:t>
            </w:r>
          </w:p>
        </w:tc>
        <w:tc>
          <w:tcPr>
            <w:tcW w:w="80" w:type="dxa"/>
            <w:vAlign w:val="bottom"/>
          </w:tcPr>
          <w:p>
            <w:pPr>
              <w:spacing w:after="0"/>
              <w:rPr>
                <w:sz w:val="20"/>
                <w:szCs w:val="20"/>
                <w:color w:val="auto"/>
              </w:rPr>
            </w:pPr>
          </w:p>
        </w:tc>
      </w:tr>
      <w:tr>
        <w:trPr>
          <w:trHeight w:val="237"/>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(91,705 )</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(163,566 )</w:t>
            </w:r>
          </w:p>
        </w:tc>
      </w:tr>
      <w:tr>
        <w:trPr>
          <w:trHeight w:val="237"/>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5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r>
      <w:tr>
        <w:trPr>
          <w:trHeight w:val="247"/>
        </w:trPr>
        <w:tc>
          <w:tcPr>
            <w:tcW w:w="4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(7,299 )</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(7,934 )</w:t>
            </w:r>
          </w:p>
        </w:tc>
      </w:tr>
      <w:tr>
        <w:trPr>
          <w:trHeight w:val="23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3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(7,299 )</w:t>
            </w:r>
          </w:p>
        </w:tc>
        <w:tc>
          <w:tcPr>
            <w:tcW w:w="2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(7,934 )</w:t>
            </w:r>
          </w:p>
        </w:tc>
      </w:tr>
      <w:tr>
        <w:trPr>
          <w:trHeight w:val="237"/>
        </w:trPr>
        <w:tc>
          <w:tcPr>
            <w:tcW w:w="4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-1130935</wp:posOffset>
            </wp:positionV>
            <wp:extent cx="603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-1130935</wp:posOffset>
            </wp:positionV>
            <wp:extent cx="514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-805180</wp:posOffset>
            </wp:positionV>
            <wp:extent cx="603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-805180</wp:posOffset>
            </wp:positionV>
            <wp:extent cx="514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03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federal net operating loss carryforwards of $59,392 which may be available to offset future taxable income and do not expire but are limited in their usage to an annual deduction equal to 80% of annual taxable income. In addition, as of December 31, 2023, the Company has state net operating loss carryforwards of approximately $66,402 which may be available to offset future taxable income, of which $64,032 begins to expire in 2032 and $2,371 has unlimited carryforward. The Company also had federal and state tax credits of $6,599 and $1,187, respectively, which may be used to offset future tax liability and each of which begin to expire in 2042.</w:t>
      </w:r>
    </w:p>
    <w:p>
      <w:pPr>
        <w:spacing w:after="0" w:line="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Company’s ability to utilize these federal and state carryforwards may be limited in the future if the Company experiences an ownership change pursuant to Internal Revenue Code Section 382. Ownership changes, as defined in the Internal Revenue Code, including those resulting from the issuance of common stock in connection with the Company’s public offerings, may limit the amount of net operating loss and tax credit carryforwards that can be utilized to offset future taxable income or tax liability. The Company completed a study to assess whether a change of control has occurred under Section 382, and it was determined that all net operating loss carryforwards and credits generated before December 2, 2022 are limited. As a result, the carryfowards before the ownership change date of December 2, 2022 are not available for utilization and have been written off. The carryfowards as of December 31, 2023 were generated after the ownership change of December 2, 2022.</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against deferred tax assets if it is more likely than not that some or all of the deferred tax assets will not be realized. The Company has evaluated the positive and negative evidence bearing upon the realizability of the deferred tax assets. The Company concluded, in accordance with the applicable accounting standards, that it is more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48" w:name="page149"/>
    <w:bookmarkEnd w:id="148"/>
    <w:p>
      <w:pPr>
        <w:ind w:right="340"/>
        <w:spacing w:after="0" w:line="313" w:lineRule="auto"/>
        <w:rPr>
          <w:sz w:val="20"/>
          <w:szCs w:val="20"/>
          <w:color w:val="auto"/>
        </w:rPr>
      </w:pPr>
      <w:r>
        <w:rPr>
          <w:rFonts w:ascii="Times New Roman" w:cs="Times New Roman" w:eastAsia="Times New Roman" w:hAnsi="Times New Roman"/>
          <w:sz w:val="18"/>
          <w:szCs w:val="18"/>
          <w:color w:val="auto"/>
        </w:rPr>
        <w:t>likely than not that the Company will be unable to realize the benefit of its deferred tax assets. Accordingly, the Company has recorded a full valuation allowance against its deferred tax assets.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balance of the Company’s deferred income tax asset valuation allowance</w:t>
      </w:r>
      <w:r>
        <w:rPr>
          <w:rFonts w:ascii="Times New Roman" w:cs="Times New Roman" w:eastAsia="Times New Roman" w:hAnsi="Times New Roman"/>
          <w:sz w:val="21"/>
          <w:szCs w:val="21"/>
          <w:color w:val="auto"/>
        </w:rPr>
        <w:t>:</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16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163,566</w:t>
            </w:r>
          </w:p>
        </w:tc>
        <w:tc>
          <w:tcPr>
            <w:tcW w:w="82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128,570</w:t>
            </w:r>
          </w:p>
        </w:tc>
        <w:tc>
          <w:tcPr>
            <w:tcW w:w="80" w:type="dxa"/>
            <w:vAlign w:val="bottom"/>
            <w:shd w:val="clear" w:color="auto" w:fill="CFF0FC"/>
          </w:tcPr>
          <w:p>
            <w:pPr>
              <w:spacing w:after="0"/>
              <w:rPr>
                <w:sz w:val="20"/>
                <w:szCs w:val="20"/>
                <w:color w:val="auto"/>
              </w:rPr>
            </w:pPr>
          </w:p>
        </w:tc>
      </w:tr>
      <w:tr>
        <w:trPr>
          <w:trHeight w:val="23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increases recorded to income tax provision</w:t>
            </w:r>
          </w:p>
        </w:tc>
        <w:tc>
          <w:tcPr>
            <w:tcW w:w="400" w:type="dxa"/>
            <w:vAlign w:val="bottom"/>
          </w:tcPr>
          <w:p>
            <w:pPr>
              <w:spacing w:after="0"/>
              <w:rPr>
                <w:sz w:val="20"/>
                <w:szCs w:val="20"/>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(71,861 )</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80" w:type="dxa"/>
            <w:vAlign w:val="bottom"/>
          </w:tcPr>
          <w:p>
            <w:pPr>
              <w:spacing w:after="0"/>
              <w:rPr>
                <w:sz w:val="20"/>
                <w:szCs w:val="20"/>
                <w:color w:val="auto"/>
              </w:rPr>
            </w:pPr>
          </w:p>
        </w:tc>
      </w:tr>
      <w:tr>
        <w:trPr>
          <w:trHeight w:val="266"/>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400" w:type="dxa"/>
            <w:vAlign w:val="bottom"/>
            <w:tcBorders>
              <w:top w:val="single" w:sz="8" w:color="auto"/>
              <w:bottom w:val="single" w:sz="8" w:color="CFF0FC"/>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91,705</w:t>
            </w:r>
          </w:p>
        </w:tc>
        <w:tc>
          <w:tcPr>
            <w:tcW w:w="8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163,566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940" w:type="dxa"/>
            <w:vAlign w:val="bottom"/>
            <w:tcBorders>
              <w:top w:val="single" w:sz="8" w:color="CFF0FC"/>
            </w:tcBorders>
            <w:shd w:val="clear" w:color="auto" w:fill="000000"/>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000000"/>
          </w:tcPr>
          <w:p>
            <w:pPr>
              <w:spacing w:after="0" w:line="20" w:lineRule="exact"/>
              <w:rPr>
                <w:sz w:val="1"/>
                <w:szCs w:val="1"/>
                <w:color w:val="auto"/>
              </w:rPr>
            </w:pPr>
          </w:p>
        </w:tc>
        <w:tc>
          <w:tcPr>
            <w:tcW w:w="920" w:type="dxa"/>
            <w:vAlign w:val="bottom"/>
            <w:tcBorders>
              <w:top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-7620</wp:posOffset>
            </wp:positionV>
            <wp:extent cx="603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C-Corporation tax years beginning with the year ended December 31, 2019 are open under statute. Any tax credit or net operating loss carryforward can be adjusted in future periods after the respective year of generation’s statute of limitation has closed.</w:t>
      </w:r>
    </w:p>
    <w:p>
      <w:pPr>
        <w:spacing w:after="0" w:line="7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did not have unrecognized tax benefits. The Company recognizes interest and penalties related to income taxes as a component of income tax expense. As of December 31, 2023 and 2022, no interest and penalties have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made $626, $527, and $241 of contributions during the years ended December 31, 2023, 2022, and 2021,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2022 Plan</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In April 2022, the Company implemented changes to its corporate strategy to prioritize the advancement of its then-key programs, SGT-001 and SGT-003. In connection with the changes to corporate operations, the Company reduced headcount by approximately 35 percent. During the year ended December 31, 2022, the Company recorded and paid aggregate restructuring charges of $1,520 related to severance and other employee related costs in connection with the changes to its corporate strategy. The Company does not expect to incur any additional significant costs associated with this restructuring.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November 2022 Plan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of Directors approved a plan to reduce the Company’s workforce by approximately 18 percent. These reductions were completed by December 5, 2022. This plan was designed to streamline the Company’s operating structure following the Acquisition. The Company recorded a restructuring charge in the fourth quarter of 2022 of $5,658 related to the reduction in force, consisting of severance and other employee termination benefits. The Company paid $3,669 of this amount during the year ended December 31, 2023. The Company expects that approximately the remaining $252 will be paid by the first quarter of 2024.</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49" w:name="page150"/>
    <w:bookmarkEnd w:id="149"/>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amount incurred and the liability related to the associated restructuring plans for the years ended December 31, 2023, 2022 and 2021: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4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April 2022</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November 2022</w:t>
            </w:r>
          </w:p>
        </w:tc>
        <w:tc>
          <w:tcPr>
            <w:tcW w:w="0" w:type="dxa"/>
            <w:vAlign w:val="bottom"/>
          </w:tcPr>
          <w:p>
            <w:pPr>
              <w:spacing w:after="0"/>
              <w:rPr>
                <w:sz w:val="1"/>
                <w:szCs w:val="1"/>
                <w:color w:val="auto"/>
              </w:rPr>
            </w:pPr>
          </w:p>
        </w:tc>
      </w:tr>
      <w:tr>
        <w:trPr>
          <w:trHeight w:val="109"/>
        </w:trPr>
        <w:tc>
          <w:tcPr>
            <w:tcW w:w="534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340" w:type="dxa"/>
            <w:vAlign w:val="bottom"/>
            <w:tcBorders>
              <w:bottom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2021</w:t>
            </w:r>
          </w:p>
        </w:tc>
        <w:tc>
          <w:tcPr>
            <w:tcW w:w="1280" w:type="dxa"/>
            <w:vAlign w:val="bottom"/>
            <w:gridSpan w:val="2"/>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recorded as a result of restructuring charges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1"/>
              </w:rPr>
              <w:t>(1,520 )</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(1,737 )</w:t>
            </w:r>
          </w:p>
        </w:tc>
        <w:tc>
          <w:tcPr>
            <w:tcW w:w="0" w:type="dxa"/>
            <w:vAlign w:val="bottom"/>
          </w:tcPr>
          <w:p>
            <w:pPr>
              <w:spacing w:after="0"/>
              <w:rPr>
                <w:sz w:val="1"/>
                <w:szCs w:val="1"/>
                <w:color w:val="auto"/>
              </w:rPr>
            </w:pPr>
          </w:p>
        </w:tc>
      </w:tr>
      <w:tr>
        <w:trPr>
          <w:trHeight w:val="237"/>
        </w:trPr>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2022</w:t>
            </w:r>
          </w:p>
        </w:tc>
        <w:tc>
          <w:tcPr>
            <w:tcW w:w="16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Accrual recorded as a result of restructuring charges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(3,669 )</w:t>
            </w:r>
          </w:p>
        </w:tc>
        <w:tc>
          <w:tcPr>
            <w:tcW w:w="0" w:type="dxa"/>
            <w:vAlign w:val="bottom"/>
          </w:tcPr>
          <w:p>
            <w:pPr>
              <w:spacing w:after="0"/>
              <w:rPr>
                <w:sz w:val="1"/>
                <w:szCs w:val="1"/>
                <w:color w:val="auto"/>
              </w:rPr>
            </w:pPr>
          </w:p>
        </w:tc>
      </w:tr>
      <w:tr>
        <w:trPr>
          <w:trHeight w:val="277"/>
        </w:trPr>
        <w:tc>
          <w:tcPr>
            <w:tcW w:w="5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2023</w:t>
            </w:r>
          </w:p>
        </w:tc>
        <w:tc>
          <w:tcPr>
            <w:tcW w:w="1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-668020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-668020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514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January 11, 2024, the Company issued and sold 16,973,103 shares of the Company’s common stock at a price per share of $5.53 and, to one investor in lieu of shares of common stock, pre-funded warrants to purchase 2,712,478 shares of common stock at a price of $5.529 per pre-funded warrant, in the January 2024 Private Placement. The Company received approximately $104,034 of net proceeds from the January 2024 Private Placement after deducting offering costs.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0" w:name="page151"/>
    <w:bookmarkEnd w:id="150"/>
    <w:p>
      <w:pPr>
        <w:ind w:left="10120"/>
        <w:spacing w:after="0"/>
        <w:rPr>
          <w:sz w:val="20"/>
          <w:szCs w:val="20"/>
          <w:color w:val="auto"/>
        </w:rPr>
      </w:pPr>
      <w:r>
        <w:rPr>
          <w:rFonts w:ascii="Times New Roman" w:cs="Times New Roman" w:eastAsia="Times New Roman" w:hAnsi="Times New Roman"/>
          <w:sz w:val="21"/>
          <w:szCs w:val="21"/>
          <w:b w:val="1"/>
          <w:bCs w:val="1"/>
          <w:color w:val="auto"/>
        </w:rPr>
        <w:t>Exhibit 10.7</w:t>
      </w:r>
    </w:p>
    <w:p>
      <w:pPr>
        <w:spacing w:after="0" w:line="24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PATENT LICENSE AGREEMENT</w:t>
      </w:r>
    </w:p>
    <w:p>
      <w:pPr>
        <w:spacing w:after="0" w:line="21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This exclusive patent license agreement (“Agreement”) is dated and effective as of the date of last signature (the “Effective Date”), and is made between the University of Washington, a public institution of higher education and an agency of the state of Washington, acting through UW CoMotion (“University”), and Solid GT, LLC, a limited liability company under the laws of the state of Delaware (“Company”), (individually “Party” or collectively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10"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Certain inventions related to Novel micro-dystrophins under muscle-specific promoters for the treatment of Duchenne Muscular Dystrophy were made in the laboratory of Dr. Jeffrey Chamberlain (“Principal Investigator”);</w:t>
      </w:r>
    </w:p>
    <w:p>
      <w:pPr>
        <w:spacing w:after="0" w:line="158"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As assignee of the inventions, University owns the patents and patent applications as listed in Section A1 “Licensed Patents” of Exhibit A “Exclusive Patent License Schedule” and University has the right to license to others certain rights to such patents and patent applications;</w:t>
      </w:r>
    </w:p>
    <w:p>
      <w:pPr>
        <w:spacing w:after="0" w:line="187" w:lineRule="exact"/>
        <w:rPr>
          <w:sz w:val="20"/>
          <w:szCs w:val="20"/>
          <w:color w:val="auto"/>
        </w:rPr>
      </w:pPr>
    </w:p>
    <w:p>
      <w:pPr>
        <w:ind w:right="420" w:firstLine="749"/>
        <w:spacing w:after="0" w:line="219" w:lineRule="auto"/>
        <w:rPr>
          <w:sz w:val="20"/>
          <w:szCs w:val="20"/>
          <w:color w:val="auto"/>
        </w:rPr>
      </w:pPr>
      <w:r>
        <w:rPr>
          <w:rFonts w:ascii="Times New Roman" w:cs="Times New Roman" w:eastAsia="Times New Roman" w:hAnsi="Times New Roman"/>
          <w:sz w:val="22"/>
          <w:szCs w:val="22"/>
          <w:color w:val="auto"/>
        </w:rPr>
        <w:t>Whereas University and Company entered into a confidentiality agreement with the effective date of June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2014 with University reference number 35111A;</w:t>
      </w:r>
    </w:p>
    <w:p>
      <w:pPr>
        <w:spacing w:after="0" w:line="177"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Whereas University and Company entered into an exclusive option agreement for Licensed Patents with the effective date of February 5, 2015 with University reference number 36201A;</w:t>
      </w:r>
    </w:p>
    <w:p>
      <w:pPr>
        <w:spacing w:after="0" w:line="15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Company desires that University grant it an exclusive license to use, develop, and commercialize the inventions claimed in the Licensed Patents; and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University is willing to grant a license on the terms set forth below.</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Parties therefore agree as follows:</w:t>
      </w:r>
    </w:p>
    <w:p>
      <w:pPr>
        <w:spacing w:after="0" w:line="202" w:lineRule="exact"/>
        <w:rPr>
          <w:sz w:val="20"/>
          <w:szCs w:val="20"/>
          <w:color w:val="auto"/>
        </w:rPr>
      </w:pPr>
    </w:p>
    <w:p>
      <w:pPr>
        <w:ind w:left="760" w:hanging="752"/>
        <w:spacing w:after="0"/>
        <w:tabs>
          <w:tab w:leader="none" w:pos="7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interpreting this Agreement, the following terms have the following meanings ascribed to them:</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1.1.“Assignment” means (A) the sale by Company of all but no less than all of its assets to an arm’s length Third Party,</w:t>
      </w:r>
    </w:p>
    <w:p>
      <w:pPr>
        <w:spacing w:after="0" w:line="26" w:lineRule="exact"/>
        <w:rPr>
          <w:sz w:val="20"/>
          <w:szCs w:val="20"/>
          <w:color w:val="auto"/>
        </w:rPr>
      </w:pPr>
    </w:p>
    <w:p>
      <w:pPr>
        <w:ind w:right="120" w:firstLine="8"/>
        <w:spacing w:after="0" w:line="237" w:lineRule="auto"/>
        <w:tabs>
          <w:tab w:leader="none" w:pos="34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exchange by the shareholders, partners, or equity owners of Company of a majority interest in Company to an arm’s length Third Party, or (C) the merger of Company into an arm’s length Third Party.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1" w:name="page152"/>
    <w:bookmarkEnd w:id="151"/>
    <w:p>
      <w:pPr>
        <w:ind w:left="760"/>
        <w:spacing w:after="0"/>
        <w:rPr>
          <w:sz w:val="20"/>
          <w:szCs w:val="20"/>
          <w:color w:val="auto"/>
        </w:rPr>
      </w:pPr>
      <w:r>
        <w:rPr>
          <w:rFonts w:ascii="Times New Roman" w:cs="Times New Roman" w:eastAsia="Times New Roman" w:hAnsi="Times New Roman"/>
          <w:sz w:val="22"/>
          <w:szCs w:val="22"/>
          <w:color w:val="auto"/>
        </w:rPr>
        <w:t>1.2.“Assignment Consideration” means all consideration received by Company for an Assignment.</w:t>
      </w:r>
    </w:p>
    <w:p>
      <w:pPr>
        <w:spacing w:after="0" w:line="206"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1.3.“Confidential Information” means any information or materials (biological, chemical, or otherwise) of the Parties not generally known to the public, including any information comprised of those materials, and including without limitation the inventions covered by the Licensed Patents and Company’s business plans or reports. Confidential Information does not include any information that: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1.3.1. is or becomes part of the public domain through no fault of receiving Party;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1.3.2. is known to receiving Party prior to the disclosure by the disclosing Party, as evidenced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documentation;</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1.3.3. is publicly released as authorized under this Agreement by University, its employees or agents;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1.3.4. is subsequently obtained by a Party from a Third Party who is authorized to have such information; or</w:t>
      </w:r>
    </w:p>
    <w:p>
      <w:pPr>
        <w:spacing w:after="0" w:line="206" w:lineRule="exact"/>
        <w:rPr>
          <w:sz w:val="20"/>
          <w:szCs w:val="20"/>
          <w:color w:val="auto"/>
        </w:rPr>
      </w:pPr>
    </w:p>
    <w:p>
      <w:pPr>
        <w:ind w:right="340" w:firstLine="1497"/>
        <w:spacing w:after="0" w:line="258" w:lineRule="auto"/>
        <w:rPr>
          <w:sz w:val="20"/>
          <w:szCs w:val="20"/>
          <w:color w:val="auto"/>
        </w:rPr>
      </w:pPr>
      <w:r>
        <w:rPr>
          <w:rFonts w:ascii="Times New Roman" w:cs="Times New Roman" w:eastAsia="Times New Roman" w:hAnsi="Times New Roman"/>
          <w:sz w:val="22"/>
          <w:szCs w:val="22"/>
          <w:color w:val="auto"/>
        </w:rPr>
        <w:t>1.3.5. is independently developed by a Party without reliance on any portion of the Confidential Information received from the disclosing Party and without any breach of this Agreement as evidenced by documentation.</w:t>
      </w:r>
    </w:p>
    <w:p>
      <w:pPr>
        <w:spacing w:after="0" w:line="158"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1.4.“Event of Force Majeure” means an unforeseeable act that wholly prevents a Party from performing one or more of its material duties under this Agreement and that is outside of the reasonable control of the Party. An Event of Force Majeure includes acts of war or of Nature, insurrection and riot, and labor strikes. An Event of Force Majeure does not mean a Party’s inability to obtain a Third Party’s consent to any act or omission.</w:t>
      </w:r>
    </w:p>
    <w:p>
      <w:pPr>
        <w:spacing w:after="0" w:line="18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1.5.“Field of Use” means Treatment of Duchenne Muscular Dystrophy and related disease indications caused by a lack of functional dystrophin.</w:t>
      </w:r>
    </w:p>
    <w:p>
      <w:pPr>
        <w:spacing w:after="0" w:line="158"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22"/>
          <w:szCs w:val="22"/>
          <w:color w:val="auto"/>
        </w:rPr>
        <w:t>1.6.“Licensed Patents” means the patents and patent applications (including all provisional, nonprovisional, and PCT patent applications, and all national stage and foreign equivalents of the foregoing, accordingly) listed in Section A1 “Licensed Patents” of attached Exhibit A “Exclusive Patent License Schedule”, all divisionals and continuations of these patent applications, all patents issuing from these applications, divisionals, and continuations and any reissues, reexaminations, supplementary protection certificates and extensions of these patents, and any corresponding foreign applications or patents thereof. Claims in continuations-in-part applications are included in Licensed Patents only to the extent such claims are supported by a patent or patent application set forth in Section A1 “Licensed Patents” of Exhibit A “Exclusive Patent License Schedule” to benefit from the priority date of such patent or patent application and to the extent such claims are not encumbered by Third Party rights.</w:t>
      </w:r>
    </w:p>
    <w:p>
      <w:pPr>
        <w:spacing w:after="0" w:line="183" w:lineRule="exact"/>
        <w:rPr>
          <w:sz w:val="20"/>
          <w:szCs w:val="20"/>
          <w:color w:val="auto"/>
        </w:rPr>
      </w:pPr>
    </w:p>
    <w:p>
      <w:pPr>
        <w:ind w:right="320" w:firstLine="749"/>
        <w:spacing w:after="0" w:line="258" w:lineRule="auto"/>
        <w:rPr>
          <w:sz w:val="20"/>
          <w:szCs w:val="20"/>
          <w:color w:val="auto"/>
        </w:rPr>
      </w:pPr>
      <w:r>
        <w:rPr>
          <w:rFonts w:ascii="Times New Roman" w:cs="Times New Roman" w:eastAsia="Times New Roman" w:hAnsi="Times New Roman"/>
          <w:sz w:val="22"/>
          <w:szCs w:val="22"/>
          <w:color w:val="auto"/>
        </w:rPr>
        <w:t>1.7.“Licensed Product” means any product or good that is used, made by, made for, sold, transferred, offered for sale, imported or otherwise disposed of during the term of this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2"/>
          <w:szCs w:val="22"/>
          <w:color w:val="auto"/>
        </w:rPr>
        <w:t>Agreement and for which use, manufacture, sale, transfer is covered by one or more Valid Claims of the Licensed Patents.</w:t>
      </w:r>
    </w:p>
    <w:p>
      <w:pPr>
        <w:spacing w:after="0" w:line="206"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1.8.“Net Sales” means the gross amount invoiced or otherwise received by Company or Sublicensee for sales, leases, and other dispositions of Licensed Products less (i) all trade, quantity, and cash discounts actually allowed, (ii) all credits and allowances actually granted due to rejections, returns, billing errors, and retroactive price reductions, (iii) duties, and (iv) excise, sale and use taxes, and equivalent taxes to the extent not reimbursable. On sales of Licensed Products by Company to Sublicensees or on sales made in other than an arm’s length transactions, the value of the Net Sales attributed to such transaction shall be that which would have been received in an arm’s length transaction, based on sales of like quantity and quality products on or about the time of this transaction.</w:t>
      </w:r>
    </w:p>
    <w:p>
      <w:pPr>
        <w:spacing w:after="0" w:line="183"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1.9.“Patent Expenses” means all reasonable costs (including attorneys’ and application fees) incurred by University to apply for, prosecute, enforce, and maintain Licensed Patents including the costs of interferences, oppositions, re-examinations, and patent litigation. For clarity, patent litigation may result in a positive cash position from damages and therefore is subject to distribution rights of the Parties of Article 7.</w:t>
      </w:r>
    </w:p>
    <w:p>
      <w:pPr>
        <w:spacing w:after="0" w:line="18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1.10.“Sublicense” means the grant by Company to a Third Party of any license, option, first right to negotiate, or other right granted under the Licensed Patents, in whole or in part. For the avoidance of doubt, any arm’s length Third Party distributor (“Distributor”) to which Company or any of its Sublicensees sells a Licensed Product for resale of Licensed Product by the Distributor, and where Distributor has no other rights other than to resell Licensed Product, and for which resale Company and Sublicensees receive no further consideration (including but not limited to royalties and/or commissions) beyond the price for the initial sale to the Distributor shall not be a considered a Sublicense.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1.11.“Sublicensee” means a Third Party holding a Sublicense under the Licensed Patents.</w:t>
      </w:r>
    </w:p>
    <w:p>
      <w:pPr>
        <w:spacing w:after="0" w:line="206"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1"/>
          <w:szCs w:val="21"/>
          <w:color w:val="auto"/>
        </w:rPr>
        <w:t>1.12.“Sublicensing Consideration” means all consideration, including but not limited to upfront fees, milestone payments, maintenance fees, non cash consideration, and premiums over Fair Market Value of stock, but excluding royalties, payable by each Sublicensee and attributable to the grant of a Sublicense. For avoidance of doubt, the following are not deemed to be Sublicensing Consideration: (A) consideration paid to Company by Sublicensees for the performance of bona fide product development work, research work, clinical studies and regulatory approvals performed by Company, pursuant to and as supported by an express agreement including a performance plan and commensurate budget; (B) payments made as consideration for the issuance of equity or debt securities of Company at fair market value; and (C) contractually required reimbursement of payment amounts otherwise due under this Agreement from Company to University for Patent Expenses pursuant to Section A4 (Patent Expense Payment); and (D) to the extent a milestone under Section A3.5 (Financial Milestones) of this Agreement is met by the Sublicensee, any pass-through payment to Company that ultimately comes to University for such milestone payment.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1.13.“Territory” means worldwide.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ind w:left="760"/>
        <w:spacing w:after="0"/>
        <w:rPr>
          <w:sz w:val="20"/>
          <w:szCs w:val="20"/>
          <w:color w:val="auto"/>
        </w:rPr>
      </w:pPr>
      <w:r>
        <w:rPr>
          <w:rFonts w:ascii="Times New Roman" w:cs="Times New Roman" w:eastAsia="Times New Roman" w:hAnsi="Times New Roman"/>
          <w:sz w:val="22"/>
          <w:szCs w:val="22"/>
          <w:color w:val="auto"/>
        </w:rPr>
        <w:t>1.14.“Third Party” means an individual or entity other than University and Company.</w:t>
      </w:r>
    </w:p>
    <w:p>
      <w:pPr>
        <w:spacing w:after="0" w:line="20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1.15.“Valid Claim” means (i) a claim in an issued and unexpired patent included in the Licensed Patents that: (a) has not been held unenforceable, unpatentable or invalid by a decision of a court or other governmental agency of competent jurisdiction, and not subject to appeal, (b) has not been admitted to be invalid or unenforceable through reissue or disclaimer or otherwise, (c) has not been lost through an interference, reexamination, or reissue proceeding; or (ii) a claim of a pending patent application included in the Licensed Patents that has not been abandoned or finally rejected without the possibility of appeal or refiling and that has been pending for less than five (5) years from its priority date.</w:t>
      </w:r>
    </w:p>
    <w:p>
      <w:pPr>
        <w:spacing w:after="0" w:line="177" w:lineRule="exact"/>
        <w:rPr>
          <w:sz w:val="20"/>
          <w:szCs w:val="20"/>
          <w:color w:val="auto"/>
        </w:rPr>
      </w:pPr>
    </w:p>
    <w:p>
      <w:pPr>
        <w:ind w:left="760" w:hanging="752"/>
        <w:spacing w:after="0"/>
        <w:tabs>
          <w:tab w:leader="none" w:pos="7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w:t>
      </w:r>
    </w:p>
    <w:p>
      <w:pPr>
        <w:spacing w:after="0" w:line="210"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The term of this Agreement will commence on the Effective Date and, unless terminated earlier as provided in Article 9 “Termination”, will expire on the date on which no Valid Claim in a Licensed Patent is pending or subsisting in any country in the Territory.</w:t>
      </w:r>
    </w:p>
    <w:p>
      <w:pPr>
        <w:spacing w:after="0" w:line="169" w:lineRule="exact"/>
        <w:rPr>
          <w:sz w:val="20"/>
          <w:szCs w:val="20"/>
          <w:color w:val="auto"/>
        </w:rPr>
      </w:pPr>
    </w:p>
    <w:p>
      <w:pPr>
        <w:ind w:left="760" w:hanging="752"/>
        <w:spacing w:after="0"/>
        <w:tabs>
          <w:tab w:leader="none" w:pos="7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License.</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u w:val="single" w:color="auto"/>
          <w:color w:val="auto"/>
        </w:rPr>
        <w:t>Company’s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49" w:lineRule="auto"/>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License Grant</w:t>
      </w:r>
      <w:r>
        <w:rPr>
          <w:rFonts w:ascii="Times New Roman" w:cs="Times New Roman" w:eastAsia="Times New Roman" w:hAnsi="Times New Roman"/>
          <w:sz w:val="21"/>
          <w:szCs w:val="21"/>
          <w:color w:val="auto"/>
        </w:rPr>
        <w:t>. Subject to the terms and conditions of this Agreement, University hereby grants to Company, and Company hereby accepts, an exclusive license to make, have made on Company’s behalf, use, offer to sell or sell, offer to lease or lease, import, or otherwise offer to dispose or dispose of Licensed Products in the Territory in the Field of Use. The license granted in this Agreement is limited to the inventions that are expressly claimed in the Licensed Patents. No provision of this Agreement grants Company, by implication, estoppel or otherwise, any rights other than the rights expressly granted it in this Agreement to the Licensed Patents, or to any other University-owned technology, patent applications, or patents.</w:t>
      </w:r>
    </w:p>
    <w:p>
      <w:pPr>
        <w:spacing w:after="0" w:line="171" w:lineRule="exact"/>
        <w:rPr>
          <w:sz w:val="20"/>
          <w:szCs w:val="20"/>
          <w:color w:val="auto"/>
        </w:rPr>
      </w:pPr>
    </w:p>
    <w:p>
      <w:pPr>
        <w:ind w:right="40" w:firstLine="1497"/>
        <w:spacing w:after="0" w:line="233" w:lineRule="auto"/>
        <w:rPr>
          <w:sz w:val="20"/>
          <w:szCs w:val="20"/>
          <w:color w:val="auto"/>
        </w:rPr>
      </w:pPr>
      <w:r>
        <w:rPr>
          <w:rFonts w:ascii="Times New Roman" w:cs="Times New Roman" w:eastAsia="Times New Roman" w:hAnsi="Times New Roman"/>
          <w:sz w:val="22"/>
          <w:szCs w:val="22"/>
          <w:color w:val="auto"/>
        </w:rPr>
        <w:t xml:space="preserve">3.1.2. </w:t>
      </w:r>
      <w:r>
        <w:rPr>
          <w:rFonts w:ascii="Times New Roman" w:cs="Times New Roman" w:eastAsia="Times New Roman" w:hAnsi="Times New Roman"/>
          <w:sz w:val="22"/>
          <w:szCs w:val="22"/>
          <w:u w:val="single" w:color="auto"/>
          <w:color w:val="auto"/>
        </w:rPr>
        <w:t>Sublicenses</w:t>
      </w:r>
      <w:r>
        <w:rPr>
          <w:rFonts w:ascii="Times New Roman" w:cs="Times New Roman" w:eastAsia="Times New Roman" w:hAnsi="Times New Roman"/>
          <w:sz w:val="22"/>
          <w:szCs w:val="22"/>
          <w:color w:val="auto"/>
        </w:rPr>
        <w:t>. Company has the right, exercisable from time to time during the term of this Agreement, to Sublicense its rights under this Agreement; Company may grant Sublicensees the right to grant sublicenses but not the right to enforce Licensed Patents. Company shall remain responsible for its obligations under this Agreement, and shall ensure that the Sublicense agreement: i) contains terms and conditions requesting Sublicensee to comply with the applicable terms and conditions under this Agreement (including a release substantially similar to that provided by Company in Section 10.1 “Company’s Release”; a warranty substantially similar to that provided by Company in Section 11.1 “Authority”; University disclaimers and exclusions of warranties under Subsections 11.2 “Disclaimers”; and limitations of remedies and damages substantially similar to those provided by Company in Sections 12.1 “Remedy Limitation” and 12.2 “Damage Cap”); and (ii) specifically incorporates provisions of this Agreement regarding obligations pertaining to indemnification, use of names and insurance. Company shall deliver to University a true, correct, and complete copy of any Sublicense agreement or other agreement under which Company purports or intends to grant Sublicense rights at least 20 business days prior to the execution of the agreement, along with a request for review within 20 days pursuant to this Subsection 3.1.2 “Sublicenses”. University will review the unexecuted Sublicense and will, within 20 business days of receipt of the proposed</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4" w:name="page155"/>
    <w:bookmarkEnd w:id="154"/>
    <w:p>
      <w:pPr>
        <w:ind w:right="200"/>
        <w:spacing w:after="0" w:line="238" w:lineRule="auto"/>
        <w:rPr>
          <w:sz w:val="20"/>
          <w:szCs w:val="20"/>
          <w:color w:val="auto"/>
        </w:rPr>
      </w:pPr>
      <w:r>
        <w:rPr>
          <w:rFonts w:ascii="Times New Roman" w:cs="Times New Roman" w:eastAsia="Times New Roman" w:hAnsi="Times New Roman"/>
          <w:sz w:val="22"/>
          <w:szCs w:val="22"/>
          <w:color w:val="auto"/>
        </w:rPr>
        <w:t>Sublicense, either provide express written approval for the Sublicense as presented or decline consent for the transaction. Such approval will not be unreasonably withheld. If approval is granted, Company will provide University copies of the Sublicense agreement within 30 days of its execution. Company shall not enter into such agreement if the terms of the agreement are inconsistent in any respect with the material terms of this Agreement. Any Sublicense made in violation of this Subsection will be void and will constitute an event of default under Subsection 9.1.1 “Breach by Company”.</w:t>
      </w:r>
    </w:p>
    <w:p>
      <w:pPr>
        <w:spacing w:after="0" w:line="177"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u w:val="single" w:color="auto"/>
          <w:color w:val="auto"/>
        </w:rPr>
        <w:t>The United States Government’s Rights</w:t>
      </w:r>
      <w:r>
        <w:rPr>
          <w:rFonts w:ascii="Times New Roman" w:cs="Times New Roman" w:eastAsia="Times New Roman" w:hAnsi="Times New Roman"/>
          <w:sz w:val="22"/>
          <w:szCs w:val="22"/>
          <w:color w:val="auto"/>
        </w:rPr>
        <w:t>. The inventions covered in the Licensed Patents arose, in whole or in part, from federally supported research and the federal government of the United States of America has certain rights in and to the Licensed Patents as those rights are described in Chapter 18, Title 35 of the United States Code and accompanying regulations, including Part 401, Chapter 37 of the Code of Federal Regulation. The Parties’ rights and obligations under this Agreement to any government-funded inventions, including the grant of license set forth in Subsection 3.1.1, are subject to the applicable terms of the aforementioned United States laws.</w:t>
      </w:r>
    </w:p>
    <w:p>
      <w:pPr>
        <w:spacing w:after="0" w:line="181"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u w:val="single" w:color="auto"/>
          <w:color w:val="auto"/>
        </w:rPr>
        <w:t>University’s Reservation of Rights</w:t>
      </w:r>
      <w:r>
        <w:rPr>
          <w:rFonts w:ascii="Times New Roman" w:cs="Times New Roman" w:eastAsia="Times New Roman" w:hAnsi="Times New Roman"/>
          <w:sz w:val="22"/>
          <w:szCs w:val="22"/>
          <w:color w:val="auto"/>
        </w:rPr>
        <w:t>. University reserves all rights not expressly granted to Company under this Agreement. University retains for itself an irrevocable, nonexclusive license to make, have made, and use products, processes, and other subject matter covered by the Licensed Patents in the Field of Use for academic research, medical, instructional, or any other academic purpose. Expressly included within this University reservation of rights is the right (i) to use the Licensed Patents in sponsored research or collaborative research with any Third Party but only to the extent no such Third Party is granted any rights to the Licensed Patents or to commercialize Licensed Products, (ii) to grant material transfer agreements to materials whose composition of matter is covered by the Licensed Patents where the use of such materials is restricted to academic research, medical, instructional, or any other academic purpose, and (iii) to publish any information included in the Licensed Patents or any other information that may result from University’s research.</w:t>
      </w:r>
    </w:p>
    <w:p>
      <w:pPr>
        <w:spacing w:after="0" w:line="183"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3.4.</w:t>
      </w:r>
      <w:r>
        <w:rPr>
          <w:rFonts w:ascii="Times New Roman" w:cs="Times New Roman" w:eastAsia="Times New Roman" w:hAnsi="Times New Roman"/>
          <w:sz w:val="22"/>
          <w:szCs w:val="22"/>
          <w:u w:val="single" w:color="auto"/>
          <w:color w:val="auto"/>
        </w:rPr>
        <w:t>Reservation of Rights for Humanitarian Purposes</w:t>
      </w:r>
      <w:r>
        <w:rPr>
          <w:rFonts w:ascii="Times New Roman" w:cs="Times New Roman" w:eastAsia="Times New Roman" w:hAnsi="Times New Roman"/>
          <w:sz w:val="22"/>
          <w:szCs w:val="22"/>
          <w:color w:val="auto"/>
        </w:rPr>
        <w:t>. Consistent with 35 U.S.C. §200 et seq., University retains the right to require Company to grant Sublicenses to responsible applicants in the Field of Use under the Licensed Patents on terms that are reasonable under the circumstances; or, if Company fails to grant a license, to grant the license itself. The exercise of these rights by University will only be in exceptional circumstances and only if University determines (i) the action is necessary to meet health or safety needs that are not reasonably satisfied by Company; or (ii) the action is necessary to meet requirements for public use specified by federal regulations, and such requirements are not reasonably satisfied by Company. University shall not require the granting of a sublicense, and shall not grant the license itself, unless the responsible applicant has first negotiated in good faith with Company.</w:t>
      </w:r>
    </w:p>
    <w:p>
      <w:pPr>
        <w:spacing w:after="0" w:line="174" w:lineRule="exact"/>
        <w:rPr>
          <w:sz w:val="20"/>
          <w:szCs w:val="20"/>
          <w:color w:val="auto"/>
        </w:rPr>
      </w:pPr>
    </w:p>
    <w:p>
      <w:pPr>
        <w:ind w:left="760" w:hanging="752"/>
        <w:spacing w:after="0"/>
        <w:tabs>
          <w:tab w:leader="none" w:pos="7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Applications and Patents.</w:t>
      </w:r>
    </w:p>
    <w:p>
      <w:pPr>
        <w:spacing w:after="0" w:line="210"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u w:val="single" w:color="auto"/>
          <w:color w:val="auto"/>
        </w:rPr>
        <w:t>Pre-Agreement Patent Filings and Licensed Product Sales</w:t>
      </w:r>
      <w:r>
        <w:rPr>
          <w:rFonts w:ascii="Times New Roman" w:cs="Times New Roman" w:eastAsia="Times New Roman" w:hAnsi="Times New Roman"/>
          <w:sz w:val="22"/>
          <w:szCs w:val="22"/>
          <w:color w:val="auto"/>
        </w:rPr>
        <w:t>. Company has reviewed the Licensed Patents and represents that it is not aware of any basis to challenge or dispute the inventorship, validity, or enforceability of any of the claims made in the Licensed Patents in existence as of the Effective Date. Company further represents that, as of the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ind w:right="40"/>
        <w:spacing w:after="0" w:line="239" w:lineRule="auto"/>
        <w:rPr>
          <w:sz w:val="20"/>
          <w:szCs w:val="20"/>
          <w:color w:val="auto"/>
        </w:rPr>
      </w:pPr>
      <w:r>
        <w:rPr>
          <w:rFonts w:ascii="Times New Roman" w:cs="Times New Roman" w:eastAsia="Times New Roman" w:hAnsi="Times New Roman"/>
          <w:sz w:val="22"/>
          <w:szCs w:val="22"/>
          <w:color w:val="auto"/>
        </w:rPr>
        <w:t>Effective Date, it has not and does not manufacture, have manufactured, use, offer to sell or sell, offer to lease or lease, import, or otherwise offer to dispose or dispose of (a) any product or good that infringes (including under the doctrine of equivalents) a claim in any Licensed Patent, or (b) any product or good that is made using a process or machine that infringes (including under the doctrine of equivalents) a claim in a Licensed Patent.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4.2.Patent Application Filings during the Term of this Agreement.</w:t>
      </w:r>
    </w:p>
    <w:p>
      <w:pPr>
        <w:spacing w:after="0" w:line="206" w:lineRule="exact"/>
        <w:rPr>
          <w:sz w:val="20"/>
          <w:szCs w:val="20"/>
          <w:color w:val="auto"/>
        </w:rPr>
      </w:pPr>
    </w:p>
    <w:p>
      <w:pPr>
        <w:ind w:right="16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u w:val="single" w:color="auto"/>
          <w:color w:val="auto"/>
        </w:rPr>
        <w:t>University Prosecutes Patents</w:t>
      </w:r>
      <w:r>
        <w:rPr>
          <w:rFonts w:ascii="Times New Roman" w:cs="Times New Roman" w:eastAsia="Times New Roman" w:hAnsi="Times New Roman"/>
          <w:sz w:val="22"/>
          <w:szCs w:val="22"/>
          <w:color w:val="auto"/>
        </w:rPr>
        <w:t>. University retains the sole and exclusive right to file or otherwise prosecute Licensed Patents, in consultation with the Company pursuant to Section 4.2.2. As set out in Section A4 “Patent Cost Reimbursement” of Exhibit A “Exclusive Patent License Schedule”, Company shall pay, or reimburse University for paying, all Patent Expenses incurred prior to, on, or after the Effective Date.</w:t>
      </w:r>
    </w:p>
    <w:p>
      <w:pPr>
        <w:spacing w:after="0" w:line="180"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u w:val="single" w:color="auto"/>
          <w:color w:val="auto"/>
        </w:rPr>
        <w:t>Patent Prosecution Decisions</w:t>
      </w:r>
      <w:r>
        <w:rPr>
          <w:rFonts w:ascii="Times New Roman" w:cs="Times New Roman" w:eastAsia="Times New Roman" w:hAnsi="Times New Roman"/>
          <w:sz w:val="22"/>
          <w:szCs w:val="22"/>
          <w:color w:val="auto"/>
        </w:rPr>
        <w:t>. University, in consultation with Company, shall determine in which countries University will file, or cause to be filed, Licensed Patents. University shall request patent counsel to inform Company of the status of the prosecution of the Licensed Patents, including delivering to Company written and electronic communications from all patent offices and foreign counsel, and University shall consult with the Company on the prosecution of the Licensed Patents. Once Company begins reimbursing University for Patent Expenses pursuant to Section A4 “Patent Cost Reimbursement” of Exhibit A “Exclusive Patent License Schedule”, Company’s suggestions and requests regarding patent prosecution will be reasonably considered and included unless detrimental to University’s intellectual property rights. In no event shall Company file a patent application where all of the inventors are under University policy obligated to assign their rights in such patent application to University. In no event shall Company file a patent application where one or more, but not all, of the inventors are under University policy obligated to assign their rights in such patent application to University without University’s prior consent which shall not be unreasonably withheld or delayed.</w:t>
      </w:r>
    </w:p>
    <w:p>
      <w:pPr>
        <w:spacing w:after="0" w:line="187" w:lineRule="exact"/>
        <w:rPr>
          <w:sz w:val="20"/>
          <w:szCs w:val="20"/>
          <w:color w:val="auto"/>
        </w:rPr>
      </w:pPr>
    </w:p>
    <w:p>
      <w:pPr>
        <w:ind w:right="22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u w:val="single" w:color="auto"/>
          <w:color w:val="auto"/>
        </w:rPr>
        <w:t>University’s Independent Patent Filings</w:t>
      </w:r>
      <w:r>
        <w:rPr>
          <w:rFonts w:ascii="Times New Roman" w:cs="Times New Roman" w:eastAsia="Times New Roman" w:hAnsi="Times New Roman"/>
          <w:sz w:val="22"/>
          <w:szCs w:val="22"/>
          <w:color w:val="auto"/>
        </w:rPr>
        <w:t>. At its sole expense, University may file, prosecute or maintain Licensed Patents in any country in which Company has not requested University to file, prosecute or maintain such Licensed Patents in accordance with this Article 4 “Applications and Patents” and those applications and resultant patents will not be subject to this Agreement.</w:t>
      </w:r>
    </w:p>
    <w:p>
      <w:pPr>
        <w:spacing w:after="0" w:line="180" w:lineRule="exact"/>
        <w:rPr>
          <w:sz w:val="20"/>
          <w:szCs w:val="20"/>
          <w:color w:val="auto"/>
        </w:rPr>
      </w:pPr>
    </w:p>
    <w:p>
      <w:pPr>
        <w:ind w:right="46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4.2.4. </w:t>
      </w:r>
      <w:r>
        <w:rPr>
          <w:rFonts w:ascii="Times New Roman" w:cs="Times New Roman" w:eastAsia="Times New Roman" w:hAnsi="Times New Roman"/>
          <w:sz w:val="22"/>
          <w:szCs w:val="22"/>
          <w:u w:val="single" w:color="auto"/>
          <w:color w:val="auto"/>
        </w:rPr>
        <w:t>No Limitation on University’s Right to Prosecute Patents</w:t>
      </w:r>
      <w:r>
        <w:rPr>
          <w:rFonts w:ascii="Times New Roman" w:cs="Times New Roman" w:eastAsia="Times New Roman" w:hAnsi="Times New Roman"/>
          <w:sz w:val="22"/>
          <w:szCs w:val="22"/>
          <w:color w:val="auto"/>
        </w:rPr>
        <w:t>. No provision of this Agreement limits, conditions, or otherwise affects University’s right to prosecute Licensed Patents in any country, except as expressly provided herein.</w:t>
      </w:r>
    </w:p>
    <w:p>
      <w:pPr>
        <w:spacing w:after="0" w:line="173"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22"/>
          <w:szCs w:val="22"/>
          <w:u w:val="single" w:color="auto"/>
          <w:color w:val="auto"/>
        </w:rPr>
        <w:t>Maintenance of Licensed Patents</w:t>
      </w:r>
      <w:r>
        <w:rPr>
          <w:rFonts w:ascii="Times New Roman" w:cs="Times New Roman" w:eastAsia="Times New Roman" w:hAnsi="Times New Roman"/>
          <w:sz w:val="22"/>
          <w:szCs w:val="22"/>
          <w:color w:val="auto"/>
        </w:rPr>
        <w:t>. Subject to Company’s compliance with Section A4 “Patent Cost Reimbursement” of attached Exhibit A “Exclusive Patent License Schedule”, University shall take all commercially reasonable steps to cause each Licensed Patent to remain or be valid and subsisting.</w:t>
      </w:r>
    </w:p>
    <w:p>
      <w:pPr>
        <w:spacing w:after="0" w:line="173"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4.4.</w:t>
      </w:r>
      <w:r>
        <w:rPr>
          <w:rFonts w:ascii="Times New Roman" w:cs="Times New Roman" w:eastAsia="Times New Roman" w:hAnsi="Times New Roman"/>
          <w:sz w:val="22"/>
          <w:szCs w:val="22"/>
          <w:u w:val="single" w:color="auto"/>
          <w:color w:val="auto"/>
        </w:rPr>
        <w:t>Ownership of the Licensed Patents</w:t>
      </w:r>
      <w:r>
        <w:rPr>
          <w:rFonts w:ascii="Times New Roman" w:cs="Times New Roman" w:eastAsia="Times New Roman" w:hAnsi="Times New Roman"/>
          <w:sz w:val="22"/>
          <w:szCs w:val="22"/>
          <w:color w:val="auto"/>
        </w:rPr>
        <w:t>. No provision of this Agreement grants Company any rights, titles, or interests (except for the grant of license in Subsection 3.1.1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ind w:right="400"/>
        <w:spacing w:after="0" w:line="258" w:lineRule="auto"/>
        <w:rPr>
          <w:sz w:val="20"/>
          <w:szCs w:val="20"/>
          <w:color w:val="auto"/>
        </w:rPr>
      </w:pPr>
      <w:r>
        <w:rPr>
          <w:rFonts w:ascii="Times New Roman" w:cs="Times New Roman" w:eastAsia="Times New Roman" w:hAnsi="Times New Roman"/>
          <w:sz w:val="22"/>
          <w:szCs w:val="22"/>
          <w:color w:val="auto"/>
        </w:rPr>
        <w:t>“License Grant” of this Agreement) in the Licensed Patents, notwithstanding Company’s payment of all or any portion of the patent prosecution, maintenance, and related costs.</w:t>
      </w:r>
    </w:p>
    <w:p>
      <w:pPr>
        <w:spacing w:after="0" w:line="154"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Commercialization.</w:t>
      </w:r>
    </w:p>
    <w:p>
      <w:pPr>
        <w:spacing w:after="0" w:line="21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2"/>
          <w:szCs w:val="22"/>
          <w:u w:val="single" w:color="auto"/>
          <w:color w:val="auto"/>
        </w:rPr>
        <w:t>Commercialization and Performance Milestones</w:t>
      </w:r>
      <w:r>
        <w:rPr>
          <w:rFonts w:ascii="Times New Roman" w:cs="Times New Roman" w:eastAsia="Times New Roman" w:hAnsi="Times New Roman"/>
          <w:sz w:val="22"/>
          <w:szCs w:val="22"/>
          <w:color w:val="auto"/>
        </w:rPr>
        <w:t>. Company shall use its commercially reasonable efforts, consistent with sound and reasonable business practices and judgment, to commercialize the inventions covered by the Licensed Patents and to make and sell Licensed Products as soon as practicable and to maximize sales thereof. Unless an extension is provided due to the occurrence of an Event of Force Majeure during the term of this Agreement, Company shall perform, or shall cause to happen or be performed, the performance milestones described in Section A2 “Performance Milestones” of attached Exhibit A “Exclusive Patent License Schedule”.</w:t>
      </w:r>
    </w:p>
    <w:p>
      <w:pPr>
        <w:spacing w:after="0" w:line="181" w:lineRule="exact"/>
        <w:rPr>
          <w:sz w:val="20"/>
          <w:szCs w:val="20"/>
          <w:color w:val="auto"/>
        </w:rPr>
      </w:pPr>
    </w:p>
    <w:p>
      <w:pPr>
        <w:ind w:right="500" w:firstLine="749"/>
        <w:spacing w:after="0" w:line="236" w:lineRule="auto"/>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u w:val="single" w:color="auto"/>
          <w:color w:val="auto"/>
        </w:rPr>
        <w:t>Covenants Regarding the Manufacture of Licensed Products</w:t>
      </w:r>
      <w:r>
        <w:rPr>
          <w:rFonts w:ascii="Times New Roman" w:cs="Times New Roman" w:eastAsia="Times New Roman" w:hAnsi="Times New Roman"/>
          <w:sz w:val="22"/>
          <w:szCs w:val="22"/>
          <w:color w:val="auto"/>
        </w:rPr>
        <w:t>. Company hereby covenants and agrees that the manufacture, use, sale, or transfer of Licensed Products will comply with all applicable federal and state laws, including all federal export laws and regulations. Company hereby further covenants and agrees that, to the extent required by 35 United States Code Section 204, it shall, and it shall cause each Sublicensee, to substantially manufacture in the United States of America all products embodying or produced through the use of an invention that is subject to the rights of the federal government of the United States of America.</w:t>
      </w:r>
    </w:p>
    <w:p>
      <w:pPr>
        <w:spacing w:after="0" w:line="181"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u w:val="single" w:color="auto"/>
          <w:color w:val="auto"/>
        </w:rPr>
        <w:t>Commercialization Reports</w:t>
      </w:r>
      <w:r>
        <w:rPr>
          <w:rFonts w:ascii="Times New Roman" w:cs="Times New Roman" w:eastAsia="Times New Roman" w:hAnsi="Times New Roman"/>
          <w:sz w:val="22"/>
          <w:szCs w:val="22"/>
          <w:color w:val="auto"/>
        </w:rPr>
        <w:t>. Within 30 days of the anniversary of the Effective Date of each year during the term of this Agreement, Company shall deliver to University written reports of Company’s and Sublicensees’ efforts and plans to commercialize the inventions covered by the Licensed Patents and to make, have made on its behalf, use, offer to sell or sell, offer to lease or lease, import, or otherwise offer to dispose or dispose of Licensed Products. Company shall not be obligated to prepare such commercialization reports in years Company or Sublicensee delivers to University a written sales report under Section 6.4 “Sales Reports” and will resume if sales of Licensed Products ceases. In relation to each of the performance milestones described in Section A2 “Performance Milestones” of attached Exhibit A “Exclusive Patent License Schedule”, each commercialization report will include sufficient information to demonstrate compliance of those performance milestones and will set out timeframes and plans for those which have not yet been met.</w:t>
      </w:r>
    </w:p>
    <w:p>
      <w:pPr>
        <w:spacing w:after="0" w:line="183"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22"/>
          <w:szCs w:val="22"/>
          <w:u w:val="single" w:color="auto"/>
          <w:color w:val="auto"/>
        </w:rPr>
        <w:t>Use of University’s Name and Trademarks or the Names of University Faculty, Staff, or Students</w:t>
      </w:r>
      <w:r>
        <w:rPr>
          <w:rFonts w:ascii="Times New Roman" w:cs="Times New Roman" w:eastAsia="Times New Roman" w:hAnsi="Times New Roman"/>
          <w:sz w:val="22"/>
          <w:szCs w:val="22"/>
          <w:color w:val="auto"/>
        </w:rPr>
        <w:t>. No provision of this Agreement grants Company or Sublicensee any right or license to use the name or trademarks of University or the names or identities of any member of the faculty, staff, or student body of University. Company shall not use, and shall not permit a Sublicensee to use, any such trademarks, names, or identities without University’s and, as the case may be, such member’s prior written approval.</w:t>
      </w:r>
    </w:p>
    <w:p>
      <w:pPr>
        <w:spacing w:after="0" w:line="173" w:lineRule="exact"/>
        <w:rPr>
          <w:sz w:val="20"/>
          <w:szCs w:val="20"/>
          <w:color w:val="auto"/>
        </w:rPr>
      </w:pPr>
    </w:p>
    <w:p>
      <w:pPr>
        <w:ind w:left="760" w:hanging="752"/>
        <w:spacing w:after="0"/>
        <w:tabs>
          <w:tab w:leader="none" w:pos="7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Payments, Reimbursements, Reports, and Records.</w:t>
      </w:r>
    </w:p>
    <w:p>
      <w:pPr>
        <w:spacing w:after="0" w:line="21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Company shall deliver to University the payments specified in Sections A3 “Payments” and A4 “Patent Cost Reimbursement” of attached Exhibit A “Exclusive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7" w:name="page158"/>
    <w:bookmarkEnd w:id="157"/>
    <w:p>
      <w:pPr>
        <w:ind w:right="20"/>
        <w:spacing w:after="0" w:line="239" w:lineRule="auto"/>
        <w:rPr>
          <w:sz w:val="20"/>
          <w:szCs w:val="20"/>
          <w:color w:val="auto"/>
        </w:rPr>
      </w:pPr>
      <w:r>
        <w:rPr>
          <w:rFonts w:ascii="Times New Roman" w:cs="Times New Roman" w:eastAsia="Times New Roman" w:hAnsi="Times New Roman"/>
          <w:sz w:val="22"/>
          <w:szCs w:val="22"/>
          <w:color w:val="auto"/>
        </w:rPr>
        <w:t>Patent License Schedule”. Company shall make such payments by check, wire transfer, or any other mutually agreed-upon and generally accepted method of payment. All checks to University will be made payable to “University of Washington” and will be mailed to the address specified in Article 21 “Notices” of this Agreement and will include the University agreement number 37475A. Upon request, University shall deliver to Company written wire transfer instructions.</w:t>
      </w:r>
    </w:p>
    <w:p>
      <w:pPr>
        <w:spacing w:after="0" w:line="180"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2"/>
          <w:szCs w:val="22"/>
          <w:u w:val="single" w:color="auto"/>
          <w:color w:val="auto"/>
        </w:rPr>
        <w:t>Currency and Checks</w:t>
      </w:r>
      <w:r>
        <w:rPr>
          <w:rFonts w:ascii="Times New Roman" w:cs="Times New Roman" w:eastAsia="Times New Roman" w:hAnsi="Times New Roman"/>
          <w:sz w:val="22"/>
          <w:szCs w:val="22"/>
          <w:color w:val="auto"/>
        </w:rPr>
        <w:t xml:space="preserve">. All computations and payments made under this Agreement will be in United States dollars. The exchange rate for the currency into dollars as reported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as the New York foreign exchange mid-range rate on the last business day of the month in which the transaction was entered into will be used for determining the dollar value of transactions conducted in non-United States dollar currencies.</w:t>
      </w:r>
    </w:p>
    <w:p>
      <w:pPr>
        <w:spacing w:after="0" w:line="180"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xml:space="preserve">. University may charge Company a late fee for all amounts owed to University that are overdue by 30 days or more. The late fee will be computed as the United States prime rate plus [**], as set forth by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(Western edition) of the outstanding, unpaid balance. The payment of a late fee will not foreclose or limit University from exercising any other rights it may have as a consequence of the lateness of any payment.</w:t>
      </w:r>
    </w:p>
    <w:p>
      <w:pPr>
        <w:spacing w:after="0" w:line="18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6.4.</w:t>
      </w:r>
      <w:r>
        <w:rPr>
          <w:rFonts w:ascii="Times New Roman" w:cs="Times New Roman" w:eastAsia="Times New Roman" w:hAnsi="Times New Roman"/>
          <w:sz w:val="22"/>
          <w:szCs w:val="22"/>
          <w:u w:val="single" w:color="auto"/>
          <w:color w:val="auto"/>
        </w:rPr>
        <w:t>Sales Reports</w:t>
      </w:r>
      <w:r>
        <w:rPr>
          <w:rFonts w:ascii="Times New Roman" w:cs="Times New Roman" w:eastAsia="Times New Roman" w:hAnsi="Times New Roman"/>
          <w:sz w:val="22"/>
          <w:szCs w:val="22"/>
          <w:color w:val="auto"/>
        </w:rPr>
        <w:t>. Within 30 days after the last day of each calendar quarter commencing the calendar quarter after Company effects its first commercial sale of a Licensed Product and during the term of this Agreement, Company shall deliver to University a written sales report (a copy of the form of which is attached as Exhibit B “Royalty Report Form”) recounting the number and Net Sales (expressed in U. S. dollars) of all sales, leases, or other dispositions of Licensed Products, whether made by Company or a Sublicensee, during such calendar quarter. Included in each sales report will be the name of each Distributor, and the number and type of Licensed Product sold, leased, or otherwise provided to such Distributor. Company shall deliver such written report to University even if Company is not required hereunder to pay to University a payment for sales, leases, or other dispositions of Licensed Products during the calendar quarter.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6.5.</w:t>
      </w:r>
      <w:r>
        <w:rPr>
          <w:rFonts w:ascii="Times New Roman" w:cs="Times New Roman" w:eastAsia="Times New Roman" w:hAnsi="Times New Roman"/>
          <w:sz w:val="22"/>
          <w:szCs w:val="22"/>
          <w:u w:val="single" w:color="auto"/>
          <w:color w:val="auto"/>
        </w:rPr>
        <w:t>Records Retention and Audit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6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6.5.1. </w:t>
      </w:r>
      <w:r>
        <w:rPr>
          <w:rFonts w:ascii="Times New Roman" w:cs="Times New Roman" w:eastAsia="Times New Roman" w:hAnsi="Times New Roman"/>
          <w:sz w:val="22"/>
          <w:szCs w:val="22"/>
          <w:u w:val="single" w:color="auto"/>
          <w:color w:val="auto"/>
        </w:rPr>
        <w:t>Records Retained</w:t>
      </w:r>
      <w:r>
        <w:rPr>
          <w:rFonts w:ascii="Times New Roman" w:cs="Times New Roman" w:eastAsia="Times New Roman" w:hAnsi="Times New Roman"/>
          <w:sz w:val="22"/>
          <w:szCs w:val="22"/>
          <w:color w:val="auto"/>
        </w:rPr>
        <w:t>. Throughout the term of this Agreement and for five (5) years thereafter, Company, at its expense, shall keep and maintain and shall cause each Sublicensee to keep and maintain complete and accurate records of all sales, leases, and other dispositions of Licensed Products during the term of this Agreement and all other records related to this Agreement.</w:t>
      </w:r>
    </w:p>
    <w:p>
      <w:pPr>
        <w:spacing w:after="0" w:line="180" w:lineRule="exact"/>
        <w:rPr>
          <w:sz w:val="20"/>
          <w:szCs w:val="20"/>
          <w:color w:val="auto"/>
        </w:rPr>
      </w:pPr>
    </w:p>
    <w:p>
      <w:pPr>
        <w:ind w:right="14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6.5.2. </w:t>
      </w:r>
      <w:r>
        <w:rPr>
          <w:rFonts w:ascii="Times New Roman" w:cs="Times New Roman" w:eastAsia="Times New Roman" w:hAnsi="Times New Roman"/>
          <w:sz w:val="22"/>
          <w:szCs w:val="22"/>
          <w:u w:val="single" w:color="auto"/>
          <w:color w:val="auto"/>
        </w:rPr>
        <w:t>Auditing Rights</w:t>
      </w:r>
      <w:r>
        <w:rPr>
          <w:rFonts w:ascii="Times New Roman" w:cs="Times New Roman" w:eastAsia="Times New Roman" w:hAnsi="Times New Roman"/>
          <w:sz w:val="22"/>
          <w:szCs w:val="22"/>
          <w:color w:val="auto"/>
        </w:rPr>
        <w:t>. Company shall permit, at the request of University, one or more accountants selected exclusively by the University (“Accountants”) to have access to Company’s records and books of account pertaining to this Agreement. Accountants’ access will be during ordinary working hours to audit Company’s records for any payment period ending prior to such request, the correctness of any report or payment made under this Agreement, or to obtain information as to the payments due for any period in the case of failure of Company to report or make payment pursuant to the terms of this Agreement or to verify Company’s compliance with its payment obligations hereunder. Company shall cause each Sublicensee that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ind w:right="420"/>
        <w:spacing w:after="0" w:line="258" w:lineRule="auto"/>
        <w:rPr>
          <w:sz w:val="20"/>
          <w:szCs w:val="20"/>
          <w:color w:val="auto"/>
        </w:rPr>
      </w:pPr>
      <w:r>
        <w:rPr>
          <w:rFonts w:ascii="Times New Roman" w:cs="Times New Roman" w:eastAsia="Times New Roman" w:hAnsi="Times New Roman"/>
          <w:sz w:val="22"/>
          <w:szCs w:val="22"/>
          <w:color w:val="auto"/>
        </w:rPr>
        <w:t>manufactures, sells, leases, or otherwise disposes of Licensed Products on behalf of Company to grant University the right to inspect and audit Sublicensee’s records.</w:t>
      </w:r>
    </w:p>
    <w:p>
      <w:pPr>
        <w:spacing w:after="0" w:line="158" w:lineRule="exact"/>
        <w:rPr>
          <w:sz w:val="20"/>
          <w:szCs w:val="20"/>
          <w:color w:val="auto"/>
        </w:rPr>
      </w:pPr>
    </w:p>
    <w:p>
      <w:pPr>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6.5.3. </w:t>
      </w:r>
      <w:r>
        <w:rPr>
          <w:rFonts w:ascii="Times New Roman" w:cs="Times New Roman" w:eastAsia="Times New Roman" w:hAnsi="Times New Roman"/>
          <w:sz w:val="22"/>
          <w:szCs w:val="22"/>
          <w:u w:val="single" w:color="auto"/>
          <w:color w:val="auto"/>
        </w:rPr>
        <w:t>Scope of Disclosure</w:t>
      </w:r>
      <w:r>
        <w:rPr>
          <w:rFonts w:ascii="Times New Roman" w:cs="Times New Roman" w:eastAsia="Times New Roman" w:hAnsi="Times New Roman"/>
          <w:sz w:val="22"/>
          <w:szCs w:val="22"/>
          <w:color w:val="auto"/>
        </w:rPr>
        <w:t>. Accountants shall not disclose to University any information relating to the business of Company except that which is necessary to inform University of: the accuracy or inaccuracy of Company’s reports and payments; compliance or noncompliance by Company with the terms and conditions of this Agreement; and the extent of any inaccuracy or noncompliance.</w:t>
      </w:r>
    </w:p>
    <w:p>
      <w:pPr>
        <w:spacing w:after="0" w:line="180" w:lineRule="exact"/>
        <w:rPr>
          <w:sz w:val="20"/>
          <w:szCs w:val="20"/>
          <w:color w:val="auto"/>
        </w:rPr>
      </w:pPr>
    </w:p>
    <w:p>
      <w:pPr>
        <w:ind w:right="5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6.5.4. </w:t>
      </w:r>
      <w:r>
        <w:rPr>
          <w:rFonts w:ascii="Times New Roman" w:cs="Times New Roman" w:eastAsia="Times New Roman" w:hAnsi="Times New Roman"/>
          <w:sz w:val="22"/>
          <w:szCs w:val="22"/>
          <w:u w:val="single" w:color="auto"/>
          <w:color w:val="auto"/>
        </w:rPr>
        <w:t>Accountant Copies</w:t>
      </w:r>
      <w:r>
        <w:rPr>
          <w:rFonts w:ascii="Times New Roman" w:cs="Times New Roman" w:eastAsia="Times New Roman" w:hAnsi="Times New Roman"/>
          <w:sz w:val="22"/>
          <w:szCs w:val="22"/>
          <w:color w:val="auto"/>
        </w:rPr>
        <w:t>. If Accountants believe there is an inaccuracy in any of Company’s payments or noncompliance by Company with any terms and conditions, Accountants shall have the right to make and retain copies (including photocopies) of any pertinent portions of the records and books of account.</w:t>
      </w:r>
    </w:p>
    <w:p>
      <w:pPr>
        <w:spacing w:after="0" w:line="173" w:lineRule="exact"/>
        <w:rPr>
          <w:sz w:val="20"/>
          <w:szCs w:val="20"/>
          <w:color w:val="auto"/>
        </w:rPr>
      </w:pPr>
    </w:p>
    <w:p>
      <w:pPr>
        <w:jc w:val="both"/>
        <w:ind w:right="6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6.5.5. </w:t>
      </w:r>
      <w:r>
        <w:rPr>
          <w:rFonts w:ascii="Times New Roman" w:cs="Times New Roman" w:eastAsia="Times New Roman" w:hAnsi="Times New Roman"/>
          <w:sz w:val="22"/>
          <w:szCs w:val="22"/>
          <w:u w:val="single" w:color="auto"/>
          <w:color w:val="auto"/>
        </w:rPr>
        <w:t>Costs of Audit</w:t>
      </w:r>
      <w:r>
        <w:rPr>
          <w:rFonts w:ascii="Times New Roman" w:cs="Times New Roman" w:eastAsia="Times New Roman" w:hAnsi="Times New Roman"/>
          <w:sz w:val="22"/>
          <w:szCs w:val="22"/>
          <w:color w:val="auto"/>
        </w:rPr>
        <w:t>. If Company’s royalties calculated for any calendar year quarterly period are under-reported by more than 5%, the costs of any audit and review initiated by University will be borne by Company; otherwise, University shall bear the costs of any audit initiated by University.</w:t>
      </w:r>
    </w:p>
    <w:p>
      <w:pPr>
        <w:spacing w:after="0" w:line="169" w:lineRule="exact"/>
        <w:rPr>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Infringement.</w:t>
      </w:r>
    </w:p>
    <w:p>
      <w:pPr>
        <w:spacing w:after="0" w:line="210"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2"/>
          <w:szCs w:val="22"/>
          <w:u w:val="single" w:color="auto"/>
          <w:color w:val="auto"/>
        </w:rPr>
        <w:t>Third-Party Infringement of a Licensed Patent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7.1.1. </w:t>
      </w:r>
      <w:r>
        <w:rPr>
          <w:rFonts w:ascii="Times New Roman" w:cs="Times New Roman" w:eastAsia="Times New Roman" w:hAnsi="Times New Roman"/>
          <w:sz w:val="22"/>
          <w:szCs w:val="22"/>
          <w:u w:val="single" w:color="auto"/>
          <w:color w:val="auto"/>
        </w:rPr>
        <w:t>Notice of Third Party’s Infringement</w:t>
      </w:r>
      <w:r>
        <w:rPr>
          <w:rFonts w:ascii="Times New Roman" w:cs="Times New Roman" w:eastAsia="Times New Roman" w:hAnsi="Times New Roman"/>
          <w:sz w:val="22"/>
          <w:szCs w:val="22"/>
          <w:color w:val="auto"/>
        </w:rPr>
        <w:t>. If a Party learns of substantial, credible evidence that a Third Party is infringing a Licensed Patent in the Field of Use in the Territory, that Party will promptly deliver written notice of the possible infringement to the other Party, describing in detail all relevant information to which that Party has access or control suggesting infringement of the Licensed Patent.</w:t>
      </w:r>
    </w:p>
    <w:p>
      <w:pPr>
        <w:spacing w:after="0" w:line="180" w:lineRule="exact"/>
        <w:rPr>
          <w:sz w:val="20"/>
          <w:szCs w:val="20"/>
          <w:color w:val="auto"/>
        </w:rPr>
      </w:pPr>
    </w:p>
    <w:p>
      <w:pPr>
        <w:ind w:right="140" w:firstLine="1497"/>
        <w:spacing w:after="0" w:line="235" w:lineRule="auto"/>
        <w:rPr>
          <w:sz w:val="20"/>
          <w:szCs w:val="20"/>
          <w:color w:val="auto"/>
        </w:rPr>
      </w:pPr>
      <w:r>
        <w:rPr>
          <w:rFonts w:ascii="Times New Roman" w:cs="Times New Roman" w:eastAsia="Times New Roman" w:hAnsi="Times New Roman"/>
          <w:sz w:val="22"/>
          <w:szCs w:val="22"/>
          <w:color w:val="auto"/>
        </w:rPr>
        <w:t xml:space="preserve">7.1.2. </w:t>
      </w:r>
      <w:r>
        <w:rPr>
          <w:rFonts w:ascii="Times New Roman" w:cs="Times New Roman" w:eastAsia="Times New Roman" w:hAnsi="Times New Roman"/>
          <w:sz w:val="22"/>
          <w:szCs w:val="22"/>
          <w:u w:val="single" w:color="auto"/>
          <w:color w:val="auto"/>
        </w:rPr>
        <w:t>Company’s First Right to Settle</w:t>
      </w:r>
      <w:r>
        <w:rPr>
          <w:rFonts w:ascii="Times New Roman" w:cs="Times New Roman" w:eastAsia="Times New Roman" w:hAnsi="Times New Roman"/>
          <w:sz w:val="22"/>
          <w:szCs w:val="22"/>
          <w:color w:val="auto"/>
        </w:rPr>
        <w:t>. During the term of this Agreement, Company has the first right to respond to, defend, and prosecute in its own name and at its own expense actions or suits relating to Licensed Patents. To enjoy said first right, Company must initiate bona fide action to respond to any alleged infringement within 90 days of learning of said infringement. If required by law, University agrees to be joined as a party plaintiff; provided that Company must notify University at least ten (10) days before filing suit and provided that Company shall reimburse University for all reasonable legal fees and costs incident thereto. Company shall not settle any suits or actions in any manner relating to the Licensed Patents without obtaining the prior written consent of University.</w:t>
      </w:r>
    </w:p>
    <w:p>
      <w:pPr>
        <w:spacing w:after="0" w:line="183" w:lineRule="exact"/>
        <w:rPr>
          <w:sz w:val="20"/>
          <w:szCs w:val="20"/>
          <w:color w:val="auto"/>
        </w:rPr>
      </w:pPr>
    </w:p>
    <w:p>
      <w:pPr>
        <w:ind w:right="120" w:firstLine="2246"/>
        <w:spacing w:after="0" w:line="235" w:lineRule="auto"/>
        <w:rPr>
          <w:sz w:val="20"/>
          <w:szCs w:val="20"/>
          <w:color w:val="auto"/>
        </w:rPr>
      </w:pPr>
      <w:r>
        <w:rPr>
          <w:rFonts w:ascii="Times New Roman" w:cs="Times New Roman" w:eastAsia="Times New Roman" w:hAnsi="Times New Roman"/>
          <w:sz w:val="22"/>
          <w:szCs w:val="22"/>
          <w:color w:val="auto"/>
        </w:rPr>
        <w:t>7.1.2.1</w:t>
      </w:r>
      <w:r>
        <w:rPr>
          <w:rFonts w:ascii="Times New Roman" w:cs="Times New Roman" w:eastAsia="Times New Roman" w:hAnsi="Times New Roman"/>
          <w:sz w:val="22"/>
          <w:szCs w:val="22"/>
          <w:u w:val="single" w:color="auto"/>
          <w:color w:val="auto"/>
        </w:rPr>
        <w:t>Distribution of Proceeds from Settlement</w:t>
      </w:r>
      <w:r>
        <w:rPr>
          <w:rFonts w:ascii="Times New Roman" w:cs="Times New Roman" w:eastAsia="Times New Roman" w:hAnsi="Times New Roman"/>
          <w:sz w:val="22"/>
          <w:szCs w:val="22"/>
          <w:color w:val="auto"/>
        </w:rPr>
        <w:t>. Out of any proceeds from any settlement for infringement of Licensed Patents, Company is allowed to first recover its reasonable attorney’s fees and other out-of-pocket expenses directly related to any action, suit, or settlement for infringement of Licensed Patents. Any remaining proceeds will be distributed as follows: Company shall retain [**] and shall distribute [**] to University. Any payment by an alleged infringer that constitutes consideration for Net Sales of infringing product, however, will be handled according to the payment provisions of Article 6 “Payments, Reimbursements, Reports, and Records” and Section A3.3 “Running Royalty Payments” of Exhibit A “Exclusive Patent License Schedule”. Any payment by an alleged infringer that constitutes consideration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ind w:right="280"/>
        <w:spacing w:after="0" w:line="258" w:lineRule="auto"/>
        <w:rPr>
          <w:sz w:val="20"/>
          <w:szCs w:val="20"/>
          <w:color w:val="auto"/>
        </w:rPr>
      </w:pPr>
      <w:r>
        <w:rPr>
          <w:rFonts w:ascii="Times New Roman" w:cs="Times New Roman" w:eastAsia="Times New Roman" w:hAnsi="Times New Roman"/>
          <w:sz w:val="22"/>
          <w:szCs w:val="22"/>
          <w:color w:val="auto"/>
        </w:rPr>
        <w:t>for the grant of a Sublicense will be handled according to Section A3.7 “Sublicensing Consideration” of Exhibit A “Exclusive Patent License Schedule”.</w:t>
      </w:r>
    </w:p>
    <w:p>
      <w:pPr>
        <w:spacing w:after="0" w:line="158" w:lineRule="exact"/>
        <w:rPr>
          <w:sz w:val="20"/>
          <w:szCs w:val="20"/>
          <w:color w:val="auto"/>
        </w:rPr>
      </w:pPr>
    </w:p>
    <w:p>
      <w:pPr>
        <w:jc w:val="both"/>
        <w:ind w:right="440" w:firstLine="2246"/>
        <w:spacing w:after="0" w:line="244" w:lineRule="auto"/>
        <w:rPr>
          <w:sz w:val="20"/>
          <w:szCs w:val="20"/>
          <w:color w:val="auto"/>
        </w:rPr>
      </w:pPr>
      <w:r>
        <w:rPr>
          <w:rFonts w:ascii="Times New Roman" w:cs="Times New Roman" w:eastAsia="Times New Roman" w:hAnsi="Times New Roman"/>
          <w:sz w:val="22"/>
          <w:szCs w:val="22"/>
          <w:color w:val="auto"/>
        </w:rPr>
        <w:t>7.1.2.2</w:t>
      </w:r>
      <w:r>
        <w:rPr>
          <w:rFonts w:ascii="Times New Roman" w:cs="Times New Roman" w:eastAsia="Times New Roman" w:hAnsi="Times New Roman"/>
          <w:sz w:val="22"/>
          <w:szCs w:val="22"/>
          <w:u w:val="single" w:color="auto"/>
          <w:color w:val="auto"/>
        </w:rPr>
        <w:t>Limitation on Infringement Actions</w:t>
      </w:r>
      <w:r>
        <w:rPr>
          <w:rFonts w:ascii="Times New Roman" w:cs="Times New Roman" w:eastAsia="Times New Roman" w:hAnsi="Times New Roman"/>
          <w:sz w:val="22"/>
          <w:szCs w:val="22"/>
          <w:color w:val="auto"/>
        </w:rPr>
        <w:t>. Excluded from the rights granted herein is the right to bring an infringement action against any inventor or their present or future not-for-profit employers, for infringement of the License Patents in carrying out not-for-profit research.</w:t>
      </w:r>
    </w:p>
    <w:p>
      <w:pPr>
        <w:spacing w:after="0" w:line="173" w:lineRule="exact"/>
        <w:rPr>
          <w:sz w:val="20"/>
          <w:szCs w:val="20"/>
          <w:color w:val="auto"/>
        </w:rPr>
      </w:pPr>
    </w:p>
    <w:p>
      <w:pPr>
        <w:ind w:right="100" w:firstLine="1497"/>
        <w:spacing w:after="0" w:line="245" w:lineRule="auto"/>
        <w:rPr>
          <w:sz w:val="20"/>
          <w:szCs w:val="20"/>
          <w:color w:val="auto"/>
        </w:rPr>
      </w:pPr>
      <w:r>
        <w:rPr>
          <w:rFonts w:ascii="Times New Roman" w:cs="Times New Roman" w:eastAsia="Times New Roman" w:hAnsi="Times New Roman"/>
          <w:sz w:val="21"/>
          <w:szCs w:val="21"/>
          <w:color w:val="auto"/>
        </w:rPr>
        <w:t xml:space="preserve">7.1.3. </w:t>
      </w:r>
      <w:r>
        <w:rPr>
          <w:rFonts w:ascii="Times New Roman" w:cs="Times New Roman" w:eastAsia="Times New Roman" w:hAnsi="Times New Roman"/>
          <w:sz w:val="21"/>
          <w:szCs w:val="21"/>
          <w:u w:val="single" w:color="auto"/>
          <w:color w:val="auto"/>
        </w:rPr>
        <w:t>University Right to Institute Action</w:t>
      </w:r>
      <w:r>
        <w:rPr>
          <w:rFonts w:ascii="Times New Roman" w:cs="Times New Roman" w:eastAsia="Times New Roman" w:hAnsi="Times New Roman"/>
          <w:sz w:val="21"/>
          <w:szCs w:val="21"/>
          <w:color w:val="auto"/>
        </w:rPr>
        <w:t>. If Company fails, within 90 days of learning of an alleged infringement, to secure cessation of the infringement, institute suit against the infringer, or to provide to University satisfactory evidence that Company is engaged in bona fide negotiations for the acceptance by infringer of a Sublicense in and to relevant patents in Licensed Patents for the Field of Use, then University may, upon written notice to Company, assume full right and responsibility to secure cessation of the infringement, institute suit against the infringer, or secure acceptance of a Sublicense by Company from the alleged infringer in and to relevant patents in Licensed Patents. Such license shall not be subject to Company’s approval. If University, in accordance with the terms and conditions of this Agreement, chooses to institute suit against an alleged infringer, University may bring such suit in its own name (or, if required by law, in its and Company’s name) and at its own expense, and Company shall, but at University’s expense for Company’s direct associated expenses, fully and promptly cooperate and assist University in connection with any such suit. All license fees, royalties, damages, awards, or settlement proceeds arising from such a University-initiated action will be solely for the account of University.</w:t>
      </w:r>
    </w:p>
    <w:p>
      <w:pPr>
        <w:spacing w:after="0" w:line="177"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7.1.4. </w:t>
      </w:r>
      <w:r>
        <w:rPr>
          <w:rFonts w:ascii="Times New Roman" w:cs="Times New Roman" w:eastAsia="Times New Roman" w:hAnsi="Times New Roman"/>
          <w:sz w:val="22"/>
          <w:szCs w:val="22"/>
          <w:u w:val="single" w:color="auto"/>
          <w:color w:val="auto"/>
        </w:rPr>
        <w:t>No Obligation to Institute Action</w:t>
      </w:r>
      <w:r>
        <w:rPr>
          <w:rFonts w:ascii="Times New Roman" w:cs="Times New Roman" w:eastAsia="Times New Roman" w:hAnsi="Times New Roman"/>
          <w:sz w:val="22"/>
          <w:szCs w:val="22"/>
          <w:color w:val="auto"/>
        </w:rPr>
        <w:t>. Neither Company nor University is obligated under this Agreement to institute or prosecute a suit against any alleged infringer of Licensed Patents.</w:t>
      </w:r>
    </w:p>
    <w:p>
      <w:pPr>
        <w:spacing w:after="0" w:line="154"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Patent Validity.</w:t>
      </w:r>
    </w:p>
    <w:p>
      <w:pPr>
        <w:spacing w:after="0" w:line="21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u w:val="single" w:color="auto"/>
          <w:color w:val="auto"/>
        </w:rPr>
        <w:t>Notice and Investigation of Third Party Challenges</w:t>
      </w:r>
      <w:r>
        <w:rPr>
          <w:rFonts w:ascii="Times New Roman" w:cs="Times New Roman" w:eastAsia="Times New Roman" w:hAnsi="Times New Roman"/>
          <w:sz w:val="22"/>
          <w:szCs w:val="22"/>
          <w:color w:val="auto"/>
        </w:rPr>
        <w:t>. If any Third Party challenges the validity or enforceability of any of the Licensed Patents, the Party having such information shall immediately notify the other Party.</w:t>
      </w:r>
    </w:p>
    <w:p>
      <w:pPr>
        <w:spacing w:after="0" w:line="158"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8.2.</w:t>
      </w:r>
      <w:r>
        <w:rPr>
          <w:rFonts w:ascii="Times New Roman" w:cs="Times New Roman" w:eastAsia="Times New Roman" w:hAnsi="Times New Roman"/>
          <w:sz w:val="22"/>
          <w:szCs w:val="22"/>
          <w:u w:val="single" w:color="auto"/>
          <w:color w:val="auto"/>
        </w:rPr>
        <w:t>Tender to University of Third Party Actions</w:t>
      </w:r>
      <w:r>
        <w:rPr>
          <w:rFonts w:ascii="Times New Roman" w:cs="Times New Roman" w:eastAsia="Times New Roman" w:hAnsi="Times New Roman"/>
          <w:sz w:val="22"/>
          <w:szCs w:val="22"/>
          <w:color w:val="auto"/>
        </w:rPr>
        <w:t>. In the event of Third Party legal action challenging the validity or enforceability of any of the Licensed Patents, University, at its sole discretion, shall have the right to assume and control the sole defense of the claim at University’s expense. If University opts not to assume and control the sole defense of the claim within 30 days after becoming aware of challenge, Company shall have the right to assume the defense of the claim at its own expense. Company shall not settle any suits or actions in any manner relating to the Licensed Patents without obtaining the prior written consent of University.</w:t>
      </w:r>
    </w:p>
    <w:p>
      <w:pPr>
        <w:spacing w:after="0" w:line="181"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u w:val="single" w:color="auto"/>
          <w:color w:val="auto"/>
        </w:rPr>
        <w:t>Enforceability of Licensed Patents</w:t>
      </w:r>
      <w:r>
        <w:rPr>
          <w:rFonts w:ascii="Times New Roman" w:cs="Times New Roman" w:eastAsia="Times New Roman" w:hAnsi="Times New Roman"/>
          <w:sz w:val="22"/>
          <w:szCs w:val="22"/>
          <w:color w:val="auto"/>
        </w:rPr>
        <w:t>. Notwithstanding challenge by any Third Party, any Licensed Patent will be enforceable under this Agreement until such Licensed Patent is determined to be invalid.</w:t>
      </w:r>
    </w:p>
    <w:p>
      <w:pPr>
        <w:spacing w:after="0" w:line="154"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60" w:name="page161"/>
    <w:bookmarkEnd w:id="160"/>
    <w:p>
      <w:pPr>
        <w:ind w:left="760"/>
        <w:spacing w:after="0"/>
        <w:rPr>
          <w:sz w:val="20"/>
          <w:szCs w:val="20"/>
          <w:color w:val="auto"/>
        </w:rPr>
      </w:pPr>
      <w:r>
        <w:rPr>
          <w:rFonts w:ascii="Times New Roman" w:cs="Times New Roman" w:eastAsia="Times New Roman" w:hAnsi="Times New Roman"/>
          <w:sz w:val="22"/>
          <w:szCs w:val="22"/>
          <w:color w:val="auto"/>
        </w:rPr>
        <w:t>9.1.</w:t>
      </w:r>
      <w:r>
        <w:rPr>
          <w:rFonts w:ascii="Times New Roman" w:cs="Times New Roman" w:eastAsia="Times New Roman" w:hAnsi="Times New Roman"/>
          <w:sz w:val="22"/>
          <w:szCs w:val="22"/>
          <w:u w:val="single" w:color="auto"/>
          <w:color w:val="auto"/>
        </w:rPr>
        <w:t>By University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2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9.1.1. </w:t>
      </w:r>
      <w:r>
        <w:rPr>
          <w:rFonts w:ascii="Times New Roman" w:cs="Times New Roman" w:eastAsia="Times New Roman" w:hAnsi="Times New Roman"/>
          <w:sz w:val="22"/>
          <w:szCs w:val="22"/>
          <w:u w:val="single" w:color="auto"/>
          <w:color w:val="auto"/>
        </w:rPr>
        <w:t>Breach by Company</w:t>
      </w:r>
      <w:r>
        <w:rPr>
          <w:rFonts w:ascii="Times New Roman" w:cs="Times New Roman" w:eastAsia="Times New Roman" w:hAnsi="Times New Roman"/>
          <w:sz w:val="22"/>
          <w:szCs w:val="22"/>
          <w:color w:val="auto"/>
        </w:rPr>
        <w:t>. If Company breaches or fails to perform one or more of its material duties under this Agreement, University may deliver to Company a written notice of default. University may terminate this Agreement by delivering to Company a written notice of termination if the default has not cured in full within 60 days of the delivery to Company of the notice of default.</w:t>
      </w:r>
    </w:p>
    <w:p>
      <w:pPr>
        <w:spacing w:after="0" w:line="180"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color w:val="auto"/>
        </w:rPr>
        <w:t xml:space="preserve">9.1.2.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University may terminate this Agreement by delivering to Company a written notice of termination at least ten (10) days prior to the date of termination if Company (i) becomes insolvent; (ii) voluntarily files or has filed against it a petition under applicable bankruptcy or insolvency laws that Company fails to have released within 30 days after filing; (iii) proposes any dissolution, composition, or financial reorganization with creditors or if a receiver, trustee, custodian, or similar agent is appointed; (iv) makes a general assignment for the benefit of creditors; or (v) if Company challenges the validity of the Licensed Patents.</w:t>
      </w:r>
    </w:p>
    <w:p>
      <w:pPr>
        <w:spacing w:after="0" w:line="181"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u w:val="single" w:color="auto"/>
          <w:color w:val="auto"/>
        </w:rPr>
        <w:t>By Company</w:t>
      </w:r>
      <w:r>
        <w:rPr>
          <w:rFonts w:ascii="Times New Roman" w:cs="Times New Roman" w:eastAsia="Times New Roman" w:hAnsi="Times New Roman"/>
          <w:sz w:val="22"/>
          <w:szCs w:val="22"/>
          <w:color w:val="auto"/>
        </w:rPr>
        <w:t>. Company may terminate this Agreement at any time by delivering to University a written notice of termination at least 60 days prior to the effective date of termination.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9.3.</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6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9.3.1. </w:t>
      </w:r>
      <w:r>
        <w:rPr>
          <w:rFonts w:ascii="Times New Roman" w:cs="Times New Roman" w:eastAsia="Times New Roman" w:hAnsi="Times New Roman"/>
          <w:sz w:val="22"/>
          <w:szCs w:val="22"/>
          <w:u w:val="single" w:color="auto"/>
          <w:color w:val="auto"/>
        </w:rPr>
        <w:t>License Terminated</w:t>
      </w:r>
      <w:r>
        <w:rPr>
          <w:rFonts w:ascii="Times New Roman" w:cs="Times New Roman" w:eastAsia="Times New Roman" w:hAnsi="Times New Roman"/>
          <w:sz w:val="22"/>
          <w:szCs w:val="22"/>
          <w:color w:val="auto"/>
        </w:rPr>
        <w:t>. After termination of this Agreement, Company shall not make, have made, use, offer to sell or sell, offer to lease or lease, import, or otherwise offer to dispose or dispose of Licensed Products.</w:t>
      </w:r>
    </w:p>
    <w:p>
      <w:pPr>
        <w:spacing w:after="0" w:line="158" w:lineRule="exact"/>
        <w:rPr>
          <w:sz w:val="20"/>
          <w:szCs w:val="20"/>
          <w:color w:val="auto"/>
        </w:rPr>
      </w:pPr>
    </w:p>
    <w:p>
      <w:pPr>
        <w:ind w:right="40" w:firstLine="1497"/>
        <w:spacing w:after="0" w:line="239" w:lineRule="auto"/>
        <w:rPr>
          <w:sz w:val="20"/>
          <w:szCs w:val="20"/>
          <w:color w:val="auto"/>
        </w:rPr>
      </w:pPr>
      <w:r>
        <w:rPr>
          <w:rFonts w:ascii="Times New Roman" w:cs="Times New Roman" w:eastAsia="Times New Roman" w:hAnsi="Times New Roman"/>
          <w:sz w:val="22"/>
          <w:szCs w:val="22"/>
          <w:color w:val="auto"/>
        </w:rPr>
        <w:t xml:space="preserve">9.3.2. </w:t>
      </w:r>
      <w:r>
        <w:rPr>
          <w:rFonts w:ascii="Times New Roman" w:cs="Times New Roman" w:eastAsia="Times New Roman" w:hAnsi="Times New Roman"/>
          <w:sz w:val="22"/>
          <w:szCs w:val="22"/>
          <w:u w:val="single" w:color="auto"/>
          <w:color w:val="auto"/>
        </w:rPr>
        <w:t>Final Report to University</w:t>
      </w:r>
      <w:r>
        <w:rPr>
          <w:rFonts w:ascii="Times New Roman" w:cs="Times New Roman" w:eastAsia="Times New Roman" w:hAnsi="Times New Roman"/>
          <w:sz w:val="22"/>
          <w:szCs w:val="22"/>
          <w:color w:val="auto"/>
        </w:rPr>
        <w:t>. Within 60 days after the end of the calendar quarter following the expiration or termination of this Agreement, Company shall submit a final report to University. Any payments, including those incurred but not yet paid (such as the pro-rata minimum annual royalty, and those related to patent expense incurred as of the date of termination but not yet paid), due to University shall become immediately due and payable upon termination or expiration.</w:t>
      </w:r>
    </w:p>
    <w:p>
      <w:pPr>
        <w:spacing w:after="0" w:line="180"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9.3.3. </w:t>
      </w:r>
      <w:r>
        <w:rPr>
          <w:rFonts w:ascii="Times New Roman" w:cs="Times New Roman" w:eastAsia="Times New Roman" w:hAnsi="Times New Roman"/>
          <w:sz w:val="22"/>
          <w:szCs w:val="22"/>
          <w:u w:val="single" w:color="auto"/>
          <w:color w:val="auto"/>
        </w:rPr>
        <w:t>Termination of Sublicenses</w:t>
      </w:r>
      <w:r>
        <w:rPr>
          <w:rFonts w:ascii="Times New Roman" w:cs="Times New Roman" w:eastAsia="Times New Roman" w:hAnsi="Times New Roman"/>
          <w:sz w:val="22"/>
          <w:szCs w:val="22"/>
          <w:color w:val="auto"/>
        </w:rPr>
        <w:t>. Upon termination of this Agreement for any reason prior to expiration, each Sublicense will terminate and Company will include a statement to that effect in each Sublicense. Company shall be liable for any costs, expenses, or damages payable to any Sublicensee arising out of the termination of a Sublicense. At any time within 30 days following termination of this Agreement, a Sublicensee may notify University that it wishes to enter into a direct license with University in order to retain its rights to the Licensed Patents granted to it under its Sublicense (such 30-day period following termination, the “Initial Notice Period”). Following receipt of such notice, University and Sublicensee shall enter into a license agreement the terms of which shall be substantially similar to the terms of this Agreement; and the scope of such direct license, the licensed territory or the duration of the license grant shall be comparable to the corresponding terms granted by the Company to such Sublicensee; provided that such Sublicensee will be granted at least the same scope of rights as it obtained from Company under its Sublicense. For the sake of clarity, the financial terms, including without limitation, the running royalty rate and milestone payments, shall be identical to the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1" w:name="page162"/>
    <w:bookmarkEnd w:id="161"/>
    <w:p>
      <w:pPr>
        <w:ind w:right="180"/>
        <w:spacing w:after="0" w:line="258" w:lineRule="auto"/>
        <w:rPr>
          <w:sz w:val="20"/>
          <w:szCs w:val="20"/>
          <w:color w:val="auto"/>
        </w:rPr>
      </w:pPr>
      <w:r>
        <w:rPr>
          <w:rFonts w:ascii="Times New Roman" w:cs="Times New Roman" w:eastAsia="Times New Roman" w:hAnsi="Times New Roman"/>
          <w:sz w:val="22"/>
          <w:szCs w:val="22"/>
          <w:color w:val="auto"/>
        </w:rPr>
        <w:t>corresponding financial terms set forth in this Agreement. Notwithstanding the foregoing, each Sublicensee’s right to enter into such direct license shall be conditioned upon:</w:t>
      </w:r>
    </w:p>
    <w:p>
      <w:pPr>
        <w:spacing w:after="0" w:line="158" w:lineRule="exact"/>
        <w:rPr>
          <w:sz w:val="20"/>
          <w:szCs w:val="20"/>
          <w:color w:val="auto"/>
        </w:rPr>
      </w:pPr>
    </w:p>
    <w:p>
      <w:pPr>
        <w:ind w:right="140" w:firstLine="2246"/>
        <w:spacing w:after="0" w:line="282" w:lineRule="auto"/>
        <w:rPr>
          <w:sz w:val="20"/>
          <w:szCs w:val="20"/>
          <w:color w:val="auto"/>
        </w:rPr>
      </w:pPr>
      <w:r>
        <w:rPr>
          <w:rFonts w:ascii="Times New Roman" w:cs="Times New Roman" w:eastAsia="Times New Roman" w:hAnsi="Times New Roman"/>
          <w:sz w:val="21"/>
          <w:szCs w:val="21"/>
          <w:color w:val="auto"/>
        </w:rPr>
        <w:t>9.3.3.1</w:t>
      </w:r>
      <w:r>
        <w:rPr>
          <w:rFonts w:ascii="Times New Roman" w:cs="Times New Roman" w:eastAsia="Times New Roman" w:hAnsi="Times New Roman"/>
          <w:sz w:val="21"/>
          <w:szCs w:val="21"/>
          <w:u w:val="single" w:color="auto"/>
          <w:color w:val="auto"/>
        </w:rPr>
        <w:t>Written Notification to University</w:t>
      </w:r>
      <w:r>
        <w:rPr>
          <w:rFonts w:ascii="Times New Roman" w:cs="Times New Roman" w:eastAsia="Times New Roman" w:hAnsi="Times New Roman"/>
          <w:sz w:val="21"/>
          <w:szCs w:val="21"/>
          <w:color w:val="auto"/>
        </w:rPr>
        <w:t>. Such Sublicensee informing University in writing, pursuant to Article 21 “Notices”, that it wishes to enter into such direct license with University, within the Initial Notice Period;</w:t>
      </w:r>
    </w:p>
    <w:p>
      <w:pPr>
        <w:spacing w:after="0" w:line="135" w:lineRule="exact"/>
        <w:rPr>
          <w:sz w:val="20"/>
          <w:szCs w:val="20"/>
          <w:color w:val="auto"/>
        </w:rPr>
      </w:pPr>
    </w:p>
    <w:p>
      <w:pPr>
        <w:jc w:val="both"/>
        <w:ind w:right="100" w:firstLine="2246"/>
        <w:spacing w:after="0" w:line="244" w:lineRule="auto"/>
        <w:rPr>
          <w:sz w:val="20"/>
          <w:szCs w:val="20"/>
          <w:color w:val="auto"/>
        </w:rPr>
      </w:pPr>
      <w:r>
        <w:rPr>
          <w:rFonts w:ascii="Times New Roman" w:cs="Times New Roman" w:eastAsia="Times New Roman" w:hAnsi="Times New Roman"/>
          <w:sz w:val="22"/>
          <w:szCs w:val="22"/>
          <w:color w:val="auto"/>
        </w:rPr>
        <w:t>9.3.3.2</w:t>
      </w:r>
      <w:r>
        <w:rPr>
          <w:rFonts w:ascii="Times New Roman" w:cs="Times New Roman" w:eastAsia="Times New Roman" w:hAnsi="Times New Roman"/>
          <w:sz w:val="22"/>
          <w:szCs w:val="22"/>
          <w:u w:val="single" w:color="auto"/>
          <w:color w:val="auto"/>
        </w:rPr>
        <w:t>Sublicensee Good Standing</w:t>
      </w:r>
      <w:r>
        <w:rPr>
          <w:rFonts w:ascii="Times New Roman" w:cs="Times New Roman" w:eastAsia="Times New Roman" w:hAnsi="Times New Roman"/>
          <w:sz w:val="22"/>
          <w:szCs w:val="22"/>
          <w:color w:val="auto"/>
        </w:rPr>
        <w:t>. Such Sublicensee being in good standing with Company under its Sublicense, and such Sublicense not being the subject of a dispute between Sublicensee and Company, or between Company and University under this Agreement;</w:t>
      </w:r>
    </w:p>
    <w:p>
      <w:pPr>
        <w:spacing w:after="0" w:line="173" w:lineRule="exact"/>
        <w:rPr>
          <w:sz w:val="20"/>
          <w:szCs w:val="20"/>
          <w:color w:val="auto"/>
        </w:rPr>
      </w:pPr>
    </w:p>
    <w:p>
      <w:pPr>
        <w:ind w:right="1000" w:firstLine="2246"/>
        <w:spacing w:after="0" w:line="258" w:lineRule="auto"/>
        <w:rPr>
          <w:sz w:val="20"/>
          <w:szCs w:val="20"/>
          <w:color w:val="auto"/>
        </w:rPr>
      </w:pPr>
      <w:r>
        <w:rPr>
          <w:rFonts w:ascii="Times New Roman" w:cs="Times New Roman" w:eastAsia="Times New Roman" w:hAnsi="Times New Roman"/>
          <w:sz w:val="22"/>
          <w:szCs w:val="22"/>
          <w:color w:val="auto"/>
        </w:rPr>
        <w:t>9.3.3.3</w:t>
      </w:r>
      <w:r>
        <w:rPr>
          <w:rFonts w:ascii="Times New Roman" w:cs="Times New Roman" w:eastAsia="Times New Roman" w:hAnsi="Times New Roman"/>
          <w:sz w:val="22"/>
          <w:szCs w:val="22"/>
          <w:u w:val="single" w:color="auto"/>
          <w:color w:val="auto"/>
        </w:rPr>
        <w:t>Valid Sublicense</w:t>
      </w:r>
      <w:r>
        <w:rPr>
          <w:rFonts w:ascii="Times New Roman" w:cs="Times New Roman" w:eastAsia="Times New Roman" w:hAnsi="Times New Roman"/>
          <w:sz w:val="22"/>
          <w:szCs w:val="22"/>
          <w:color w:val="auto"/>
        </w:rPr>
        <w:t>. Such Sublicense having been validly entered into by Company and Sublicensee pursuant to the terms of Section 3.1.2 “Sublicenses”;</w:t>
      </w:r>
    </w:p>
    <w:p>
      <w:pPr>
        <w:spacing w:after="0" w:line="158" w:lineRule="exact"/>
        <w:rPr>
          <w:sz w:val="20"/>
          <w:szCs w:val="20"/>
          <w:color w:val="auto"/>
        </w:rPr>
      </w:pPr>
    </w:p>
    <w:p>
      <w:pPr>
        <w:ind w:firstLine="2246"/>
        <w:spacing w:after="0" w:line="238" w:lineRule="auto"/>
        <w:rPr>
          <w:sz w:val="20"/>
          <w:szCs w:val="20"/>
          <w:color w:val="auto"/>
        </w:rPr>
      </w:pPr>
      <w:r>
        <w:rPr>
          <w:rFonts w:ascii="Times New Roman" w:cs="Times New Roman" w:eastAsia="Times New Roman" w:hAnsi="Times New Roman"/>
          <w:sz w:val="22"/>
          <w:szCs w:val="22"/>
          <w:color w:val="auto"/>
        </w:rPr>
        <w:t>9.3.3.4</w:t>
      </w:r>
      <w:r>
        <w:rPr>
          <w:rFonts w:ascii="Times New Roman" w:cs="Times New Roman" w:eastAsia="Times New Roman" w:hAnsi="Times New Roman"/>
          <w:sz w:val="22"/>
          <w:szCs w:val="22"/>
          <w:u w:val="single" w:color="auto"/>
          <w:color w:val="auto"/>
        </w:rPr>
        <w:t>Sublicensee Certification that Conditions Satisfied</w:t>
      </w:r>
      <w:r>
        <w:rPr>
          <w:rFonts w:ascii="Times New Roman" w:cs="Times New Roman" w:eastAsia="Times New Roman" w:hAnsi="Times New Roman"/>
          <w:sz w:val="22"/>
          <w:szCs w:val="22"/>
          <w:color w:val="auto"/>
        </w:rPr>
        <w:t>. Such Sublicensee using reasonable efforts to certify or otherwise demonstrate that the conditions set forth in subsections 9.3.3.1 “Written Notification to University”, 9.3.3.2 “Sublicensee Good Standing”, and 9.3.3.3 “Valid Sublicense” have been met within 30 days of expiration of the Initial Notice Period (or within such longer period of time as University agrees is reasonable under the circumstances, based on the nature and extent of any documentation reasonably requested by University); and</w:t>
      </w:r>
    </w:p>
    <w:p>
      <w:pPr>
        <w:spacing w:after="0" w:line="177" w:lineRule="exact"/>
        <w:rPr>
          <w:sz w:val="20"/>
          <w:szCs w:val="20"/>
          <w:color w:val="auto"/>
        </w:rPr>
      </w:pPr>
    </w:p>
    <w:p>
      <w:pPr>
        <w:jc w:val="both"/>
        <w:ind w:right="160" w:firstLine="2246"/>
        <w:spacing w:after="0" w:line="244" w:lineRule="auto"/>
        <w:rPr>
          <w:sz w:val="20"/>
          <w:szCs w:val="20"/>
          <w:color w:val="auto"/>
        </w:rPr>
      </w:pPr>
      <w:r>
        <w:rPr>
          <w:rFonts w:ascii="Times New Roman" w:cs="Times New Roman" w:eastAsia="Times New Roman" w:hAnsi="Times New Roman"/>
          <w:sz w:val="22"/>
          <w:szCs w:val="22"/>
          <w:color w:val="auto"/>
        </w:rPr>
        <w:t>9.3.3.5</w:t>
      </w:r>
      <w:r>
        <w:rPr>
          <w:rFonts w:ascii="Times New Roman" w:cs="Times New Roman" w:eastAsia="Times New Roman" w:hAnsi="Times New Roman"/>
          <w:sz w:val="22"/>
          <w:szCs w:val="22"/>
          <w:u w:val="single" w:color="auto"/>
          <w:color w:val="auto"/>
        </w:rPr>
        <w:t>Time Limitations</w:t>
      </w:r>
      <w:r>
        <w:rPr>
          <w:rFonts w:ascii="Times New Roman" w:cs="Times New Roman" w:eastAsia="Times New Roman" w:hAnsi="Times New Roman"/>
          <w:sz w:val="22"/>
          <w:szCs w:val="22"/>
          <w:color w:val="auto"/>
        </w:rPr>
        <w:t>. Such negotiations for a direct license not exceeding 90 days from the end of the 30-day (or longer, if applicable) period described in subsection 9.3.3.4 “Sublicensee Certification that Conditions Satisfied” (subject to extension of said 90-day period by mutual written agreement of University and Sublicensee).</w:t>
      </w:r>
    </w:p>
    <w:p>
      <w:pPr>
        <w:spacing w:after="0" w:line="173"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21"/>
          <w:szCs w:val="21"/>
          <w:color w:val="auto"/>
        </w:rPr>
        <w:t>University may, at its sole discretion, waive any of these requirements. If all of the conditions set forth in this Section 9.3.3 “Sublicenses” are met, then Sublicensee will be granted such direct license by University. If any condition set forth in this Section 9.3.3 “Sublicenses” is not met, then after expiration of any time period granted to Sublicensee with respect to meeting such condition (for example and to the extent applicable, the Initial Notice Period and/or the periods described in subsections</w:t>
      </w:r>
    </w:p>
    <w:p>
      <w:pPr>
        <w:spacing w:after="0" w:line="2"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21"/>
          <w:szCs w:val="21"/>
          <w:color w:val="auto"/>
        </w:rPr>
        <w:t>9.3.3.4 “Sublicensee Certification that Conditions Satisfied” and 9.3.3.5 “Time Limitations”), Sublicensee shall not make, have made, use, offer to sell or sell, offer to lease or lease, import, or otherwise offer to dispose or dispose of Licensed Products and University shall be free to license or not license Licensed Patents to such Sublicensee according to its sole discretion.</w:t>
      </w:r>
    </w:p>
    <w:p>
      <w:pPr>
        <w:spacing w:after="0" w:line="165" w:lineRule="exact"/>
        <w:rPr>
          <w:sz w:val="20"/>
          <w:szCs w:val="20"/>
          <w:color w:val="auto"/>
        </w:rPr>
      </w:pPr>
    </w:p>
    <w:p>
      <w:pPr>
        <w:ind w:left="760" w:hanging="752"/>
        <w:spacing w:after="0"/>
        <w:tabs>
          <w:tab w:leader="none" w:pos="76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Release, Indemnification, and Insurance.</w:t>
      </w:r>
    </w:p>
    <w:p>
      <w:pPr>
        <w:spacing w:after="0" w:line="210"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10.1.</w:t>
      </w:r>
      <w:r>
        <w:rPr>
          <w:rFonts w:ascii="Times New Roman" w:cs="Times New Roman" w:eastAsia="Times New Roman" w:hAnsi="Times New Roman"/>
          <w:sz w:val="22"/>
          <w:szCs w:val="22"/>
          <w:u w:val="single" w:color="auto"/>
          <w:color w:val="auto"/>
        </w:rPr>
        <w:t>Company’s Release</w:t>
      </w:r>
      <w:r>
        <w:rPr>
          <w:rFonts w:ascii="Times New Roman" w:cs="Times New Roman" w:eastAsia="Times New Roman" w:hAnsi="Times New Roman"/>
          <w:sz w:val="22"/>
          <w:szCs w:val="22"/>
          <w:color w:val="auto"/>
        </w:rPr>
        <w:t>. For itself and its employees, Company hereby releases University and its regents, employees, and agents forever from any suits, actions, claims, liabilities, demands, damages, losses, or expenses (including reasonable attorneys’ and investigative expenses) relating to or arising out of (i) the manufacture, use, lease, sale, or other disposition of a Licensed Product; or (ii) the assigning or sublicensing of Company’s rights under this Agreement.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ind w:right="200" w:firstLine="749"/>
        <w:spacing w:after="0" w:line="236" w:lineRule="auto"/>
        <w:rPr>
          <w:sz w:val="20"/>
          <w:szCs w:val="20"/>
          <w:color w:val="auto"/>
        </w:rPr>
      </w:pPr>
      <w:r>
        <w:rPr>
          <w:rFonts w:ascii="Times New Roman" w:cs="Times New Roman" w:eastAsia="Times New Roman" w:hAnsi="Times New Roman"/>
          <w:sz w:val="22"/>
          <w:szCs w:val="22"/>
          <w:color w:val="auto"/>
        </w:rPr>
        <w:t>10.2.</w:t>
      </w:r>
      <w:r>
        <w:rPr>
          <w:rFonts w:ascii="Times New Roman" w:cs="Times New Roman" w:eastAsia="Times New Roman" w:hAnsi="Times New Roman"/>
          <w:sz w:val="22"/>
          <w:szCs w:val="22"/>
          <w:u w:val="single" w:color="auto"/>
          <w:color w:val="auto"/>
        </w:rPr>
        <w:t>Company’s Indemnification</w:t>
      </w:r>
      <w:r>
        <w:rPr>
          <w:rFonts w:ascii="Times New Roman" w:cs="Times New Roman" w:eastAsia="Times New Roman" w:hAnsi="Times New Roman"/>
          <w:sz w:val="22"/>
          <w:szCs w:val="22"/>
          <w:color w:val="auto"/>
        </w:rPr>
        <w:t>. Throughout the term of this Agreement and thereafter, Company shall indemnify, defend, and hold University and its regents, employees, and agents harmless from all suits, actions, claims, liabilities, demands, damages, losses, or expenses (including reasonable attorneys’ and investigative expenses), relating to or arising out of the manufacture, use, lease, sale, or other disposition of a Licensed Product, including, without limitation, personal injury, property damage, breach of contract and warranty and products-liability claims relating to a Licensed Product and claims brought by a Sublicensee.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10.3.</w:t>
      </w:r>
      <w:r>
        <w:rPr>
          <w:rFonts w:ascii="Times New Roman" w:cs="Times New Roman" w:eastAsia="Times New Roman" w:hAnsi="Times New Roman"/>
          <w:sz w:val="22"/>
          <w:szCs w:val="22"/>
          <w:u w:val="single" w:color="auto"/>
          <w:color w:val="auto"/>
        </w:rPr>
        <w:t>Company’s 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5" w:lineRule="auto"/>
        <w:rPr>
          <w:sz w:val="20"/>
          <w:szCs w:val="20"/>
          <w:color w:val="auto"/>
        </w:rPr>
      </w:pPr>
      <w:r>
        <w:rPr>
          <w:rFonts w:ascii="Times New Roman" w:cs="Times New Roman" w:eastAsia="Times New Roman" w:hAnsi="Times New Roman"/>
          <w:sz w:val="22"/>
          <w:szCs w:val="22"/>
          <w:color w:val="auto"/>
        </w:rPr>
        <w:t>10.3.1.</w:t>
      </w:r>
      <w:r>
        <w:rPr>
          <w:rFonts w:ascii="Times New Roman" w:cs="Times New Roman" w:eastAsia="Times New Roman" w:hAnsi="Times New Roman"/>
          <w:sz w:val="22"/>
          <w:szCs w:val="22"/>
          <w:u w:val="single" w:color="auto"/>
          <w:color w:val="auto"/>
        </w:rPr>
        <w:t>General Insurance Requirement</w:t>
      </w:r>
      <w:r>
        <w:rPr>
          <w:rFonts w:ascii="Times New Roman" w:cs="Times New Roman" w:eastAsia="Times New Roman" w:hAnsi="Times New Roman"/>
          <w:sz w:val="22"/>
          <w:szCs w:val="22"/>
          <w:color w:val="auto"/>
        </w:rPr>
        <w:t>. Throughout the term of this Agreement, or during such period as the Parties shall agree in writing, Company shall maintain, and shall cause each Sublicensee to maintain, in full force and effect commercial general liability (CGL) insurance, with single claim limits consistent with industry standards. Such insurance policy will include coverage for claims that may be asserted by University against Company under section 10.2 “Company’s Indemnification”. Such insurance policy must name the Board of Regents of the University of Washington as an additional insured and will require the insurer to deliver written notice to University at the address set forth in Article 21 “Notices” of this Agreement, at least 45 days prior to the termination of the policy. Company shall deliver to University a copy of the certificate of insurance for such policy.</w:t>
      </w:r>
    </w:p>
    <w:p>
      <w:pPr>
        <w:spacing w:after="0" w:line="178" w:lineRule="exact"/>
        <w:rPr>
          <w:sz w:val="20"/>
          <w:szCs w:val="20"/>
          <w:color w:val="auto"/>
        </w:rPr>
      </w:pPr>
    </w:p>
    <w:p>
      <w:pPr>
        <w:ind w:right="100" w:firstLine="1497"/>
        <w:spacing w:after="0" w:line="235" w:lineRule="auto"/>
        <w:rPr>
          <w:sz w:val="20"/>
          <w:szCs w:val="20"/>
          <w:color w:val="auto"/>
        </w:rPr>
      </w:pPr>
      <w:r>
        <w:rPr>
          <w:rFonts w:ascii="Times New Roman" w:cs="Times New Roman" w:eastAsia="Times New Roman" w:hAnsi="Times New Roman"/>
          <w:sz w:val="22"/>
          <w:szCs w:val="22"/>
          <w:color w:val="auto"/>
        </w:rPr>
        <w:t>10.3.2.</w:t>
      </w:r>
      <w:r>
        <w:rPr>
          <w:rFonts w:ascii="Times New Roman" w:cs="Times New Roman" w:eastAsia="Times New Roman" w:hAnsi="Times New Roman"/>
          <w:sz w:val="22"/>
          <w:szCs w:val="22"/>
          <w:u w:val="single" w:color="auto"/>
          <w:color w:val="auto"/>
        </w:rPr>
        <w:t>Clinical Trial Liability Insurance</w:t>
      </w:r>
      <w:r>
        <w:rPr>
          <w:rFonts w:ascii="Times New Roman" w:cs="Times New Roman" w:eastAsia="Times New Roman" w:hAnsi="Times New Roman"/>
          <w:sz w:val="22"/>
          <w:szCs w:val="22"/>
          <w:color w:val="auto"/>
        </w:rPr>
        <w:t>. Within thirty (30) days prior to the initiation of human clinical trials with respect to Licensed Product(s), Company shall provide to University certificates evidencing the existence and amount of clinical trials liability insurance. Company shall issue irrevocable instructions to its insurance agent and to the issuing insurance company to notify University of any discontinuance or lapse of such insurance not less than 45 days prior to the time that any such discontinuance is due to become effective. Company shall provide University a copy of such instructions upon their transmittal to the insurance agent and issuing insurance company. Company shall further provide University, at least annually, proof of continued coverage.</w:t>
      </w:r>
    </w:p>
    <w:p>
      <w:pPr>
        <w:spacing w:after="0" w:line="179" w:lineRule="exact"/>
        <w:rPr>
          <w:sz w:val="20"/>
          <w:szCs w:val="20"/>
          <w:color w:val="auto"/>
        </w:rPr>
      </w:pPr>
    </w:p>
    <w:p>
      <w:pPr>
        <w:ind w:left="760" w:hanging="752"/>
        <w:spacing w:after="0"/>
        <w:tabs>
          <w:tab w:leader="none" w:pos="76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210" w:lineRule="exact"/>
        <w:rPr>
          <w:sz w:val="20"/>
          <w:szCs w:val="20"/>
          <w:color w:val="auto"/>
        </w:rPr>
      </w:pPr>
    </w:p>
    <w:p>
      <w:pPr>
        <w:jc w:val="both"/>
        <w:ind w:right="240" w:firstLine="749"/>
        <w:spacing w:after="0" w:line="244" w:lineRule="auto"/>
        <w:rPr>
          <w:sz w:val="20"/>
          <w:szCs w:val="20"/>
          <w:color w:val="auto"/>
        </w:rPr>
      </w:pP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Each Party represents and warrants to the other Party that it has full corporate power and authority to execute, deliver, and perform this Agreement, and that no other corporate proceedings by such Party are necessary to authorize the Party’s execution or delivery of this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u w:val="single" w:color="auto"/>
          <w:color w:val="auto"/>
        </w:rPr>
        <w:t>Disclaimers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right="360" w:firstLine="1497"/>
        <w:spacing w:after="0" w:line="252" w:lineRule="auto"/>
        <w:rPr>
          <w:sz w:val="20"/>
          <w:szCs w:val="20"/>
          <w:color w:val="auto"/>
        </w:rPr>
      </w:pPr>
      <w:r>
        <w:rPr>
          <w:rFonts w:ascii="Times New Roman" w:cs="Times New Roman" w:eastAsia="Times New Roman" w:hAnsi="Times New Roman"/>
          <w:sz w:val="21"/>
          <w:szCs w:val="21"/>
          <w:color w:val="auto"/>
        </w:rPr>
        <w:t>11.2.1.</w:t>
      </w:r>
      <w:r>
        <w:rPr>
          <w:rFonts w:ascii="Times New Roman" w:cs="Times New Roman" w:eastAsia="Times New Roman" w:hAnsi="Times New Roman"/>
          <w:sz w:val="21"/>
          <w:szCs w:val="21"/>
          <w:u w:val="single" w:color="auto"/>
          <w:color w:val="auto"/>
        </w:rPr>
        <w:t>General Disclaimers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EXCEPT FOR THE EXPRESS WARRANTY SET FORTH IN 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11.1 “Authority” OF THIS AGREEMENT, UNIVERSITY DISCLAIMS AND EXCLUDES ALL WARRANTIES, EXPRESS AND IMPLIED, CONCERNING EACH LICENSED PATENT AND EACH LICENSED PRODUCT, INCLUDING, WITHOUT LIMITATION, WARRANTIES OF NON-INFRINGEMENT AND THE IMPLIED WARRANTIES OF MERCHANTABILITY AND FITNESS FOR A PARTICULAR PURPOSE.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3" w:name="page164"/>
    <w:bookmarkEnd w:id="163"/>
    <w:p>
      <w:pPr>
        <w:ind w:left="1500"/>
        <w:spacing w:after="0"/>
        <w:rPr>
          <w:sz w:val="20"/>
          <w:szCs w:val="20"/>
          <w:color w:val="auto"/>
        </w:rPr>
      </w:pPr>
      <w:r>
        <w:rPr>
          <w:rFonts w:ascii="Times New Roman" w:cs="Times New Roman" w:eastAsia="Times New Roman" w:hAnsi="Times New Roman"/>
          <w:sz w:val="22"/>
          <w:szCs w:val="22"/>
          <w:color w:val="auto"/>
        </w:rPr>
        <w:t>11.2.2.</w:t>
      </w:r>
      <w:r>
        <w:rPr>
          <w:rFonts w:ascii="Times New Roman" w:cs="Times New Roman" w:eastAsia="Times New Roman" w:hAnsi="Times New Roman"/>
          <w:sz w:val="22"/>
          <w:szCs w:val="22"/>
          <w:u w:val="single" w:color="auto"/>
          <w:color w:val="auto"/>
        </w:rPr>
        <w:t>Patent Disclaimers</w:t>
      </w:r>
      <w:r>
        <w:rPr>
          <w:rFonts w:ascii="Times New Roman" w:cs="Times New Roman" w:eastAsia="Times New Roman" w:hAnsi="Times New Roman"/>
          <w:sz w:val="22"/>
          <w:szCs w:val="22"/>
          <w:color w:val="auto"/>
        </w:rPr>
        <w:t>. University expressly disclaims any warranties concerning and makes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representations:</w:t>
      </w:r>
    </w:p>
    <w:p>
      <w:pPr>
        <w:spacing w:after="0" w:line="1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11.2.2.1</w:t>
      </w:r>
      <w:r>
        <w:rPr>
          <w:rFonts w:ascii="Times New Roman" w:cs="Times New Roman" w:eastAsia="Times New Roman" w:hAnsi="Times New Roman"/>
          <w:sz w:val="22"/>
          <w:szCs w:val="22"/>
          <w:u w:val="single" w:color="auto"/>
          <w:color w:val="auto"/>
        </w:rPr>
        <w:t>Patent Issuance</w:t>
      </w:r>
      <w:r>
        <w:rPr>
          <w:rFonts w:ascii="Times New Roman" w:cs="Times New Roman" w:eastAsia="Times New Roman" w:hAnsi="Times New Roman"/>
          <w:sz w:val="22"/>
          <w:szCs w:val="22"/>
          <w:color w:val="auto"/>
        </w:rPr>
        <w:t>. That the Licensed Patent(s) will be approved or will issue;</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11.2.2.2</w:t>
      </w:r>
      <w:r>
        <w:rPr>
          <w:rFonts w:ascii="Times New Roman" w:cs="Times New Roman" w:eastAsia="Times New Roman" w:hAnsi="Times New Roman"/>
          <w:sz w:val="22"/>
          <w:szCs w:val="22"/>
          <w:u w:val="single" w:color="auto"/>
          <w:color w:val="auto"/>
        </w:rPr>
        <w:t>Licensed Patent Validity/Scope</w:t>
      </w:r>
      <w:r>
        <w:rPr>
          <w:rFonts w:ascii="Times New Roman" w:cs="Times New Roman" w:eastAsia="Times New Roman" w:hAnsi="Times New Roman"/>
          <w:sz w:val="22"/>
          <w:szCs w:val="22"/>
          <w:color w:val="auto"/>
        </w:rPr>
        <w:t>. Concerning the validity or scope of any Licensed Patent; or</w:t>
      </w:r>
    </w:p>
    <w:p>
      <w:pPr>
        <w:spacing w:after="0" w:line="206" w:lineRule="exact"/>
        <w:rPr>
          <w:sz w:val="20"/>
          <w:szCs w:val="20"/>
          <w:color w:val="auto"/>
        </w:rPr>
      </w:pPr>
    </w:p>
    <w:p>
      <w:pPr>
        <w:ind w:right="360" w:firstLine="2246"/>
        <w:spacing w:after="0" w:line="258" w:lineRule="auto"/>
        <w:rPr>
          <w:sz w:val="20"/>
          <w:szCs w:val="20"/>
          <w:color w:val="auto"/>
        </w:rPr>
      </w:pPr>
      <w:r>
        <w:rPr>
          <w:rFonts w:ascii="Times New Roman" w:cs="Times New Roman" w:eastAsia="Times New Roman" w:hAnsi="Times New Roman"/>
          <w:sz w:val="22"/>
          <w:szCs w:val="22"/>
          <w:color w:val="auto"/>
        </w:rPr>
        <w:t>11.2.2.3</w:t>
      </w:r>
      <w:r>
        <w:rPr>
          <w:rFonts w:ascii="Times New Roman" w:cs="Times New Roman" w:eastAsia="Times New Roman" w:hAnsi="Times New Roman"/>
          <w:sz w:val="22"/>
          <w:szCs w:val="22"/>
          <w:u w:val="single" w:color="auto"/>
          <w:color w:val="auto"/>
        </w:rPr>
        <w:t>Non-Infringement</w:t>
      </w:r>
      <w:r>
        <w:rPr>
          <w:rFonts w:ascii="Times New Roman" w:cs="Times New Roman" w:eastAsia="Times New Roman" w:hAnsi="Times New Roman"/>
          <w:sz w:val="22"/>
          <w:szCs w:val="22"/>
          <w:color w:val="auto"/>
        </w:rPr>
        <w:t>. That the manufacture, use, sale, lease or other disposition of a Licensed Product will not infringe a Third Party’s patent or violate a Third Party’s intellectual property rights.</w:t>
      </w:r>
    </w:p>
    <w:p>
      <w:pPr>
        <w:spacing w:after="0" w:line="154" w:lineRule="exact"/>
        <w:rPr>
          <w:sz w:val="20"/>
          <w:szCs w:val="20"/>
          <w:color w:val="auto"/>
        </w:rPr>
      </w:pPr>
    </w:p>
    <w:p>
      <w:pPr>
        <w:ind w:left="760" w:hanging="752"/>
        <w:spacing w:after="0"/>
        <w:tabs>
          <w:tab w:leader="none" w:pos="7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Damages.</w:t>
      </w:r>
    </w:p>
    <w:p>
      <w:pPr>
        <w:spacing w:after="0" w:line="206"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u w:val="single" w:color="auto"/>
          <w:color w:val="auto"/>
        </w:rPr>
        <w:t>Remedy Limitation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EVEN IF ADVISED OF THE POSSIBILITY OF SUCH DAMAGES, IN NO 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SHALL UNIVERSITY BE LIABLE FOR (A) PERSONAL INJURY OR PROPERTY DAMAGES ARISING IN CONNECTION WITH THE ACTIVITIES CONTEMPLATED IN THIS AGREEMENT OR (B) LOST PROFITS, LOST BUSINESS OPPORTUNITY, INVENTORY LOSS, WORK STOPPAGE, LOST DATA OR ANY OTHER RELIANCE OR EXPECTANCY, INDIRECT, SPECIAL, INCIDENTAL OR CONSEQUENTIAL DAMAGES, OF ANY KIND.</w:t>
      </w:r>
    </w:p>
    <w:p>
      <w:pPr>
        <w:spacing w:after="0" w:line="175"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12.2.</w:t>
      </w:r>
      <w:r>
        <w:rPr>
          <w:rFonts w:ascii="Times New Roman" w:cs="Times New Roman" w:eastAsia="Times New Roman" w:hAnsi="Times New Roman"/>
          <w:sz w:val="22"/>
          <w:szCs w:val="22"/>
          <w:u w:val="single" w:color="auto"/>
          <w:color w:val="auto"/>
        </w:rPr>
        <w:t>Damage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 NO EVENT WILL UNIVERSITY’S TOTAL LIABILITY FOR THE BREACH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NONPERFORMANCE OF THIS AGREEMENT EXCEED THE AMOUNT OF PAYMENTS PAID TO UNIVERSITY UNDER SECTION A3 “PAYMENTS” of Exhibit A “EXCLUSIVE PATENT LICENSE SCHEDULE” OF THIS AGREEMENT. THIS LIMITATION WILL APPLY TO CONTRACT, TORT, AND ANY OTHER CLAIM OF WHATEVER NATURE.</w:t>
      </w:r>
    </w:p>
    <w:p>
      <w:pPr>
        <w:spacing w:after="0" w:line="177" w:lineRule="exact"/>
        <w:rPr>
          <w:sz w:val="20"/>
          <w:szCs w:val="20"/>
          <w:color w:val="auto"/>
        </w:rPr>
      </w:pPr>
    </w:p>
    <w:p>
      <w:pPr>
        <w:ind w:left="760" w:hanging="752"/>
        <w:spacing w:after="0"/>
        <w:tabs>
          <w:tab w:leader="none" w:pos="76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Waiver.</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This Agreement may be amended from time to time only by a written instrument signed by the Parties. No term or provision of this Agreement will be waived and no breach excused unless such waiver or consent will be in writing and signed by the Party claimed to have waived or consented. No waiver of a breach will be deemed to be a waiver of a different or subsequent breach.</w:t>
      </w:r>
    </w:p>
    <w:p>
      <w:pPr>
        <w:spacing w:after="0" w:line="176" w:lineRule="exact"/>
        <w:rPr>
          <w:sz w:val="20"/>
          <w:szCs w:val="20"/>
          <w:color w:val="auto"/>
        </w:rPr>
      </w:pPr>
    </w:p>
    <w:p>
      <w:pPr>
        <w:ind w:left="760" w:hanging="752"/>
        <w:spacing w:after="0"/>
        <w:tabs>
          <w:tab w:leader="none" w:pos="76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p>
    <w:p>
      <w:pPr>
        <w:spacing w:after="0" w:line="21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The rights and licenses granted by University in this Agreement are personal to Company and Company shall not assign its interest or delegate its duties under this Agreement without the written consent of University; any such assignment or delegation made without written consent of University will not release Company from its obligations under this Agreement. The preceding sentence notwithstanding, Company, without the prior approval of University, may assign all, but no less than all, its rights and delegate all, but no less than all, its duties under this Agreement to a Third Party provided that:</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64" w:name="page165"/>
    <w:bookmarkEnd w:id="164"/>
    <w:p>
      <w:pPr>
        <w:ind w:left="1500" w:right="40" w:hanging="690"/>
        <w:spacing w:after="0" w:line="249" w:lineRule="auto"/>
        <w:tabs>
          <w:tab w:leader="none" w:pos="1237"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is made to such Third Party as a part of and in connection with (a) the sale by Company of all but no less than all of its assets to the Third Party, (b) if Company has more than one bona fide drug development programs, the sale by Company of all but no less than all of the assets of its business most closely associated with this Agreement, to the Third Party, (c) the sale, transfer, or exchange by the shareholders, partners, or equity owners of Company of a majority interest in Company to the Third Party, or (d) the merger of Company into the Third Party (each of the events described in part (a), (b), (c), or (d) of this paragraph, an “Assignment”).</w:t>
      </w:r>
    </w:p>
    <w:p>
      <w:pPr>
        <w:spacing w:after="0" w:line="170" w:lineRule="exact"/>
        <w:rPr>
          <w:rFonts w:ascii="Times New Roman" w:cs="Times New Roman" w:eastAsia="Times New Roman" w:hAnsi="Times New Roman"/>
          <w:sz w:val="21"/>
          <w:szCs w:val="21"/>
          <w:color w:val="auto"/>
        </w:rPr>
      </w:pPr>
    </w:p>
    <w:p>
      <w:pPr>
        <w:ind w:left="1500" w:right="180" w:hanging="690"/>
        <w:spacing w:after="0" w:line="244" w:lineRule="auto"/>
        <w:tabs>
          <w:tab w:leader="none" w:pos="12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obtains from such Third Party written agreement to honor all obligations under this Agreement accrued by Company before Assignment and all obligations under this Agreement to accrue by such Third Party assignee after Assignment, including any and all financial obligations, and</w:t>
      </w:r>
    </w:p>
    <w:p>
      <w:pPr>
        <w:spacing w:after="0" w:line="173" w:lineRule="exact"/>
        <w:rPr>
          <w:rFonts w:ascii="Times New Roman" w:cs="Times New Roman" w:eastAsia="Times New Roman" w:hAnsi="Times New Roman"/>
          <w:sz w:val="22"/>
          <w:szCs w:val="22"/>
          <w:color w:val="auto"/>
        </w:rPr>
      </w:pPr>
    </w:p>
    <w:p>
      <w:pPr>
        <w:ind w:left="1500" w:right="60" w:hanging="690"/>
        <w:spacing w:after="0" w:line="236" w:lineRule="auto"/>
        <w:tabs>
          <w:tab w:leader="none" w:pos="123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ten (10) days after the close of the transaction pursuant to which such Assignment is made, Company shall provide written notice to University of the Assignment, as well as a substitution of parties document, in which such Third Party assignee assumes responsibility for all of Company’s outstanding and future obligations relating to this Agreement. Any assignment made in violation of this Article will be void and will, without further act, cause the immediate termination of this Agreement, effective retroactively to the date of the Assignment.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Agreement will inure to the benefit of Company and University and their respective permitted assignees and trustees.</w:t>
      </w:r>
    </w:p>
    <w:p>
      <w:pPr>
        <w:spacing w:after="0" w:line="202"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15.1.</w:t>
      </w:r>
      <w:r>
        <w:rPr>
          <w:rFonts w:ascii="Times New Roman" w:cs="Times New Roman" w:eastAsia="Times New Roman" w:hAnsi="Times New Roman"/>
          <w:sz w:val="22"/>
          <w:szCs w:val="22"/>
          <w:u w:val="single" w:color="auto"/>
          <w:color w:val="auto"/>
        </w:rPr>
        <w:t>Form of transfer</w:t>
      </w:r>
      <w:r>
        <w:rPr>
          <w:rFonts w:ascii="Times New Roman" w:cs="Times New Roman" w:eastAsia="Times New Roman" w:hAnsi="Times New Roman"/>
          <w:sz w:val="22"/>
          <w:szCs w:val="22"/>
          <w:color w:val="auto"/>
        </w:rPr>
        <w:t>. Confidential Information may be conveyed in tangible or intangible form. Disclosing Party must clearly mark its Confidential Information “confidential.” If disclosing Party communicates Confidential Information in non-written form, it shall reduce such communications to writing, clearly mark it “confidential”, and provide a copy to receiving Party within 30 days of original communication at the address in Article 21 “Notices”.</w:t>
      </w:r>
    </w:p>
    <w:p>
      <w:pPr>
        <w:spacing w:after="0" w:line="180"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1"/>
          <w:szCs w:val="21"/>
          <w:color w:val="auto"/>
        </w:rPr>
        <w:t>15.2.</w:t>
      </w:r>
      <w:r>
        <w:rPr>
          <w:rFonts w:ascii="Times New Roman" w:cs="Times New Roman" w:eastAsia="Times New Roman" w:hAnsi="Times New Roman"/>
          <w:sz w:val="21"/>
          <w:szCs w:val="21"/>
          <w:u w:val="single" w:color="auto"/>
          <w:color w:val="auto"/>
        </w:rPr>
        <w:t>No Unauthorized Disclosure of Confidential Information</w:t>
      </w:r>
      <w:r>
        <w:rPr>
          <w:rFonts w:ascii="Times New Roman" w:cs="Times New Roman" w:eastAsia="Times New Roman" w:hAnsi="Times New Roman"/>
          <w:sz w:val="21"/>
          <w:szCs w:val="21"/>
          <w:color w:val="auto"/>
        </w:rPr>
        <w:t>. Beginning on the Effective Date and continuing throughout the term of this Agreement and thereafter for a period of [**], receiving Party shall not disclose or otherwise make known or available to any Third Party any disclosing Party Confidential Information, without the express prior written consent of disclosing Party. Notwithstanding the foregoing, receiving Party shall be permitted to disclose disclosing Party Confidential Information to (i) actual or potential investors, lenders, consultants, collaborators, Sublicensees, or development partners, which disclosure will be made under conditions of confidentiality and limited use and (ii) its attorney or agent as reasonably required. In no event shall receiving Party incorporate or otherwise use disclosing Party’s Confidential Information in connection with any patent application filed by or on behalf of receiving Party. Receiving Party shall restrict the use of disclosing Party’s Confidential Information exclusively to the terms of this Agreement. Receiving Party shall use reasonable procedures to safeguard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ind w:right="640"/>
        <w:spacing w:after="0" w:line="258" w:lineRule="auto"/>
        <w:rPr>
          <w:sz w:val="20"/>
          <w:szCs w:val="20"/>
          <w:color w:val="auto"/>
        </w:rPr>
      </w:pPr>
      <w:r>
        <w:rPr>
          <w:rFonts w:ascii="Times New Roman" w:cs="Times New Roman" w:eastAsia="Times New Roman" w:hAnsi="Times New Roman"/>
          <w:sz w:val="22"/>
          <w:szCs w:val="22"/>
          <w:color w:val="auto"/>
        </w:rPr>
        <w:t>disclosing Party’s Confidential Information. In the case where Company is the receiving Party, Company’s confidentiality obligations will also apply equally to Sublicensees.</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15.3.</w:t>
      </w:r>
      <w:r>
        <w:rPr>
          <w:rFonts w:ascii="Times New Roman" w:cs="Times New Roman" w:eastAsia="Times New Roman" w:hAnsi="Times New Roman"/>
          <w:sz w:val="22"/>
          <w:szCs w:val="22"/>
          <w:u w:val="single" w:color="auto"/>
          <w:color w:val="auto"/>
        </w:rPr>
        <w:t>Access to University Information</w:t>
      </w:r>
      <w:r>
        <w:rPr>
          <w:rFonts w:ascii="Times New Roman" w:cs="Times New Roman" w:eastAsia="Times New Roman" w:hAnsi="Times New Roman"/>
          <w:sz w:val="22"/>
          <w:szCs w:val="22"/>
          <w:color w:val="auto"/>
        </w:rPr>
        <w:t>. University is an agency of the state of Washington and is subject to the Washington Public Records Act, RCW 42.56 et seq., (“Act”), and no obligation assumed by University under this Agreement shall be deemed to be inconsistent with University’s obligations as defined under the Act and as interpreted by University in its sole discretion. If University receives a request for public records under the Act for documents containing Company Confidential Information, and if University concludes that the documents are not otherwise exempt from public disclosure, University will provide Company notice of the request before releasing such documents. Such notice will be provided in a timely manner to afford Company sufficient time to review such documents and/or seek a protective order, at Company’s expense utilizing the procedures described in RCW 42.56.540. University shall have no obligation to protect Company Confidential Information from disclosure in response to a request for public records.</w:t>
      </w:r>
    </w:p>
    <w:p>
      <w:pPr>
        <w:spacing w:after="0" w:line="183"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15.4.</w:t>
      </w:r>
      <w:r>
        <w:rPr>
          <w:rFonts w:ascii="Times New Roman" w:cs="Times New Roman" w:eastAsia="Times New Roman" w:hAnsi="Times New Roman"/>
          <w:sz w:val="22"/>
          <w:szCs w:val="22"/>
          <w:u w:val="single" w:color="auto"/>
          <w:color w:val="auto"/>
        </w:rPr>
        <w:t>Disclosure as Required by Law</w:t>
      </w:r>
      <w:r>
        <w:rPr>
          <w:rFonts w:ascii="Times New Roman" w:cs="Times New Roman" w:eastAsia="Times New Roman" w:hAnsi="Times New Roman"/>
          <w:sz w:val="22"/>
          <w:szCs w:val="22"/>
          <w:color w:val="auto"/>
        </w:rPr>
        <w:t>. Either Party shall have the right to disclose the other Party’s Confidential Information as required by law or valid court order, provided that such Party shall inform the Party who owns such Confidential Information prior to such disclosure and shall limit the scope and recipient of disclosure to the extent required by such law or court order.</w:t>
      </w:r>
    </w:p>
    <w:p>
      <w:pPr>
        <w:spacing w:after="0" w:line="176" w:lineRule="exact"/>
        <w:rPr>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Consent and Approvals.</w:t>
      </w:r>
    </w:p>
    <w:p>
      <w:pPr>
        <w:spacing w:after="0" w:line="21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Except as otherwise expressly provided, all consents or approvals required under the terms of this Agreement must be in writing and will not be unreasonably withheld or delayed.</w:t>
      </w:r>
    </w:p>
    <w:p>
      <w:pPr>
        <w:spacing w:after="0" w:line="154" w:lineRule="exact"/>
        <w:rPr>
          <w:sz w:val="20"/>
          <w:szCs w:val="20"/>
          <w:color w:val="auto"/>
        </w:rPr>
      </w:pPr>
    </w:p>
    <w:p>
      <w:pPr>
        <w:ind w:left="760" w:hanging="752"/>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Construction.</w:t>
      </w:r>
    </w:p>
    <w:p>
      <w:pPr>
        <w:spacing w:after="0" w:line="210"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The headings preceding and labeling the sections of this Agreement are for the purpose of identification only and will not in any event be employed or used for the purpose of construction or interpretation of any portion of this Agreement. As used herein and where necessary, the singular includes the plural and vice versa, and masculine, feminine, and neuter expressions are interchangeable.</w:t>
      </w:r>
    </w:p>
    <w:p>
      <w:pPr>
        <w:spacing w:after="0" w:line="176" w:lineRule="exact"/>
        <w:rPr>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Enforceability.</w:t>
      </w:r>
    </w:p>
    <w:p>
      <w:pPr>
        <w:spacing w:after="0" w:line="210"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If a court of competent jurisdiction adjudges a provision of this Agreement unenforceable, invalid, or void, such determination will not impair the enforceability of any of the remaining provisions hereof and the provisions will remain in full force and effect.</w:t>
      </w:r>
    </w:p>
    <w:p>
      <w:pPr>
        <w:spacing w:after="0" w:line="169" w:lineRule="exact"/>
        <w:rPr>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Third-Party Beneficiaries.</w:t>
      </w:r>
    </w:p>
    <w:p>
      <w:pPr>
        <w:spacing w:after="0" w:line="21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No provision of this Agreement, express or implied, confers upon any person other than the Parties to this Agreement any rights, remedies, obligations, or liabilities hereunder. No Sublicensee shall have a right to enforce or seek damages under this Agreement.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ind w:left="760" w:hanging="752"/>
        <w:spacing w:after="0"/>
        <w:tabs>
          <w:tab w:leader="none" w:pos="76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Language.</w:t>
      </w:r>
    </w:p>
    <w:p>
      <w:pPr>
        <w:spacing w:after="0" w:line="21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Unless otherwise expressly provided in this Agreement, all notices, reports, and other documents and instruments that a Party hereto elects or is required by the terms of this Agreement to deliver to the other Party hereto will be in English.</w:t>
      </w:r>
    </w:p>
    <w:p>
      <w:pPr>
        <w:spacing w:after="0" w:line="154" w:lineRule="exact"/>
        <w:rPr>
          <w:sz w:val="20"/>
          <w:szCs w:val="20"/>
          <w:color w:val="auto"/>
        </w:rPr>
      </w:pPr>
    </w:p>
    <w:p>
      <w:pPr>
        <w:ind w:left="760" w:hanging="752"/>
        <w:spacing w:after="0"/>
        <w:tabs>
          <w:tab w:leader="none" w:pos="76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All notices, requests, and other communications that a Party is required or elects to deliver will be in writing and will be delivered personally, or by facsimile or electronic mail (provided such delivery is confirmed), or by a recognized overnight courier service or by United States mail, first-class, certified or registered, postage prepaid, return receipt requested, to the other Party at its address set forth below or to another address as a Party may designate by notice given pursuant to this article:</w:t>
      </w:r>
    </w:p>
    <w:p>
      <w:pPr>
        <w:sectPr>
          <w:pgSz w:w="11900" w:h="16838" w:orient="portrait"/>
          <w:cols w:equalWidth="0" w:num="1">
            <w:col w:w="11140"/>
          </w:cols>
          <w:pgMar w:left="320" w:top="1404" w:right="4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to University: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UW CoMotion</w:t>
      </w:r>
    </w:p>
    <w:p>
      <w:pPr>
        <w:spacing w:after="0" w:line="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ATTN: Director, Innovation Development</w:t>
      </w:r>
    </w:p>
    <w:p>
      <w:pPr>
        <w:spacing w:after="0" w:line="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4311 11</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Avenue NE, Suite 500</w:t>
      </w:r>
    </w:p>
    <w:p>
      <w:pPr>
        <w:ind w:left="520"/>
        <w:spacing w:after="0" w:line="230" w:lineRule="auto"/>
        <w:rPr>
          <w:sz w:val="20"/>
          <w:szCs w:val="20"/>
          <w:color w:val="auto"/>
        </w:rPr>
      </w:pPr>
      <w:r>
        <w:rPr>
          <w:rFonts w:ascii="Times New Roman" w:cs="Times New Roman" w:eastAsia="Times New Roman" w:hAnsi="Times New Roman"/>
          <w:sz w:val="22"/>
          <w:szCs w:val="22"/>
          <w:color w:val="auto"/>
        </w:rPr>
        <w:t>Seattle, WA 98105-4608</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Facsimile No.:</w:t>
      </w:r>
    </w:p>
    <w:p>
      <w:pPr>
        <w:spacing w:after="0" w:line="182" w:lineRule="exact"/>
        <w:rPr>
          <w:sz w:val="20"/>
          <w:szCs w:val="20"/>
          <w:color w:val="auto"/>
        </w:rPr>
      </w:pPr>
    </w:p>
    <w:p>
      <w:pPr>
        <w:sectPr>
          <w:pgSz w:w="11900" w:h="16838" w:orient="portrait"/>
          <w:cols w:equalWidth="0" w:num="2">
            <w:col w:w="1400" w:space="340"/>
            <w:col w:w="9400"/>
          </w:cols>
          <w:pgMar w:left="320" w:top="1404" w:right="439" w:bottom="1440" w:gutter="0" w:footer="0" w:header="0"/>
          <w:type w:val="continuous"/>
        </w:sectPr>
      </w:pPr>
    </w:p>
    <w:p>
      <w:pPr>
        <w:spacing w:after="0"/>
        <w:tabs>
          <w:tab w:leader="none" w:pos="1720" w:val="left"/>
        </w:tabs>
        <w:rPr>
          <w:sz w:val="20"/>
          <w:szCs w:val="20"/>
          <w:color w:val="auto"/>
        </w:rPr>
      </w:pPr>
      <w:r>
        <w:rPr>
          <w:rFonts w:ascii="Times New Roman" w:cs="Times New Roman" w:eastAsia="Times New Roman" w:hAnsi="Times New Roman"/>
          <w:sz w:val="22"/>
          <w:szCs w:val="22"/>
          <w:color w:val="auto"/>
        </w:rPr>
        <w:t>If to Company:</w:t>
      </w:r>
      <w:r>
        <w:rPr>
          <w:sz w:val="20"/>
          <w:szCs w:val="20"/>
          <w:color w:val="auto"/>
        </w:rPr>
        <w:tab/>
      </w:r>
      <w:r>
        <w:rPr>
          <w:rFonts w:ascii="Times New Roman" w:cs="Times New Roman" w:eastAsia="Times New Roman" w:hAnsi="Times New Roman"/>
          <w:sz w:val="21"/>
          <w:szCs w:val="21"/>
          <w:color w:val="auto"/>
        </w:rPr>
        <w:t>Attn: Charles Legg, Head of Program Management</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Solid GT</w:t>
      </w:r>
    </w:p>
    <w:p>
      <w:pPr>
        <w:ind w:left="2260"/>
        <w:spacing w:after="0" w:line="230" w:lineRule="auto"/>
        <w:rPr>
          <w:sz w:val="20"/>
          <w:szCs w:val="20"/>
          <w:color w:val="auto"/>
        </w:rPr>
      </w:pPr>
      <w:r>
        <w:rPr>
          <w:rFonts w:ascii="Times New Roman" w:cs="Times New Roman" w:eastAsia="Times New Roman" w:hAnsi="Times New Roman"/>
          <w:sz w:val="22"/>
          <w:szCs w:val="22"/>
          <w:color w:val="auto"/>
        </w:rPr>
        <w:t>One Broadway</w:t>
      </w:r>
    </w:p>
    <w:p>
      <w:pPr>
        <w:ind w:left="2260"/>
        <w:spacing w:after="0" w:line="231" w:lineRule="auto"/>
        <w:rPr>
          <w:sz w:val="20"/>
          <w:szCs w:val="20"/>
          <w:color w:val="auto"/>
        </w:rPr>
      </w:pPr>
      <w:r>
        <w:rPr>
          <w:rFonts w:ascii="Times New Roman" w:cs="Times New Roman" w:eastAsia="Times New Roman" w:hAnsi="Times New Roman"/>
          <w:sz w:val="22"/>
          <w:szCs w:val="22"/>
          <w:color w:val="auto"/>
        </w:rPr>
        <w:t>Cambridge, MA 02142</w:t>
      </w:r>
    </w:p>
    <w:p>
      <w:pPr>
        <w:ind w:left="2260"/>
        <w:spacing w:after="0"/>
        <w:rPr>
          <w:sz w:val="20"/>
          <w:szCs w:val="20"/>
          <w:color w:val="auto"/>
        </w:rPr>
      </w:pPr>
      <w:r>
        <w:rPr>
          <w:rFonts w:ascii="Times New Roman" w:cs="Times New Roman" w:eastAsia="Times New Roman" w:hAnsi="Times New Roman"/>
          <w:sz w:val="22"/>
          <w:szCs w:val="22"/>
          <w:color w:val="auto"/>
        </w:rPr>
        <w:t>E-mail:</w:t>
      </w:r>
    </w:p>
    <w:p>
      <w:pPr>
        <w:sectPr>
          <w:pgSz w:w="11900" w:h="16838" w:orient="portrait"/>
          <w:cols w:equalWidth="0" w:num="1">
            <w:col w:w="11140"/>
          </w:cols>
          <w:pgMar w:left="320" w:top="1404" w:right="439" w:bottom="1440" w:gutter="0" w:footer="0" w:header="0"/>
          <w:type w:val="continuous"/>
        </w:sectPr>
      </w:pPr>
    </w:p>
    <w:p>
      <w:pPr>
        <w:ind w:left="760" w:hanging="752"/>
        <w:spacing w:after="0" w:line="235" w:lineRule="auto"/>
        <w:tabs>
          <w:tab w:leader="none" w:pos="76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Patent Marking.</w:t>
      </w:r>
    </w:p>
    <w:p>
      <w:pPr>
        <w:spacing w:after="0" w:line="177"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21"/>
          <w:szCs w:val="21"/>
          <w:color w:val="auto"/>
        </w:rPr>
        <w:t>Company shall mark all material forms of Licensed Product(s) or packaging pertaining thereto made and sold by Company in the United States with patent marking conforming to 35 U.S.C. §287(a), as amended from time to time. Such marking shall further identify the pendency of any U.S. patent application and/or any issued U.S. or foreign patent forming any part of the Licensed Patents. All Licensed Product(s) shipped to or sold in other countries will be marked in such a manner as to provide notice to potential infringers pursuant to the patent law and practice of the country of manufacture or sale.</w:t>
      </w:r>
    </w:p>
    <w:p>
      <w:pPr>
        <w:spacing w:after="0" w:line="164" w:lineRule="exact"/>
        <w:rPr>
          <w:sz w:val="20"/>
          <w:szCs w:val="20"/>
          <w:color w:val="auto"/>
        </w:rPr>
      </w:pPr>
    </w:p>
    <w:p>
      <w:pPr>
        <w:ind w:left="760" w:hanging="752"/>
        <w:spacing w:after="0"/>
        <w:tabs>
          <w:tab w:leader="none" w:pos="7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Publicity.</w:t>
      </w:r>
    </w:p>
    <w:p>
      <w:pPr>
        <w:spacing w:after="0" w:line="210"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University shall have the right to report in its customary publications and presentations that University and Company have entered into a license agreement for the technology covered by the Licensed Patents and University may use Company logos in such publications and presentations provided that University does not modify Company’s logos and does not through such use imply any endorsement by Company of University.</w:t>
      </w:r>
    </w:p>
    <w:p>
      <w:pPr>
        <w:spacing w:after="0" w:line="18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The Parties will cooperate with one another to review and respond to any press release or similar communication proposed by the other Party regarding the non-confidential subject matter of this Agreement. The specific content and timing of such press releases or similar communication is subject to mutual agreement by the Parties, which will not be unreasonably</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type w:val="continuous"/>
        </w:sectPr>
      </w:pPr>
    </w:p>
    <w:bookmarkStart w:id="167" w:name="page168"/>
    <w:bookmarkEnd w:id="167"/>
    <w:p>
      <w:pPr>
        <w:ind w:right="140"/>
        <w:spacing w:after="0" w:line="238" w:lineRule="auto"/>
        <w:rPr>
          <w:sz w:val="20"/>
          <w:szCs w:val="20"/>
          <w:color w:val="auto"/>
        </w:rPr>
      </w:pPr>
      <w:r>
        <w:rPr>
          <w:rFonts w:ascii="Times New Roman" w:cs="Times New Roman" w:eastAsia="Times New Roman" w:hAnsi="Times New Roman"/>
          <w:sz w:val="22"/>
          <w:szCs w:val="22"/>
          <w:color w:val="auto"/>
        </w:rPr>
        <w:t>withheld. Further, University and Company shall issue a joint press release regarding this Agreement, subject to both Party’s review and approval of the specific content thereof, and such press release shall include specific mention of the contributions of University personnel and University in developing the technology in a prominent portion of the press release. Company shall provide University with appropriate quotes for such press release. University may post the press release in digital and print publications as well as on University’s own website.</w:t>
      </w:r>
    </w:p>
    <w:p>
      <w:pPr>
        <w:spacing w:after="0" w:line="173" w:lineRule="exact"/>
        <w:rPr>
          <w:sz w:val="20"/>
          <w:szCs w:val="20"/>
          <w:color w:val="auto"/>
        </w:rPr>
      </w:pPr>
    </w:p>
    <w:p>
      <w:pPr>
        <w:ind w:left="760" w:hanging="752"/>
        <w:spacing w:after="0"/>
        <w:tabs>
          <w:tab w:leader="none" w:pos="7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Relationship of Parties.</w:t>
      </w:r>
    </w:p>
    <w:p>
      <w:pPr>
        <w:spacing w:after="0" w:line="21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21"/>
          <w:szCs w:val="21"/>
          <w:color w:val="auto"/>
        </w:rPr>
        <w:t>In entering into, and performing their duties under, this Agreement, the Parties are acting as independent contractors and independent employers. No provision of this Agreement shall create or be construed as creating a partnership, joint venture, or agency relationship between the Parties. No Party shall have the authority to act for or bind the other Party in any respect.</w:t>
      </w:r>
    </w:p>
    <w:p>
      <w:pPr>
        <w:spacing w:after="0" w:line="153" w:lineRule="exact"/>
        <w:rPr>
          <w:sz w:val="20"/>
          <w:szCs w:val="20"/>
          <w:color w:val="auto"/>
        </w:rPr>
      </w:pPr>
    </w:p>
    <w:p>
      <w:pPr>
        <w:ind w:left="760" w:hanging="752"/>
        <w:spacing w:after="0"/>
        <w:tabs>
          <w:tab w:leader="none" w:pos="76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Relationship with Principal Investigator.</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Company acknowledges that Principal Investigator is employed by University and has certain pre-existing obligations to University, including obligations with respect to disclosure and ownership of intellectual property and obligations arising from sponsored research agreements between University and Third Parties. Accordingly, Company agrees that to the extent that any consulting agreement is inconsistent with any of Principal Investigator’s obligations to University, including the reporting of all inventions developed while employed by University (regardless of where arising) and including contractual obligations arising under any sponsored research agreements between University and Third Parties, then Principal Investigator’s obligations to University shall prevail and to such extent any inconsistent provisions of this consulting agreement shall be deemed inapplicable and unenforceable.</w:t>
      </w:r>
    </w:p>
    <w:p>
      <w:pPr>
        <w:spacing w:after="0" w:line="174" w:lineRule="exact"/>
        <w:rPr>
          <w:sz w:val="20"/>
          <w:szCs w:val="20"/>
          <w:color w:val="auto"/>
        </w:rPr>
      </w:pPr>
    </w:p>
    <w:p>
      <w:pPr>
        <w:ind w:left="760" w:hanging="752"/>
        <w:spacing w:after="0"/>
        <w:tabs>
          <w:tab w:leader="none" w:pos="76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Security Interest.</w:t>
      </w:r>
    </w:p>
    <w:p>
      <w:pPr>
        <w:spacing w:after="0" w:line="210"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22"/>
          <w:szCs w:val="22"/>
          <w:color w:val="auto"/>
        </w:rPr>
        <w:t>In no event shall Company grant, or permit any person to assert or perfect, a security interest in Licensed Patents or in Company’s rights under this Agreement.</w:t>
      </w:r>
    </w:p>
    <w:p>
      <w:pPr>
        <w:spacing w:after="0" w:line="154" w:lineRule="exact"/>
        <w:rPr>
          <w:sz w:val="20"/>
          <w:szCs w:val="20"/>
          <w:color w:val="auto"/>
        </w:rPr>
      </w:pPr>
    </w:p>
    <w:p>
      <w:pPr>
        <w:ind w:left="760" w:hanging="752"/>
        <w:spacing w:after="0"/>
        <w:tabs>
          <w:tab w:leader="none" w:pos="7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Survival.</w:t>
      </w:r>
    </w:p>
    <w:p>
      <w:pPr>
        <w:spacing w:after="0" w:line="210" w:lineRule="exact"/>
        <w:rPr>
          <w:sz w:val="20"/>
          <w:szCs w:val="20"/>
          <w:color w:val="auto"/>
        </w:rPr>
      </w:pPr>
    </w:p>
    <w:p>
      <w:pPr>
        <w:ind w:right="40" w:firstLine="749"/>
        <w:spacing w:after="0" w:line="248" w:lineRule="auto"/>
        <w:rPr>
          <w:sz w:val="20"/>
          <w:szCs w:val="20"/>
          <w:color w:val="auto"/>
        </w:rPr>
      </w:pPr>
      <w:r>
        <w:rPr>
          <w:rFonts w:ascii="Times New Roman" w:cs="Times New Roman" w:eastAsia="Times New Roman" w:hAnsi="Times New Roman"/>
          <w:sz w:val="21"/>
          <w:szCs w:val="21"/>
          <w:color w:val="auto"/>
        </w:rPr>
        <w:t>Immediately upon the termination or expiration of this Agreement all Company’s rights under this Agreement will terminate; provided, however, Company’s obligations that have accrued prior to the effective date of termination or expiration of this Agreement (e.</w:t>
      </w:r>
      <w:r>
        <w:rPr>
          <w:rFonts w:ascii="Times New Roman" w:cs="Times New Roman" w:eastAsia="Times New Roman" w:hAnsi="Times New Roman"/>
          <w:sz w:val="21"/>
          <w:szCs w:val="21"/>
          <w:i w:val="1"/>
          <w:iCs w:val="1"/>
          <w:color w:val="auto"/>
        </w:rPr>
        <w:t>g.</w:t>
      </w:r>
      <w:r>
        <w:rPr>
          <w:rFonts w:ascii="Times New Roman" w:cs="Times New Roman" w:eastAsia="Times New Roman" w:hAnsi="Times New Roman"/>
          <w:sz w:val="21"/>
          <w:szCs w:val="21"/>
          <w:color w:val="auto"/>
        </w:rPr>
        <w:t>, the obligation to report and make payments on sales, leases, or dispositions of Licensed Products and to reimburse University for costs) and the obligations specified in Sections 6.1 “Payments” and 6.4 “Sales Reports” will survive. The obligations and rights set forth in Sections 6.5 “Records Retention and Audit Rights” and 9.3 “Effect of Termination” and Articles 10 “Release, Indemnification, and Insurance”, 11 “Warranties”, 12 “Damages”, 15 “Confidentiality”, 29 “Applicable Law” and 30 “Forum Selection” will survive the termination or expiration of this Agreement.</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68" w:name="page169"/>
    <w:bookmarkEnd w:id="168"/>
    <w:p>
      <w:pPr>
        <w:ind w:left="760" w:hanging="752"/>
        <w:spacing w:after="0"/>
        <w:tabs>
          <w:tab w:leader="none" w:pos="7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Collection Costs and Attorneys’ Fees.</w:t>
      </w:r>
    </w:p>
    <w:p>
      <w:pPr>
        <w:spacing w:after="0" w:line="210"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If a Party fails to perform an obligation or otherwise breaches one or more of the terms of this Agreement, the other Party may recover from the non-performing breaching Party all its costs (including actual attorneys’ and investigative fees) to enforce the terms of this Agreement.</w:t>
      </w:r>
    </w:p>
    <w:p>
      <w:pPr>
        <w:spacing w:after="0" w:line="169"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w:t>
      </w:r>
    </w:p>
    <w:p>
      <w:pPr>
        <w:spacing w:after="0" w:line="21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internal laws of the state of Washington will govern the validity, construction, and enforceability of this Agreement, without giving effect to the conflict of laws principles thereof.</w:t>
      </w:r>
    </w:p>
    <w:p>
      <w:pPr>
        <w:spacing w:after="0" w:line="154"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Forum Selection.</w:t>
      </w:r>
    </w:p>
    <w:p>
      <w:pPr>
        <w:spacing w:after="0" w:line="210"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A suit, claim, or other action to enforce the terms of this Agreement will be brought exclusively in the state and federal courts of King County, Washington. Company hereby submits to the jurisdiction of that court and waives any objections it may have to that court asserting jurisdiction over Company or its assets and property.</w:t>
      </w:r>
    </w:p>
    <w:p>
      <w:pPr>
        <w:spacing w:after="0" w:line="169"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p>
    <w:p>
      <w:pPr>
        <w:spacing w:after="0" w:line="210" w:lineRule="exact"/>
        <w:rPr>
          <w:sz w:val="20"/>
          <w:szCs w:val="20"/>
          <w:color w:val="auto"/>
        </w:rPr>
      </w:pPr>
    </w:p>
    <w:p>
      <w:pPr>
        <w:ind w:firstLine="749"/>
        <w:spacing w:after="0" w:line="229" w:lineRule="auto"/>
        <w:rPr>
          <w:sz w:val="20"/>
          <w:szCs w:val="20"/>
          <w:color w:val="auto"/>
        </w:rPr>
      </w:pPr>
      <w:r>
        <w:rPr>
          <w:rFonts w:ascii="Times New Roman" w:cs="Times New Roman" w:eastAsia="Times New Roman" w:hAnsi="Times New Roman"/>
          <w:sz w:val="22"/>
          <w:szCs w:val="22"/>
          <w:color w:val="auto"/>
        </w:rPr>
        <w:t>Company has evaluated the Licensed Patents under a Confidentiality Agreement (“CDA”) with University (UW # 35111A) with an effective date of June 16th, 2014 and under an Exclusive Option (“Option”) with University (UW # 36201A) with an effective date of February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2015. This Agreement (including all attachments, exhibits, and amendments) is the final and complete understanding between the Parties concerning licensing the Licensed Patents. This Agreement supersedes any and all prior or contemporaneous negotiations, representations, and agreements, whether written or oral, concerning the Licensed Patents. However, the obligations of nonuse and nondisclosure for Confidential Information disclosed pursuant to the CDA shall survive until June 16, 2019. Confidential Information disclosed pursuant to this Agreement shall be governed by the terms of this Agreement. This Agreement may not be modified in any manner, except by written agreement signed by an authorized representative of both Parties.</w:t>
      </w:r>
    </w:p>
    <w:p>
      <w:pPr>
        <w:spacing w:after="0" w:line="174"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caused this Agreement to be duly executed by their respective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w:t>
      </w: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288"/>
        </w:trPr>
        <w:tc>
          <w:tcPr>
            <w:tcW w:w="484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University of Washington</w:t>
            </w:r>
          </w:p>
        </w:tc>
        <w:tc>
          <w:tcPr>
            <w:tcW w:w="1820" w:type="dxa"/>
            <w:vAlign w:val="bottom"/>
          </w:tcPr>
          <w:p>
            <w:pPr>
              <w:ind w:left="920"/>
              <w:spacing w:after="0"/>
              <w:rPr>
                <w:sz w:val="20"/>
                <w:szCs w:val="20"/>
                <w:color w:val="auto"/>
              </w:rPr>
            </w:pPr>
            <w:r>
              <w:rPr>
                <w:rFonts w:ascii="Times New Roman" w:cs="Times New Roman" w:eastAsia="Times New Roman" w:hAnsi="Times New Roman"/>
                <w:sz w:val="22"/>
                <w:szCs w:val="22"/>
                <w:b w:val="1"/>
                <w:bCs w:val="1"/>
                <w:i w:val="1"/>
                <w:iCs w:val="1"/>
                <w:color w:val="auto"/>
              </w:rPr>
              <w:t>Solid GT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Fiona Wills</w:t>
            </w:r>
          </w:p>
        </w:tc>
        <w:tc>
          <w:tcPr>
            <w:tcW w:w="18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By:</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6"/>
              </w:rPr>
              <w:t>/s/ Ilan Ganot</w:t>
            </w: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Fiona Wills</w:t>
            </w:r>
          </w:p>
        </w:tc>
        <w:tc>
          <w:tcPr>
            <w:tcW w:w="2620" w:type="dxa"/>
            <w:vAlign w:val="bottom"/>
            <w:gridSpan w:val="2"/>
          </w:tcPr>
          <w:p>
            <w:pPr>
              <w:spacing w:after="0"/>
              <w:rPr>
                <w:sz w:val="24"/>
                <w:szCs w:val="24"/>
                <w:color w:val="auto"/>
              </w:rPr>
            </w:pPr>
          </w:p>
        </w:tc>
        <w:tc>
          <w:tcPr>
            <w:tcW w:w="18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Name:</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Ilan Ganot</w:t>
            </w: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0" w:type="dxa"/>
            <w:vAlign w:val="bottom"/>
            <w:tcBorders>
              <w:left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Director, Innovation Development</w:t>
            </w:r>
          </w:p>
        </w:tc>
        <w:tc>
          <w:tcPr>
            <w:tcW w:w="900" w:type="dxa"/>
            <w:vAlign w:val="bottom"/>
          </w:tcPr>
          <w:p>
            <w:pPr>
              <w:spacing w:after="0"/>
              <w:rPr>
                <w:sz w:val="24"/>
                <w:szCs w:val="24"/>
                <w:color w:val="auto"/>
              </w:rPr>
            </w:pPr>
          </w:p>
        </w:tc>
        <w:tc>
          <w:tcPr>
            <w:tcW w:w="18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Title:</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CEO</w:t>
            </w: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w w:val="93"/>
              </w:rPr>
              <w:t>10/16/2015</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2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Date:</w:t>
            </w: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10/16/2015</w:t>
            </w:r>
          </w:p>
        </w:tc>
      </w:tr>
      <w:tr>
        <w:trPr>
          <w:trHeight w:val="20"/>
        </w:trPr>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Exclusive Patent License Schedule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A1.</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Licensed Patents:</w:t>
            </w:r>
          </w:p>
        </w:tc>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473"/>
        </w:trPr>
        <w:tc>
          <w:tcPr>
            <w:tcW w:w="100" w:type="dxa"/>
            <w:vAlign w:val="bottom"/>
          </w:tcPr>
          <w:p>
            <w:pPr>
              <w:spacing w:after="0"/>
              <w:rPr>
                <w:sz w:val="24"/>
                <w:szCs w:val="24"/>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UW Reference #</w:t>
            </w:r>
          </w:p>
        </w:tc>
        <w:tc>
          <w:tcPr>
            <w:tcW w:w="2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Application Serial #</w:t>
            </w:r>
          </w:p>
        </w:tc>
        <w:tc>
          <w:tcPr>
            <w:tcW w:w="1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Filing Date</w:t>
            </w:r>
          </w:p>
        </w:tc>
        <w:tc>
          <w:tcPr>
            <w:tcW w:w="1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2"/>
              </w:rPr>
              <w:t>Type</w:t>
            </w:r>
          </w:p>
        </w:tc>
        <w:tc>
          <w:tcPr>
            <w:tcW w:w="20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Status</w:t>
            </w:r>
          </w:p>
        </w:tc>
      </w:tr>
      <w:tr>
        <w:trPr>
          <w:trHeight w:val="277"/>
        </w:trPr>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w:t>
            </w:r>
          </w:p>
        </w:tc>
        <w:tc>
          <w:tcPr>
            <w:tcW w:w="1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top w:val="single" w:sz="8" w:color="auto"/>
            </w:tcBorders>
          </w:tcPr>
          <w:p>
            <w:pPr>
              <w:jc w:val="right"/>
              <w:ind w:right="109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188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14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4"/>
                <w:szCs w:val="24"/>
                <w:color w:val="auto"/>
              </w:rPr>
            </w:pPr>
          </w:p>
        </w:tc>
        <w:tc>
          <w:tcPr>
            <w:tcW w:w="2040" w:type="dxa"/>
            <w:vAlign w:val="bottom"/>
            <w:tcBorders>
              <w:top w:val="single" w:sz="8" w:color="auto"/>
            </w:tcBorders>
          </w:tcPr>
          <w:p>
            <w:pPr>
              <w:jc w:val="right"/>
              <w:ind w:right="73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A2.</w:t>
      </w:r>
      <w:r>
        <w:rPr>
          <w:sz w:val="20"/>
          <w:szCs w:val="20"/>
          <w:color w:val="auto"/>
        </w:rPr>
        <w:tab/>
      </w:r>
      <w:r>
        <w:rPr>
          <w:rFonts w:ascii="Times New Roman" w:cs="Times New Roman" w:eastAsia="Times New Roman" w:hAnsi="Times New Roman"/>
          <w:sz w:val="22"/>
          <w:szCs w:val="22"/>
          <w:b w:val="1"/>
          <w:bCs w:val="1"/>
          <w:color w:val="auto"/>
        </w:rPr>
        <w:t>Performance Milestones (Section 5.1 “Commercialization and Performance Milestones”):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shall meet the following performance milestones:</w:t>
      </w:r>
    </w:p>
    <w:p>
      <w:pPr>
        <w:spacing w:after="0" w:line="20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A2.1</w:t>
      </w:r>
      <w:r>
        <w:rPr>
          <w:sz w:val="20"/>
          <w:szCs w:val="20"/>
          <w:color w:val="auto"/>
        </w:rPr>
        <w:tab/>
      </w:r>
      <w:r>
        <w:rPr>
          <w:rFonts w:ascii="Times New Roman" w:cs="Times New Roman" w:eastAsia="Times New Roman" w:hAnsi="Times New Roman"/>
          <w:sz w:val="21"/>
          <w:szCs w:val="21"/>
          <w:color w:val="auto"/>
        </w:rPr>
        <w:t>Milestone 1 – [**]</w:t>
      </w:r>
    </w:p>
    <w:p>
      <w:pPr>
        <w:spacing w:after="0" w:line="20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A2.2</w:t>
      </w:r>
      <w:r>
        <w:rPr>
          <w:sz w:val="20"/>
          <w:szCs w:val="20"/>
          <w:color w:val="auto"/>
        </w:rPr>
        <w:tab/>
      </w:r>
      <w:r>
        <w:rPr>
          <w:rFonts w:ascii="Times New Roman" w:cs="Times New Roman" w:eastAsia="Times New Roman" w:hAnsi="Times New Roman"/>
          <w:sz w:val="21"/>
          <w:szCs w:val="21"/>
          <w:color w:val="auto"/>
        </w:rPr>
        <w:t>Milestone 2- [**]</w:t>
      </w:r>
    </w:p>
    <w:p>
      <w:pPr>
        <w:spacing w:after="0" w:line="20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A2.3</w:t>
      </w:r>
      <w:r>
        <w:rPr>
          <w:sz w:val="20"/>
          <w:szCs w:val="20"/>
          <w:color w:val="auto"/>
        </w:rPr>
        <w:tab/>
      </w:r>
      <w:r>
        <w:rPr>
          <w:rFonts w:ascii="Times New Roman" w:cs="Times New Roman" w:eastAsia="Times New Roman" w:hAnsi="Times New Roman"/>
          <w:sz w:val="21"/>
          <w:szCs w:val="21"/>
          <w:color w:val="auto"/>
        </w:rPr>
        <w:t>Milestone 3 – [**]</w:t>
      </w:r>
    </w:p>
    <w:p>
      <w:pPr>
        <w:spacing w:after="0" w:line="206"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2"/>
          <w:szCs w:val="22"/>
          <w:color w:val="auto"/>
        </w:rPr>
        <w:t>A2.4</w:t>
      </w:r>
      <w:r>
        <w:rPr>
          <w:sz w:val="20"/>
          <w:szCs w:val="20"/>
          <w:color w:val="auto"/>
        </w:rPr>
        <w:tab/>
      </w:r>
      <w:r>
        <w:rPr>
          <w:rFonts w:ascii="Times New Roman" w:cs="Times New Roman" w:eastAsia="Times New Roman" w:hAnsi="Times New Roman"/>
          <w:sz w:val="21"/>
          <w:szCs w:val="21"/>
          <w:color w:val="auto"/>
        </w:rPr>
        <w:t>Milestone 4 – [**]</w:t>
      </w:r>
    </w:p>
    <w:p>
      <w:pPr>
        <w:spacing w:after="0" w:line="20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b w:val="1"/>
          <w:bCs w:val="1"/>
          <w:color w:val="auto"/>
        </w:rPr>
        <w:t>A3.</w:t>
      </w:r>
      <w:r>
        <w:rPr>
          <w:sz w:val="20"/>
          <w:szCs w:val="20"/>
          <w:color w:val="auto"/>
        </w:rPr>
        <w:tab/>
      </w:r>
      <w:r>
        <w:rPr>
          <w:rFonts w:ascii="Times New Roman" w:cs="Times New Roman" w:eastAsia="Times New Roman" w:hAnsi="Times New Roman"/>
          <w:sz w:val="22"/>
          <w:szCs w:val="22"/>
          <w:b w:val="1"/>
          <w:bCs w:val="1"/>
          <w:color w:val="auto"/>
        </w:rPr>
        <w:t>Payments (Section 6.1):</w:t>
      </w:r>
    </w:p>
    <w:p>
      <w:pPr>
        <w:spacing w:after="0" w:line="210" w:lineRule="exact"/>
        <w:rPr>
          <w:sz w:val="20"/>
          <w:szCs w:val="20"/>
          <w:color w:val="auto"/>
        </w:rPr>
      </w:pPr>
    </w:p>
    <w:p>
      <w:pPr>
        <w:ind w:left="1500" w:right="200" w:hanging="748"/>
        <w:spacing w:after="0" w:line="282" w:lineRule="auto"/>
        <w:tabs>
          <w:tab w:leader="none" w:pos="1480" w:val="left"/>
        </w:tabs>
        <w:rPr>
          <w:sz w:val="20"/>
          <w:szCs w:val="20"/>
          <w:color w:val="auto"/>
        </w:rPr>
      </w:pPr>
      <w:r>
        <w:rPr>
          <w:rFonts w:ascii="Times New Roman" w:cs="Times New Roman" w:eastAsia="Times New Roman" w:hAnsi="Times New Roman"/>
          <w:sz w:val="22"/>
          <w:szCs w:val="22"/>
          <w:u w:val="single" w:color="auto"/>
          <w:color w:val="auto"/>
        </w:rPr>
        <w:t>A3.1</w:t>
      </w:r>
      <w:r>
        <w:rPr>
          <w:sz w:val="20"/>
          <w:szCs w:val="20"/>
          <w:color w:val="auto"/>
        </w:rPr>
        <w:tab/>
      </w:r>
      <w:r>
        <w:rPr>
          <w:rFonts w:ascii="Times New Roman" w:cs="Times New Roman" w:eastAsia="Times New Roman" w:hAnsi="Times New Roman"/>
          <w:sz w:val="21"/>
          <w:szCs w:val="21"/>
          <w:u w:val="single" w:color="auto"/>
          <w:color w:val="auto"/>
        </w:rPr>
        <w:t>Up-front Payment</w:t>
      </w:r>
      <w:r>
        <w:rPr>
          <w:rFonts w:ascii="Times New Roman" w:cs="Times New Roman" w:eastAsia="Times New Roman" w:hAnsi="Times New Roman"/>
          <w:sz w:val="21"/>
          <w:szCs w:val="21"/>
          <w:color w:val="auto"/>
        </w:rPr>
        <w:t>. Company shall pay to University within 14 days of the Effective Date [**] as an up-front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payment. This up-front payment shall be non-refundable and not creditable against future royalty obligations.</w:t>
      </w:r>
    </w:p>
    <w:p>
      <w:pPr>
        <w:spacing w:after="0" w:line="135" w:lineRule="exact"/>
        <w:rPr>
          <w:sz w:val="20"/>
          <w:szCs w:val="20"/>
          <w:color w:val="auto"/>
        </w:rPr>
      </w:pPr>
    </w:p>
    <w:p>
      <w:pPr>
        <w:ind w:left="1500" w:right="40" w:hanging="748"/>
        <w:spacing w:after="0" w:line="261" w:lineRule="auto"/>
        <w:tabs>
          <w:tab w:leader="none" w:pos="1480" w:val="left"/>
        </w:tabs>
        <w:rPr>
          <w:sz w:val="20"/>
          <w:szCs w:val="20"/>
          <w:color w:val="auto"/>
        </w:rPr>
      </w:pPr>
      <w:r>
        <w:rPr>
          <w:rFonts w:ascii="Times New Roman" w:cs="Times New Roman" w:eastAsia="Times New Roman" w:hAnsi="Times New Roman"/>
          <w:sz w:val="22"/>
          <w:szCs w:val="22"/>
          <w:u w:val="single" w:color="auto"/>
          <w:color w:val="auto"/>
        </w:rPr>
        <w:t>A3.2</w:t>
      </w:r>
      <w:r>
        <w:rPr>
          <w:sz w:val="20"/>
          <w:szCs w:val="20"/>
          <w:color w:val="auto"/>
        </w:rPr>
        <w:tab/>
      </w:r>
      <w:r>
        <w:rPr>
          <w:rFonts w:ascii="Times New Roman" w:cs="Times New Roman" w:eastAsia="Times New Roman" w:hAnsi="Times New Roman"/>
          <w:sz w:val="21"/>
          <w:szCs w:val="21"/>
          <w:u w:val="single" w:color="auto"/>
          <w:color w:val="auto"/>
        </w:rPr>
        <w:t>Annual Maintenance Fee</w:t>
      </w:r>
      <w:r>
        <w:rPr>
          <w:rFonts w:ascii="Times New Roman" w:cs="Times New Roman" w:eastAsia="Times New Roman" w:hAnsi="Times New Roman"/>
          <w:sz w:val="21"/>
          <w:szCs w:val="21"/>
          <w:color w:val="auto"/>
        </w:rPr>
        <w:t>. Company shall pay to University an annual maintenance fee of [**] due on the 2nd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anniversary of the Effective Date and every year thereafter for the term of the Agreement. Annual Maintenance Fees shall terminate immediately when Company begins to pay Minimum Annual Royalties (A3.4).</w:t>
      </w:r>
    </w:p>
    <w:p>
      <w:pPr>
        <w:spacing w:after="0" w:line="157" w:lineRule="exact"/>
        <w:rPr>
          <w:sz w:val="20"/>
          <w:szCs w:val="20"/>
          <w:color w:val="auto"/>
        </w:rPr>
      </w:pPr>
    </w:p>
    <w:p>
      <w:pPr>
        <w:jc w:val="both"/>
        <w:ind w:left="1500" w:right="40" w:hanging="748"/>
        <w:spacing w:after="0" w:line="244" w:lineRule="auto"/>
        <w:tabs>
          <w:tab w:leader="none" w:pos="1480" w:val="left"/>
        </w:tabs>
        <w:rPr>
          <w:sz w:val="20"/>
          <w:szCs w:val="20"/>
          <w:color w:val="auto"/>
        </w:rPr>
      </w:pPr>
      <w:r>
        <w:rPr>
          <w:rFonts w:ascii="Times New Roman" w:cs="Times New Roman" w:eastAsia="Times New Roman" w:hAnsi="Times New Roman"/>
          <w:sz w:val="22"/>
          <w:szCs w:val="22"/>
          <w:u w:val="single" w:color="auto"/>
          <w:color w:val="auto"/>
        </w:rPr>
        <w:t>A3.3</w:t>
      </w:r>
      <w:r>
        <w:rPr>
          <w:sz w:val="20"/>
          <w:szCs w:val="20"/>
          <w:color w:val="auto"/>
        </w:rPr>
        <w:tab/>
      </w:r>
      <w:r>
        <w:rPr>
          <w:rFonts w:ascii="Times New Roman" w:cs="Times New Roman" w:eastAsia="Times New Roman" w:hAnsi="Times New Roman"/>
          <w:sz w:val="22"/>
          <w:szCs w:val="22"/>
          <w:u w:val="single" w:color="auto"/>
          <w:color w:val="auto"/>
        </w:rPr>
        <w:t>Running Royalty Payments</w:t>
      </w:r>
      <w:r>
        <w:rPr>
          <w:rFonts w:ascii="Times New Roman" w:cs="Times New Roman" w:eastAsia="Times New Roman" w:hAnsi="Times New Roman"/>
          <w:sz w:val="22"/>
          <w:szCs w:val="22"/>
          <w:color w:val="auto"/>
        </w:rPr>
        <w:t>. Company shall pay to University within 30 days after the last day of each calendar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quarter during the term of this Agreement an amount equal to [**] of Net Sales during such quarter as a running royalty payment.</w:t>
      </w:r>
    </w:p>
    <w:p>
      <w:pPr>
        <w:spacing w:after="0" w:line="173" w:lineRule="exact"/>
        <w:rPr>
          <w:sz w:val="20"/>
          <w:szCs w:val="20"/>
          <w:color w:val="auto"/>
        </w:rPr>
      </w:pPr>
    </w:p>
    <w:p>
      <w:pPr>
        <w:ind w:left="1500" w:hanging="748"/>
        <w:spacing w:after="0" w:line="238" w:lineRule="auto"/>
        <w:tabs>
          <w:tab w:leader="none" w:pos="1480" w:val="left"/>
        </w:tabs>
        <w:rPr>
          <w:sz w:val="20"/>
          <w:szCs w:val="20"/>
          <w:color w:val="auto"/>
        </w:rPr>
      </w:pPr>
      <w:r>
        <w:rPr>
          <w:rFonts w:ascii="Times New Roman" w:cs="Times New Roman" w:eastAsia="Times New Roman" w:hAnsi="Times New Roman"/>
          <w:sz w:val="22"/>
          <w:szCs w:val="22"/>
          <w:u w:val="single" w:color="auto"/>
          <w:color w:val="auto"/>
        </w:rPr>
        <w:t>A3.4</w:t>
      </w:r>
      <w:r>
        <w:rPr>
          <w:sz w:val="20"/>
          <w:szCs w:val="20"/>
          <w:color w:val="auto"/>
        </w:rPr>
        <w:tab/>
      </w:r>
      <w:r>
        <w:rPr>
          <w:rFonts w:ascii="Times New Roman" w:cs="Times New Roman" w:eastAsia="Times New Roman" w:hAnsi="Times New Roman"/>
          <w:sz w:val="22"/>
          <w:szCs w:val="22"/>
          <w:u w:val="single" w:color="auto"/>
          <w:color w:val="auto"/>
        </w:rPr>
        <w:t>Minimum Annual Royalties</w:t>
      </w:r>
      <w:r>
        <w:rPr>
          <w:rFonts w:ascii="Times New Roman" w:cs="Times New Roman" w:eastAsia="Times New Roman" w:hAnsi="Times New Roman"/>
          <w:sz w:val="22"/>
          <w:szCs w:val="22"/>
          <w:color w:val="auto"/>
        </w:rPr>
        <w:t>. Company as well as each of its Sublicensees shall pay minimum annual royalties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of [**] for the term of this Agreement to be creditable against running royalty payments for the preceding calendar year on a non-cumulative basis and to be due in full and payable on January 31st of each year beginning on January 31st of the second year following the first commercial sale and continuing during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70" w:name="page171"/>
    <w:bookmarkEnd w:id="170"/>
    <w:p>
      <w:pPr>
        <w:ind w:left="1140" w:right="20" w:hanging="748"/>
        <w:spacing w:after="0" w:line="261" w:lineRule="auto"/>
        <w:rPr>
          <w:sz w:val="20"/>
          <w:szCs w:val="20"/>
          <w:color w:val="auto"/>
        </w:rPr>
      </w:pPr>
      <w:r>
        <w:rPr>
          <w:rFonts w:ascii="Times New Roman" w:cs="Times New Roman" w:eastAsia="Times New Roman" w:hAnsi="Times New Roman"/>
          <w:sz w:val="21"/>
          <w:szCs w:val="21"/>
          <w:color w:val="auto"/>
        </w:rPr>
        <w:t>A3.4.1 If this Agreement is terminated prior to the payment of a minimum annual royalty in any given year the amount due for that minimum annual royalty payment will be prorated on the basis of the number of full quarters that have elapsed prior to termination since the last payment of a minimum annual royalty.</w:t>
      </w:r>
    </w:p>
    <w:p>
      <w:pPr>
        <w:spacing w:after="0" w:line="157" w:lineRule="exact"/>
        <w:rPr>
          <w:sz w:val="20"/>
          <w:szCs w:val="20"/>
          <w:color w:val="auto"/>
        </w:rPr>
      </w:pPr>
    </w:p>
    <w:p>
      <w:pPr>
        <w:ind w:left="380" w:hanging="748"/>
        <w:spacing w:after="0" w:line="238" w:lineRule="auto"/>
        <w:tabs>
          <w:tab w:leader="none" w:pos="360" w:val="left"/>
        </w:tabs>
        <w:rPr>
          <w:sz w:val="20"/>
          <w:szCs w:val="20"/>
          <w:color w:val="auto"/>
        </w:rPr>
      </w:pPr>
      <w:r>
        <w:rPr>
          <w:rFonts w:ascii="Times New Roman" w:cs="Times New Roman" w:eastAsia="Times New Roman" w:hAnsi="Times New Roman"/>
          <w:sz w:val="22"/>
          <w:szCs w:val="22"/>
          <w:u w:val="single" w:color="auto"/>
          <w:color w:val="auto"/>
        </w:rPr>
        <w:t>A3.5</w:t>
      </w:r>
      <w:r>
        <w:rPr>
          <w:sz w:val="20"/>
          <w:szCs w:val="20"/>
          <w:color w:val="auto"/>
        </w:rPr>
        <w:tab/>
      </w:r>
      <w:r>
        <w:rPr>
          <w:rFonts w:ascii="Times New Roman" w:cs="Times New Roman" w:eastAsia="Times New Roman" w:hAnsi="Times New Roman"/>
          <w:sz w:val="22"/>
          <w:szCs w:val="22"/>
          <w:u w:val="single" w:color="auto"/>
          <w:color w:val="auto"/>
        </w:rPr>
        <w:t>Financial Milestones</w:t>
      </w:r>
      <w:r>
        <w:rPr>
          <w:rFonts w:ascii="Times New Roman" w:cs="Times New Roman" w:eastAsia="Times New Roman" w:hAnsi="Times New Roman"/>
          <w:sz w:val="22"/>
          <w:szCs w:val="22"/>
          <w:color w:val="auto"/>
        </w:rPr>
        <w:t>. Company shall pay to University the following non-cumulative and non-refundable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milestone achievement payments within 30 days of achieving the corresponding milestone, whether achieved by Company or a Sublicensee. For clarity, payments will be due only once in respect of the first achievement of the milestones below for a Licensed Product, regardless of the number of Licensed Products to achieve the milestone.</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A3.5.1  [**]</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A3.5.2  [**]</w:t>
      </w:r>
    </w:p>
    <w:p>
      <w:pPr>
        <w:spacing w:after="0" w:line="206"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22"/>
          <w:szCs w:val="22"/>
          <w:color w:val="auto"/>
        </w:rPr>
        <w:t>A3.5.3</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A3.5.4  [**]</w:t>
      </w:r>
    </w:p>
    <w:p>
      <w:pPr>
        <w:spacing w:after="0" w:line="206" w:lineRule="exact"/>
        <w:rPr>
          <w:sz w:val="20"/>
          <w:szCs w:val="20"/>
          <w:color w:val="auto"/>
        </w:rPr>
      </w:pPr>
    </w:p>
    <w:p>
      <w:pPr>
        <w:ind w:left="380" w:right="220" w:hanging="748"/>
        <w:spacing w:after="0" w:line="238" w:lineRule="auto"/>
        <w:tabs>
          <w:tab w:leader="none" w:pos="360" w:val="left"/>
        </w:tabs>
        <w:rPr>
          <w:sz w:val="20"/>
          <w:szCs w:val="20"/>
          <w:color w:val="auto"/>
        </w:rPr>
      </w:pPr>
      <w:r>
        <w:rPr>
          <w:rFonts w:ascii="Times New Roman" w:cs="Times New Roman" w:eastAsia="Times New Roman" w:hAnsi="Times New Roman"/>
          <w:sz w:val="22"/>
          <w:szCs w:val="22"/>
          <w:u w:val="single" w:color="auto"/>
          <w:color w:val="auto"/>
        </w:rPr>
        <w:t>A3.6</w:t>
      </w:r>
      <w:r>
        <w:rPr>
          <w:sz w:val="20"/>
          <w:szCs w:val="20"/>
          <w:color w:val="auto"/>
        </w:rPr>
        <w:tab/>
      </w:r>
      <w:r>
        <w:rPr>
          <w:rFonts w:ascii="Times New Roman" w:cs="Times New Roman" w:eastAsia="Times New Roman" w:hAnsi="Times New Roman"/>
          <w:sz w:val="22"/>
          <w:szCs w:val="22"/>
          <w:u w:val="single" w:color="auto"/>
          <w:color w:val="auto"/>
        </w:rPr>
        <w:t>Third Party Royalties</w:t>
      </w:r>
      <w:r>
        <w:rPr>
          <w:rFonts w:ascii="Times New Roman" w:cs="Times New Roman" w:eastAsia="Times New Roman" w:hAnsi="Times New Roman"/>
          <w:sz w:val="22"/>
          <w:szCs w:val="22"/>
          <w:color w:val="auto"/>
        </w:rPr>
        <w:t>. If Company is required to pay royalties to a Third Party based on Company’s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manufacture, use, or sale of Licensed Product subject to one or more patents of such Third Party then the royalty Company pays to University may be reduced by [**] of the royalty actually paid to the Third Party provided that use of any Third Party patent is required for such manufacture, use, or sale of Licensed Product, and provided that the royalty to the University shall not fall below [**].</w:t>
      </w:r>
    </w:p>
    <w:p>
      <w:pPr>
        <w:spacing w:after="0" w:line="177" w:lineRule="exact"/>
        <w:rPr>
          <w:sz w:val="20"/>
          <w:szCs w:val="20"/>
          <w:color w:val="auto"/>
        </w:rPr>
      </w:pPr>
    </w:p>
    <w:p>
      <w:pPr>
        <w:ind w:left="380" w:right="60" w:hanging="748"/>
        <w:spacing w:after="0" w:line="233" w:lineRule="auto"/>
        <w:tabs>
          <w:tab w:leader="none" w:pos="360" w:val="left"/>
        </w:tabs>
        <w:rPr>
          <w:sz w:val="20"/>
          <w:szCs w:val="20"/>
          <w:color w:val="auto"/>
        </w:rPr>
      </w:pPr>
      <w:r>
        <w:rPr>
          <w:rFonts w:ascii="Times New Roman" w:cs="Times New Roman" w:eastAsia="Times New Roman" w:hAnsi="Times New Roman"/>
          <w:sz w:val="22"/>
          <w:szCs w:val="22"/>
          <w:u w:val="single" w:color="auto"/>
          <w:color w:val="auto"/>
        </w:rPr>
        <w:t>A3.7</w:t>
      </w:r>
      <w:r>
        <w:rPr>
          <w:sz w:val="20"/>
          <w:szCs w:val="20"/>
          <w:color w:val="auto"/>
        </w:rPr>
        <w:tab/>
      </w:r>
      <w:r>
        <w:rPr>
          <w:rFonts w:ascii="Times New Roman" w:cs="Times New Roman" w:eastAsia="Times New Roman" w:hAnsi="Times New Roman"/>
          <w:sz w:val="22"/>
          <w:szCs w:val="22"/>
          <w:u w:val="single" w:color="auto"/>
          <w:color w:val="auto"/>
        </w:rPr>
        <w:t>Sublicensing Consideration</w:t>
      </w:r>
      <w:r>
        <w:rPr>
          <w:rFonts w:ascii="Times New Roman" w:cs="Times New Roman" w:eastAsia="Times New Roman" w:hAnsi="Times New Roman"/>
          <w:sz w:val="22"/>
          <w:szCs w:val="22"/>
          <w:color w:val="auto"/>
        </w:rPr>
        <w:t>. Within 30 days of the end of each calendar quarter during the term of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Agreement, Company shall pay to University [**] of any Sublicensing Consideration received by Company during such calendar quarter unless reduced by achievement of milestones by Company or its Sublicensee prior to execution of the particular Sublicense in accordance with the schedule below. A reduction of the percentage of Sublicensing Consideration payable to University under this Agreement wexhbill be negotiated in good faith between the Parties where, in addition to the Sublicense of any rights granted to Company hereunder, Company also grants Sublicensee a license under a Third Party’s intellectual property rights, which license is necessary for Sublicensee to manufacture, have manufactured, use, offer to sell or sell, offer to lease or lease, import, or otherwise offer to dispose or dispose of Licensed Product(s) without infringing such Third Party’s intellectual property rights, and only to the extent that the total aggregate consideration for such combined license is treated as Sublicensing Consideration.</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A3.7.1  After achievement of Milestone 1: [**]</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A3.7.2  After achievement of Milestone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1026795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171" w:name="page172"/>
    <w:bookmarkEnd w:id="171"/>
    <w:p>
      <w:pPr>
        <w:ind w:left="740"/>
        <w:spacing w:after="0"/>
        <w:rPr>
          <w:sz w:val="20"/>
          <w:szCs w:val="20"/>
          <w:color w:val="auto"/>
        </w:rPr>
      </w:pPr>
      <w:r>
        <w:rPr>
          <w:rFonts w:ascii="Times New Roman" w:cs="Times New Roman" w:eastAsia="Times New Roman" w:hAnsi="Times New Roman"/>
          <w:sz w:val="22"/>
          <w:szCs w:val="22"/>
          <w:color w:val="auto"/>
        </w:rPr>
        <w:t>A3.7.3  After achievement of Milestone 3: [**]</w:t>
      </w:r>
    </w:p>
    <w:p>
      <w:pPr>
        <w:spacing w:after="0" w:line="206" w:lineRule="exact"/>
        <w:rPr>
          <w:sz w:val="20"/>
          <w:szCs w:val="20"/>
          <w:color w:val="auto"/>
        </w:rPr>
      </w:pPr>
    </w:p>
    <w:p>
      <w:pPr>
        <w:ind w:left="740" w:right="560" w:hanging="748"/>
        <w:spacing w:after="0" w:line="282" w:lineRule="auto"/>
        <w:tabs>
          <w:tab w:leader="none" w:pos="720" w:val="left"/>
        </w:tabs>
        <w:rPr>
          <w:sz w:val="20"/>
          <w:szCs w:val="20"/>
          <w:color w:val="auto"/>
        </w:rPr>
      </w:pPr>
      <w:r>
        <w:rPr>
          <w:rFonts w:ascii="Times New Roman" w:cs="Times New Roman" w:eastAsia="Times New Roman" w:hAnsi="Times New Roman"/>
          <w:sz w:val="22"/>
          <w:szCs w:val="22"/>
          <w:u w:val="single" w:color="auto"/>
          <w:color w:val="auto"/>
        </w:rPr>
        <w:t>A3.8</w:t>
      </w:r>
      <w:r>
        <w:rPr>
          <w:sz w:val="20"/>
          <w:szCs w:val="20"/>
          <w:color w:val="auto"/>
        </w:rPr>
        <w:tab/>
      </w:r>
      <w:r>
        <w:rPr>
          <w:rFonts w:ascii="Times New Roman" w:cs="Times New Roman" w:eastAsia="Times New Roman" w:hAnsi="Times New Roman"/>
          <w:sz w:val="21"/>
          <w:szCs w:val="21"/>
          <w:u w:val="single" w:color="auto"/>
          <w:color w:val="auto"/>
        </w:rPr>
        <w:t>Assignment Fee</w:t>
      </w:r>
      <w:r>
        <w:rPr>
          <w:rFonts w:ascii="Times New Roman" w:cs="Times New Roman" w:eastAsia="Times New Roman" w:hAnsi="Times New Roman"/>
          <w:sz w:val="21"/>
          <w:szCs w:val="21"/>
          <w:color w:val="auto"/>
        </w:rPr>
        <w:t>. Within 30 days of any assignment of rights granted to Company under this Agreement,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shall pay to University [**] of any Assignment Consideration received by Company.</w:t>
      </w:r>
    </w:p>
    <w:p>
      <w:pPr>
        <w:spacing w:after="0" w:line="135" w:lineRule="exact"/>
        <w:rPr>
          <w:sz w:val="20"/>
          <w:szCs w:val="20"/>
          <w:color w:val="auto"/>
        </w:rPr>
      </w:pPr>
    </w:p>
    <w:p>
      <w:pPr>
        <w:jc w:val="both"/>
        <w:ind w:hanging="759"/>
        <w:spacing w:after="0" w:line="249" w:lineRule="auto"/>
        <w:rPr>
          <w:sz w:val="20"/>
          <w:szCs w:val="20"/>
          <w:color w:val="auto"/>
        </w:rPr>
      </w:pPr>
      <w:r>
        <w:rPr>
          <w:rFonts w:ascii="Times New Roman" w:cs="Times New Roman" w:eastAsia="Times New Roman" w:hAnsi="Times New Roman"/>
          <w:sz w:val="21"/>
          <w:szCs w:val="21"/>
          <w:u w:val="single" w:color="auto"/>
          <w:color w:val="auto"/>
        </w:rPr>
        <w:t>A4.</w:t>
      </w:r>
      <w:r>
        <w:rPr>
          <w:sz w:val="20"/>
          <w:szCs w:val="20"/>
          <w:color w:val="auto"/>
        </w:rPr>
        <w:t xml:space="preserve"> </w:t>
      </w:r>
      <w:r>
        <w:rPr>
          <w:rFonts w:ascii="Times New Roman" w:cs="Times New Roman" w:eastAsia="Times New Roman" w:hAnsi="Times New Roman"/>
          <w:sz w:val="21"/>
          <w:szCs w:val="21"/>
          <w:u w:val="single" w:color="auto"/>
          <w:color w:val="auto"/>
        </w:rPr>
        <w:t>Patent Cost Reimbursement</w:t>
      </w:r>
      <w:r>
        <w:rPr>
          <w:rFonts w:ascii="Times New Roman" w:cs="Times New Roman" w:eastAsia="Times New Roman" w:hAnsi="Times New Roman"/>
          <w:sz w:val="21"/>
          <w:szCs w:val="21"/>
          <w:color w:val="auto"/>
        </w:rPr>
        <w:t>: Company shall reimburse University for all Patent Expenses incurred prior to the Effective Date within 60 days of the Effective Date. Company shall pay, or reimburse University for paying, all Patent Expenses incurred on or after the Effective Date within 30 days of its receipt of University’s invoice for such Patent Expenses.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University reserves the right to request advance payments for certain Patent Expenses, at University’s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1285875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080" w:top="1408" w:right="439" w:bottom="1440" w:gutter="0" w:footer="0" w:header="0"/>
        </w:sectPr>
      </w:pPr>
    </w:p>
    <w:bookmarkStart w:id="172" w:name="page173"/>
    <w:bookmarkEnd w:id="172"/>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37" w:lineRule="exact"/>
        <w:rPr>
          <w:sz w:val="20"/>
          <w:szCs w:val="20"/>
          <w:color w:val="auto"/>
        </w:rPr>
      </w:pPr>
    </w:p>
    <w:p>
      <w:pPr>
        <w:jc w:val="center"/>
        <w:ind w:right="2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24"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1"/>
          <w:szCs w:val="21"/>
          <w:color w:val="auto"/>
        </w:rPr>
        <w:t>THIS LICENSE AGREEMENT (“AGREEMENT”) is made and entered into this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October 2015 (“EFFECTIVE DATE”), by and between THE CURATORS OF THE UNIVERSITY OF MISSOURI, a public corporation of the State of Missouri (“UNIVERSITY”) and Solid GT, LLC having offices at One Broadway Street, Cambridge, MA 02142 (“LICENSEE”). UNIVERSITY and LICENSEE may sometimes be referred to herein as a “PARTY” or “PARTIES” as the case may be.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UNIVERSITY has an ownership interest in certain PATENT RIGHTS as defined herein related to [**]; and</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WHEREAS, the PATENT RIGHTS were developed under a research program sponsored by NIH. Therefore, this AGREEMENT is subject to the terms and conditions of the Bayh-Dole Act, Public Law 96-517 and 98-620 as amended; and</w:t>
      </w:r>
    </w:p>
    <w:p>
      <w:pPr>
        <w:spacing w:after="0" w:line="15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WHEREAS, LICENSEE is desirous of obtaining a license to practice the PATENT RIGHTS under the terms and conditions of this AGREEMENT; and</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WHEREAS, UNIVERSITY is desirous of granting such a license to LICENSEE in accordance with the terms and conditions of this AGREEMENT.</w:t>
      </w:r>
    </w:p>
    <w:p>
      <w:pPr>
        <w:spacing w:after="0" w:line="15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premises and the covenants, representations and warranties contained herein, the PARTIES agree as follows: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I.DEFINITIONS</w:t>
      </w:r>
    </w:p>
    <w:p>
      <w:pPr>
        <w:spacing w:after="0" w:line="21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Section 1.01“IMPROVEMENTS” shall mean any modification, enhancement, or improvement to an invention described in the PATENT RIGHTS which is owned by, licensed to, or otherwise controlled by LICENSEE that (1) would be infringed, either directly or indirectly, by the practice of an invention claimed in the PATENT RIGHTS; or (2) if not for the license granted under this AGREEMENT, would infringe, either directly or indirectly, one or more claims of the PATENT RIGHTS.</w:t>
      </w:r>
    </w:p>
    <w:p>
      <w:pPr>
        <w:spacing w:after="0" w:line="18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Section 1.02“LICENSED FIELD” means the following business areas: Treatment of Duchene Muscular Dystrophy and other disease indications resulting from a lack of functional dystrophin.</w:t>
      </w:r>
    </w:p>
    <w:p>
      <w:pPr>
        <w:spacing w:after="0" w:line="15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Section 1.03“LICENSED PRODUCT” means any product, apparatus, kit, composition, or component thereof (a) whose use, sale, offer for sale, or importation of which is covered, in whole or in part, by any VALID CLAIM contained in the PATENT RIGHTS or (b) which is made by any method, procedure, process, or step which is covered, in whole or in part, by any VALID CLAIM contained in the PATENT RIGHTS.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Section 1.04“LICENSED TERRITORY” means worldwide.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1.05“NET SALES” means the amount billed or invoiced for the SALE of LICENSED PRODUCTS, less:</w:t>
      </w:r>
    </w:p>
    <w:p>
      <w:pPr>
        <w:spacing w:after="0" w:line="206" w:lineRule="exact"/>
        <w:rPr>
          <w:sz w:val="20"/>
          <w:szCs w:val="20"/>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trade, quantity or cash discounts;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repaid or credited by reason of rejection or return;</w:t>
      </w:r>
    </w:p>
    <w:p>
      <w:pPr>
        <w:spacing w:after="0" w:line="206" w:lineRule="exact"/>
        <w:rPr>
          <w:rFonts w:ascii="Times New Roman" w:cs="Times New Roman" w:eastAsia="Times New Roman" w:hAnsi="Times New Roman"/>
          <w:sz w:val="22"/>
          <w:szCs w:val="22"/>
          <w:color w:val="auto"/>
        </w:rPr>
      </w:pPr>
    </w:p>
    <w:p>
      <w:pPr>
        <w:ind w:left="1500" w:right="220" w:hanging="743"/>
        <w:spacing w:after="0" w:line="258"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Charges for transportation or delivery to be paid by or on behalf of LICENSEE’s customer, to the extent such charges are separately stated on purchase orders, invoices or other documents of SALE; and</w:t>
      </w:r>
    </w:p>
    <w:p>
      <w:pPr>
        <w:spacing w:after="0" w:line="158" w:lineRule="exact"/>
        <w:rPr>
          <w:rFonts w:ascii="Times New Roman" w:cs="Times New Roman" w:eastAsia="Times New Roman" w:hAnsi="Times New Roman"/>
          <w:sz w:val="22"/>
          <w:szCs w:val="22"/>
          <w:color w:val="auto"/>
        </w:rPr>
      </w:pPr>
    </w:p>
    <w:p>
      <w:pPr>
        <w:ind w:left="1500" w:right="40" w:hanging="743"/>
        <w:spacing w:after="0" w:line="244" w:lineRule="auto"/>
        <w:tabs>
          <w:tab w:leader="none" w:pos="15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tariff duties and/or use taxes directly imposed and with reference to particular SALES. In calculating NET SALES, no deductions shall be made for commissions paid to individuals whether they are with independent sales agencies or regularly employed by LICENSEE and on its payroll, or for cost of collections. In the event LICENSEE SELLS a LICENSED PRODUCT to a third party in a bona fide arm’s length transaction, for consideration, in whole or in part, other than cash, then the NET SALES price for such LICENSED PRODUCT shall be deemed to be the standard invoice price then being invoiced by LICENSEE in an arm’s length transaction with similar entities and in the absence of such standard invoice price, then the reasonable fair market value of the LICENSED PRODUCT. For the purposes of calculating NET SALES, LICENSEE’s SALES to a SUBLICENSEE under this AGREEMENT for end use (but not resale) by the SUBLICENSEE shall be treated as SALES by LICENSEE at the greater of the (i) billed/invoiced price of LICENSEE the SUBLICENSEE or (ii) the billed/invoiced price that LICENSEE would have charged a third party in a bona fide arm’s length transaction. For the purposes of calculating NET SALES, LICENSEE’s SALES to a SUBLICENSEE under this AGREEMENT for resale to end users by the SUBLICENSEE shall be treated as SALES at the billed/invoiced price to the end users of SUBLICENSEE.</w:t>
      </w:r>
    </w:p>
    <w:p>
      <w:pPr>
        <w:spacing w:after="0" w:line="1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Section 1.06“NON-COMMERCIAL RESEARCH PURPOSES” means the use or practice of the PATENT RIGHTS for research, teaching, educational, or academic purposes which are undertaken at UNIVERSITY or at a non-profit, academic, educational, or governmental institution. Without limiting the foregoing, NON-COMMERCIAL RESEARCH PURPOSES includes the use or practice of the PATENT RIGHTS for research (including sponsored research) that leads, or may lead, to patentable or unpatentable inventions that may be licensed or otherwise transferred, either directly or indirectly, to third parties.</w:t>
      </w:r>
    </w:p>
    <w:p>
      <w:pPr>
        <w:spacing w:after="0" w:line="16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Section 1.07“PATENT RIGHTS” means UNIVERSITY’S rights in any of the following: (i) [**] and (ii) [**]; (collectively (i), (ii), are the “PATENT APPLICATIONS”); and (iii) any provisional, non-provisional, divisional, continuation (but not continuations-in-part), extension, renewal, re-examination, reissue, substitute, supplementary protection certificate, utility model, or similar legal protection claiming priority to or from the PATENT APPLICATIONS; and (iv) any corresponding foreign applications or patents thereof. All of the foregoing will be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174" w:name="page175"/>
    <w:bookmarkEnd w:id="174"/>
    <w:p>
      <w:pPr>
        <w:ind w:right="200" w:firstLine="509"/>
        <w:spacing w:after="0" w:line="258" w:lineRule="auto"/>
        <w:rPr>
          <w:sz w:val="20"/>
          <w:szCs w:val="20"/>
          <w:color w:val="auto"/>
        </w:rPr>
      </w:pPr>
      <w:r>
        <w:rPr>
          <w:rFonts w:ascii="Times New Roman" w:cs="Times New Roman" w:eastAsia="Times New Roman" w:hAnsi="Times New Roman"/>
          <w:sz w:val="22"/>
          <w:szCs w:val="22"/>
          <w:color w:val="auto"/>
        </w:rPr>
        <w:t>automatically incorporated in and added to this AGREEMENT and shall periodically be added to Appendix A attached to this AGREEMENT and made part thereof.</w:t>
      </w:r>
    </w:p>
    <w:p>
      <w:pPr>
        <w:spacing w:after="0" w:line="158"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Section 1.08“ROYALTY PERIOD(S)” means the three-month periods ending on March 31, June 30, September 30, and December 31.</w:t>
      </w:r>
    </w:p>
    <w:p>
      <w:pPr>
        <w:spacing w:after="0" w:line="15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Section 1.09“SALE”, “SELL”, or “SOLD” means the sale, use, transfer, distribution or disposition of a LICENSED PRODUCT for value to a third party.</w:t>
      </w:r>
    </w:p>
    <w:p>
      <w:pPr>
        <w:spacing w:after="0" w:line="158"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Section 1.10“SUBLICENSEE” means any person or entity to whom LICENSEE transfers any right or interest granted to LICENSEE by UNIVERSITY under this Agreement.</w:t>
      </w:r>
    </w:p>
    <w:p>
      <w:pPr>
        <w:spacing w:after="0" w:line="15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Section 1.11“VALID CLAIM” means either (a) a claim of an issued patent that has not been held unenforceable or invalid by an agency or a court of competent jurisdiction in any unappealable or unappealed decision or (b) a claim of a pending patent application that has not been abandoned or finally rejected without the possibility of appeal or refiling and that has been pending for less than ten (10) years from its priority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II.GRANT</w:t>
      </w:r>
    </w:p>
    <w:p>
      <w:pPr>
        <w:spacing w:after="0" w:line="21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Section 2.01</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Subject to the terms and conditions of this AGREEMENT, UNIVERSITY hereby grants to LICENSEE and LICENSEE accepts a royalty-bearing, exclusive license under the PATENT RIGHTS to make, have made, use, SELL, have SOLD, import, distribute, or otherwise transfer LICENSED PRODUCTS within the LICENSED TERRITORY for use within LICENSED FIELD for a term as set forth in Section 10.01 unless this AGREEMENT shall be sooner terminated according to the terms hereof. For the avoidance of doubt, this grant is subject to the rights retained by UNIVERSITY in Section 2.03, UNIVERSITY’S publication rights in Section 2.06, and any rights of the GOVERNMENT as set forth in Section 2.07.</w:t>
      </w:r>
    </w:p>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Section 2.02</w:t>
      </w:r>
      <w:r>
        <w:rPr>
          <w:rFonts w:ascii="Times New Roman" w:cs="Times New Roman" w:eastAsia="Times New Roman" w:hAnsi="Times New Roman"/>
          <w:sz w:val="22"/>
          <w:szCs w:val="22"/>
          <w:u w:val="single" w:color="auto"/>
          <w:color w:val="auto"/>
        </w:rPr>
        <w:t>Sublicenses.</w:t>
      </w:r>
      <w:r>
        <w:rPr>
          <w:rFonts w:ascii="Times New Roman" w:cs="Times New Roman" w:eastAsia="Times New Roman" w:hAnsi="Times New Roman"/>
          <w:sz w:val="22"/>
          <w:szCs w:val="22"/>
          <w:color w:val="auto"/>
        </w:rPr>
        <w:t xml:space="preserve"> The license granted in Section 2.01 above shall include the right to grant written sublicenses, subject to UNIVERSITY’S prior written approval which approval shall not be unreasonably withheld. SUBLICENSEE shall have no right to grant further sublicenses without written consent from University, where such consent is within University’s sole discretion. In determining whether to approve a sublicense (or any amendment thereto), UNIVERSITY will consider, among other things, whether the provisions of the proposed sublicense arc consistent with and similar to those required of LICENSEE by this AGREEMENT. All sublicenses must comply with the following:</w:t>
      </w:r>
    </w:p>
    <w:p>
      <w:pPr>
        <w:spacing w:after="0" w:line="181" w:lineRule="exact"/>
        <w:rPr>
          <w:sz w:val="20"/>
          <w:szCs w:val="20"/>
          <w:color w:val="auto"/>
        </w:rPr>
      </w:pPr>
    </w:p>
    <w:p>
      <w:pPr>
        <w:jc w:val="both"/>
        <w:ind w:left="1500" w:right="100" w:hanging="743"/>
        <w:spacing w:after="0" w:line="244" w:lineRule="auto"/>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deliver to UNIVERSITY a true and correct copy of each fully executed sublicense granted by LICENSEE, and any modification or termination thereof, within thirty (30) days after execution, modification, or termination.</w:t>
      </w:r>
    </w:p>
    <w:p>
      <w:pPr>
        <w:spacing w:after="0" w:line="173"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deliver to UNIVERSITY copies of all reports due to LICENSEE from SUBLICENSEE within thirty (30) days receipt of such reports by LICENSEE.</w:t>
      </w:r>
    </w:p>
    <w:p>
      <w:pPr>
        <w:spacing w:after="0" w:line="158" w:lineRule="exact"/>
        <w:rPr>
          <w:rFonts w:ascii="Times New Roman" w:cs="Times New Roman" w:eastAsia="Times New Roman" w:hAnsi="Times New Roman"/>
          <w:sz w:val="22"/>
          <w:szCs w:val="22"/>
          <w:color w:val="auto"/>
        </w:rPr>
      </w:pPr>
    </w:p>
    <w:p>
      <w:pPr>
        <w:ind w:left="1500" w:right="80" w:hanging="743"/>
        <w:spacing w:after="0" w:line="258" w:lineRule="auto"/>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at such times as UNIVERSITY directs and at UNIVERSITY’S request, permit the inspection of SUBLICENSEE’s records by UNIVERSITY’s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ind w:left="1500" w:right="380"/>
        <w:spacing w:after="0" w:line="258" w:lineRule="auto"/>
        <w:rPr>
          <w:sz w:val="20"/>
          <w:szCs w:val="20"/>
          <w:color w:val="auto"/>
        </w:rPr>
      </w:pPr>
      <w:r>
        <w:rPr>
          <w:rFonts w:ascii="Times New Roman" w:cs="Times New Roman" w:eastAsia="Times New Roman" w:hAnsi="Times New Roman"/>
          <w:sz w:val="22"/>
          <w:szCs w:val="22"/>
          <w:color w:val="auto"/>
        </w:rPr>
        <w:t>auditors or an independent certified public accountant selected by UNIVERSITY under the terms of Section 4.05.</w:t>
      </w:r>
    </w:p>
    <w:p>
      <w:pPr>
        <w:spacing w:after="0" w:line="158" w:lineRule="exact"/>
        <w:rPr>
          <w:sz w:val="20"/>
          <w:szCs w:val="20"/>
          <w:color w:val="auto"/>
        </w:rPr>
      </w:pPr>
    </w:p>
    <w:p>
      <w:pPr>
        <w:ind w:left="1500" w:right="40" w:hanging="743"/>
        <w:spacing w:after="0" w:line="239" w:lineRule="auto"/>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sublicense shall relieve LICENSEE of its representations, warranties, or obligations under this AGREEMENT. LICENSEE shall be responsible to UNIVERSITY for the performance of its SUBLICENSEES under each sublicense agreement granting rights to any PATENT RIGHTS. LICENSEE shall collect and guarantee all payments due UNIVERSITY from any SUBLICENSEE.</w:t>
      </w:r>
    </w:p>
    <w:p>
      <w:pPr>
        <w:spacing w:after="0" w:line="180" w:lineRule="exact"/>
        <w:rPr>
          <w:rFonts w:ascii="Times New Roman" w:cs="Times New Roman" w:eastAsia="Times New Roman" w:hAnsi="Times New Roman"/>
          <w:sz w:val="22"/>
          <w:szCs w:val="22"/>
          <w:color w:val="auto"/>
        </w:rPr>
      </w:pPr>
    </w:p>
    <w:p>
      <w:pPr>
        <w:ind w:left="1500" w:right="160" w:hanging="743"/>
        <w:spacing w:after="0" w:line="239" w:lineRule="auto"/>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sublicense granted by LICENSEE to a SUBLICENSEE shall incorporate all of the representations, warranties, terms, conditions, and obligations of this AGREEMENT, which shall be binding upon each SUBLICENSEE as if such SUBLICENSEE were a party to this AGREEMENT. LICENSEE shall require that any sublicense agreement:</w:t>
      </w:r>
    </w:p>
    <w:p>
      <w:pPr>
        <w:spacing w:after="0" w:line="180" w:lineRule="exact"/>
        <w:rPr>
          <w:rFonts w:ascii="Times New Roman" w:cs="Times New Roman" w:eastAsia="Times New Roman" w:hAnsi="Times New Roman"/>
          <w:sz w:val="22"/>
          <w:szCs w:val="22"/>
          <w:color w:val="auto"/>
        </w:rPr>
      </w:pPr>
    </w:p>
    <w:p>
      <w:pPr>
        <w:ind w:left="2260" w:right="20" w:hanging="755"/>
        <w:spacing w:after="0" w:line="258" w:lineRule="auto"/>
        <w:tabs>
          <w:tab w:leader="none" w:pos="22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consistent with the terms, conditions, covenants, warranties, representations, limitations, obligations, and duties of LICENSEE under this AGREEMENT;</w:t>
      </w:r>
    </w:p>
    <w:p>
      <w:pPr>
        <w:spacing w:after="0" w:line="158" w:lineRule="exact"/>
        <w:rPr>
          <w:rFonts w:ascii="Times New Roman" w:cs="Times New Roman" w:eastAsia="Times New Roman" w:hAnsi="Times New Roman"/>
          <w:sz w:val="22"/>
          <w:szCs w:val="22"/>
          <w:color w:val="auto"/>
        </w:rPr>
      </w:pPr>
    </w:p>
    <w:p>
      <w:pPr>
        <w:ind w:left="2260" w:right="1000" w:hanging="755"/>
        <w:spacing w:after="0" w:line="258" w:lineRule="auto"/>
        <w:tabs>
          <w:tab w:leader="none" w:pos="226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 the SUBLICENSEE from granting further sublicenses without written consent from UNIVERSITY, where such consent is within UNIVERSITY’s sole discretion; and</w:t>
      </w:r>
    </w:p>
    <w:p>
      <w:pPr>
        <w:spacing w:after="0" w:line="158" w:lineRule="exact"/>
        <w:rPr>
          <w:rFonts w:ascii="Times New Roman" w:cs="Times New Roman" w:eastAsia="Times New Roman" w:hAnsi="Times New Roman"/>
          <w:sz w:val="22"/>
          <w:szCs w:val="22"/>
          <w:color w:val="auto"/>
        </w:rPr>
      </w:pPr>
    </w:p>
    <w:p>
      <w:pPr>
        <w:ind w:left="2260" w:right="40" w:hanging="755"/>
        <w:spacing w:after="0" w:line="247" w:lineRule="auto"/>
        <w:tabs>
          <w:tab w:leader="none" w:pos="2260"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contain express provisions under which the SUBLICENSEE expressly accepts duties and obligations at least equivalent to those accepted by the LICENSEE in the following sections of this AGREEMENT: Section 2.03 (reserved rights), Section 2.04 (license to University), Section 2.06 (publication), Section 2.07 (governmental rights), Section 3.07 (challenge to patent rights), Section 4.03 (reporting), Section</w:t>
      </w:r>
    </w:p>
    <w:p>
      <w:pPr>
        <w:spacing w:after="0" w:line="1" w:lineRule="exact"/>
        <w:rPr>
          <w:rFonts w:ascii="Times New Roman" w:cs="Times New Roman" w:eastAsia="Times New Roman" w:hAnsi="Times New Roman"/>
          <w:sz w:val="21"/>
          <w:szCs w:val="21"/>
          <w:color w:val="auto"/>
        </w:rPr>
      </w:pPr>
    </w:p>
    <w:p>
      <w:pPr>
        <w:ind w:left="2260" w:right="260"/>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4.05 (records), Section 6.01 (indemnity), Section 6.02 (insurance); Section 6.03 (disclaimer of warranties), Section 6.04 (damages exclusion/ limitation of remedies), Section 6.06 (sublicenses) Section 7.03 (entity status), Section 10.05 (assignment of sublicenses), Section 11.01 (marking), Section 11.02 (compliance with laws / export controls), Section 11.03 (university name), and Section 11.11 (severability).</w:t>
      </w:r>
    </w:p>
    <w:p>
      <w:pPr>
        <w:spacing w:after="0" w:line="179" w:lineRule="exact"/>
        <w:rPr>
          <w:rFonts w:ascii="Times New Roman" w:cs="Times New Roman" w:eastAsia="Times New Roman" w:hAnsi="Times New Roman"/>
          <w:sz w:val="21"/>
          <w:szCs w:val="21"/>
          <w:color w:val="auto"/>
        </w:rPr>
      </w:pPr>
    </w:p>
    <w:p>
      <w:pPr>
        <w:ind w:left="1500" w:right="860" w:hanging="743"/>
        <w:spacing w:after="0" w:line="282" w:lineRule="auto"/>
        <w:tabs>
          <w:tab w:leader="none" w:pos="150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sublicense agreement granting any rights to the PATENT RIGHTS does not comport with above requirements in this Section 2.02(e), then that agreement shall be invalid, unenforceable, and void.</w:t>
      </w:r>
    </w:p>
    <w:p>
      <w:pPr>
        <w:spacing w:after="0" w:line="134" w:lineRule="exact"/>
        <w:rPr>
          <w:rFonts w:ascii="Times New Roman" w:cs="Times New Roman" w:eastAsia="Times New Roman" w:hAnsi="Times New Roman"/>
          <w:sz w:val="21"/>
          <w:szCs w:val="21"/>
          <w:color w:val="auto"/>
        </w:rPr>
      </w:pPr>
    </w:p>
    <w:p>
      <w:pPr>
        <w:ind w:left="1500" w:hanging="743"/>
        <w:spacing w:after="0" w:line="258" w:lineRule="auto"/>
        <w:tabs>
          <w:tab w:leader="none" w:pos="150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termination of this AGREEMENT, all SUBLICENSEE’s rights shall also terminate except as set forth in Section 10.05 (assignment of sublicenses).</w:t>
      </w:r>
    </w:p>
    <w:p>
      <w:pPr>
        <w:spacing w:after="0" w:line="158"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22"/>
          <w:szCs w:val="22"/>
          <w:color w:val="auto"/>
        </w:rPr>
        <w:t>Section 2.03</w:t>
      </w:r>
      <w:r>
        <w:rPr>
          <w:rFonts w:ascii="Times New Roman" w:cs="Times New Roman" w:eastAsia="Times New Roman" w:hAnsi="Times New Roman"/>
          <w:sz w:val="22"/>
          <w:szCs w:val="22"/>
          <w:u w:val="single" w:color="auto"/>
          <w:color w:val="auto"/>
        </w:rPr>
        <w:t>Reserved Rights</w:t>
      </w:r>
      <w:r>
        <w:rPr>
          <w:rFonts w:ascii="Times New Roman" w:cs="Times New Roman" w:eastAsia="Times New Roman" w:hAnsi="Times New Roman"/>
          <w:sz w:val="22"/>
          <w:szCs w:val="22"/>
          <w:color w:val="auto"/>
        </w:rPr>
        <w:t>. UNIVERSITY reserves the right to make, use or otherwise practice the PATENT RIGHTS for NON-COMMERCIAL RESEARCH PURPOSES and to grant nonexclusive licenses to non-profit, academic, educational, or governmental institutions a royalty-free right to make, use or otherwise practice the PATENT RIGHTS for NON-COMMERCIAL RESEARCH PURPOSES. UNIVERSITY also reserves the right to transfer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ind w:right="200" w:firstLine="509"/>
        <w:spacing w:after="0" w:line="238" w:lineRule="auto"/>
        <w:rPr>
          <w:sz w:val="20"/>
          <w:szCs w:val="20"/>
          <w:color w:val="auto"/>
        </w:rPr>
      </w:pPr>
      <w:r>
        <w:rPr>
          <w:rFonts w:ascii="Times New Roman" w:cs="Times New Roman" w:eastAsia="Times New Roman" w:hAnsi="Times New Roman"/>
          <w:sz w:val="22"/>
          <w:szCs w:val="22"/>
          <w:color w:val="auto"/>
        </w:rPr>
        <w:t>tangible research materials and intangible materials incorporating the PATENT RIGHTS to other non-profit, academic, educational, or governmental institutions for such NON-COMMERCIAL RESEARCH PURPOSES. LICENSEE agrees that, notwithstanding any other provision of this AGREEMENT, that LICENSEE has no right to enforce the PATENT RIGHTS against UNIVERSITY or any nonprofit, academic, educational, or governmental institution with respect to such use or practice for NON-COMMERCIAL RESEARCH PURPOSES.</w:t>
      </w:r>
    </w:p>
    <w:p>
      <w:pPr>
        <w:spacing w:after="0" w:line="177"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Section 2.04</w:t>
      </w:r>
      <w:r>
        <w:rPr>
          <w:rFonts w:ascii="Times New Roman" w:cs="Times New Roman" w:eastAsia="Times New Roman" w:hAnsi="Times New Roman"/>
          <w:sz w:val="22"/>
          <w:szCs w:val="22"/>
          <w:u w:val="single" w:color="auto"/>
          <w:color w:val="auto"/>
        </w:rPr>
        <w:t>License to University</w:t>
      </w:r>
      <w:r>
        <w:rPr>
          <w:rFonts w:ascii="Times New Roman" w:cs="Times New Roman" w:eastAsia="Times New Roman" w:hAnsi="Times New Roman"/>
          <w:sz w:val="22"/>
          <w:szCs w:val="22"/>
          <w:color w:val="auto"/>
        </w:rPr>
        <w:t>. LICENSEE hereby grants to UNIVERSITY, a nonexclusive, royalty-free, irrevocable, paid-up license, with the right to grant sublicenses to non-profit, academic, educational, or governmental institutions, to practice and use IMPROVEMENTS solely for NON-COMMERCIAL RESEARCH PURPOSES.</w:t>
      </w:r>
    </w:p>
    <w:p>
      <w:pPr>
        <w:spacing w:after="0" w:line="17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Section 2.05</w:t>
      </w:r>
      <w:r>
        <w:rPr>
          <w:rFonts w:ascii="Times New Roman" w:cs="Times New Roman" w:eastAsia="Times New Roman" w:hAnsi="Times New Roman"/>
          <w:sz w:val="22"/>
          <w:szCs w:val="22"/>
          <w:u w:val="single" w:color="auto"/>
          <w:color w:val="auto"/>
        </w:rPr>
        <w:t>License Scope.</w:t>
      </w:r>
      <w:r>
        <w:rPr>
          <w:rFonts w:ascii="Times New Roman" w:cs="Times New Roman" w:eastAsia="Times New Roman" w:hAnsi="Times New Roman"/>
          <w:sz w:val="22"/>
          <w:szCs w:val="22"/>
          <w:color w:val="auto"/>
        </w:rPr>
        <w:t xml:space="preserve"> The license granted herein shall not be construed to confer any rights upon LICENSEE by implication, estoppel or otherwise as to any technology not specifically set forth in PATENT RIGHTS. UNIVERSITY shall be free to grant commercial licenses to the PATENT RIGHTS to third parties in all fields outside the LICENSE FIELD and/or outside the LICENSED TERRITORY.</w:t>
      </w:r>
    </w:p>
    <w:p>
      <w:pPr>
        <w:spacing w:after="0" w:line="180"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Section 2.06</w:t>
      </w:r>
      <w:r>
        <w:rPr>
          <w:rFonts w:ascii="Times New Roman" w:cs="Times New Roman" w:eastAsia="Times New Roman" w:hAnsi="Times New Roman"/>
          <w:sz w:val="22"/>
          <w:szCs w:val="22"/>
          <w:u w:val="single" w:color="auto"/>
          <w:color w:val="auto"/>
        </w:rPr>
        <w:t>Publication.</w:t>
      </w:r>
      <w:r>
        <w:rPr>
          <w:rFonts w:ascii="Times New Roman" w:cs="Times New Roman" w:eastAsia="Times New Roman" w:hAnsi="Times New Roman"/>
          <w:sz w:val="22"/>
          <w:szCs w:val="22"/>
          <w:color w:val="auto"/>
        </w:rPr>
        <w:t xml:space="preserve"> LICENSEE agrees that UNIVERSITY shall have a right to publish any research results or technical data related to or arising out of the PATENT RIGHTS in accordance with UNIVERSITY’s general policies and that this AGREEMENT shall not restrict, in any fashion, UNIVERSITY’s right to publish.</w:t>
      </w:r>
    </w:p>
    <w:p>
      <w:pPr>
        <w:spacing w:after="0" w:line="17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Section 2.07</w:t>
      </w:r>
      <w:r>
        <w:rPr>
          <w:rFonts w:ascii="Times New Roman" w:cs="Times New Roman" w:eastAsia="Times New Roman" w:hAnsi="Times New Roman"/>
          <w:sz w:val="22"/>
          <w:szCs w:val="22"/>
          <w:u w:val="single" w:color="auto"/>
          <w:color w:val="auto"/>
        </w:rPr>
        <w:t>Governmental Rights.</w:t>
      </w:r>
      <w:r>
        <w:rPr>
          <w:rFonts w:ascii="Times New Roman" w:cs="Times New Roman" w:eastAsia="Times New Roman" w:hAnsi="Times New Roman"/>
          <w:sz w:val="22"/>
          <w:szCs w:val="22"/>
          <w:color w:val="auto"/>
        </w:rPr>
        <w:t xml:space="preserve"> LICENSEE understands that the PATENT RIGHTS were developed under a funding agreement with the Government of the United States of America (“GOVERNMENT”) and that the GOVERNMENT may have certain rights relative thereto. Thus, notwithstanding anything hereunder, any and all licenses and other rights granted hereunder are limited by and subject to the rights and requirements of the GOVERNMENT which may arise out of its sponsorship of the research which led to the conception or reduction to practice of the PATENT RIGHTS. The GOVERNMENT is entitled, as a right, under the provisions of 35 U.S.C. §§ 200-212 and applicable regulations of Title 37 of the Code of Federal Regulations: (i) to a nonexclusive, nontransferable, irrevocable, paid-up license to practice or have practiced for or on the behalf of the GOVERNMENT any of the PATENT RIGHTS throughout the world and (ii) to exercise march in rights on PATENT RIGHTS. This AGREEMENT shall be exclusive, to the extent allowed in accordance with Public Laws 96-517 and 98-620 in the LICENSED FIELD and is explicitly made subject to the GOVERNMENT’s rights under such GOVERNMENT funding agreement and any applicable law or regulation. If there is a conflict between the GOVERNMENT funding agreement, applicable law or regulation and this AGREEMENT, the terms of the GOVERNMENT funding agreement, applicable law or regulation shall prevail. LICENSEE agrees to take any actions necessary to enable UNIVERSITY to satisfy its obligations with the GOVERNMENT relating to the PATENT RIGHTS. LICENSEE agrees, during the period of exclusivity of this license in the United States, that any LICENSED PRODUCT produced for SALE in the United States will be manufactured substantially in the United States as required by 35 U.S.C. § 204.</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III.PAYMENTS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77" w:name="page178"/>
    <w:bookmarkEnd w:id="177"/>
    <w:p>
      <w:pPr>
        <w:ind w:right="320"/>
        <w:spacing w:after="0" w:line="258" w:lineRule="auto"/>
        <w:rPr>
          <w:sz w:val="20"/>
          <w:szCs w:val="20"/>
          <w:color w:val="auto"/>
        </w:rPr>
      </w:pPr>
      <w:r>
        <w:rPr>
          <w:rFonts w:ascii="Times New Roman" w:cs="Times New Roman" w:eastAsia="Times New Roman" w:hAnsi="Times New Roman"/>
          <w:sz w:val="22"/>
          <w:szCs w:val="22"/>
          <w:color w:val="auto"/>
        </w:rPr>
        <w:t>Section 3.01</w:t>
      </w:r>
      <w:r>
        <w:rPr>
          <w:rFonts w:ascii="Times New Roman" w:cs="Times New Roman" w:eastAsia="Times New Roman" w:hAnsi="Times New Roman"/>
          <w:sz w:val="22"/>
          <w:szCs w:val="22"/>
          <w:u w:val="single" w:color="auto"/>
          <w:color w:val="auto"/>
        </w:rPr>
        <w:t>License Payments:</w:t>
      </w:r>
      <w:r>
        <w:rPr>
          <w:rFonts w:ascii="Times New Roman" w:cs="Times New Roman" w:eastAsia="Times New Roman" w:hAnsi="Times New Roman"/>
          <w:sz w:val="22"/>
          <w:szCs w:val="22"/>
          <w:color w:val="auto"/>
        </w:rPr>
        <w:t xml:space="preserve"> In consideration of rights granted by UNIVERSITY to LICENSEE under this AGREEMENT, LICENSEE will pay UNIVERSITY the following:</w:t>
      </w:r>
    </w:p>
    <w:p>
      <w:pPr>
        <w:spacing w:after="0" w:line="158" w:lineRule="exact"/>
        <w:rPr>
          <w:sz w:val="20"/>
          <w:szCs w:val="20"/>
          <w:color w:val="auto"/>
        </w:rPr>
      </w:pPr>
    </w:p>
    <w:p>
      <w:pPr>
        <w:ind w:left="1500" w:right="180" w:hanging="743"/>
        <w:spacing w:after="0" w:line="258" w:lineRule="auto"/>
        <w:tabs>
          <w:tab w:leader="none" w:pos="150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 Execution Payment.</w:t>
      </w:r>
      <w:r>
        <w:rPr>
          <w:rFonts w:ascii="Times New Roman" w:cs="Times New Roman" w:eastAsia="Times New Roman" w:hAnsi="Times New Roman"/>
          <w:sz w:val="22"/>
          <w:szCs w:val="22"/>
          <w:color w:val="auto"/>
        </w:rPr>
        <w:t xml:space="preserve"> LICENSEE shall pay to UNIVERSITY a nonrefundable license execution fee in the amount of [**], due and payable when this AGREEMENT is fully executed.</w:t>
      </w:r>
    </w:p>
    <w:p>
      <w:pPr>
        <w:spacing w:after="0" w:line="158" w:lineRule="exact"/>
        <w:rPr>
          <w:rFonts w:ascii="Times New Roman" w:cs="Times New Roman" w:eastAsia="Times New Roman" w:hAnsi="Times New Roman"/>
          <w:sz w:val="22"/>
          <w:szCs w:val="22"/>
          <w:color w:val="auto"/>
        </w:rPr>
      </w:pPr>
    </w:p>
    <w:p>
      <w:pPr>
        <w:ind w:left="1500" w:right="60" w:hanging="743"/>
        <w:spacing w:after="0" w:line="246" w:lineRule="auto"/>
        <w:tabs>
          <w:tab w:leader="none" w:pos="15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Maintenance Fee</w:t>
      </w:r>
      <w:r>
        <w:rPr>
          <w:rFonts w:ascii="Times New Roman" w:cs="Times New Roman" w:eastAsia="Times New Roman" w:hAnsi="Times New Roman"/>
          <w:sz w:val="21"/>
          <w:szCs w:val="21"/>
          <w:color w:val="auto"/>
        </w:rPr>
        <w:t>. LICENSEE shall pay to UNIVERSITY an annual license maintenance fee (“ANNUAL MAINTENANCE FEE”). This ANNUAL MAINTENANCE FEE shall be due on the anniversary of the EFFECTIVE DATE of each of the years specified below. However, the ANNUAL MAINTENANCE FEE will be offset by sponsored research support received by UNIVERSITY from Solid GT in the preceding applicable twelve (12) month period from the anniversary of the EFFECTIVE DATE. For example, if LICENSEE provides UNIVERSITY with $[**] of funding received between the EFFECTIVE DATE and the first anniversary of the EFFECTIVE DATE, then no ANNUAL MAINTENANCE FEE for 2016 shall be due and owing. If LICENSEE then provides UNIVERSITY with an additional funding of $[**] between the first anniversary of the EFFECTIVE DATE and the second anniversary of the EFFECTIVE DATE, then, the ANNUAL MAINTENANCE FEE for 2017 shall be $[**] ($[**]-[**]).</w:t>
      </w:r>
    </w:p>
    <w:p>
      <w:pPr>
        <w:spacing w:after="0" w:line="17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The ANNUAL MAINTENANCE FEE shall be:</w:t>
      </w:r>
    </w:p>
    <w:p>
      <w:pPr>
        <w:spacing w:after="0" w:line="206" w:lineRule="exact"/>
        <w:rPr>
          <w:sz w:val="20"/>
          <w:szCs w:val="20"/>
          <w:color w:val="auto"/>
        </w:rPr>
      </w:pPr>
    </w:p>
    <w:p>
      <w:pPr>
        <w:ind w:left="3000" w:hanging="746"/>
        <w:spacing w:after="0"/>
        <w:tabs>
          <w:tab w:leader="none" w:pos="300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2016: [**];</w:t>
      </w:r>
    </w:p>
    <w:p>
      <w:pPr>
        <w:spacing w:after="0" w:line="206" w:lineRule="exact"/>
        <w:rPr>
          <w:rFonts w:ascii="Times New Roman" w:cs="Times New Roman" w:eastAsia="Times New Roman" w:hAnsi="Times New Roman"/>
          <w:sz w:val="22"/>
          <w:szCs w:val="22"/>
          <w:color w:val="auto"/>
        </w:rPr>
      </w:pPr>
    </w:p>
    <w:p>
      <w:pPr>
        <w:ind w:left="3000" w:hanging="746"/>
        <w:spacing w:after="0"/>
        <w:tabs>
          <w:tab w:leader="none" w:pos="300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2017: [**];</w:t>
      </w:r>
    </w:p>
    <w:p>
      <w:pPr>
        <w:spacing w:after="0" w:line="206" w:lineRule="exact"/>
        <w:rPr>
          <w:rFonts w:ascii="Times New Roman" w:cs="Times New Roman" w:eastAsia="Times New Roman" w:hAnsi="Times New Roman"/>
          <w:sz w:val="22"/>
          <w:szCs w:val="22"/>
          <w:color w:val="auto"/>
        </w:rPr>
      </w:pPr>
    </w:p>
    <w:p>
      <w:pPr>
        <w:ind w:left="3000" w:right="860" w:hanging="746"/>
        <w:spacing w:after="0" w:line="258" w:lineRule="auto"/>
        <w:tabs>
          <w:tab w:leader="none" w:pos="300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2018: [**]; and in each year thereafter during the term of this AGREEMENT until Minimum Annual Royalties apply.</w:t>
      </w:r>
    </w:p>
    <w:p>
      <w:pPr>
        <w:spacing w:after="0" w:line="158" w:lineRule="exact"/>
        <w:rPr>
          <w:rFonts w:ascii="Times New Roman" w:cs="Times New Roman" w:eastAsia="Times New Roman" w:hAnsi="Times New Roman"/>
          <w:sz w:val="22"/>
          <w:szCs w:val="22"/>
          <w:color w:val="auto"/>
        </w:rPr>
      </w:pPr>
    </w:p>
    <w:p>
      <w:pPr>
        <w:ind w:left="1500" w:right="440" w:hanging="743"/>
        <w:spacing w:after="0" w:line="239" w:lineRule="auto"/>
        <w:tabs>
          <w:tab w:leader="none" w:pos="15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Running Royalty / Earned Royalty.</w:t>
      </w:r>
      <w:r>
        <w:rPr>
          <w:rFonts w:ascii="Times New Roman" w:cs="Times New Roman" w:eastAsia="Times New Roman" w:hAnsi="Times New Roman"/>
          <w:sz w:val="22"/>
          <w:szCs w:val="22"/>
          <w:color w:val="auto"/>
        </w:rPr>
        <w:t xml:space="preserve"> LICENSEE shall pay UNIVERSITY a running royalty equal to [**] of NET SALES (hereinafter “SALES ROYALTY”) for LICENSED PRODUCTS SOLD by LICENSEE or SUBLICENSEES. A SALES ROYALTY accrues when LICENSED PRODUCTS are invoiced or shipped, whichever occurs first.</w:t>
      </w:r>
    </w:p>
    <w:p>
      <w:pPr>
        <w:spacing w:after="0" w:line="180" w:lineRule="exact"/>
        <w:rPr>
          <w:rFonts w:ascii="Times New Roman" w:cs="Times New Roman" w:eastAsia="Times New Roman" w:hAnsi="Times New Roman"/>
          <w:sz w:val="22"/>
          <w:szCs w:val="22"/>
          <w:color w:val="auto"/>
        </w:rPr>
      </w:pPr>
    </w:p>
    <w:p>
      <w:pPr>
        <w:ind w:left="150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LICENSEE or SUBLICENSEE is required to pay royalties to one or more third parties in consideration of a license or similar right in order to make, use, or sell LICENSED PRODUCTS, LICENSEE shall be entitled to credit up to [**] of the amounts actually paid by LICENSEE or SUBLICENSEE to such third parties against the royalties due to UNIVERSITY under this AGREEMENT in the same ROYALTY PERIOD; provided, however, that in no event will the royalties due to UNIVERSITY, when aggregated with any other offsets and credits allowed under this AGREEMENT, be less than [**] of the SALES ROYALTY on NET SALES, as defined above, in any REPORTING PERIOD. For clarity, the maximum adjusted royalty in Section 3.01(c) are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78" w:name="page179"/>
    <w:bookmarkEnd w:id="178"/>
    <w:p>
      <w:pPr>
        <w:ind w:left="1500" w:right="80"/>
        <w:spacing w:after="0" w:line="235" w:lineRule="auto"/>
        <w:rPr>
          <w:sz w:val="20"/>
          <w:szCs w:val="20"/>
          <w:color w:val="auto"/>
        </w:rPr>
      </w:pPr>
      <w:r>
        <w:rPr>
          <w:rFonts w:ascii="Times New Roman" w:cs="Times New Roman" w:eastAsia="Times New Roman" w:hAnsi="Times New Roman"/>
          <w:sz w:val="22"/>
          <w:szCs w:val="22"/>
          <w:color w:val="auto"/>
        </w:rPr>
        <w:t>LICENSEE or its SUBLICENSEE(S) (as applicable) will promptly notify UNIVERSITY should a compulsory license be granted, or be the subject of a possible grant, by LICENSEE or a SUBLICENSEE to a third party under the applicable laws, rules, regulations, guidelines, or other directives of any governmental or supranational agency in the LICENSED TERRITORY under the PATENT RIGHTS, and the total amount payable under this Section 3.01(c) with respect to the SALES ROYALTY in such country will be adjusted to match any lower amount such third party may be allowed to pay solely with respect to the NET SALES of such LICENSED PRODUCT in such country, but not any other countries.</w:t>
      </w:r>
    </w:p>
    <w:p>
      <w:pPr>
        <w:spacing w:after="0" w:line="183" w:lineRule="exact"/>
        <w:rPr>
          <w:sz w:val="20"/>
          <w:szCs w:val="20"/>
          <w:color w:val="auto"/>
        </w:rPr>
      </w:pPr>
    </w:p>
    <w:p>
      <w:pPr>
        <w:ind w:left="1500" w:hanging="743"/>
        <w:spacing w:after="0" w:line="235"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Annual Royalty Payment</w:t>
      </w:r>
      <w:r>
        <w:rPr>
          <w:rFonts w:ascii="Times New Roman" w:cs="Times New Roman" w:eastAsia="Times New Roman" w:hAnsi="Times New Roman"/>
          <w:sz w:val="22"/>
          <w:szCs w:val="22"/>
          <w:color w:val="auto"/>
        </w:rPr>
        <w:t>. LICENSEE shall pay to UNIVERSITY a non-refundable minimum annual royalty of [**] due and payable beginning on the anniversary of the EFFECTIVE DATE after first commercial sale of LICENSED PRODUCTS in the United States or a European Union country. Each minimum annual royalty payment is creditable against SALES ROYALTY due UNIVERSITY during the twelve (12) month period following each date the minimum annual royalty becomes due and is subsequently paid. For the avoidance of doubt, such minimum annual royalty shall be considered a payment in advance of royalties yet to accrue.</w:t>
      </w:r>
    </w:p>
    <w:p>
      <w:pPr>
        <w:spacing w:after="0" w:line="183" w:lineRule="exact"/>
        <w:rPr>
          <w:rFonts w:ascii="Times New Roman" w:cs="Times New Roman" w:eastAsia="Times New Roman" w:hAnsi="Times New Roman"/>
          <w:sz w:val="22"/>
          <w:szCs w:val="22"/>
          <w:color w:val="auto"/>
        </w:rPr>
      </w:pPr>
    </w:p>
    <w:p>
      <w:pPr>
        <w:ind w:left="1500" w:right="460" w:hanging="743"/>
        <w:spacing w:after="0" w:line="258" w:lineRule="auto"/>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Milestone Payments</w:t>
      </w:r>
      <w:r>
        <w:rPr>
          <w:rFonts w:ascii="Times New Roman" w:cs="Times New Roman" w:eastAsia="Times New Roman" w:hAnsi="Times New Roman"/>
          <w:sz w:val="22"/>
          <w:szCs w:val="22"/>
          <w:color w:val="auto"/>
        </w:rPr>
        <w:t>. LICENSEE shall pay UNIVERSITY a milestone payment fee in accordance with the following schedule for each LICENSED PRODUCT developed.</w:t>
      </w:r>
    </w:p>
    <w:p>
      <w:pPr>
        <w:spacing w:after="0" w:line="200" w:lineRule="exact"/>
        <w:rPr>
          <w:sz w:val="20"/>
          <w:szCs w:val="20"/>
          <w:color w:val="auto"/>
        </w:rPr>
      </w:pPr>
    </w:p>
    <w:p>
      <w:pPr>
        <w:spacing w:after="0" w:line="242" w:lineRule="exact"/>
        <w:rPr>
          <w:sz w:val="20"/>
          <w:szCs w:val="20"/>
          <w:color w:val="auto"/>
        </w:rPr>
      </w:pPr>
    </w:p>
    <w:tbl>
      <w:tblPr>
        <w:tblLayout w:type="fixed"/>
        <w:tblInd w:w="1820" w:type="dxa"/>
        <w:tblCellMar>
          <w:top w:w="0" w:type="dxa"/>
          <w:left w:w="0" w:type="dxa"/>
          <w:bottom w:w="0" w:type="dxa"/>
          <w:right w:w="0" w:type="dxa"/>
        </w:tblCellMar>
      </w:tblPr>
      <w:tr>
        <w:trPr>
          <w:trHeight w:val="284"/>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Event</w:t>
            </w:r>
          </w:p>
        </w:tc>
        <w:tc>
          <w:tcPr>
            <w:tcW w:w="488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Amount</w:t>
            </w:r>
          </w:p>
        </w:tc>
      </w:tr>
      <w:tr>
        <w:trPr>
          <w:trHeight w:val="26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Milestone A:</w:t>
            </w:r>
          </w:p>
        </w:tc>
        <w:tc>
          <w:tcPr>
            <w:tcW w:w="4880" w:type="dxa"/>
            <w:vAlign w:val="bottom"/>
            <w:shd w:val="clear" w:color="auto" w:fill="CCEEFF"/>
          </w:tcPr>
          <w:p>
            <w:pPr>
              <w:jc w:val="right"/>
              <w:ind w:right="391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Borders>
              <w:top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CCEEFF"/>
          </w:tcPr>
          <w:p>
            <w:pPr>
              <w:spacing w:after="0"/>
              <w:rPr>
                <w:sz w:val="22"/>
                <w:szCs w:val="22"/>
                <w:color w:val="auto"/>
              </w:rPr>
            </w:pPr>
          </w:p>
        </w:tc>
      </w:tr>
      <w:tr>
        <w:trPr>
          <w:trHeight w:val="270"/>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Milestone B:</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3"/>
                <w:szCs w:val="23"/>
                <w:color w:val="auto"/>
              </w:rPr>
            </w:pPr>
          </w:p>
        </w:tc>
      </w:tr>
      <w:tr>
        <w:trPr>
          <w:trHeight w:val="270"/>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Milestone C:</w:t>
            </w:r>
          </w:p>
        </w:tc>
        <w:tc>
          <w:tcPr>
            <w:tcW w:w="4880" w:type="dxa"/>
            <w:vAlign w:val="bottom"/>
            <w:shd w:val="clear" w:color="auto" w:fill="CCEEFF"/>
          </w:tcPr>
          <w:p>
            <w:pPr>
              <w:jc w:val="right"/>
              <w:ind w:right="391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CCEEFF"/>
          </w:tcPr>
          <w:p>
            <w:pPr>
              <w:spacing w:after="0"/>
              <w:rPr>
                <w:sz w:val="23"/>
                <w:szCs w:val="23"/>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Milestone D:</w:t>
            </w:r>
          </w:p>
        </w:tc>
        <w:tc>
          <w:tcPr>
            <w:tcW w:w="4880" w:type="dxa"/>
            <w:vAlign w:val="bottom"/>
          </w:tcPr>
          <w:p>
            <w:pPr>
              <w:jc w:val="right"/>
              <w:ind w:right="3912"/>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19" w:lineRule="exact"/>
        <w:rPr>
          <w:sz w:val="20"/>
          <w:szCs w:val="20"/>
          <w:color w:val="auto"/>
        </w:rPr>
      </w:pPr>
    </w:p>
    <w:p>
      <w:pPr>
        <w:ind w:left="760" w:right="820"/>
        <w:spacing w:after="0" w:line="258" w:lineRule="auto"/>
        <w:rPr>
          <w:sz w:val="20"/>
          <w:szCs w:val="20"/>
          <w:color w:val="auto"/>
        </w:rPr>
      </w:pPr>
      <w:r>
        <w:rPr>
          <w:rFonts w:ascii="Times New Roman" w:cs="Times New Roman" w:eastAsia="Times New Roman" w:hAnsi="Times New Roman"/>
          <w:sz w:val="22"/>
          <w:szCs w:val="22"/>
          <w:color w:val="auto"/>
        </w:rPr>
        <w:t>Milestone fees are non-refundable. Royalty payments in a given license year shall not be creditable against any milestone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3.02Sublicense Royalties and Fees</w:t>
      </w:r>
    </w:p>
    <w:p>
      <w:pPr>
        <w:spacing w:after="0" w:line="206" w:lineRule="exact"/>
        <w:rPr>
          <w:sz w:val="20"/>
          <w:szCs w:val="20"/>
          <w:color w:val="auto"/>
        </w:rPr>
      </w:pPr>
    </w:p>
    <w:p>
      <w:pPr>
        <w:ind w:left="1500" w:right="20" w:hanging="743"/>
        <w:spacing w:after="0" w:line="244" w:lineRule="auto"/>
        <w:tabs>
          <w:tab w:leader="none" w:pos="1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Sublicensee Earned Royalty</w:t>
      </w:r>
      <w:r>
        <w:rPr>
          <w:rFonts w:ascii="Times New Roman" w:cs="Times New Roman" w:eastAsia="Times New Roman" w:hAnsi="Times New Roman"/>
          <w:sz w:val="22"/>
          <w:szCs w:val="22"/>
          <w:color w:val="auto"/>
        </w:rPr>
        <w:t>. For the avoidance of doubt, LICENSEE shall pay to UNIVERSITY an amount for NET SALES made by SUBLICENSEES equal to what LICENSEE would have been required to pay to UNIVERSITY had LICENSEE made such NET SALES.</w:t>
      </w:r>
    </w:p>
    <w:p>
      <w:pPr>
        <w:spacing w:after="0" w:line="173" w:lineRule="exact"/>
        <w:rPr>
          <w:rFonts w:ascii="Times New Roman" w:cs="Times New Roman" w:eastAsia="Times New Roman" w:hAnsi="Times New Roman"/>
          <w:sz w:val="22"/>
          <w:szCs w:val="22"/>
          <w:color w:val="auto"/>
        </w:rPr>
      </w:pPr>
    </w:p>
    <w:p>
      <w:pPr>
        <w:ind w:left="1500" w:right="280" w:hanging="743"/>
        <w:spacing w:after="0" w:line="244" w:lineRule="auto"/>
        <w:tabs>
          <w:tab w:leader="none" w:pos="1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Sublicensee Payments.</w:t>
      </w:r>
      <w:r>
        <w:rPr>
          <w:rFonts w:ascii="Times New Roman" w:cs="Times New Roman" w:eastAsia="Times New Roman" w:hAnsi="Times New Roman"/>
          <w:sz w:val="22"/>
          <w:szCs w:val="22"/>
          <w:color w:val="auto"/>
        </w:rPr>
        <w:t xml:space="preserve"> In consideration of rights granted by UNIVERSITY to LICENSEE under this AGREEMENT, in addition to the sublicensee earned royalty of Section 3.02(a), LICENSEE further agrees to pay UNIVERSITY a specified portion of other revenue or consideration received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ind w:left="1500" w:right="120"/>
        <w:spacing w:after="0" w:line="258" w:lineRule="auto"/>
        <w:rPr>
          <w:sz w:val="20"/>
          <w:szCs w:val="20"/>
          <w:color w:val="auto"/>
        </w:rPr>
      </w:pPr>
      <w:r>
        <w:rPr>
          <w:rFonts w:ascii="Times New Roman" w:cs="Times New Roman" w:eastAsia="Times New Roman" w:hAnsi="Times New Roman"/>
          <w:sz w:val="22"/>
          <w:szCs w:val="22"/>
          <w:color w:val="auto"/>
        </w:rPr>
        <w:t>from any SUBLICENSEE as consideration for the sublicense of PATENT RIGHTS to SUBLICENSEES as per the following schedule.</w:t>
      </w:r>
    </w:p>
    <w:p>
      <w:pPr>
        <w:spacing w:after="0" w:line="200" w:lineRule="exact"/>
        <w:rPr>
          <w:sz w:val="20"/>
          <w:szCs w:val="20"/>
          <w:color w:val="auto"/>
        </w:rPr>
      </w:pPr>
    </w:p>
    <w:p>
      <w:pPr>
        <w:spacing w:after="0" w:line="242" w:lineRule="exact"/>
        <w:rPr>
          <w:sz w:val="20"/>
          <w:szCs w:val="20"/>
          <w:color w:val="auto"/>
        </w:rPr>
      </w:pPr>
    </w:p>
    <w:tbl>
      <w:tblPr>
        <w:tblLayout w:type="fixed"/>
        <w:tblInd w:w="18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Event</w:t>
            </w:r>
          </w:p>
        </w:tc>
        <w:tc>
          <w:tcPr>
            <w:tcW w:w="46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Specified Portion</w:t>
            </w:r>
          </w:p>
        </w:tc>
      </w:tr>
      <w:tr>
        <w:trPr>
          <w:trHeight w:val="271"/>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464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46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w:t>
            </w:r>
          </w:p>
        </w:tc>
      </w:tr>
      <w:tr>
        <w:trPr>
          <w:trHeight w:val="27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22"/>
                <w:szCs w:val="22"/>
                <w:color w:val="auto"/>
              </w:rPr>
              <w:t>[**]</w:t>
            </w:r>
          </w:p>
        </w:tc>
        <w:tc>
          <w:tcPr>
            <w:tcW w:w="4640" w:type="dxa"/>
            <w:vAlign w:val="bottom"/>
            <w:shd w:val="clear" w:color="auto" w:fill="CCEEFF"/>
          </w:tcPr>
          <w:p>
            <w:pPr>
              <w:jc w:val="right"/>
              <w:ind w:right="141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32" w:lineRule="exact"/>
        <w:rPr>
          <w:sz w:val="20"/>
          <w:szCs w:val="20"/>
          <w:color w:val="auto"/>
        </w:rPr>
      </w:pPr>
    </w:p>
    <w:p>
      <w:pPr>
        <w:ind w:left="760" w:right="140"/>
        <w:spacing w:after="0" w:line="244" w:lineRule="auto"/>
        <w:rPr>
          <w:sz w:val="20"/>
          <w:szCs w:val="20"/>
          <w:color w:val="auto"/>
        </w:rPr>
      </w:pPr>
      <w:r>
        <w:rPr>
          <w:rFonts w:ascii="Times New Roman" w:cs="Times New Roman" w:eastAsia="Times New Roman" w:hAnsi="Times New Roman"/>
          <w:sz w:val="21"/>
          <w:szCs w:val="21"/>
          <w:color w:val="auto"/>
        </w:rPr>
        <w:t>Such revenue or other consideration attributable to the SUBLICENSE of PATENT RIGHTS (“SUBLICENSE REVENUE”) shall include, but not be limited to, all option fees, license issue fees (up-front payments), license maintenance fees, milestone payments, payments for equity in excess of fair market value, joint marketing fees and research and development funding in excess of LICENSEE’s cost of performing such research and development (other than the earned royalty specified in Section 3.02(a)). In the event that LICENSEE agrees to receive only equity at fair market value from the SUBLICENSEE for development rights and as payment for all milestone events per agreement between LICENSEE and SUBLICENSEE, UNIVERSITY is entitled to a portion of that equity equal to the specified portion percentage for sublicenses listed above or may opt to receive a cash equivalent based on the estimated fair market value at time agreement is signed. For clarity, SUBLICENSE REVENUE shall not include (1) research and development funding provided to LICENSEE by SUBLICENSEE, (2) payments made as consideration for the issuance of equity or debt securities of LICENSEE at fair market value; provided that, if a SUBLICENSEE pays more than fair market value for equity or debt securities, only the portion in excess of fair market value shall be considered revenue, and (3) payments received from SUBLICENSEE and applied to reimburse LICENSEE for any out-of-pocket expenses related to the filing, prosecution, protection, defense and maintenance of patents and patent applications.</w:t>
      </w:r>
    </w:p>
    <w:p>
      <w:pPr>
        <w:spacing w:after="0" w:line="181" w:lineRule="exact"/>
        <w:rPr>
          <w:sz w:val="20"/>
          <w:szCs w:val="20"/>
          <w:color w:val="auto"/>
        </w:rPr>
      </w:pPr>
    </w:p>
    <w:p>
      <w:pPr>
        <w:ind w:left="760"/>
        <w:spacing w:after="0" w:line="235" w:lineRule="auto"/>
        <w:rPr>
          <w:sz w:val="20"/>
          <w:szCs w:val="20"/>
          <w:color w:val="auto"/>
        </w:rPr>
      </w:pPr>
      <w:r>
        <w:rPr>
          <w:rFonts w:ascii="Times New Roman" w:cs="Times New Roman" w:eastAsia="Times New Roman" w:hAnsi="Times New Roman"/>
          <w:sz w:val="22"/>
          <w:szCs w:val="22"/>
          <w:color w:val="auto"/>
        </w:rPr>
        <w:t>In addition, for each LICENSED PRODUCT developed, if LICENSEE receives from a SUBLICENSEE under any sublicense a payment that constitutes SUBLICENSEE REVENUE and which payment is directly attributable to the occurrence of a milestone or event substantially equivalent to a milestone triggering a payment under Section 3.01(e), and LICENSEE has paid to UNIVERSITY the corresponding Specified Portion of the amount of SUBLICENSE REVENUE that is attributable to such payment as set forth in Section 3.02(b), then such payment to UNIVERSITY from LICENSEE shall be fully creditable against the milestone payment owing from LICENSEE to UNIVERSITY under Section 3.01(e) for that applicable milestone.</w:t>
      </w:r>
    </w:p>
    <w:p>
      <w:pPr>
        <w:spacing w:after="0" w:line="18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1"/>
          <w:szCs w:val="21"/>
          <w:color w:val="auto"/>
        </w:rPr>
        <w:t>Section 3.03</w:t>
      </w:r>
      <w:r>
        <w:rPr>
          <w:rFonts w:ascii="Times New Roman" w:cs="Times New Roman" w:eastAsia="Times New Roman" w:hAnsi="Times New Roman"/>
          <w:sz w:val="21"/>
          <w:szCs w:val="21"/>
          <w:u w:val="single" w:color="auto"/>
          <w:color w:val="auto"/>
        </w:rPr>
        <w:t>How Payments are Made.</w:t>
      </w:r>
      <w:r>
        <w:rPr>
          <w:rFonts w:ascii="Times New Roman" w:cs="Times New Roman" w:eastAsia="Times New Roman" w:hAnsi="Times New Roman"/>
          <w:sz w:val="21"/>
          <w:szCs w:val="21"/>
          <w:color w:val="auto"/>
        </w:rPr>
        <w:t xml:space="preserve"> All payments to UNIVERSITY pursuant to this AGREEMENT shall be paid in U.S. dollars. Conversion of foreign currency to U.S. dollars shall be made at the conversion rate existing in the United States (as reported in the in the Wall Street Journal) on the last working day of each ROYALTY PERIOD. Such payments shall be without deduction of exchange, collection or other charges. Such payments shall be made payable to The Curators of the University of Missouri and shall be mailed to the Office of Intellectual Property Administration, 475 McReynolds Hall, Columbia, MO 65211.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Section 3.04</w:t>
      </w:r>
      <w:r>
        <w:rPr>
          <w:rFonts w:ascii="Times New Roman" w:cs="Times New Roman" w:eastAsia="Times New Roman" w:hAnsi="Times New Roman"/>
          <w:sz w:val="22"/>
          <w:szCs w:val="22"/>
          <w:u w:val="single" w:color="auto"/>
          <w:color w:val="auto"/>
        </w:rPr>
        <w:t>Payment Deadlines.</w:t>
      </w:r>
      <w:r>
        <w:rPr>
          <w:rFonts w:ascii="Times New Roman" w:cs="Times New Roman" w:eastAsia="Times New Roman" w:hAnsi="Times New Roman"/>
          <w:sz w:val="22"/>
          <w:szCs w:val="22"/>
          <w:color w:val="auto"/>
        </w:rPr>
        <w:t xml:space="preserve"> Unless stipulated otherwise, all payments due UNIVERSITY hereunder shall be made within thirty (30) days after the end of each ROYALTY PERIOD. Late payments shall be subject to an interest charge of one and one half percent (1.5%) per month. LICENSEE shall also be responsible for payment of all bank transfer charges.</w:t>
      </w:r>
    </w:p>
    <w:p>
      <w:pPr>
        <w:spacing w:after="0" w:line="173" w:lineRule="exact"/>
        <w:rPr>
          <w:sz w:val="20"/>
          <w:szCs w:val="20"/>
          <w:color w:val="auto"/>
        </w:rPr>
      </w:pPr>
    </w:p>
    <w:p>
      <w:pPr>
        <w:ind w:right="360"/>
        <w:spacing w:after="0" w:line="239" w:lineRule="auto"/>
        <w:rPr>
          <w:sz w:val="20"/>
          <w:szCs w:val="20"/>
          <w:color w:val="auto"/>
        </w:rPr>
      </w:pPr>
      <w:r>
        <w:rPr>
          <w:rFonts w:ascii="Times New Roman" w:cs="Times New Roman" w:eastAsia="Times New Roman" w:hAnsi="Times New Roman"/>
          <w:sz w:val="22"/>
          <w:szCs w:val="22"/>
          <w:color w:val="auto"/>
        </w:rPr>
        <w:t>Section 3.05</w:t>
      </w:r>
      <w:r>
        <w:rPr>
          <w:rFonts w:ascii="Times New Roman" w:cs="Times New Roman" w:eastAsia="Times New Roman" w:hAnsi="Times New Roman"/>
          <w:sz w:val="22"/>
          <w:szCs w:val="22"/>
          <w:u w:val="single" w:color="auto"/>
          <w:color w:val="auto"/>
        </w:rPr>
        <w:t>No Taxes.</w:t>
      </w:r>
      <w:r>
        <w:rPr>
          <w:rFonts w:ascii="Times New Roman" w:cs="Times New Roman" w:eastAsia="Times New Roman" w:hAnsi="Times New Roman"/>
          <w:sz w:val="22"/>
          <w:szCs w:val="22"/>
          <w:color w:val="auto"/>
        </w:rPr>
        <w:t xml:space="preserve"> Taxes and/or other governmental charges or fees shall not be levied on the payments made to UNIVERSITY under this Article III and shall not be deducted from any payments due UNIVERSITY under this Article III. LICENSEE shall be responsible for any and all taxes, fees, levies, duties, or other charges imposed by the government of any country on such payments.</w:t>
      </w:r>
    </w:p>
    <w:p>
      <w:pPr>
        <w:spacing w:after="0" w:line="18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Section 3.06</w:t>
      </w:r>
      <w:r>
        <w:rPr>
          <w:rFonts w:ascii="Times New Roman" w:cs="Times New Roman" w:eastAsia="Times New Roman" w:hAnsi="Times New Roman"/>
          <w:sz w:val="22"/>
          <w:szCs w:val="22"/>
          <w:u w:val="single" w:color="auto"/>
          <w:color w:val="auto"/>
        </w:rPr>
        <w:t>Default Payment</w:t>
      </w:r>
      <w:r>
        <w:rPr>
          <w:rFonts w:ascii="Times New Roman" w:cs="Times New Roman" w:eastAsia="Times New Roman" w:hAnsi="Times New Roman"/>
          <w:sz w:val="22"/>
          <w:szCs w:val="22"/>
          <w:color w:val="auto"/>
        </w:rPr>
        <w:t xml:space="preserve">. In the event of default in payment of any payment owing to UNIVERSITY under the terms of this AGREEMENT, and if it becomes necessary for UNIVERSITY to engage outside legal counsel to collect such payment, LICENSEE shall pay all expenses, costs and attorneys’ fees incurred by UNIVERSITY in connection therewith. Further, in the event that UNIVERSITY brings a lawsuit against a SUBLICENSEE for failure to pay any royalties or other payments due, LICENSEE shall pay all expenses, costs and attorneys’ fees incurred by UNIVERSITY in connection therewith. LICENSEE shall use its best commercial efforts to enforce any SUBLICENSEE obligation or payment if the breach of that obligation or payment would be a breach of this AGREEMENT if made by LICENSEE. To the extent that LICENSEE may as to UNIVERSITY cure such breach by its own performance,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by making any payments due to UNIVERSITY regardless of SUBLICENSEE’S failure to pay LICENSEE, then LICENSEE shall do so at its own risk and expense.</w:t>
      </w:r>
    </w:p>
    <w:p>
      <w:pPr>
        <w:spacing w:after="0" w:line="18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Section 3.07</w:t>
      </w:r>
      <w:r>
        <w:rPr>
          <w:rFonts w:ascii="Times New Roman" w:cs="Times New Roman" w:eastAsia="Times New Roman" w:hAnsi="Times New Roman"/>
          <w:sz w:val="21"/>
          <w:szCs w:val="21"/>
          <w:u w:val="single" w:color="auto"/>
          <w:color w:val="auto"/>
        </w:rPr>
        <w:t>Challenge to Patent Rights.</w:t>
      </w:r>
      <w:r>
        <w:rPr>
          <w:rFonts w:ascii="Times New Roman" w:cs="Times New Roman" w:eastAsia="Times New Roman" w:hAnsi="Times New Roman"/>
          <w:sz w:val="21"/>
          <w:szCs w:val="21"/>
          <w:color w:val="auto"/>
        </w:rPr>
        <w:t xml:space="preserve"> In the event that LICENSEE or one or more of its SUBLICENSEES directly or indirectly: (a) issues a press release, public announcement, news release alleging invalidity or unenforceability of any claim within the PATENT RIGHTS; or (b) asserts a claim or counterclaim in the courts or before the applicable governmental agency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the United States Patent Trial and Appeal Board) seeking to attack, invalidate or render unenforceable any claim within the PATENT RIGHTS; or (c) assists a third party with either or both (a) or (b) (each of (a), (b), or (c) being a “CHALLENGE EVENT”), then LICENSEE or its SUBLICENSEE as applicable shall provide at least ninety (90) days written notice to UNIVERSITY prior to initiating such a CHALLENGE EVENT, along with a copy of any prior art which forms the basis for the CHALLENGE EVENT and a claim-by-claim detailed analysis of patent invalidity and/or unenforceability. Upon the occurrence of a CHALLENGE EVENT, UNIVERSITY, shall have the right, but not the obligation, to terminate this AGREEMENT with respect to such LICENSEE and/or SUBLICENSEE by providing written notice of the same. In the event that UNIVERSITY elects not to terminate this AGREEMENT, then all payments due under Article III by LICENSEE or SUBLICENSEE(s) as applicable shall double. Moreover, should the outcome of any such action or proceeding be unsuccessful, then LICENSEE and/or SUBLICENSEE challenging such claim shall pay (1) triple all payments after the pendency of the aforementioned action and (2) UNIVERSITY’S costs, expenses, and reasonable attorneys’ fees incurred in such action. An action or proceeding shall be deemed “unsuccessful” for purposes of this Section 3.07 if: (i) the proceeding or lawsuit is terminated for any reason prior to a settlement or judgment from which no appeal can be or is taken; (ii) one or more of the claims within the PATENT RIGHTS challenged by said lawsuit remain valid and enforceable after 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1" w:name="page182"/>
    <w:bookmarkEnd w:id="181"/>
    <w:p>
      <w:pPr>
        <w:ind w:right="100" w:firstLine="509"/>
        <w:spacing w:after="0" w:line="249" w:lineRule="auto"/>
        <w:rPr>
          <w:sz w:val="20"/>
          <w:szCs w:val="20"/>
          <w:color w:val="auto"/>
        </w:rPr>
      </w:pPr>
      <w:r>
        <w:rPr>
          <w:rFonts w:ascii="Times New Roman" w:cs="Times New Roman" w:eastAsia="Times New Roman" w:hAnsi="Times New Roman"/>
          <w:sz w:val="21"/>
          <w:szCs w:val="21"/>
          <w:color w:val="auto"/>
        </w:rPr>
        <w:t>such settlement or judgment is in effect; or (iii) if LICENSEE would still require a license to any of the PATENT RIGHTS to sell any of its products after any such settlement or judgment is in effect. Any such judicial challenge by LICENSEE or a SUBLICENSEE shall be brought in the courts of Missouri, and LICENSEE and its SUBLICENSEE agree not to challenge personal jurisdiction in that forum. LICENSEE or such SUBLICENSEE shall not be relieved from any payments that accrue before any decision invalidating a claim within the PATENT RIGHTS or a claim not involved in such decision. LICENSEE or such SUBLICENSEE shall have no right to recoup any such payments paid before or during the period of challenge.</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IV.REPORTING</w:t>
      </w:r>
    </w:p>
    <w:p>
      <w:pPr>
        <w:spacing w:after="0" w:line="21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Section 4.01</w:t>
      </w:r>
      <w:r>
        <w:rPr>
          <w:rFonts w:ascii="Times New Roman" w:cs="Times New Roman" w:eastAsia="Times New Roman" w:hAnsi="Times New Roman"/>
          <w:sz w:val="22"/>
          <w:szCs w:val="22"/>
          <w:u w:val="single" w:color="auto"/>
          <w:color w:val="auto"/>
        </w:rPr>
        <w:t>Commercialization Plan.</w:t>
      </w:r>
      <w:r>
        <w:rPr>
          <w:rFonts w:ascii="Times New Roman" w:cs="Times New Roman" w:eastAsia="Times New Roman" w:hAnsi="Times New Roman"/>
          <w:sz w:val="22"/>
          <w:szCs w:val="22"/>
          <w:color w:val="auto"/>
        </w:rPr>
        <w:t xml:space="preserve"> Prior to signing this AGREEMENT, LICENSEE has provided to UNIVERSITY a written plan (hereinafter “COMMERCIALIZATION PLAN”) for the LICENSED PRODUCT within the respective LICENSED FIELD and within the respective country or countries of the LICENSED TERRITORY to be introduced by LICENSEE into commercial use. The COMMERCIALIZATION PLAN shall include, without limitation: (1) planned research and development activities, (2) milestones and evidence of sufficient financial resources to successfully implement the COMMERCIALIZATION PLAN and ensure that LICENSED PRODUCT will be kept reasonably available to the public, and (3) projection of sales and proposed marketing efforts. Such COMMERCIALIZATION PLAN is incorporated as Appendix B.</w:t>
      </w:r>
    </w:p>
    <w:p>
      <w:pPr>
        <w:spacing w:after="0" w:line="183" w:lineRule="exact"/>
        <w:rPr>
          <w:sz w:val="20"/>
          <w:szCs w:val="20"/>
          <w:color w:val="auto"/>
        </w:rPr>
      </w:pPr>
    </w:p>
    <w:p>
      <w:pPr>
        <w:ind w:right="1080"/>
        <w:spacing w:after="0" w:line="258" w:lineRule="auto"/>
        <w:rPr>
          <w:sz w:val="20"/>
          <w:szCs w:val="20"/>
          <w:color w:val="auto"/>
        </w:rPr>
      </w:pPr>
      <w:r>
        <w:rPr>
          <w:rFonts w:ascii="Times New Roman" w:cs="Times New Roman" w:eastAsia="Times New Roman" w:hAnsi="Times New Roman"/>
          <w:sz w:val="22"/>
          <w:szCs w:val="22"/>
          <w:color w:val="auto"/>
        </w:rPr>
        <w:t xml:space="preserve">Section 4.02Section 4.02 </w:t>
      </w:r>
      <w:r>
        <w:rPr>
          <w:rFonts w:ascii="Times New Roman" w:cs="Times New Roman" w:eastAsia="Times New Roman" w:hAnsi="Times New Roman"/>
          <w:sz w:val="22"/>
          <w:szCs w:val="22"/>
          <w:u w:val="single" w:color="auto"/>
          <w:color w:val="auto"/>
        </w:rPr>
        <w:t>First Sale</w:t>
      </w:r>
      <w:r>
        <w:rPr>
          <w:rFonts w:ascii="Times New Roman" w:cs="Times New Roman" w:eastAsia="Times New Roman" w:hAnsi="Times New Roman"/>
          <w:sz w:val="22"/>
          <w:szCs w:val="22"/>
          <w:color w:val="auto"/>
        </w:rPr>
        <w:t>. LICENSEE shall report to UNIVERSITY the date of first SALE of LICENSED PRODUCTS in each country of LICENSED TERRITORY within thirty (30) days of occurrence.</w:t>
      </w:r>
    </w:p>
    <w:p>
      <w:pPr>
        <w:spacing w:after="0" w:line="158"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Section 4.03</w:t>
      </w: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xml:space="preserve"> Within 30 days after each ROYALTY PERIOD following the first SALE of LICENSED PRODUCT, whether SOLD by LICENSEE or its SUBLICENSEE, if any exists, LICENSEE must deliver to UNIVERSITY a true and accurate written report, even if no payments are due UNIVERSITY, giving the particulars of the business conducted by LICENSEE and its SUBLICENSEE(s) during the ROYALTY PERIOD as are pertinent to calculating payments hereunder. This report will include at least:</w:t>
      </w:r>
    </w:p>
    <w:p>
      <w:pPr>
        <w:spacing w:after="0" w:line="177" w:lineRule="exact"/>
        <w:rPr>
          <w:sz w:val="20"/>
          <w:szCs w:val="20"/>
          <w:color w:val="auto"/>
        </w:rPr>
      </w:pPr>
    </w:p>
    <w:p>
      <w:pPr>
        <w:ind w:left="1500" w:hanging="7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quantities of LICENSED PRODUCT produced or manufactured;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NET SALES, including any deductions applicable as provided in Section 1.05;</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rate used;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offsets of minimum annual royalties or other offsets allowed under this AGREEMENT;</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method used to calculate the royalties thereon;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SALES ROYALTY computed and due UNIVERSITY;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82" w:name="page183"/>
    <w:bookmarkEnd w:id="182"/>
    <w:p>
      <w:pPr>
        <w:ind w:left="1500" w:hanging="743"/>
        <w:spacing w:after="0"/>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royalties due UNIVERSITY on additional payments from SUBLICENSEE(s) under Section 3.02;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addresses of all SUBLICENSEES of LICENSEE.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If no payment is due, LICENSEE shall so report to UNIVERSITY. An exemplary report format is set forth in Appendix</w:t>
      </w:r>
    </w:p>
    <w:p>
      <w:pPr>
        <w:spacing w:after="0" w:line="26" w:lineRule="exact"/>
        <w:rPr>
          <w:sz w:val="20"/>
          <w:szCs w:val="20"/>
          <w:color w:val="auto"/>
        </w:rPr>
      </w:pPr>
    </w:p>
    <w:p>
      <w:pPr>
        <w:ind w:left="760" w:right="20" w:hanging="3"/>
        <w:spacing w:after="0" w:line="234" w:lineRule="auto"/>
        <w:tabs>
          <w:tab w:leader="none" w:pos="106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report shall identify the issued patents and/or patent applications under PATENT RIGHTS that cover the particular LICENSED PRODUCT being reported. LICENSEE shall direct its authorized representative to certify that reports required hereunder are correct to the best of LICENSEE’s knowledge and information. Failure to provide reports as required under this Article shall be a material breach of this AGREEMENT.</w:t>
      </w:r>
    </w:p>
    <w:p>
      <w:pPr>
        <w:spacing w:after="0" w:line="177"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LICENSEE shall provide sufficient data for UNIVERSITY to verify the royalty calculations and any reasonable additional information UNIVERSITY requires to determine LICENSEE’s satisfaction of the reporting requirements hereunder or to clarify the information contained in reports provided by LICENSEE. LICENSEE shall provide such additional information to UNIVERSITY within thirty (30) days of receiving a request from UNIVERSITY. Simultaneously with the delivery of each report, LICENSEE must pay to UNIVERSITY the amount, if any, due for the period of each report.</w:t>
      </w:r>
    </w:p>
    <w:p>
      <w:pPr>
        <w:spacing w:after="0" w:line="17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Section 4.04</w:t>
      </w:r>
      <w:r>
        <w:rPr>
          <w:rFonts w:ascii="Times New Roman" w:cs="Times New Roman" w:eastAsia="Times New Roman" w:hAnsi="Times New Roman"/>
          <w:sz w:val="22"/>
          <w:szCs w:val="22"/>
          <w:u w:val="single" w:color="auto"/>
          <w:color w:val="auto"/>
        </w:rPr>
        <w:t>Annual Commercialization Report</w:t>
      </w:r>
      <w:r>
        <w:rPr>
          <w:rFonts w:ascii="Times New Roman" w:cs="Times New Roman" w:eastAsia="Times New Roman" w:hAnsi="Times New Roman"/>
          <w:sz w:val="22"/>
          <w:szCs w:val="22"/>
          <w:color w:val="auto"/>
        </w:rPr>
        <w:t>. On or before each anniversary of the EFFECTIVE DATE, irrespective of having a first SALE or offer for SALE, LICENSEE must deliver to UNIVERSITY a written annual report as to LICENSEE’s (and any SUBLICENSEE’s) efforts and accomplishments during the preceding year in diligently commercializing LICENSED PRODUCT in the LICENSED FIELD, including but not limited to,</w:t>
      </w:r>
    </w:p>
    <w:p>
      <w:pPr>
        <w:spacing w:after="0" w:line="180" w:lineRule="exact"/>
        <w:rPr>
          <w:sz w:val="20"/>
          <w:szCs w:val="20"/>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research and development expenditures and progress,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filings and approvals,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manufacturing,</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sublicensing activities,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and sales,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jobs created,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raised and source of funding,</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LICENSEE’s (and, if applicable, SUBLICENSEE’s) commercialization plans for the upcoming year.</w:t>
      </w:r>
    </w:p>
    <w:p>
      <w:pPr>
        <w:spacing w:after="0" w:line="206" w:lineRule="exact"/>
        <w:rPr>
          <w:sz w:val="20"/>
          <w:szCs w:val="20"/>
          <w:color w:val="auto"/>
        </w:rPr>
      </w:pPr>
    </w:p>
    <w:p>
      <w:pPr>
        <w:ind w:right="1220"/>
        <w:spacing w:after="0" w:line="258" w:lineRule="auto"/>
        <w:rPr>
          <w:sz w:val="20"/>
          <w:szCs w:val="20"/>
          <w:color w:val="auto"/>
        </w:rPr>
      </w:pPr>
      <w:r>
        <w:rPr>
          <w:rFonts w:ascii="Times New Roman" w:cs="Times New Roman" w:eastAsia="Times New Roman" w:hAnsi="Times New Roman"/>
          <w:sz w:val="22"/>
          <w:szCs w:val="22"/>
          <w:color w:val="auto"/>
        </w:rPr>
        <w:t>LICENSEE shall also promptly provide any reasonable additional information UNIVERSITY requested to evaluate LICENSEE’S performance under this AGREEMENT.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ind w:right="20"/>
        <w:spacing w:after="0" w:line="233" w:lineRule="auto"/>
        <w:rPr>
          <w:sz w:val="20"/>
          <w:szCs w:val="20"/>
          <w:color w:val="auto"/>
        </w:rPr>
      </w:pPr>
      <w:r>
        <w:rPr>
          <w:rFonts w:ascii="Times New Roman" w:cs="Times New Roman" w:eastAsia="Times New Roman" w:hAnsi="Times New Roman"/>
          <w:sz w:val="22"/>
          <w:szCs w:val="22"/>
          <w:color w:val="auto"/>
        </w:rPr>
        <w:t>Section 4.05</w:t>
      </w:r>
      <w:r>
        <w:rPr>
          <w:rFonts w:ascii="Times New Roman" w:cs="Times New Roman" w:eastAsia="Times New Roman" w:hAnsi="Times New Roman"/>
          <w:sz w:val="22"/>
          <w:szCs w:val="22"/>
          <w:u w:val="single" w:color="auto"/>
          <w:color w:val="auto"/>
        </w:rPr>
        <w:t>Records.</w:t>
      </w:r>
      <w:r>
        <w:rPr>
          <w:rFonts w:ascii="Times New Roman" w:cs="Times New Roman" w:eastAsia="Times New Roman" w:hAnsi="Times New Roman"/>
          <w:sz w:val="22"/>
          <w:szCs w:val="22"/>
          <w:color w:val="auto"/>
        </w:rPr>
        <w:t xml:space="preserve"> LICENSEE shall keep full, true and accurate books of account containing all particulars that may be necessary for the purpose of showing the amounts payable to UNIVERSITY. The books of account shall be kept at LICENSEE’s principal place of business or the principal place of business of the appropriate division of LICENSEE to which this AGREEMENT relates. The books, ledgers, records, and the supporting data shall be open at all reasonable times for five (5) years following the end of the calendar year to which they pertain, for the inspection by UNIVERSITY or its representatives for the purpose of verifying LICENSEE’s royalty statements or compliance in other respects with this AGREEMENT. If the amounts due to UNIVERSITY are determined to have been underpaid, LICENSEE will pay the amount of such underpayment and interest on the amount of such underpayment with interest accumulating at the rate as set forth in Section 3.04 accruing from the date such payment was originally due to UNIVERSITY. Should such inspection lead to the discovery of a greater than [**] discrepancy or [**] or more in reporting to UNIVERSITY’s detriment, LICENSEE agrees to pay the full cost of such inspection and audit.</w:t>
      </w:r>
    </w:p>
    <w:p>
      <w:pPr>
        <w:spacing w:after="0" w:line="18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Section 4.06</w:t>
      </w:r>
      <w:r>
        <w:rPr>
          <w:rFonts w:ascii="Times New Roman" w:cs="Times New Roman" w:eastAsia="Times New Roman" w:hAnsi="Times New Roman"/>
          <w:sz w:val="22"/>
          <w:szCs w:val="22"/>
          <w:u w:val="single" w:color="auto"/>
          <w:color w:val="auto"/>
        </w:rPr>
        <w:t>Sunshine Law.</w:t>
      </w:r>
      <w:r>
        <w:rPr>
          <w:rFonts w:ascii="Times New Roman" w:cs="Times New Roman" w:eastAsia="Times New Roman" w:hAnsi="Times New Roman"/>
          <w:sz w:val="22"/>
          <w:szCs w:val="22"/>
          <w:color w:val="auto"/>
        </w:rPr>
        <w:t xml:space="preserve"> LICENSEE acknowledges that UNIVERSITY is subject to the Missouri Sunshine Act, 610 RSMo, and that all plans and reports marked “Confidential” shall be treated by UNIVERSITY as confidential to the extent permitted by law.</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V.DUE DILIGENCE</w:t>
      </w:r>
    </w:p>
    <w:p>
      <w:pPr>
        <w:spacing w:after="0" w:line="21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Section 5.01LICENSEE shall use reasonable efforts to effect introduction of the LICENSED PRODUCT into the commercial market as soon as practicable, consistent with sound and reasonable business practices and judgment; thereafter, until the expiration or termination of this AGREEMENT, LICENSEE shall keep LICENSED PRODUCT reasonably available to the public.</w:t>
      </w:r>
    </w:p>
    <w:p>
      <w:pPr>
        <w:spacing w:after="0" w:line="18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Section 5.02UNIVERSITY shall have the right, at UNIVERSITY’s sole discretion, to either terminate or render this license nonexclusive in an individual LICENSED FIELD and/or individual country or countries within the LICENSED TERRITORY if LICENSEE or its SUBLICENSEE (if applicable):</w:t>
      </w:r>
    </w:p>
    <w:p>
      <w:pPr>
        <w:spacing w:after="0" w:line="173" w:lineRule="exact"/>
        <w:rPr>
          <w:sz w:val="20"/>
          <w:szCs w:val="20"/>
          <w:color w:val="auto"/>
        </w:rPr>
      </w:pPr>
    </w:p>
    <w:p>
      <w:pPr>
        <w:ind w:left="1500" w:hanging="743"/>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within [**] of the EFFECTIVE DATE [**], or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within [**] of the EFFECTIVE DATE [**], or</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within [**] of the EFFECTIVE DATE [**].</w:t>
      </w:r>
    </w:p>
    <w:p>
      <w:pPr>
        <w:spacing w:after="0" w:line="206" w:lineRule="exact"/>
        <w:rPr>
          <w:rFonts w:ascii="Times New Roman" w:cs="Times New Roman" w:eastAsia="Times New Roman" w:hAnsi="Times New Roman"/>
          <w:sz w:val="22"/>
          <w:szCs w:val="22"/>
          <w:color w:val="auto"/>
        </w:rPr>
      </w:pPr>
    </w:p>
    <w:p>
      <w:pPr>
        <w:ind w:left="150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LICENSEE believes that it will not achieve one of the foregoing milestones, it may notify UNIVERSITY in writing in advance of the relevant deadline (a “DELAYED MILESTONE NOTICE”), which notice shall include</w:t>
      </w:r>
    </w:p>
    <w:p>
      <w:pPr>
        <w:ind w:left="1500" w:right="4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 reasonable explanation of the reasons for such failure and (b) a reasonable, detailed, written plan for promptly achieving a reasonable extended and/or amended milestone. If LICENSEE provides UNIVERSITY with a DELAYED MILESTONE NOTICE that is acceptable to UNIVERSITY in its sole discretion as documented in writing, then this Section 5.02 will be amended automatically to incorporate the extended and/or amended milestones set forth in the DELAYED MILESTONE NOTICE. If LICENSEE provides UNIVERSITY with 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4" w:name="page185"/>
    <w:bookmarkEnd w:id="184"/>
    <w:p>
      <w:pPr>
        <w:ind w:left="1500" w:right="540"/>
        <w:spacing w:after="0" w:line="244" w:lineRule="auto"/>
        <w:rPr>
          <w:sz w:val="20"/>
          <w:szCs w:val="20"/>
          <w:color w:val="auto"/>
        </w:rPr>
      </w:pPr>
      <w:r>
        <w:rPr>
          <w:rFonts w:ascii="Times New Roman" w:cs="Times New Roman" w:eastAsia="Times New Roman" w:hAnsi="Times New Roman"/>
          <w:sz w:val="22"/>
          <w:szCs w:val="22"/>
          <w:color w:val="auto"/>
        </w:rPr>
        <w:t>DELAYED MILESTONE NOTICE that is not acceptable to UNIVERSITY in its sole discretion, then UNIVERSITY may either (1) proceed with such termination or modification of this AGREEMENT or (2) negotiate revised milestones with LICENSEE.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VI.INDEMNITY, INSURANCE, WARRANTIES, DAMAGES</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Section 6.01</w:t>
      </w: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 xml:space="preserve"> LICENSEE shall, and will require SUBLICENSEES to, at all times during the term of this AGREEMENT and thereafter, indemnify, defend and hold UNIVERSITY, its current or former Curators, officers, employees and affiliates, harmless from any claim, proceeding, suit, demand, expense, loss, penalty, judgment, or liability of any kind whatsoever, including costs, expenses and reasonable attorneys’ fees, resulting from, related to, arising out of, or in connection with (1) the design, development, production, manufacture, shipping, use, importation, SALE, advertisement, labeling, promotion, or patent marking of the LICENSED PRODUCT by LICENSEE or its SUBLICENSEES, or end users, including but not limited to (i) any infringement or misappropriation of a patent, copyright, trade secret or other intellectual property or proprietary right of any third party or (ii) any product liability claims, such as those involving the death of or injury to any person or persons or damage to property; or (2) any breach of any obligation, covenant, representation, or warranty by LICENSEE or its SUBLICENSEES hereunder; or (3) the production, use or SALE of any product, process or service identified, characterized or otherwise developed with the aid of the PATENT RIGHTS by LICENSEE or its SUBLICENSEES; or (4) a breach or violation of applicable law by LICENSEE, or its SUBLICENSEES; or (5) the exercise of LICENSEE’s or SUBLICENSEE’s rights under this AGREEMENT. If any such claims or causes of action are made, UNIVERSITY shall be defended by counsel selected by LICENSEE, subject to UNIVERSITY’s approval, which shall not be unreasonably withheld. UNIVERSITY reserves the right to be represented by its own counsel at its own expense.</w:t>
      </w:r>
    </w:p>
    <w:p>
      <w:pPr>
        <w:spacing w:after="0" w:line="177"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Section 6.02</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At such time as any LICENSED PRODUCT is being commercially distributed or SOLD (other than for the purpose of obtaining regulatory approvals) by LICENSEE, a SUBLICENSEE, or a subsidiary or agent of LICENSEE, LICENSEE shall at its sole cost and expense, procure and maintain commercial general liability insurance in amounts not less than [**] per incident and naming UNIVERSITY, its Curators, trustees, officers, agents, employees and affiliates, as additional insureds. Such commercial general liability insurance shall provide (i) product liability coverage and (ii) broad form contractual liability coverage for LICENSEE’s indemnification under this AGREEMENT. Such insurance will be considered primary as to any other valid and collectible insurance, but only as to acts of the named insured. Any carrier providing coverage shall have a minimum “Best” rating of “A-XII”. The minimum amounts of insurance coverage required shall not be construed to create a limit of LICENSEE’s liability with respect to its indemnification under this AGREEMENT.</w:t>
      </w:r>
    </w:p>
    <w:p>
      <w:pPr>
        <w:spacing w:after="0" w:line="183"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LICENSEE shall maintain such commercial general liability insurance beyond the expiration or termination of this AGREEMENT during (i) the period that any product, process, or service, relating to, or developed pursuant to this AGREEMENT is being commercially distributed or SOLD by LICENSEE or its SUBLICENSEE and (ii) a reasonable period after the period referred to in (i) above which in no event shall be less than [**].</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5" w:name="page186"/>
    <w:bookmarkEnd w:id="185"/>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LICENSEE shall provide Workers’ Compensation coverage for any employee of LICENSEE that visits UNIVERSITY premises for matters relating to this AGREEMENT. In addition, Employers’ Liability coverage shall be provided to such employee in an amount no less than [**] per occurrence.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LICENSEE shall provide UNIVERSITY with written evidence of the insurance requirements of this Section 6.02 within thirty</w:t>
      </w:r>
    </w:p>
    <w:p>
      <w:pPr>
        <w:spacing w:after="0" w:line="14" w:lineRule="exact"/>
        <w:rPr>
          <w:sz w:val="20"/>
          <w:szCs w:val="20"/>
          <w:color w:val="auto"/>
        </w:rPr>
      </w:pPr>
    </w:p>
    <w:p>
      <w:pPr>
        <w:ind w:firstLine="8"/>
        <w:spacing w:after="0" w:line="232" w:lineRule="auto"/>
        <w:tabs>
          <w:tab w:leader="none" w:pos="41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such insurance becomes necessary pursuant to this AGREEMENT. LICENSEE shall provide UNIVERSITY with written notice at least fifteen (15) days prior to the cancellation, non-renewal or material change in such insurance; if LICENSEE does not obtain replacement insurance providing comparable coverage within such fifteen (15) day period, UNIVERSITY shall have the right to terminate this AGREEMENT effective at the end of such fifteen (15) day period without notice or any additional waiting periods. It is agreed that the insurance required is required in the public interest and UNIVERSITY does not assume any liability for acts of LICENSEE, their officers, agents, and employees or of a SUBLICENSEE, their officers, agents, and employees, in connection with the granting of this AGREEMENT.</w:t>
      </w:r>
    </w:p>
    <w:p>
      <w:pPr>
        <w:spacing w:after="0" w:line="18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If LICENSEE elects to self-insure all or part of the limits described above, such self-insurance program must be acceptable to UNIVERSITY’s Risk and Insurance Management department.</w:t>
      </w:r>
    </w:p>
    <w:p>
      <w:pPr>
        <w:spacing w:after="0" w:line="15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Section 6.03</w:t>
      </w:r>
      <w:r>
        <w:rPr>
          <w:rFonts w:ascii="Times New Roman" w:cs="Times New Roman" w:eastAsia="Times New Roman" w:hAnsi="Times New Roman"/>
          <w:sz w:val="22"/>
          <w:szCs w:val="22"/>
          <w:u w:val="single" w:color="auto"/>
          <w:color w:val="auto"/>
        </w:rPr>
        <w:t>Disclaimer of Warranties</w:t>
      </w:r>
      <w:r>
        <w:rPr>
          <w:rFonts w:ascii="Times New Roman" w:cs="Times New Roman" w:eastAsia="Times New Roman" w:hAnsi="Times New Roman"/>
          <w:sz w:val="22"/>
          <w:szCs w:val="22"/>
          <w:color w:val="auto"/>
        </w:rPr>
        <w:t>. THE PATENT RIGHTS ARE DELIVERED “AS IS” IN EVERY RESPECT. UNIVERSITY, ITS CURRENT OR FORMER CURATORS, OFFICERS, EMPLOYEES, AND AFFILIATES MAKE NO REPRESENTATIONS AND EXTEND NO WARRANTIES OF ANY KIND, EITHER EXPRESS OR IMPLIED, INCLUDING BUT NOT LIMITED TO WARRANTIES OF COMMERCIAL UTILITY, MERCHANTABILITY, FITNESS FOR ANY PARTICULAR PURPOSE, THE ABSENCE OF LATENT OR OTHER DEFECTS, WHETHER OR NOT DISCOVERABLE, THE SCOPE, VALIDITY OR ENFORCEABILITY OF THE PATENT RIGHTS, WHETHER ISSUED OR PENDING, OR THAT THE MANUFACTURE, USE, IMPORTATION OR SALE OF THE LICENSED PRODUCT OR THAT THE PRACTICE OF THE PATENT RIGHTS WILL NOT INFRINGE OR MISAPPROPRIATE ANY PATENT, COPYRIGHT, TRADEMARK, OR OTHER RIGHTS OF ANY THIRD PARTY.</w:t>
      </w:r>
    </w:p>
    <w:p>
      <w:pPr>
        <w:spacing w:after="0" w:line="18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Section 6.04</w:t>
      </w:r>
      <w:r>
        <w:rPr>
          <w:rFonts w:ascii="Times New Roman" w:cs="Times New Roman" w:eastAsia="Times New Roman" w:hAnsi="Times New Roman"/>
          <w:sz w:val="22"/>
          <w:szCs w:val="22"/>
          <w:u w:val="single" w:color="auto"/>
          <w:color w:val="auto"/>
        </w:rPr>
        <w:t>Damages Exclusion / Limitation of Remedies</w:t>
      </w:r>
      <w:r>
        <w:rPr>
          <w:rFonts w:ascii="Times New Roman" w:cs="Times New Roman" w:eastAsia="Times New Roman" w:hAnsi="Times New Roman"/>
          <w:sz w:val="22"/>
          <w:szCs w:val="22"/>
          <w:color w:val="auto"/>
        </w:rPr>
        <w:t>. IN NO EVENT SHALL UNIVERSITY ITS CURRENT OR FORMER CURATORS, OFFICERS, EMPLOYEES, AND AFFILIATES BE LIABLE FOR INCIDENTAL, CONSEQUENTIAL, SPECIAL, EXEMPLARY, OR PUNITIVE DAMAGES OF ANY KIND, REGARDLESS OF THE FORM OF ACTION, WHETHER IN CONTRACT OR IN TORT, INCLUDING NEGLIGENCE OR OTHERWISE, AND INCLUDING ECONOMIC DAMAGE OR INJURY TO PROPERTY AND LOST PROFITS, ATTORNEYS’ AND EXPERTS’ FEES, REGARDLESS OF WHETHER UNIVERSITY MAY BE ADVISED, MAY HAVE OTHER REASON TO KNOW, OR IN FACT SHALL KNOW OF THE POSSIBILITY.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6.05For the avoidance of doubt, nothing in this AGREEMENT shall be construed as:</w:t>
      </w:r>
    </w:p>
    <w:p>
      <w:pPr>
        <w:spacing w:after="0" w:line="206" w:lineRule="exact"/>
        <w:rPr>
          <w:sz w:val="20"/>
          <w:szCs w:val="20"/>
          <w:color w:val="auto"/>
        </w:rPr>
      </w:pPr>
    </w:p>
    <w:p>
      <w:pPr>
        <w:ind w:left="1240" w:hanging="430"/>
        <w:spacing w:after="0"/>
        <w:tabs>
          <w:tab w:leader="none" w:pos="12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warranty or representation by UNIVERSITY as to the validity or scope of any PATENT RIGHTS;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ind w:left="1500" w:hanging="690"/>
        <w:spacing w:after="0" w:line="244" w:lineRule="auto"/>
        <w:tabs>
          <w:tab w:leader="none" w:pos="123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warranty or representation by UNIVERSITY that anything made, used, imported, SOLD or otherwise disposed of pursuant to any license granted under this AGREEMENT is or will be free from infringement of intellectual property rights of third parties;</w:t>
      </w:r>
    </w:p>
    <w:p>
      <w:pPr>
        <w:spacing w:after="0" w:line="173"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obligation by UNIVERSITY to bring or prosecute actions or suits against third parties for patent infringement;</w:t>
      </w:r>
    </w:p>
    <w:p>
      <w:pPr>
        <w:spacing w:after="0" w:line="217" w:lineRule="exact"/>
        <w:rPr>
          <w:rFonts w:ascii="Times New Roman" w:cs="Times New Roman" w:eastAsia="Times New Roman" w:hAnsi="Times New Roman"/>
          <w:sz w:val="21"/>
          <w:szCs w:val="21"/>
          <w:color w:val="auto"/>
        </w:rPr>
      </w:pPr>
    </w:p>
    <w:p>
      <w:pPr>
        <w:ind w:left="1240" w:hanging="430"/>
        <w:spacing w:after="0"/>
        <w:tabs>
          <w:tab w:leader="none" w:pos="12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obligation to furnish any know-how not provided in the PATENT RIGHTS; or</w:t>
      </w:r>
    </w:p>
    <w:p>
      <w:pPr>
        <w:spacing w:after="0" w:line="206" w:lineRule="exact"/>
        <w:rPr>
          <w:rFonts w:ascii="Times New Roman" w:cs="Times New Roman" w:eastAsia="Times New Roman" w:hAnsi="Times New Roman"/>
          <w:sz w:val="22"/>
          <w:szCs w:val="22"/>
          <w:color w:val="auto"/>
        </w:rPr>
      </w:pPr>
    </w:p>
    <w:p>
      <w:pPr>
        <w:ind w:left="1500" w:right="380" w:hanging="690"/>
        <w:spacing w:after="0" w:line="244" w:lineRule="auto"/>
        <w:tabs>
          <w:tab w:leader="none" w:pos="1237"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conferring by implication, estoppel or otherwise any license or rights under any patents of UNIVERSITY other than PATENT RIGHTS, regardless of whether such patents are dominant or subordinate to the PATENT RIGHTS.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1"/>
          <w:szCs w:val="21"/>
          <w:color w:val="auto"/>
        </w:rPr>
        <w:t>Section 6.06</w:t>
      </w:r>
      <w:r>
        <w:rPr>
          <w:rFonts w:ascii="Times New Roman" w:cs="Times New Roman" w:eastAsia="Times New Roman" w:hAnsi="Times New Roman"/>
          <w:sz w:val="21"/>
          <w:szCs w:val="21"/>
          <w:u w:val="single" w:color="auto"/>
          <w:color w:val="auto"/>
        </w:rPr>
        <w:t>Sublicenses.</w:t>
      </w:r>
      <w:r>
        <w:rPr>
          <w:rFonts w:ascii="Times New Roman" w:cs="Times New Roman" w:eastAsia="Times New Roman" w:hAnsi="Times New Roman"/>
          <w:sz w:val="21"/>
          <w:szCs w:val="21"/>
          <w:color w:val="auto"/>
        </w:rPr>
        <w:t xml:space="preserve"> LICENSEE shall require in any sublicense in which LICENSEE grants to a third party the right to make, have made, use, import, offer to SELL or SELL any LICENSED PRODUCT, provisions that provide UNIVERSITY, its Curators, trustees, officers, agents, employees and affiliates, comparable protections as those provided UNIVERSITY in this</w:t>
      </w:r>
    </w:p>
    <w:p>
      <w:pPr>
        <w:spacing w:after="0" w:line="15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Article VI. LICENSEE shall not, and shall require that its SUBLICENSEES do not, make any statements, representations or warranties whatsoever to any person or entity, or accept any liabilities or responsibilities whatsoever from any person or entity that are inconsistent with any disclaimer of warranties or damages exclusion / limitation of remedies included in this Article VI.</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VII.DOMESTIC AND FOREIGN PATENT FILING AND MAINTENANCE</w:t>
      </w:r>
    </w:p>
    <w:p>
      <w:pPr>
        <w:spacing w:after="0" w:line="210" w:lineRule="exact"/>
        <w:rPr>
          <w:sz w:val="20"/>
          <w:szCs w:val="20"/>
          <w:color w:val="auto"/>
        </w:rPr>
      </w:pPr>
    </w:p>
    <w:p>
      <w:pPr>
        <w:ind w:right="200"/>
        <w:spacing w:after="0" w:line="233" w:lineRule="auto"/>
        <w:rPr>
          <w:sz w:val="20"/>
          <w:szCs w:val="20"/>
          <w:color w:val="auto"/>
        </w:rPr>
      </w:pPr>
      <w:r>
        <w:rPr>
          <w:rFonts w:ascii="Times New Roman" w:cs="Times New Roman" w:eastAsia="Times New Roman" w:hAnsi="Times New Roman"/>
          <w:sz w:val="22"/>
          <w:szCs w:val="22"/>
          <w:color w:val="auto"/>
        </w:rPr>
        <w:t>Section 7.01</w:t>
      </w:r>
      <w:r>
        <w:rPr>
          <w:rFonts w:ascii="Times New Roman" w:cs="Times New Roman" w:eastAsia="Times New Roman" w:hAnsi="Times New Roman"/>
          <w:sz w:val="22"/>
          <w:szCs w:val="22"/>
          <w:u w:val="single" w:color="auto"/>
          <w:color w:val="auto"/>
        </w:rPr>
        <w:t>Ownership and Control of Patents.</w:t>
      </w:r>
      <w:r>
        <w:rPr>
          <w:rFonts w:ascii="Times New Roman" w:cs="Times New Roman" w:eastAsia="Times New Roman" w:hAnsi="Times New Roman"/>
          <w:sz w:val="22"/>
          <w:szCs w:val="22"/>
          <w:color w:val="auto"/>
        </w:rPr>
        <w:t xml:space="preserve"> UNIVERSITY shall have full, complete and sole ownership of any pending applications and issued patents included in PATENT RIGHTS. UNIVERSITY shall be responsible for the preparation, filing, prosecution and maintenance of the patent applications and issued patents included in the PATENT RIGHTS. UNIVERSITY, either directly or through its attorneys at UNIVERSITY’s option, shall first consult with LICENSEE or its attorneys as to the preparation, filing, prosecution, and maintenance of such patent applications and issued patents and shall furnish to LICENSEE or its attorneys copies of significant documents it sends or receives relevant to any such preparation, filing, prosecution or maintenance. LICENSEE shall cooperate with UNIVERSITY in such preparation, filing, prosecution, and maintenance. LICENSEE agrees to hold such information confidential and to use the information provided by UNIVERSITY only for the purpose of advancing the PATENT RIGHTS and shall return all such information to UNIVERSITY upon termination of LICENSEE’s rights in any particular patent application or issued patent under Section 7.04 or upon termination or expiration of this AGREEMENT.</w:t>
      </w:r>
    </w:p>
    <w:p>
      <w:pPr>
        <w:spacing w:after="0" w:line="187"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Section 7.02</w:t>
      </w:r>
      <w:r>
        <w:rPr>
          <w:rFonts w:ascii="Times New Roman" w:cs="Times New Roman" w:eastAsia="Times New Roman" w:hAnsi="Times New Roman"/>
          <w:sz w:val="22"/>
          <w:szCs w:val="22"/>
          <w:u w:val="single" w:color="auto"/>
          <w:color w:val="auto"/>
        </w:rPr>
        <w:t>Patent Expenses</w:t>
      </w:r>
      <w:r>
        <w:rPr>
          <w:rFonts w:ascii="Times New Roman" w:cs="Times New Roman" w:eastAsia="Times New Roman" w:hAnsi="Times New Roman"/>
          <w:sz w:val="22"/>
          <w:szCs w:val="22"/>
          <w:color w:val="auto"/>
        </w:rPr>
        <w:t>. LICENSEE shall reimburse UNIVERSITY for all out-of-pocket expenses, costs, and attorneys’ fees UNIVERSITY has incurred for the preparation, filing, prosecution and maintenance of PATENT RIGHTS (hereinafter “PATENT EXPENSES”) as a separate payment apart from any royalties or other revenues owed UNIVERSITY. For PATENT EXPENSES incurred prior to the EFFECTIVE DATE, such reimbursement by LICENSEE shall be due and payable when this agreement is fully executed. For all future PATENT EXPENSES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7" w:name="page188"/>
    <w:bookmarkEnd w:id="187"/>
    <w:p>
      <w:pPr>
        <w:ind w:right="160" w:firstLine="509"/>
        <w:spacing w:after="0" w:line="244" w:lineRule="auto"/>
        <w:rPr>
          <w:sz w:val="20"/>
          <w:szCs w:val="20"/>
          <w:color w:val="auto"/>
        </w:rPr>
      </w:pPr>
      <w:r>
        <w:rPr>
          <w:rFonts w:ascii="Times New Roman" w:cs="Times New Roman" w:eastAsia="Times New Roman" w:hAnsi="Times New Roman"/>
          <w:sz w:val="22"/>
          <w:szCs w:val="22"/>
          <w:color w:val="auto"/>
        </w:rPr>
        <w:t>incurred after the EFFECTIVE DATE, reimbursements by LICENSEE shall be due within thirty (30) days of receipt of UNIVERSITY’s invoice by LICENSEE, and shall be non-refundable and non-creditable. Late payment of invoices of PATENT EXPENSES received by LICENSEE from UNIVERSITY shall be subject to interest charges of [**].</w:t>
      </w:r>
    </w:p>
    <w:p>
      <w:pPr>
        <w:spacing w:after="0" w:line="17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Section 7.03</w:t>
      </w:r>
      <w:r>
        <w:rPr>
          <w:rFonts w:ascii="Times New Roman" w:cs="Times New Roman" w:eastAsia="Times New Roman" w:hAnsi="Times New Roman"/>
          <w:sz w:val="22"/>
          <w:szCs w:val="22"/>
          <w:u w:val="single" w:color="auto"/>
          <w:color w:val="auto"/>
        </w:rPr>
        <w:t>Entity Status</w:t>
      </w:r>
      <w:r>
        <w:rPr>
          <w:rFonts w:ascii="Times New Roman" w:cs="Times New Roman" w:eastAsia="Times New Roman" w:hAnsi="Times New Roman"/>
          <w:sz w:val="22"/>
          <w:szCs w:val="22"/>
          <w:color w:val="auto"/>
        </w:rPr>
        <w:t>. LICENSEE shall have a continuing obligation to keep UNIVERSITY and its patent counsel responsible for the PATENT RIGHTS informed of the entity status (large entity, small entity, and micro entity) of LICENSEE and all its SUBLICENSEES. LICENSEE agrees to give UNIVERSITY prompt notice of a change in any entity status of it or any SUBLICENSEE. A statement or future statement by LICENSEE and/or its SUBLICENSEE as to its entity status constitutes a representation that is subject to indemnity under Section 6.01.</w:t>
      </w:r>
    </w:p>
    <w:p>
      <w:pPr>
        <w:spacing w:after="0" w:line="177"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Section 7.04</w:t>
      </w:r>
      <w:r>
        <w:rPr>
          <w:rFonts w:ascii="Times New Roman" w:cs="Times New Roman" w:eastAsia="Times New Roman" w:hAnsi="Times New Roman"/>
          <w:sz w:val="22"/>
          <w:szCs w:val="22"/>
          <w:u w:val="single" w:color="auto"/>
          <w:color w:val="auto"/>
        </w:rPr>
        <w:t>Termination of Patent Rights</w:t>
      </w:r>
      <w:r>
        <w:rPr>
          <w:rFonts w:ascii="Times New Roman" w:cs="Times New Roman" w:eastAsia="Times New Roman" w:hAnsi="Times New Roman"/>
          <w:sz w:val="22"/>
          <w:szCs w:val="22"/>
          <w:color w:val="auto"/>
        </w:rPr>
        <w:t>. By written notification to UNIVERSITY at least sixty (60) days in advance of any filing or response deadline or fee due date (i.e., a date by which an action must be taken to avoid payment of a late fee), LICENSEE may elect not to have a particular patent application filed in a particular country or not to pay expenses associated with prosecuting or maintaining any particular patent application or issued patent, provided that LICENSEE pays for all PATENT EXPENSES associated with the particular patent application or issued patent incurred up to UNIVERSITY’s receipt of such notification. LICENSEE’s failure to provide a timely notification shall be considered by UNIVERSITY to be LICENSEE’s consent that it expressly wishes to support any particular issued patent(s) or patent application(s). Upon notice that LICENSEE elects not to have a particular patent application filed or prosecuted or issued patent maintained in any particular country, or not to reimburse UNIVERSITY for all PATENT EXPENSES associated with prosecuting or maintaining any patent application or patent, UNIVERSITY may at its sole discretion elect to file, prosecute, and/or maintain such particular patent applications or issued patents at its own expense and for its own benefit, and any rights or license granted under this AGREEMENT held by LICENSEE or SUBLICENSEE(s) with respect to such patent application(s) or issued patent(s) shall be irrevocably terminated, forfeited, and relinquished. For the avoidance of doubt, LICENSEE and each SUBLICENSEE shall have no right to share in any revenue derived from such particular patent application or issued patents.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VIII.INFRINGEMENT OF PATENT RIGHTS</w:t>
      </w:r>
    </w:p>
    <w:p>
      <w:pPr>
        <w:spacing w:after="0" w:line="21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Section 8.01</w:t>
      </w:r>
      <w:r>
        <w:rPr>
          <w:rFonts w:ascii="Times New Roman" w:cs="Times New Roman" w:eastAsia="Times New Roman" w:hAnsi="Times New Roman"/>
          <w:sz w:val="22"/>
          <w:szCs w:val="22"/>
          <w:u w:val="single" w:color="auto"/>
          <w:color w:val="auto"/>
        </w:rPr>
        <w:t>Notifications.</w:t>
      </w:r>
      <w:r>
        <w:rPr>
          <w:rFonts w:ascii="Times New Roman" w:cs="Times New Roman" w:eastAsia="Times New Roman" w:hAnsi="Times New Roman"/>
          <w:sz w:val="22"/>
          <w:szCs w:val="22"/>
          <w:color w:val="auto"/>
        </w:rPr>
        <w:t xml:space="preserve"> LICENSEE shall promptly inform UNIVERSITY in writing of any alleged infringement of the PATENT RIGHTS by a third party and shall provide UNIVERSITY with any available evidence thereof. LICENSEE shall not notify a third party of such infringement of PATENT RIGHTS without first consulting with UNIVERSITY.</w:t>
      </w:r>
    </w:p>
    <w:p>
      <w:pPr>
        <w:spacing w:after="0" w:line="173"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Section 8.02</w:t>
      </w: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xml:space="preserve"> For so long as the license granted herein is exclusive, LICENSEE, at its expense, shall have the right to enforce PATENT RIGHTS against infringement by third parties. All recovery from any enforcement of the PATENT RIGHTS, including any cash or other consideration received by way of judgment, settlement or compromise (hereinafter “RECOVERY”) shall be allocated in the following order: (a) to LICENSEE and UNIVERSITY for reimbursement in pro rata proportions of their costs, fees, and other related expenses to the extent that each PARTY paid for such costs, fees and expenses; and (b) any remaining amount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8" w:name="page189"/>
    <w:bookmarkEnd w:id="188"/>
    <w:p>
      <w:pPr>
        <w:ind w:firstLine="509"/>
        <w:spacing w:after="0" w:line="232" w:lineRule="auto"/>
        <w:rPr>
          <w:sz w:val="20"/>
          <w:szCs w:val="20"/>
          <w:color w:val="auto"/>
        </w:rPr>
      </w:pPr>
      <w:r>
        <w:rPr>
          <w:rFonts w:ascii="Times New Roman" w:cs="Times New Roman" w:eastAsia="Times New Roman" w:hAnsi="Times New Roman"/>
          <w:sz w:val="22"/>
          <w:szCs w:val="22"/>
          <w:color w:val="auto"/>
        </w:rPr>
        <w:t>shall be shared between UNIVERSITY and LICENSEE in the same proportion as if such remaining RECOVERY constituted SUBLICENSE REVENUE based on the time of infringement, and if that cannot be reasonably determined to the mutual satisfaction of the PARTIES, [**] to UNIVERSITY and [**] to LICENSEE. Before LICENSEE commences a formal legal proceeding with respect to any infringement of PATENT RIGHTS, LICENSEE shall first consult with UNIVERSITY regarding the potential effects such legal proceeding may have on the public interest. UNIVERSITY shall have the right, in its sole discretion, to join such proceeding at its own expense. In the event that UNIVERSITY is involuntarily joined as a party to an infringement action brought by LICENSEE (including any counterclaim), then LICENSEE shall pay any costs, expenses, and attorneys’ fees incurred by UNIVERSITY arising out of, relating to, or in connection therewith. In addition, LICENSEE agrees to consult with UNIVERSITY on any significant matters related to the litigation. LICENSEE shall be free to enter into a settlement, consent judgment, or other voluntary disposition with respect to any such action, provided that any settlement, consent judgment or other voluntary disposition thereof which (i) materially limits the scope, validity, or enforceability of patents included in the PATENT RIGHTS or (ii) admits fault or wrongdoing on the part of UNIVERSITY must be pre-approved in writing by UNIVERSITY. LICENSEE shall keep UNIVERSITY informed on all actions taken by LICENSEE in its enforcement against an infringer and shall furnish to UNIVERSITY copies of all documents related thereto. LICENSEE shall indemnify, defend, and hold harmless UNIVERSITY against any order for costs or fees that may be made against UNIVERSITY in such proceeding arising from, related to, or in connection with an act or omission made by LICENSEE.</w:t>
      </w:r>
    </w:p>
    <w:p>
      <w:pPr>
        <w:spacing w:after="0" w:line="19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Section 8.03</w:t>
      </w:r>
      <w:r>
        <w:rPr>
          <w:rFonts w:ascii="Times New Roman" w:cs="Times New Roman" w:eastAsia="Times New Roman" w:hAnsi="Times New Roman"/>
          <w:sz w:val="22"/>
          <w:szCs w:val="22"/>
          <w:u w:val="single" w:color="auto"/>
          <w:color w:val="auto"/>
        </w:rPr>
        <w:t>Rights of University</w:t>
      </w:r>
      <w:r>
        <w:rPr>
          <w:rFonts w:ascii="Times New Roman" w:cs="Times New Roman" w:eastAsia="Times New Roman" w:hAnsi="Times New Roman"/>
          <w:sz w:val="22"/>
          <w:szCs w:val="22"/>
          <w:color w:val="auto"/>
        </w:rPr>
        <w:t>. In the event that LICENSEE elects not to exercise its right to bring an infringement action with respect to PATENT RIGHTS pursuant to the above paragraphs, then LICENSEE shall notify UNIVERSITY in writing within six (6) months of receiving notice that an infringement exists. UNIVERSITY may, at its own expense and control, following the earlier of (i) such notice from LICENSEE or (ii) the expiration of such six (6) month period without LICENSEE electing to take any action with respect to such alleged or actual infringement, take steps to defend or enforce any patent within the PATENT RIGHTS and retain all RECOVERY therefrom without a duty to account to LICENSEE. LICENSEE agrees to cooperate reasonably with UNIVERSITY in any such infringement suit or dispute.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IX.CONFIDENTIALITY</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Section 9.01</w:t>
      </w:r>
      <w:r>
        <w:rPr>
          <w:rFonts w:ascii="Times New Roman" w:cs="Times New Roman" w:eastAsia="Times New Roman" w:hAnsi="Times New Roman"/>
          <w:sz w:val="22"/>
          <w:szCs w:val="22"/>
          <w:u w:val="single" w:color="auto"/>
          <w:color w:val="auto"/>
        </w:rPr>
        <w:t>Confidential Information Defined</w:t>
      </w:r>
      <w:r>
        <w:rPr>
          <w:rFonts w:ascii="Times New Roman" w:cs="Times New Roman" w:eastAsia="Times New Roman" w:hAnsi="Times New Roman"/>
          <w:sz w:val="22"/>
          <w:szCs w:val="22"/>
          <w:color w:val="auto"/>
        </w:rPr>
        <w:t>. “CONFIDENTIAL INFORMATION” means any and all information not generally known to the public, whether or not patentable or susceptible to any other form of legal protection, that is identified or designated by UNIVERSITY as being confidential or which, in light of the circumstances under which it was disclosed, whether oral or written, is reasonably apparent to LICENSEE to be considered confidential or proprietary by UNIVERSITY, including but not limited to invention disclosures, non-public patent prosecution information, including but not limited to concepts, designs, processes, specifications, schematics, equipment, processing, techniques, technical information, drawings, diagrams, software (including source code), hardware, control systems, research, test results, manuals, trade secrets, commercialization studies, market studies, business plans received by LICENSEE from UNIVERSITY except to the extent LICENSEE can prove by written documentation that such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89" w:name="page190"/>
    <w:bookmarkEnd w:id="189"/>
    <w:p>
      <w:pPr>
        <w:ind w:left="2260" w:hanging="755"/>
        <w:spacing w:after="0"/>
        <w:tabs>
          <w:tab w:leader="none" w:pos="2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 the public domain at the time of disclosure;</w:t>
      </w:r>
    </w:p>
    <w:p>
      <w:pPr>
        <w:spacing w:after="0" w:line="206" w:lineRule="exact"/>
        <w:rPr>
          <w:rFonts w:ascii="Times New Roman" w:cs="Times New Roman" w:eastAsia="Times New Roman" w:hAnsi="Times New Roman"/>
          <w:sz w:val="22"/>
          <w:szCs w:val="22"/>
          <w:color w:val="auto"/>
        </w:rPr>
      </w:pPr>
    </w:p>
    <w:p>
      <w:pPr>
        <w:ind w:left="2260" w:right="140" w:hanging="755"/>
        <w:spacing w:after="0" w:line="258" w:lineRule="auto"/>
        <w:tabs>
          <w:tab w:leader="none" w:pos="2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later became part of the public domain through no act or omission or breach of this AGREEMENT by LICENSEE, its employees, agents, successors or assigns;</w:t>
      </w:r>
    </w:p>
    <w:p>
      <w:pPr>
        <w:spacing w:after="0" w:line="15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lawfully disclosed to LICENSEE by a third party having the right to make such disclosure; or</w:t>
      </w:r>
    </w:p>
    <w:p>
      <w:pPr>
        <w:spacing w:after="0" w:line="206"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already known by LICENSEE at the time of disclosure; or</w:t>
      </w:r>
    </w:p>
    <w:p>
      <w:pPr>
        <w:spacing w:after="0" w:line="206" w:lineRule="exact"/>
        <w:rPr>
          <w:rFonts w:ascii="Times New Roman" w:cs="Times New Roman" w:eastAsia="Times New Roman" w:hAnsi="Times New Roman"/>
          <w:sz w:val="22"/>
          <w:szCs w:val="22"/>
          <w:color w:val="auto"/>
        </w:rPr>
      </w:pPr>
    </w:p>
    <w:p>
      <w:pPr>
        <w:ind w:left="2260" w:right="200" w:hanging="755"/>
        <w:spacing w:after="0" w:line="244" w:lineRule="auto"/>
        <w:tabs>
          <w:tab w:leader="none" w:pos="2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independently developed by LICENSEE without the aid, use or application of CONFIDENTIAL INFORMATION received from UNIVERSITY and such independent development can be properly demonstrated by LICENSEE.</w:t>
      </w:r>
    </w:p>
    <w:p>
      <w:pPr>
        <w:spacing w:after="0" w:line="17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Specific information shall not be deemed to be within the foregoing exceptions merely because it is embraced by more general information within the exceptions. In addition, any combination of the features shall not be deemed to be within the foregoing exception merely because individual features may be within the exceptions.</w:t>
      </w:r>
    </w:p>
    <w:p>
      <w:pPr>
        <w:spacing w:after="0" w:line="173"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1"/>
          <w:szCs w:val="21"/>
          <w:color w:val="auto"/>
        </w:rPr>
        <w:t>Section 9.02</w:t>
      </w:r>
      <w:r>
        <w:rPr>
          <w:rFonts w:ascii="Times New Roman" w:cs="Times New Roman" w:eastAsia="Times New Roman" w:hAnsi="Times New Roman"/>
          <w:sz w:val="21"/>
          <w:szCs w:val="21"/>
          <w:u w:val="single" w:color="auto"/>
          <w:color w:val="auto"/>
        </w:rPr>
        <w:t>Restrictions on Disclosure and Use.</w:t>
      </w:r>
      <w:r>
        <w:rPr>
          <w:rFonts w:ascii="Times New Roman" w:cs="Times New Roman" w:eastAsia="Times New Roman" w:hAnsi="Times New Roman"/>
          <w:sz w:val="21"/>
          <w:szCs w:val="21"/>
          <w:color w:val="auto"/>
        </w:rPr>
        <w:t xml:space="preserve"> LICENSEE agrees that (a) all CONFIDENTIAL INFORMATION shall remain the exclusive property of UNIVERSITY, (b) LICENSEE shall receive and hold the CONFIDENTIAL INFORMATION in strict confidence, (c) LICENSEE shall use the CONFIDENTIAL INFORMATION only for the purposes of this AGREEMENT, and</w:t>
      </w:r>
    </w:p>
    <w:p>
      <w:pPr>
        <w:spacing w:after="0" w:line="1" w:lineRule="exact"/>
        <w:rPr>
          <w:sz w:val="20"/>
          <w:szCs w:val="20"/>
          <w:color w:val="auto"/>
        </w:rPr>
      </w:pPr>
    </w:p>
    <w:p>
      <w:pPr>
        <w:jc w:val="both"/>
        <w:ind w:right="380" w:firstLine="8"/>
        <w:spacing w:after="0" w:line="235" w:lineRule="auto"/>
        <w:tabs>
          <w:tab w:leader="none" w:pos="30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not disclose the CONFIDENTIAL INFORMATION to third parties without the prior written consent of UNIVERSITY, and (e) LICENSEE shall protect the CONFIDENTIAL INFORMATION to the same extent that it protects its own trade secrets and confidential information, but in no less than commercially reasonable care.</w:t>
      </w:r>
    </w:p>
    <w:p>
      <w:pPr>
        <w:spacing w:after="0" w:line="17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Section 9.03</w:t>
      </w:r>
      <w:r>
        <w:rPr>
          <w:rFonts w:ascii="Times New Roman" w:cs="Times New Roman" w:eastAsia="Times New Roman" w:hAnsi="Times New Roman"/>
          <w:sz w:val="21"/>
          <w:szCs w:val="21"/>
          <w:u w:val="single" w:color="auto"/>
          <w:color w:val="auto"/>
        </w:rPr>
        <w:t>Legally required Disclosures.</w:t>
      </w:r>
      <w:r>
        <w:rPr>
          <w:rFonts w:ascii="Times New Roman" w:cs="Times New Roman" w:eastAsia="Times New Roman" w:hAnsi="Times New Roman"/>
          <w:sz w:val="21"/>
          <w:szCs w:val="21"/>
          <w:color w:val="auto"/>
        </w:rPr>
        <w:t xml:space="preserve"> In the event that LICENSEE receives a request or is required by deposition, open records request, interrogatory, request for documents, subpoena, civil investigative demand, open records request, or similar process to disclose any or part or the CONFIDENTIAL INFORMATION, LICENSEE agrees to (a) immediately notify UNIVERSITY in writing of the existence, terms, and circumstances surrounding such a request or requirement and (b) assist UNIVERSITY in seeking a protective order or other appropriate remedy satisfactory to UNIVERSITY. In the event that such a protective order or other remedy is not obtained, (a) LICENSEE may disclose that portion of the CONFIDENTIAL INFORMATION which it is legally required to disclose, (b) LICENSEE and shall exercise reasonable efforts to obtain assurance that confidential treatment will be accorded the CONFIDENTIAL INFORMATION to be disclosed and (c) LICENSEE shall give written notice to UNIVERSITY of the information to be disclosed as far in advance of its disclosure as practical. LICENSEE may also disclose CONFIDENTIAL INFORMATION to governmental or other regulatory agencies in order to obtain approvals to market any LICENSED PRODUCT, but such disclosure may only be to the extent reasonable necessary to obtain approvals.</w:t>
      </w:r>
    </w:p>
    <w:p>
      <w:pPr>
        <w:spacing w:after="0" w:line="1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Section 9.04</w:t>
      </w:r>
      <w:r>
        <w:rPr>
          <w:rFonts w:ascii="Times New Roman" w:cs="Times New Roman" w:eastAsia="Times New Roman" w:hAnsi="Times New Roman"/>
          <w:sz w:val="22"/>
          <w:szCs w:val="22"/>
          <w:u w:val="single" w:color="auto"/>
          <w:color w:val="auto"/>
        </w:rPr>
        <w:t>Disclosure to Potential Sublicensee or Assignee</w:t>
      </w:r>
      <w:r>
        <w:rPr>
          <w:rFonts w:ascii="Times New Roman" w:cs="Times New Roman" w:eastAsia="Times New Roman" w:hAnsi="Times New Roman"/>
          <w:sz w:val="22"/>
          <w:szCs w:val="22"/>
          <w:color w:val="auto"/>
        </w:rPr>
        <w:t>. Upon receiving written approval from UNIVERSITY, LICENSEE may disclose the CONFIDENTIAL INFORMATION to a</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0" w:name="page191"/>
    <w:bookmarkEnd w:id="190"/>
    <w:p>
      <w:pPr>
        <w:jc w:val="both"/>
        <w:ind w:right="220" w:firstLine="509"/>
        <w:spacing w:after="0" w:line="258" w:lineRule="auto"/>
        <w:rPr>
          <w:sz w:val="20"/>
          <w:szCs w:val="20"/>
          <w:color w:val="auto"/>
        </w:rPr>
      </w:pPr>
      <w:r>
        <w:rPr>
          <w:rFonts w:ascii="Times New Roman" w:cs="Times New Roman" w:eastAsia="Times New Roman" w:hAnsi="Times New Roman"/>
          <w:sz w:val="22"/>
          <w:szCs w:val="22"/>
          <w:color w:val="auto"/>
        </w:rPr>
        <w:t>potential SUBLICENSEE or assignee of LICENSEE in each case on the condition that such potential SUBLICENSEE or assignee agrees to be bound by the confidentiality obligations contained in this AGREEMENT.</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Section 9.05</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LICENSEE’s obligations of confidentiality and non-use shall exist during the term of this AGREEMENT and for so long as such CONFIDENTIAL INFORMATION remains confidential in accordance with Section 9.01.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X.TERM AND TERMINATION</w:t>
      </w:r>
    </w:p>
    <w:p>
      <w:pPr>
        <w:spacing w:after="0" w:line="210"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Section 10.01</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shall become effective upon the EFFECTIVE DATE and, unless sooner terminated in accordance with any of the provisions herein, shall remain in full force in the LICENSED TERRITORY until the expiration of the last to expire patent or last to be abandoned patent application included in the PATENT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10.02</w:t>
      </w:r>
      <w:r>
        <w:rPr>
          <w:rFonts w:ascii="Times New Roman" w:cs="Times New Roman" w:eastAsia="Times New Roman" w:hAnsi="Times New Roman"/>
          <w:sz w:val="21"/>
          <w:szCs w:val="21"/>
          <w:u w:val="single" w:color="auto"/>
          <w:color w:val="auto"/>
        </w:rPr>
        <w:t>Right to Terminate by Licensee.</w:t>
      </w:r>
      <w:r>
        <w:rPr>
          <w:rFonts w:ascii="Times New Roman" w:cs="Times New Roman" w:eastAsia="Times New Roman" w:hAnsi="Times New Roman"/>
          <w:sz w:val="21"/>
          <w:szCs w:val="21"/>
          <w:color w:val="auto"/>
        </w:rPr>
        <w:t xml:space="preserve"> LICENSEE shall have the right to terminate this AGREEMENT at any time on six</w:t>
      </w:r>
    </w:p>
    <w:p>
      <w:pPr>
        <w:spacing w:after="0" w:line="26" w:lineRule="exact"/>
        <w:rPr>
          <w:sz w:val="20"/>
          <w:szCs w:val="20"/>
          <w:color w:val="auto"/>
        </w:rPr>
      </w:pPr>
    </w:p>
    <w:p>
      <w:pPr>
        <w:ind w:right="100" w:firstLine="8"/>
        <w:spacing w:after="0" w:line="237" w:lineRule="auto"/>
        <w:tabs>
          <w:tab w:leader="none" w:pos="30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notice to UNIVERSITY if LICENSEE, prior to such termination, pays a termination fee of Fifty Thousand ($50,000) dollars.</w:t>
      </w:r>
    </w:p>
    <w:p>
      <w:pPr>
        <w:spacing w:after="0" w:line="178"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Section 10.03</w:t>
      </w:r>
      <w:r>
        <w:rPr>
          <w:rFonts w:ascii="Times New Roman" w:cs="Times New Roman" w:eastAsia="Times New Roman" w:hAnsi="Times New Roman"/>
          <w:sz w:val="22"/>
          <w:szCs w:val="22"/>
          <w:u w:val="single" w:color="auto"/>
          <w:color w:val="auto"/>
        </w:rPr>
        <w:t>Breach.</w:t>
      </w:r>
      <w:r>
        <w:rPr>
          <w:rFonts w:ascii="Times New Roman" w:cs="Times New Roman" w:eastAsia="Times New Roman" w:hAnsi="Times New Roman"/>
          <w:sz w:val="22"/>
          <w:szCs w:val="22"/>
          <w:color w:val="auto"/>
        </w:rPr>
        <w:t xml:space="preserve"> In the event that either PARTY defaults or breaches any of the provisions of this AGREEMENT, the other PARTY shall have the right to terminate this AGREEMENT by giving written notice to the defaulting PARTY; provided, however, that if the defaulting PARTY cures the default within thirty (30) days after the notice shall have been given, this AGREEMENT shall continue in full force and effect. The failure on the part of either of the PARTIES hereto to exercise or enforce any right conferred upon it hereunder shall not be deemed to be a waiver of any such right nor operate to bar the exercise or enforcement thereof at any time or times thereafter. In relation to Article III (payments) and Section 7.02 (patent expenses), LICENSEE’S opportunity to cure a breach shall apply only to LICENSEE’S first two notices of a breach properly given by UNIVERSITY. Upon occurrence of a third breach, UNIVERSITY may, at its option, terminate this AGREEMENT upon thirty (30) days written notice without an opportunity to cure.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10.04</w:t>
      </w:r>
      <w:r>
        <w:rPr>
          <w:rFonts w:ascii="Times New Roman" w:cs="Times New Roman" w:eastAsia="Times New Roman" w:hAnsi="Times New Roman"/>
          <w:sz w:val="22"/>
          <w:szCs w:val="22"/>
          <w:u w:val="single" w:color="auto"/>
          <w:color w:val="auto"/>
        </w:rPr>
        <w:t>Rights after Termination</w:t>
      </w:r>
      <w:r>
        <w:rPr>
          <w:rFonts w:ascii="Times New Roman" w:cs="Times New Roman" w:eastAsia="Times New Roman" w:hAnsi="Times New Roman"/>
          <w:sz w:val="22"/>
          <w:szCs w:val="22"/>
          <w:color w:val="auto"/>
        </w:rPr>
        <w:t>. Upon termination for any reason, LICENSEE shall:</w:t>
      </w:r>
    </w:p>
    <w:p>
      <w:pPr>
        <w:spacing w:after="0" w:line="206" w:lineRule="exact"/>
        <w:rPr>
          <w:sz w:val="20"/>
          <w:szCs w:val="20"/>
          <w:color w:val="auto"/>
        </w:rPr>
      </w:pPr>
    </w:p>
    <w:p>
      <w:pPr>
        <w:ind w:left="1500" w:right="200" w:hanging="743"/>
        <w:spacing w:after="0" w:line="244" w:lineRule="auto"/>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pay all amounts due UNIVERSITY through the effective date of the termination (even if they would otherwise be payable at a later date, e.g. within 30 days after invoicing), including those in Article III (payments) and Section 7.02 (patent expenses);</w:t>
      </w:r>
    </w:p>
    <w:p>
      <w:pPr>
        <w:spacing w:after="0" w:line="17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 all final reports under Article IV;</w:t>
      </w:r>
    </w:p>
    <w:p>
      <w:pPr>
        <w:spacing w:after="0" w:line="206" w:lineRule="exact"/>
        <w:rPr>
          <w:rFonts w:ascii="Times New Roman" w:cs="Times New Roman" w:eastAsia="Times New Roman" w:hAnsi="Times New Roman"/>
          <w:sz w:val="22"/>
          <w:szCs w:val="22"/>
          <w:color w:val="auto"/>
        </w:rPr>
      </w:pPr>
    </w:p>
    <w:p>
      <w:pPr>
        <w:ind w:left="1500" w:right="280" w:hanging="743"/>
        <w:spacing w:after="0" w:line="244" w:lineRule="auto"/>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any CONFIDENTIAL INFORMATION provided to LICENSEE by UNIVERSITY in connection with this AGREEMENT, or, with UNIVERSITY’S prior approval, destroy such materials, and LICENSEE shall certify in writing that such materials have all been returned or destroyed;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ind w:left="1500" w:right="120" w:hanging="743"/>
        <w:spacing w:after="0" w:line="258" w:lineRule="auto"/>
        <w:tabs>
          <w:tab w:leader="none" w:pos="15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UNIVERSITY a copy of any regulatory data or information filed with any U.S. or foreign government agency with respect to the LICENSE PRODUCT; and</w:t>
      </w:r>
    </w:p>
    <w:p>
      <w:pPr>
        <w:spacing w:after="0" w:line="158" w:lineRule="exact"/>
        <w:rPr>
          <w:rFonts w:ascii="Times New Roman" w:cs="Times New Roman" w:eastAsia="Times New Roman" w:hAnsi="Times New Roman"/>
          <w:sz w:val="22"/>
          <w:szCs w:val="22"/>
          <w:color w:val="auto"/>
        </w:rPr>
      </w:pPr>
    </w:p>
    <w:p>
      <w:pPr>
        <w:ind w:left="1500" w:right="940" w:hanging="743"/>
        <w:spacing w:after="0" w:line="244" w:lineRule="auto"/>
        <w:tabs>
          <w:tab w:leader="none" w:pos="15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refrain, and shall require its SUBLICENSEES to refrain unless such sublicense is assigned to UNIVERSITY under Section 10.05, from any further SALES or other commercial exploitation of the LICENSED PRODUCT except as provided in Section 10.08.</w:t>
      </w:r>
    </w:p>
    <w:p>
      <w:pPr>
        <w:spacing w:after="0" w:line="173" w:lineRule="exact"/>
        <w:rPr>
          <w:sz w:val="20"/>
          <w:szCs w:val="20"/>
          <w:color w:val="auto"/>
        </w:rPr>
      </w:pPr>
    </w:p>
    <w:p>
      <w:pPr>
        <w:ind w:left="760" w:right="20"/>
        <w:spacing w:after="0" w:line="258" w:lineRule="auto"/>
        <w:rPr>
          <w:sz w:val="20"/>
          <w:szCs w:val="20"/>
          <w:color w:val="auto"/>
        </w:rPr>
      </w:pPr>
      <w:r>
        <w:rPr>
          <w:rFonts w:ascii="Times New Roman" w:cs="Times New Roman" w:eastAsia="Times New Roman" w:hAnsi="Times New Roman"/>
          <w:sz w:val="22"/>
          <w:szCs w:val="22"/>
          <w:color w:val="auto"/>
        </w:rPr>
        <w:t>Nothing in this section shall be construed as limiting in any way UNIVERSITY’S rights or remedies that UNIVERSITY may otherwise have, either in law or in equity.</w:t>
      </w:r>
    </w:p>
    <w:p>
      <w:pPr>
        <w:spacing w:after="0" w:line="15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Section 10.05</w:t>
      </w:r>
      <w:r>
        <w:rPr>
          <w:rFonts w:ascii="Times New Roman" w:cs="Times New Roman" w:eastAsia="Times New Roman" w:hAnsi="Times New Roman"/>
          <w:sz w:val="22"/>
          <w:szCs w:val="22"/>
          <w:u w:val="single" w:color="auto"/>
          <w:color w:val="auto"/>
        </w:rPr>
        <w:t>Assignment of Sublicenses.</w:t>
      </w:r>
      <w:r>
        <w:rPr>
          <w:rFonts w:ascii="Times New Roman" w:cs="Times New Roman" w:eastAsia="Times New Roman" w:hAnsi="Times New Roman"/>
          <w:sz w:val="22"/>
          <w:szCs w:val="22"/>
          <w:color w:val="auto"/>
        </w:rPr>
        <w:t xml:space="preserve"> Upon termination of this AGREEMENT, LICENSEE’s interest in sublicenses granted by it under this AGREEMENT shall at UNIVERSITY’s sole option, terminate or be assigned to UNIVERSITY, including the right to receive income from SUBLICENSEES. LICENSEE shall make provision for UNIVERSITY’s rights under the preceding sentence to be included in all sublicenses granted by it under this AGREEMENT.</w:t>
      </w:r>
    </w:p>
    <w:p>
      <w:pPr>
        <w:spacing w:after="0" w:line="18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Section 10.06</w:t>
      </w:r>
      <w:r>
        <w:rPr>
          <w:rFonts w:ascii="Times New Roman" w:cs="Times New Roman" w:eastAsia="Times New Roman" w:hAnsi="Times New Roman"/>
          <w:sz w:val="22"/>
          <w:szCs w:val="22"/>
          <w:u w:val="single" w:color="auto"/>
          <w:color w:val="auto"/>
        </w:rPr>
        <w:t>Insolvency.</w:t>
      </w:r>
      <w:r>
        <w:rPr>
          <w:rFonts w:ascii="Times New Roman" w:cs="Times New Roman" w:eastAsia="Times New Roman" w:hAnsi="Times New Roman"/>
          <w:sz w:val="22"/>
          <w:szCs w:val="22"/>
          <w:color w:val="auto"/>
        </w:rPr>
        <w:t xml:space="preserve"> In the event that LICENSEE (or SUBLICENSEE as applicable) dissolves, liquidates, ceases to carry on business, becomes insolvent, is unable to pay its debts as they become due, makes an assignment for the benefit of creditors, or has a petition for bankruptcy filed for or against it, this AGREEMENT (or applicable SUBLICENSE) shall automatically terminate.</w:t>
      </w:r>
    </w:p>
    <w:p>
      <w:pPr>
        <w:spacing w:after="0" w:line="180" w:lineRule="exact"/>
        <w:rPr>
          <w:sz w:val="20"/>
          <w:szCs w:val="20"/>
          <w:color w:val="auto"/>
        </w:rPr>
      </w:pPr>
    </w:p>
    <w:p>
      <w:pPr>
        <w:ind w:right="320"/>
        <w:spacing w:after="0" w:line="248" w:lineRule="auto"/>
        <w:rPr>
          <w:sz w:val="20"/>
          <w:szCs w:val="20"/>
          <w:color w:val="auto"/>
        </w:rPr>
      </w:pPr>
      <w:r>
        <w:rPr>
          <w:rFonts w:ascii="Times New Roman" w:cs="Times New Roman" w:eastAsia="Times New Roman" w:hAnsi="Times New Roman"/>
          <w:sz w:val="21"/>
          <w:szCs w:val="21"/>
          <w:color w:val="auto"/>
        </w:rPr>
        <w:t>Section 10.07</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Termination of this AGREEMENT for any reason shall not release either PARTY from any obligation theretofore accrued. All provisions of this AGREEMENT that would reasonably be expected to survive the termination or expiration of this AGREEMENT shall do so, including Article III (all—payments), Article VI (all—indemnity, insurance, warranties, damages), Article IX (all—confidentiality), Section 2.03 (reserved rights), Section 2.04 (license to University); Section 2.07 (governmental rights), Section 3.07 (challenge to patent rights), Section 4.03 (reporting), Section 4.05 (records), Section 10.04 (rights after termination), Section 10.05 (assignment of sublicenses), Section 10.08 (inventory), Section 10.09 (ongoing payments), and Article XI (general—all) survive the termination of this AGREEMENT.</w:t>
      </w:r>
    </w:p>
    <w:p>
      <w:pPr>
        <w:spacing w:after="0" w:line="17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Section 10.08</w:t>
      </w:r>
      <w:r>
        <w:rPr>
          <w:rFonts w:ascii="Times New Roman" w:cs="Times New Roman" w:eastAsia="Times New Roman" w:hAnsi="Times New Roman"/>
          <w:sz w:val="21"/>
          <w:szCs w:val="21"/>
          <w:u w:val="single" w:color="auto"/>
          <w:color w:val="auto"/>
        </w:rPr>
        <w:t>Inventory.</w:t>
      </w:r>
      <w:r>
        <w:rPr>
          <w:rFonts w:ascii="Times New Roman" w:cs="Times New Roman" w:eastAsia="Times New Roman" w:hAnsi="Times New Roman"/>
          <w:sz w:val="21"/>
          <w:szCs w:val="21"/>
          <w:color w:val="auto"/>
        </w:rPr>
        <w:t xml:space="preserve"> Upon termination of this AGREEMENT or upon termination in whole or in part through no fault of LICENSEE, LICENSEE shall provide UNIVERSITY with a written inventory of all LICENSED PRODUCTS in the possession or under the control of LICENSEE (including any in the process of manufacture). Except with respect to termination for uncured breach by LICENSEE, LICENSEE shall have the privilege of SELLING the inventory of such LICENSED PRODUCTS within a period of one hundred and eighty (180) days of such termination upon conditions most favorable to UNIVERSITY that LICENSEE can reasonably obtain and paying any applicable royalties associated with such SALES to UNIVERSITY.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2" w:name="page193"/>
    <w:bookmarkEnd w:id="192"/>
    <w:p>
      <w:pPr>
        <w:spacing w:after="0" w:line="282" w:lineRule="auto"/>
        <w:rPr>
          <w:sz w:val="20"/>
          <w:szCs w:val="20"/>
          <w:color w:val="auto"/>
        </w:rPr>
      </w:pPr>
      <w:r>
        <w:rPr>
          <w:rFonts w:ascii="Times New Roman" w:cs="Times New Roman" w:eastAsia="Times New Roman" w:hAnsi="Times New Roman"/>
          <w:sz w:val="21"/>
          <w:szCs w:val="21"/>
          <w:color w:val="auto"/>
        </w:rPr>
        <w:t>Section 10.09</w:t>
      </w:r>
      <w:r>
        <w:rPr>
          <w:rFonts w:ascii="Times New Roman" w:cs="Times New Roman" w:eastAsia="Times New Roman" w:hAnsi="Times New Roman"/>
          <w:sz w:val="21"/>
          <w:szCs w:val="21"/>
          <w:u w:val="single" w:color="auto"/>
          <w:color w:val="auto"/>
        </w:rPr>
        <w:t>Ongoing Payments.</w:t>
      </w:r>
      <w:r>
        <w:rPr>
          <w:rFonts w:ascii="Times New Roman" w:cs="Times New Roman" w:eastAsia="Times New Roman" w:hAnsi="Times New Roman"/>
          <w:sz w:val="21"/>
          <w:szCs w:val="21"/>
          <w:color w:val="auto"/>
        </w:rPr>
        <w:t xml:space="preserve"> Any termination or cancellation under any provision of this AGREEMEMT shall not relieve LICENSEE of its obligation to pay any royalty or other fees due to UNIVERSITY at the time of such termination or cancellation.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XI.GENERAL</w:t>
      </w:r>
    </w:p>
    <w:p>
      <w:pPr>
        <w:spacing w:after="0" w:line="210"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1"/>
          <w:szCs w:val="21"/>
          <w:color w:val="auto"/>
        </w:rPr>
        <w:t xml:space="preserve">Section 11.01 </w:t>
      </w:r>
      <w:r>
        <w:rPr>
          <w:rFonts w:ascii="Times New Roman" w:cs="Times New Roman" w:eastAsia="Times New Roman" w:hAnsi="Times New Roman"/>
          <w:sz w:val="21"/>
          <w:szCs w:val="21"/>
          <w:u w:val="single" w:color="auto"/>
          <w:color w:val="auto"/>
        </w:rPr>
        <w:t>Marking.</w:t>
      </w:r>
      <w:r>
        <w:rPr>
          <w:rFonts w:ascii="Times New Roman" w:cs="Times New Roman" w:eastAsia="Times New Roman" w:hAnsi="Times New Roman"/>
          <w:sz w:val="21"/>
          <w:szCs w:val="21"/>
          <w:color w:val="auto"/>
        </w:rPr>
        <w:t xml:space="preserve"> Prior to the issuance of patents under PATENT RIGHTS, LICENSEE agrees to mark LICENSED PRODUCTS (or their containers or labels) SOLD by LICENSEE or SUBLICENSEES under the license granted in this AGREEMENT with the words “Patent Pending” and following the issuance of one or more patents under PATENT RIGHTS,</w:t>
      </w:r>
    </w:p>
    <w:p>
      <w:pPr>
        <w:spacing w:after="0" w:line="1" w:lineRule="exact"/>
        <w:rPr>
          <w:sz w:val="20"/>
          <w:szCs w:val="20"/>
          <w:color w:val="auto"/>
        </w:rPr>
      </w:pPr>
    </w:p>
    <w:p>
      <w:pPr>
        <w:ind w:right="780"/>
        <w:spacing w:after="0" w:line="237" w:lineRule="auto"/>
        <w:rPr>
          <w:sz w:val="20"/>
          <w:szCs w:val="20"/>
          <w:color w:val="auto"/>
        </w:rPr>
      </w:pPr>
      <w:r>
        <w:rPr>
          <w:rFonts w:ascii="Times New Roman" w:cs="Times New Roman" w:eastAsia="Times New Roman" w:hAnsi="Times New Roman"/>
          <w:sz w:val="22"/>
          <w:szCs w:val="22"/>
          <w:color w:val="auto"/>
        </w:rPr>
        <w:t>with the words “Patent No. ”or in such a manner as to conform with the patent laws and practice of the country of manufacture, SALE, or importation.</w:t>
      </w:r>
    </w:p>
    <w:p>
      <w:pPr>
        <w:spacing w:after="0" w:line="178"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1"/>
          <w:szCs w:val="21"/>
          <w:color w:val="auto"/>
        </w:rPr>
        <w:t>Section 11.02</w:t>
      </w:r>
      <w:r>
        <w:rPr>
          <w:rFonts w:ascii="Times New Roman" w:cs="Times New Roman" w:eastAsia="Times New Roman" w:hAnsi="Times New Roman"/>
          <w:sz w:val="21"/>
          <w:szCs w:val="21"/>
          <w:u w:val="single" w:color="auto"/>
          <w:color w:val="auto"/>
        </w:rPr>
        <w:t>Compliance with Laws: Export Controls.</w:t>
      </w:r>
      <w:r>
        <w:rPr>
          <w:rFonts w:ascii="Times New Roman" w:cs="Times New Roman" w:eastAsia="Times New Roman" w:hAnsi="Times New Roman"/>
          <w:sz w:val="21"/>
          <w:szCs w:val="21"/>
          <w:color w:val="auto"/>
        </w:rPr>
        <w:t xml:space="preserve"> LICENSEE agrees to comply with all applicable federal, state, and local laws and regulations. In particular, LICENSEE shall comply with all applicable U.S. laws dealing with the export and/or management of commodities, technology or information, and that LICENSEE will be responsible for any violation of such by LICENSEE or its SUBLICENSEES, and that it will defend and hold UNIVERSITY harmless in the event of any legal action of any nature occasioned by such violation. LICENSEE understands that the Arms Export Control Act (AECA), including its implementing International Traffic In Arms Regulations (ITAR,) and the Export Administration Act (EAA), including its Export Administration Regulations (EAR), are some (but not all) of the laws and regulations that comprise the U.S. export laws and regulations. LICENSEE further understands that the U.S. export laws and regulations include (but are not limited to): (1) ITAR and EAR product/service/data-specific requirements; (2) ITAR and EAR ultimate destination-specific requirements; (3) ITAR and EAR end user-specific requirements; (4) ITAR and EAR end use-specific requirements; (5) Foreign Corrupt Practices Act; and (6) anti-boycott laws and regulations. LICENSEE will comply with all then-current applicable export laws and regulations of the U.S. Government (and other applicable U.S. laws and regulations) pertaining to the LICENSED PRODUCTS (including any associated products, items, articles, computer software, media, services, technical data, and other information). LICENSEE warrants that it will not, directly or indirectly, export (including any deemed export), nor re-export (including any deemed re-export) the LICENSED PRODUCT (including any associated products, items, articles, computer software, media, services, technical data, and other information) in violation of U.S. export laws and regulations or other applicable U.S. laws and regulations. LICENSEE will include an appropriate provision in its agreements with its authorized SUBLICENSEES to assure that these parties comply with all then-current applicable U.S. export laws and regulations and other applicable U.S. laws and regulations. LICENSEE’S OBLIGATIONS TO COMPLY WITH U.S. EXPORT CONTROL LAWS AND REGULATIONS ARE INDEPENDENT OF AND SURVIVE THE TERMINATION OF THIS AGREEMENT.</w:t>
      </w:r>
    </w:p>
    <w:p>
      <w:pPr>
        <w:spacing w:after="0" w:line="18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Section 11.03</w:t>
      </w:r>
      <w:r>
        <w:rPr>
          <w:rFonts w:ascii="Times New Roman" w:cs="Times New Roman" w:eastAsia="Times New Roman" w:hAnsi="Times New Roman"/>
          <w:sz w:val="22"/>
          <w:szCs w:val="22"/>
          <w:u w:val="single" w:color="auto"/>
          <w:color w:val="auto"/>
        </w:rPr>
        <w:t>University Name.</w:t>
      </w:r>
      <w:r>
        <w:rPr>
          <w:rFonts w:ascii="Times New Roman" w:cs="Times New Roman" w:eastAsia="Times New Roman" w:hAnsi="Times New Roman"/>
          <w:sz w:val="22"/>
          <w:szCs w:val="22"/>
          <w:color w:val="auto"/>
        </w:rPr>
        <w:t xml:space="preserve"> LICENSEE agrees not to identify UNIVERSITY in any promotional advertising or other promotional materials to be disseminated to the public or any portion thereof or to use the name of any UNIVERSITY faculty member, employee, or student or any trademark, service mark, trade name, or symbol of UNIVERSITY, without UNIVERSITY’S prior written consent.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3" w:name="page194"/>
    <w:bookmarkEnd w:id="193"/>
    <w:p>
      <w:pPr>
        <w:jc w:val="both"/>
        <w:ind w:right="160"/>
        <w:spacing w:after="0" w:line="244" w:lineRule="auto"/>
        <w:rPr>
          <w:sz w:val="20"/>
          <w:szCs w:val="20"/>
          <w:color w:val="auto"/>
        </w:rPr>
      </w:pPr>
      <w:r>
        <w:rPr>
          <w:rFonts w:ascii="Times New Roman" w:cs="Times New Roman" w:eastAsia="Times New Roman" w:hAnsi="Times New Roman"/>
          <w:sz w:val="22"/>
          <w:szCs w:val="22"/>
          <w:color w:val="auto"/>
        </w:rPr>
        <w:t>Section 11.04</w:t>
      </w:r>
      <w:r>
        <w:rPr>
          <w:rFonts w:ascii="Times New Roman" w:cs="Times New Roman" w:eastAsia="Times New Roman" w:hAnsi="Times New Roman"/>
          <w:sz w:val="22"/>
          <w:szCs w:val="22"/>
          <w:u w:val="single" w:color="auto"/>
          <w:color w:val="auto"/>
        </w:rPr>
        <w:t>Press.</w:t>
      </w:r>
      <w:r>
        <w:rPr>
          <w:rFonts w:ascii="Times New Roman" w:cs="Times New Roman" w:eastAsia="Times New Roman" w:hAnsi="Times New Roman"/>
          <w:sz w:val="22"/>
          <w:szCs w:val="22"/>
          <w:color w:val="auto"/>
        </w:rPr>
        <w:t xml:space="preserve"> Notwithstanding Section 11.03, UNIVERSITY may disclose the existence of this AGREEMENT and non-confidential information regarding the status of LICENSEE’s commercialization of LICENSED PRODUCTS in a press release, on-line, or otherwise, and on the UNIVERSITY’S website.</w:t>
      </w:r>
    </w:p>
    <w:p>
      <w:pPr>
        <w:spacing w:after="0" w:line="17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Section 11.05</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This AGREEMENT is binding upon and shall inure to the benefit of UNIVERSITY, its successors and assigns. However, this AGREEMENT shall be personal to LICENSEE, and it is not assignable by LICENSEE to any other person or entity without the prior written consent of UNIVERSITY, such consent to be in UNIVERSITY’s sole discretion, except in connection with a sale of LICENSEE or the business of LICENSEE to which this Agreement relates to a third party, whether by merger, consolidation, sale of all or substantially all of LICENSEE’s assets or capital stock, which consent will not be unreasonably withheld. Any purported sale, transfer or assignment without UNIVERSITY’s prior written consent shall be void ab initio, and this AGREEMENT shall immediately terminate. For purposes of this Section, “transfer” shall include any transfer by operation of law or otherwise.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Section 11.06</w:t>
      </w:r>
      <w:r>
        <w:rPr>
          <w:rFonts w:ascii="Times New Roman" w:cs="Times New Roman" w:eastAsia="Times New Roman" w:hAnsi="Times New Roman"/>
          <w:sz w:val="21"/>
          <w:szCs w:val="21"/>
          <w:u w:val="single" w:color="auto"/>
          <w:color w:val="auto"/>
        </w:rPr>
        <w:t>Sponsored Research.</w:t>
      </w:r>
      <w:r>
        <w:rPr>
          <w:rFonts w:ascii="Times New Roman" w:cs="Times New Roman" w:eastAsia="Times New Roman" w:hAnsi="Times New Roman"/>
          <w:sz w:val="21"/>
          <w:szCs w:val="21"/>
          <w:color w:val="auto"/>
        </w:rPr>
        <w:t xml:space="preserve"> If LICENSEE desires UNIVERSITY participation in performing research and development activities directed towards PATENT RIGHTS, negotiation for such assistance shall be separate and apart from this AGREEMENT, and shall be performed according to UNIVERSITY’S procedures related to research grant and contract activities.</w:t>
      </w:r>
    </w:p>
    <w:p>
      <w:pPr>
        <w:spacing w:after="0" w:line="15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Section 11.07</w:t>
      </w:r>
      <w:r>
        <w:rPr>
          <w:rFonts w:ascii="Times New Roman" w:cs="Times New Roman" w:eastAsia="Times New Roman" w:hAnsi="Times New Roman"/>
          <w:sz w:val="22"/>
          <w:szCs w:val="22"/>
          <w:u w:val="single" w:color="auto"/>
          <w:color w:val="auto"/>
        </w:rPr>
        <w:t>Consulting.</w:t>
      </w:r>
      <w:r>
        <w:rPr>
          <w:rFonts w:ascii="Times New Roman" w:cs="Times New Roman" w:eastAsia="Times New Roman" w:hAnsi="Times New Roman"/>
          <w:sz w:val="22"/>
          <w:szCs w:val="22"/>
          <w:color w:val="auto"/>
        </w:rPr>
        <w:t xml:space="preserve"> In the event LICENSEE wishes to engage the inventors as consultants, such an arrangement shall be separate and apart from this AGREEMENT, but shall be in keeping with UNIVERSITY’S policy on consulting and ownership of intellectual property developed by UNIVERSITY employees.</w:t>
      </w:r>
    </w:p>
    <w:p>
      <w:pPr>
        <w:spacing w:after="0" w:line="17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Section 11.08</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payment, notice, or other communication given under this AGREEMENT except for correspondence relating to patent preparation, filing, prosecution and/or maintenance matters under Article VII herein) shall be in writing and shall be deemed delivered when sent by certified first class mail, registered mail, or overnight courier, or by facsimile, provided that a copy of such facsimile is promptly sent by certified first class mail, registered or overnight courier, addressed to the PARTIES as follows (or at such other addresses as the PARTIES may notify each other in writing):</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2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If to UNIVERSITY:</w:t>
            </w:r>
          </w:p>
        </w:tc>
        <w:tc>
          <w:tcPr>
            <w:tcW w:w="550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7"/>
              </w:rPr>
              <w:t>Office of Technology Management &amp; Industry Relations</w:t>
            </w: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55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University of Missouri, Missouri Innovation Center</w:t>
            </w:r>
          </w:p>
        </w:tc>
        <w:tc>
          <w:tcPr>
            <w:tcW w:w="0" w:type="dxa"/>
            <w:vAlign w:val="bottom"/>
          </w:tcPr>
          <w:p>
            <w:pPr>
              <w:spacing w:after="0"/>
              <w:rPr>
                <w:sz w:val="1"/>
                <w:szCs w:val="1"/>
                <w:color w:val="auto"/>
              </w:rPr>
            </w:pPr>
          </w:p>
        </w:tc>
      </w:tr>
      <w:tr>
        <w:trPr>
          <w:trHeight w:val="513"/>
        </w:trPr>
        <w:tc>
          <w:tcPr>
            <w:tcW w:w="2400" w:type="dxa"/>
            <w:vAlign w:val="bottom"/>
          </w:tcPr>
          <w:p>
            <w:pPr>
              <w:spacing w:after="0"/>
              <w:rPr>
                <w:sz w:val="20"/>
                <w:szCs w:val="20"/>
                <w:color w:val="auto"/>
              </w:rPr>
            </w:pPr>
            <w:r>
              <w:rPr>
                <w:rFonts w:ascii="Times New Roman" w:cs="Times New Roman" w:eastAsia="Times New Roman" w:hAnsi="Times New Roman"/>
                <w:sz w:val="22"/>
                <w:szCs w:val="22"/>
                <w:color w:val="auto"/>
              </w:rPr>
              <w:t>If to LICENSEE:</w:t>
            </w:r>
          </w:p>
        </w:tc>
        <w:tc>
          <w:tcPr>
            <w:tcW w:w="5500" w:type="dxa"/>
            <w:vAlign w:val="bottom"/>
            <w:vMerge w:val="restart"/>
          </w:tcPr>
          <w:p>
            <w:pPr>
              <w:ind w:left="600"/>
              <w:spacing w:after="0"/>
              <w:rPr>
                <w:sz w:val="20"/>
                <w:szCs w:val="20"/>
                <w:color w:val="auto"/>
              </w:rPr>
            </w:pPr>
            <w:r>
              <w:rPr>
                <w:rFonts w:ascii="Times New Roman" w:cs="Times New Roman" w:eastAsia="Times New Roman" w:hAnsi="Times New Roman"/>
                <w:sz w:val="22"/>
                <w:szCs w:val="22"/>
                <w:color w:val="auto"/>
              </w:rPr>
              <w:t>Solid GT</w:t>
            </w: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5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1"/>
                <w:szCs w:val="21"/>
                <w:color w:val="auto"/>
              </w:rPr>
            </w:pPr>
          </w:p>
        </w:tc>
        <w:tc>
          <w:tcPr>
            <w:tcW w:w="550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One Broadway</w:t>
            </w: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550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Cambridge, MA 02142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Section 11.09</w:t>
      </w:r>
      <w:r>
        <w:rPr>
          <w:rFonts w:ascii="Times New Roman" w:cs="Times New Roman" w:eastAsia="Times New Roman" w:hAnsi="Times New Roman"/>
          <w:sz w:val="22"/>
          <w:szCs w:val="22"/>
          <w:u w:val="single" w:color="auto"/>
          <w:color w:val="auto"/>
        </w:rPr>
        <w:t>No Other Relationship.</w:t>
      </w:r>
      <w:r>
        <w:rPr>
          <w:rFonts w:ascii="Times New Roman" w:cs="Times New Roman" w:eastAsia="Times New Roman" w:hAnsi="Times New Roman"/>
          <w:sz w:val="22"/>
          <w:szCs w:val="22"/>
          <w:color w:val="auto"/>
        </w:rPr>
        <w:t xml:space="preserve"> In assuming and performing the respective obligations under this AGREEMENT, LICENSEE and UNIVERSITY are each acting as independent parties and neither shall be considered or represent itself as a joint venture, partner, agent or employee of the other.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4" w:name="page195"/>
    <w:bookmarkEnd w:id="194"/>
    <w:p>
      <w:pPr>
        <w:ind w:right="40"/>
        <w:spacing w:after="0" w:line="238" w:lineRule="auto"/>
        <w:rPr>
          <w:sz w:val="20"/>
          <w:szCs w:val="20"/>
          <w:color w:val="auto"/>
        </w:rPr>
      </w:pPr>
      <w:r>
        <w:rPr>
          <w:rFonts w:ascii="Times New Roman" w:cs="Times New Roman" w:eastAsia="Times New Roman" w:hAnsi="Times New Roman"/>
          <w:sz w:val="22"/>
          <w:szCs w:val="22"/>
          <w:color w:val="auto"/>
        </w:rPr>
        <w:t>Section 11.10</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xml:space="preserve"> None of the terms, covenants, and conditions of this AGREEMENT can be waived except by the written consent of the PARTY waiving compliance. A failure by one of the PARTIES to this AGREEMENT to assert its rights for or upon any breach or default of this AGREEMENT shall not be deemed a waiver of such rights nor shall any such waiver be implied from acceptance of any payment. No such failure or waiver in writing by any one of the PARTIES hereto with respect to any rights, shall extend to or affect any subsequent breach or impair any right consequent thereon.</w:t>
      </w:r>
    </w:p>
    <w:p>
      <w:pPr>
        <w:spacing w:after="0" w:line="177"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22"/>
          <w:szCs w:val="22"/>
          <w:color w:val="auto"/>
        </w:rPr>
        <w:t>Section 11.11</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If any sentence, paragraph, clause or combination of the same is found by a court of competent jurisdiction to be in violation of any applicable law or regulation, or is unenforceable or void for any reason whatsoever, such sentence, paragraph, clause or combinations of the same shall be severed from the AGREEMENT and the remainder of the AGREEMENT shall remain binding upon the PARTIES.</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Section 11.12</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headings of the paragraphs of this AGREEMENT are inserted for convenience only and shall not constitute a part hereof.</w:t>
      </w:r>
    </w:p>
    <w:p>
      <w:pPr>
        <w:spacing w:after="0" w:line="158"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Section 11.13</w:t>
      </w:r>
      <w:r>
        <w:rPr>
          <w:rFonts w:ascii="Times New Roman" w:cs="Times New Roman" w:eastAsia="Times New Roman" w:hAnsi="Times New Roman"/>
          <w:sz w:val="22"/>
          <w:szCs w:val="22"/>
          <w:u w:val="single" w:color="auto"/>
          <w:color w:val="auto"/>
        </w:rPr>
        <w:t>Choice of Law and Venue.</w:t>
      </w:r>
      <w:r>
        <w:rPr>
          <w:rFonts w:ascii="Times New Roman" w:cs="Times New Roman" w:eastAsia="Times New Roman" w:hAnsi="Times New Roman"/>
          <w:sz w:val="22"/>
          <w:szCs w:val="22"/>
          <w:color w:val="auto"/>
        </w:rPr>
        <w:t xml:space="preserve"> This AGREEMENT shall be construed, interpreted, and applied in accordance with the laws of the State of Missouri. Any action to enforce the provisions of the AGREEMENT shall be brought in a court of competent jurisdiction and proper venue in the State of Missouri. LICENSEE irrevocably submits to the jurisdiction of such courts in any such action or proceeding. LICENSEE further irrevocably and unconditionally waives any objection to the laying of venue of any suit, action or proceeding in such courts and irrevocably waives and agrees not to plead or claim in any court that such suit, action or proceeding brought in any such court has been brought in an inconvenient forum.</w:t>
      </w:r>
    </w:p>
    <w:p>
      <w:pPr>
        <w:spacing w:after="0" w:line="18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Sovereign Immunity</w:t>
      </w:r>
      <w:r>
        <w:rPr>
          <w:rFonts w:ascii="Times New Roman" w:cs="Times New Roman" w:eastAsia="Times New Roman" w:hAnsi="Times New Roman"/>
          <w:sz w:val="22"/>
          <w:szCs w:val="22"/>
          <w:color w:val="auto"/>
        </w:rPr>
        <w:t>. The PARTIES agree that nothing in this AGREEMENT is intended or shall be construed as a waiver, either express or implied, of any of the immunities, lights, benefits, defenses or protections provided to UNIVERSITY under governmental or sovereign immunity laws from time to time applicable to UNIVERSITY.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Section 11.15</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two or more counterparts, each of which shall be deemed an original and all of which together shall constitute but one and the same instrument.</w:t>
      </w:r>
    </w:p>
    <w:p>
      <w:pPr>
        <w:spacing w:after="0" w:line="15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1"/>
          <w:szCs w:val="21"/>
          <w:color w:val="auto"/>
        </w:rPr>
        <w:t>Section 11.16</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constitutes the entire and only agreement between the PARTIES for PATENT RIGHTS and all other prior negotiations, representations, agreements, and understandings are superseded hereby. No agreements altering or supplementing the terms hereof may be made except by a written document signed by both PARTIES.</w:t>
      </w:r>
    </w:p>
    <w:p>
      <w:pPr>
        <w:spacing w:after="0" w:line="157"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in duplicate originals by their duly authorized officers or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7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THE CURATORS OF THE</w:t>
            </w:r>
          </w:p>
        </w:tc>
        <w:tc>
          <w:tcPr>
            <w:tcW w:w="6540" w:type="dxa"/>
            <w:vAlign w:val="bottom"/>
            <w:gridSpan w:val="2"/>
          </w:tcPr>
          <w:p>
            <w:pPr>
              <w:ind w:left="1180"/>
              <w:spacing w:after="0"/>
              <w:rPr>
                <w:sz w:val="20"/>
                <w:szCs w:val="20"/>
                <w:color w:val="auto"/>
              </w:rPr>
            </w:pPr>
            <w:r>
              <w:rPr>
                <w:rFonts w:ascii="Times New Roman" w:cs="Times New Roman" w:eastAsia="Times New Roman" w:hAnsi="Times New Roman"/>
                <w:sz w:val="22"/>
                <w:szCs w:val="22"/>
                <w:color w:val="auto"/>
              </w:rPr>
              <w:t>LICENSEE</w:t>
            </w:r>
          </w:p>
        </w:tc>
      </w:tr>
      <w:tr>
        <w:trPr>
          <w:trHeight w:val="28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UNIVERSITY OF MISSOURI</w:t>
            </w:r>
          </w:p>
        </w:tc>
        <w:tc>
          <w:tcPr>
            <w:tcW w:w="17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540"/>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 Christopher Fender</w:t>
            </w: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BY:</w:t>
            </w:r>
          </w:p>
        </w:tc>
        <w:tc>
          <w:tcPr>
            <w:tcW w:w="4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 Ilan Ganot</w:t>
            </w:r>
          </w:p>
        </w:tc>
      </w:tr>
      <w:tr>
        <w:trPr>
          <w:trHeight w:val="501"/>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w:t>
            </w:r>
          </w:p>
        </w:tc>
        <w:tc>
          <w:tcPr>
            <w:tcW w:w="4080" w:type="dxa"/>
            <w:vAlign w:val="bottom"/>
          </w:tcPr>
          <w:p>
            <w:pPr>
              <w:spacing w:after="0"/>
              <w:rPr>
                <w:sz w:val="24"/>
                <w:szCs w:val="24"/>
                <w:color w:val="auto"/>
              </w:rPr>
            </w:pP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NAM</w:t>
            </w:r>
          </w:p>
        </w:tc>
        <w:tc>
          <w:tcPr>
            <w:tcW w:w="4780" w:type="dxa"/>
            <w:vAlign w:val="bottom"/>
          </w:tcPr>
          <w:p>
            <w:pPr>
              <w:spacing w:after="0"/>
              <w:rPr>
                <w:sz w:val="24"/>
                <w:szCs w:val="24"/>
                <w:color w:val="auto"/>
              </w:rPr>
            </w:pPr>
          </w:p>
        </w:tc>
      </w:tr>
      <w:tr>
        <w:trPr>
          <w:trHeight w:val="282"/>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w:t>
            </w:r>
          </w:p>
        </w:tc>
        <w:tc>
          <w:tcPr>
            <w:tcW w:w="4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Christopher Fender</w:t>
            </w: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E:</w:t>
            </w:r>
          </w:p>
        </w:tc>
        <w:tc>
          <w:tcPr>
            <w:tcW w:w="4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ILAN GANOT</w:t>
            </w:r>
          </w:p>
        </w:tc>
      </w:tr>
      <w:tr>
        <w:trPr>
          <w:trHeight w:val="501"/>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w:t>
            </w:r>
          </w:p>
        </w:tc>
        <w:tc>
          <w:tcPr>
            <w:tcW w:w="4080" w:type="dxa"/>
            <w:vAlign w:val="bottom"/>
          </w:tcPr>
          <w:p>
            <w:pPr>
              <w:spacing w:after="0"/>
              <w:rPr>
                <w:sz w:val="24"/>
                <w:szCs w:val="24"/>
                <w:color w:val="auto"/>
              </w:rPr>
            </w:pP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TITL</w:t>
            </w:r>
          </w:p>
        </w:tc>
        <w:tc>
          <w:tcPr>
            <w:tcW w:w="4780" w:type="dxa"/>
            <w:vAlign w:val="bottom"/>
          </w:tcPr>
          <w:p>
            <w:pPr>
              <w:spacing w:after="0"/>
              <w:rPr>
                <w:sz w:val="24"/>
                <w:szCs w:val="24"/>
                <w:color w:val="auto"/>
              </w:rPr>
            </w:pPr>
          </w:p>
        </w:tc>
      </w:tr>
      <w:tr>
        <w:trPr>
          <w:trHeight w:val="270"/>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w:t>
            </w:r>
          </w:p>
        </w:tc>
        <w:tc>
          <w:tcPr>
            <w:tcW w:w="4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Director, Office of Technology</w:t>
            </w: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E:</w:t>
            </w:r>
          </w:p>
        </w:tc>
        <w:tc>
          <w:tcPr>
            <w:tcW w:w="4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CEO</w:t>
            </w:r>
          </w:p>
        </w:tc>
      </w:tr>
      <w:tr>
        <w:trPr>
          <w:trHeight w:val="282"/>
        </w:trPr>
        <w:tc>
          <w:tcPr>
            <w:tcW w:w="620" w:type="dxa"/>
            <w:vAlign w:val="bottom"/>
          </w:tcPr>
          <w:p>
            <w:pPr>
              <w:spacing w:after="0"/>
              <w:rPr>
                <w:sz w:val="24"/>
                <w:szCs w:val="24"/>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Management and Industry Relations</w:t>
            </w:r>
          </w:p>
        </w:tc>
        <w:tc>
          <w:tcPr>
            <w:tcW w:w="176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501"/>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w:t>
            </w:r>
          </w:p>
        </w:tc>
        <w:tc>
          <w:tcPr>
            <w:tcW w:w="4080" w:type="dxa"/>
            <w:vAlign w:val="bottom"/>
          </w:tcPr>
          <w:p>
            <w:pPr>
              <w:spacing w:after="0"/>
              <w:rPr>
                <w:sz w:val="24"/>
                <w:szCs w:val="24"/>
                <w:color w:val="auto"/>
              </w:rPr>
            </w:pP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DAT</w:t>
            </w:r>
          </w:p>
        </w:tc>
        <w:tc>
          <w:tcPr>
            <w:tcW w:w="4780" w:type="dxa"/>
            <w:vAlign w:val="bottom"/>
          </w:tcPr>
          <w:p>
            <w:pPr>
              <w:spacing w:after="0"/>
              <w:rPr>
                <w:sz w:val="24"/>
                <w:szCs w:val="24"/>
                <w:color w:val="auto"/>
              </w:rPr>
            </w:pPr>
          </w:p>
        </w:tc>
      </w:tr>
      <w:tr>
        <w:trPr>
          <w:trHeight w:val="282"/>
        </w:trPr>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w:t>
            </w:r>
          </w:p>
        </w:tc>
        <w:tc>
          <w:tcPr>
            <w:tcW w:w="40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October 15 2015</w:t>
            </w:r>
          </w:p>
        </w:tc>
        <w:tc>
          <w:tcPr>
            <w:tcW w:w="176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E</w:t>
            </w:r>
          </w:p>
        </w:tc>
        <w:tc>
          <w:tcPr>
            <w:tcW w:w="4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October 15 2015</w:t>
            </w:r>
          </w:p>
        </w:tc>
      </w:tr>
      <w:tr>
        <w:trPr>
          <w:trHeight w:val="650"/>
        </w:trPr>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24</w:t>
            </w:r>
          </w:p>
        </w:tc>
        <w:tc>
          <w:tcPr>
            <w:tcW w:w="4780" w:type="dxa"/>
            <w:vAlign w:val="bottom"/>
          </w:tcPr>
          <w:p>
            <w:pPr>
              <w:spacing w:after="0"/>
              <w:rPr>
                <w:sz w:val="24"/>
                <w:szCs w:val="24"/>
                <w:color w:val="auto"/>
              </w:rPr>
            </w:pPr>
          </w:p>
        </w:tc>
      </w:tr>
      <w:tr>
        <w:trPr>
          <w:trHeight w:val="763"/>
        </w:trPr>
        <w:tc>
          <w:tcPr>
            <w:tcW w:w="6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Solid Biosciences Inc.</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Executive Chairman Agreement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jc w:val="both"/>
        <w:ind w:right="80" w:firstLine="749"/>
        <w:spacing w:after="0" w:line="239" w:lineRule="auto"/>
        <w:rPr>
          <w:sz w:val="20"/>
          <w:szCs w:val="20"/>
          <w:color w:val="auto"/>
        </w:rPr>
      </w:pPr>
      <w:r>
        <w:rPr>
          <w:rFonts w:ascii="Times New Roman" w:cs="Times New Roman" w:eastAsia="Times New Roman" w:hAnsi="Times New Roman"/>
          <w:sz w:val="22"/>
          <w:szCs w:val="22"/>
          <w:color w:val="auto"/>
        </w:rPr>
        <w:t>This Executive Chair Agreement (together with Exhibit A, the “Agreement”), effective January 1, 2022 (the “Effective Date”), is by and between Ian F. Smith, an individual having an address at 45 Commonwealth Avenue, Unit 3, Boston, MA 02116 (the “Executive Chair”), and Solid Biosciences Inc., a Delaware corporation (together with its affiliates, the “Company”), having an address at 141 Portland Street, Fifth Floor, Cambridge, MA 02139.</w:t>
      </w:r>
    </w:p>
    <w:p>
      <w:pPr>
        <w:spacing w:after="0" w:line="180"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color w:val="auto"/>
        </w:rPr>
        <w:t>WHEREAS, Executive Chair is currently serving as a member and chairman of the Board of Directors of the Company (the “Board”);</w:t>
      </w:r>
    </w:p>
    <w:p>
      <w:pPr>
        <w:spacing w:after="0" w:line="158"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21"/>
          <w:szCs w:val="21"/>
          <w:color w:val="auto"/>
        </w:rPr>
        <w:t>WHEREAS, Executive Chair has also been providing advisory services to Company pursuant to a consulting agreement between the Parties entered into on January 4, 2021 (the “Prior Agreement”) and both parties acknowledge and agree that, as of the Effective Date of this Agreement, the agreed upon services under the Prior Agreement have been completed;</w:t>
      </w:r>
    </w:p>
    <w:p>
      <w:pPr>
        <w:spacing w:after="0" w:line="157" w:lineRule="exact"/>
        <w:rPr>
          <w:sz w:val="20"/>
          <w:szCs w:val="20"/>
          <w:color w:val="auto"/>
        </w:rPr>
      </w:pPr>
    </w:p>
    <w:p>
      <w:pPr>
        <w:jc w:val="both"/>
        <w:ind w:right="80" w:firstLine="749"/>
        <w:spacing w:after="0" w:line="282" w:lineRule="auto"/>
        <w:rPr>
          <w:sz w:val="20"/>
          <w:szCs w:val="20"/>
          <w:color w:val="auto"/>
        </w:rPr>
      </w:pPr>
      <w:r>
        <w:rPr>
          <w:rFonts w:ascii="Times New Roman" w:cs="Times New Roman" w:eastAsia="Times New Roman" w:hAnsi="Times New Roman"/>
          <w:sz w:val="21"/>
          <w:szCs w:val="21"/>
          <w:color w:val="auto"/>
        </w:rPr>
        <w:t>WHEREAS, from and after the close of business on the Effective Date, Executive Chair shall no longer serve under the Prior Agreement, but shall be retained as the Executive Chairman pursuant to the terms and conditions set forth herein; and</w:t>
      </w:r>
    </w:p>
    <w:p>
      <w:pPr>
        <w:spacing w:after="0" w:line="135"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herein and for other good and valuable consideration, the receipt and sufficiency of which are hereby acknowledged, Executive Chair and the Company agree as follows:</w:t>
      </w:r>
    </w:p>
    <w:p>
      <w:pPr>
        <w:spacing w:after="0" w:line="173" w:lineRule="exact"/>
        <w:rPr>
          <w:sz w:val="20"/>
          <w:szCs w:val="20"/>
          <w:color w:val="auto"/>
        </w:rPr>
      </w:pPr>
    </w:p>
    <w:p>
      <w:pPr>
        <w:jc w:val="both"/>
        <w:ind w:firstLine="757"/>
        <w:spacing w:after="0" w:line="238" w:lineRule="auto"/>
        <w:tabs>
          <w:tab w:leader="none" w:pos="10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Company retains Executive Chair, and Executive Chair agrees to provide, part-time advisory services to Company, consistent with his position as Executive Chairman of the Board, and as more fully set forth on Exhibit A attached hereto (the “Services”). It is understood and agreed that the Executive Chair will not be an executive officer of the Company and that Chief Executive Officer of the Company will continue to be the Company’s principal executive officer and will continue to report directly to the board of directors and to the Executive Chairman.</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As consideration for Services provided under this Agreement, the Company shall grant, subject to approval of Company’s Board, to Executive Chair an option to purchase 194,500 shares of the Company’s Common Stock (“Stock Options”) at an exercise price per share equal to the closing price of the Company’s Common Stock on January 3, 2021 (the “Grant Date”), and 97,250 restricted stock units (the “RSUs” and together with the RSUs, the “Awards”). The Awards will vest in equal quarterly installments with the first installment vesting three months from the Grant Date and the final installment vesting date on the date that is 12 months from the Grant Date, subject to continued services as a Director of the Company. Additionally, in the event of a change in control of the Company and on terms consistent with board of director equity award agreements, all unvested Awards will accelerate and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ind w:left="263" w:hanging="263"/>
        <w:spacing w:after="0"/>
        <w:tabs>
          <w:tab w:leader="none" w:pos="26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Work-Made-for Hire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57" w:firstLine="757"/>
        <w:spacing w:after="0" w:line="233" w:lineRule="auto"/>
        <w:tabs>
          <w:tab w:leader="none" w:pos="42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in any and all writings, ideas, inventions, know-how, designs, improvements or other property created during Executive Chair’s advisory relationship relating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that are created, adapted or improved by Executive Chair (whether alone or in conjunction with any other person or employee), and all material created during Executive Chair’s advisory relationship that includes any of the foregoing (collectively, “Covered Material”), shall be owned by the Company and to the extent that it includes copyrightable subject matter, shall be deemed a work made for hire for the Company within the meaning of the United States Copyright Act of 1976 and for all other purposes. If any Covered Material is deemed not to be work made for hire, such Covered Material is hereby assigned by Executive Chair to the Company and Executive Chair shall not have or claim to have, under this Agreement or otherwise, any right, title or interest of any kind or nature whatsoever in such Covered Material.</w:t>
      </w:r>
    </w:p>
    <w:p>
      <w:pPr>
        <w:spacing w:after="0" w:line="187" w:lineRule="exact"/>
        <w:rPr>
          <w:rFonts w:ascii="Times New Roman" w:cs="Times New Roman" w:eastAsia="Times New Roman" w:hAnsi="Times New Roman"/>
          <w:sz w:val="22"/>
          <w:szCs w:val="22"/>
          <w:color w:val="auto"/>
        </w:rPr>
      </w:pPr>
    </w:p>
    <w:p>
      <w:pPr>
        <w:jc w:val="both"/>
        <w:ind w:left="-757" w:firstLine="757"/>
        <w:spacing w:after="0" w:line="238" w:lineRule="auto"/>
        <w:tabs>
          <w:tab w:leader="none" w:pos="42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Executive Chair’s name, Executive Chair shall assign in writing such application or registration to the Company and hereby authorizes and appoints the Company its agent for the purpose of recording such assignment.</w:t>
      </w:r>
    </w:p>
    <w:p>
      <w:pPr>
        <w:spacing w:after="0" w:line="176" w:lineRule="exact"/>
        <w:rPr>
          <w:rFonts w:ascii="Times New Roman" w:cs="Times New Roman" w:eastAsia="Times New Roman" w:hAnsi="Times New Roman"/>
          <w:sz w:val="22"/>
          <w:szCs w:val="22"/>
          <w:color w:val="auto"/>
        </w:rPr>
      </w:pPr>
    </w:p>
    <w:p>
      <w:pPr>
        <w:jc w:val="both"/>
        <w:ind w:left="-757" w:firstLine="757"/>
        <w:spacing w:after="0" w:line="234" w:lineRule="auto"/>
        <w:tabs>
          <w:tab w:leader="none" w:pos="42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Company, Executive Chair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Executive Chair for all reasonable out-of-pocket costs, incurred by Executive Chair in rendering any such assistance requested by the Company pursuant to this Section. In the event that Executive Chair should fail or refuse to execute such documents within a reasonable time, Executive Chair appoints Company as attorney to execute and deliver any such documents on Executive Chair’s behalf.</w:t>
      </w:r>
    </w:p>
    <w:p>
      <w:pPr>
        <w:spacing w:after="0" w:line="210" w:lineRule="exact"/>
        <w:rPr>
          <w:sz w:val="20"/>
          <w:szCs w:val="20"/>
          <w:color w:val="auto"/>
        </w:rPr>
      </w:pPr>
    </w:p>
    <w:p>
      <w:pPr>
        <w:jc w:val="both"/>
        <w:ind w:left="-757" w:firstLine="757"/>
        <w:spacing w:after="0" w:line="235" w:lineRule="auto"/>
        <w:tabs>
          <w:tab w:leader="none" w:pos="26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 Executive Chair agrees to (a) hold the Confidential Information (as defined below) in confidence; (b) not disclose any Confidential Information to any third party without the prior written consent of Company; (c) not use the Confidential Information for any purpose except solely as required to perform the Services; and (d) treat Confidential Information with no less than a reasonable degree of care. For purposes of this Agreement, the term “Confidential Information” means any and all information and derivative information, in whatever form or medium, including oral information, concerning or relating to the Company or information of any third party that the Company is under an obligation to keep confidential or that is maintained by the Company as confidential, including, without limitation, intellectual property of the Company, such as, but not limited to, Covered Material, patent applications, copyrights, copyright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1009650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98" w:name="page199"/>
    <w:bookmarkEnd w:id="198"/>
    <w:p>
      <w:pPr>
        <w:jc w:val="both"/>
        <w:spacing w:after="0" w:line="243" w:lineRule="auto"/>
        <w:rPr>
          <w:sz w:val="20"/>
          <w:szCs w:val="20"/>
          <w:color w:val="auto"/>
        </w:rPr>
      </w:pPr>
      <w:r>
        <w:rPr>
          <w:rFonts w:ascii="Times New Roman" w:cs="Times New Roman" w:eastAsia="Times New Roman" w:hAnsi="Times New Roman"/>
          <w:sz w:val="21"/>
          <w:szCs w:val="21"/>
          <w:color w:val="auto"/>
        </w:rPr>
        <w:t>applications, and trade secrets; information regarding or resulting from research and development activities performed by or on behalf of the Company and other projects (such as, but not limited to, preclinical and clinical data, design details and specifications, engineering information, and works in process); and business and financial information (such as, but not limited to, current, future, and proposed products and services, financial information and models, information relating to procurement requirements, purchasing, manufacturing, investors, customer lists, customers, suppliers, facilities, product plans, product ideas, business strategies, marketing or business plans, financial or personnel matters, investors, employees, business and contractual relationships, business forecasts, sales, strategies, operations, policies, procedures, commercialization capabilities, and information regarding third parties). Notwithstanding the foregoing, Confidential Information does not include information that Executive Chair can demonstrate: (a) is publicly known and generally available in the public domain other than in consequence of improper action by any person; or (b) was acquired by Executive Chair free and clear of any duty of confidentiality or restricted use and without improper action by the transferor of such information or any other person. Executive Chair shall keep confidential all matters entrusted to Executive Chair by or on behalf of the Company and shall not use or attempt to use any Confidential Information except as may be required in the ordinary course of performing Executive Chair’s duties as an advisor to the Company, and Executive Chair shall not use any Confidential Information in any manner that may injure or cause loss or may be calculated to injure or cause loss to the Company, whether directly or indirectly. Nothing in this Agreement prohibits Executive Chair from reporting possible violations of federal or state law or regulations to any governmental agency or entity or self-regulatory institution, including but not limited to the Equal Employment Opportunity Commission, the National Labor Relations Board, the Department of Justice, the Securities and Exchange Commission, Congress, and any Inspector General, or making other disclosures that are protected under the whistleblower provisions of federal or state law or regulation. Prior authorization of the Company shall not be required to make any such reports or disclosures and Executive Chair is not required to notify the Company that Executive Chair has made such reports or disclosures.</w:t>
      </w:r>
    </w:p>
    <w:p>
      <w:pPr>
        <w:spacing w:after="0" w:line="200" w:lineRule="exact"/>
        <w:rPr>
          <w:sz w:val="20"/>
          <w:szCs w:val="20"/>
          <w:color w:val="auto"/>
        </w:rPr>
      </w:pPr>
    </w:p>
    <w:p>
      <w:pPr>
        <w:spacing w:after="0" w:line="229" w:lineRule="exact"/>
        <w:rPr>
          <w:sz w:val="20"/>
          <w:szCs w:val="20"/>
          <w:color w:val="auto"/>
        </w:rPr>
      </w:pPr>
    </w:p>
    <w:p>
      <w:pPr>
        <w:jc w:val="both"/>
        <w:ind w:firstLine="757"/>
        <w:spacing w:after="0" w:line="235" w:lineRule="auto"/>
        <w:tabs>
          <w:tab w:leader="none" w:pos="101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Executive Chair agrees to provide the Services to Company and its affiliates in accordance with all applicable laws and regulations and the highest professional standards. Executive Chair represents and warrants that Executive Chair has not been, and is not under consideration to be (a) debarred from providing services pursuant to Section 306 of the United States Federal Food Drug and Cosmetic Act, 21 U.S.C. § 335a; (b) excluded, debarred or suspended from, or otherwise ineligible to participate in, any federal or state health care program or federal procurement or non-procurement programs (as that term is defined in 42 U.S.C. §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jc w:val="both"/>
        <w:ind w:firstLine="757"/>
        <w:spacing w:after="0" w:line="233" w:lineRule="auto"/>
        <w:tabs>
          <w:tab w:leader="none" w:pos="101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Obligations to Third Parties</w:t>
      </w:r>
      <w:r>
        <w:rPr>
          <w:rFonts w:ascii="Times New Roman" w:cs="Times New Roman" w:eastAsia="Times New Roman" w:hAnsi="Times New Roman"/>
          <w:sz w:val="22"/>
          <w:szCs w:val="22"/>
          <w:color w:val="auto"/>
        </w:rPr>
        <w:t>. Executive Chair represents and warrants to Company that the terms of this Agreement and Executive Chair’s performance of Services do not and will not conflict with any of Executive Chair’s obligations to any third parties. Executive Chair represents that Executive Chair has not brought and will not bring with Executive Chair to Company or use in the performance of Services any equipment, funds, space, personnel, facilities, confidential information, trade secrets or other resources of any third party which are not generally available to the public, nor will Executive Chair take any other action that would result in a third-party asserting ownership of, or other rights in, any Covered Material. If Executive Chair is a faculty member at or employee of a university or hospital or another organization or company (“Institution”), Executive Chair represents and warrants that Executive Chair is not prohibited by any applicable policy of such Institution, including without limitation any policy addressing conflicts of interest or intellectual property, from performing external consulting services and assigning rights to intellectual property arising from such services to Company or a third party. To the extent Executive Chair is subject to any policy of his/her employer that requires approval of agreements governing external consulting services, Executive Chair represents that such approval has been given and covenants that such approval will be obtained prior to entering into any amendment to this Agreement requiring such approval.</w:t>
      </w:r>
    </w:p>
    <w:p>
      <w:pPr>
        <w:spacing w:after="0" w:line="182" w:lineRule="exact"/>
        <w:rPr>
          <w:rFonts w:ascii="Times New Roman" w:cs="Times New Roman" w:eastAsia="Times New Roman" w:hAnsi="Times New Roman"/>
          <w:sz w:val="22"/>
          <w:szCs w:val="22"/>
          <w:color w:val="auto"/>
        </w:rPr>
      </w:pPr>
    </w:p>
    <w:p>
      <w:pPr>
        <w:jc w:val="both"/>
        <w:ind w:firstLine="757"/>
        <w:spacing w:after="0" w:line="249" w:lineRule="auto"/>
        <w:tabs>
          <w:tab w:leader="none" w:pos="1018"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Non-hire of Employees and Consultants</w:t>
      </w:r>
      <w:r>
        <w:rPr>
          <w:rFonts w:ascii="Times New Roman" w:cs="Times New Roman" w:eastAsia="Times New Roman" w:hAnsi="Times New Roman"/>
          <w:sz w:val="21"/>
          <w:szCs w:val="21"/>
          <w:color w:val="auto"/>
        </w:rPr>
        <w:t>. During the Term and for a one year period thereafter, Executive Chair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Executive Chair is employed or which is directly or indirectly controlled by Executive Chair to employ, hire or retain, any Company employee or consultant, or any such person whose employment or consultancy with the Company has terminated within six months prior to or after Executive Chair’s departure from the Company.</w:t>
      </w:r>
    </w:p>
    <w:p>
      <w:pPr>
        <w:spacing w:after="0" w:line="170"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 and Consultants</w:t>
      </w:r>
      <w:r>
        <w:rPr>
          <w:rFonts w:ascii="Times New Roman" w:cs="Times New Roman" w:eastAsia="Times New Roman" w:hAnsi="Times New Roman"/>
          <w:sz w:val="22"/>
          <w:szCs w:val="22"/>
          <w:color w:val="auto"/>
        </w:rPr>
        <w:t>. During the Term and for a one year period thereafter, Executive Chair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Executive Chair’s departure from the Company, to leave his or her employment or consultancy with the Company, or assist in the recruitment or hiring of any such person.</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Chair shall not at any time, whether during or after the Term, regardless of the reason for such termination, make to any person or entity disparaging, critical or otherwise detrimental comments of a business or personal nature relating to the Company or its personnel.</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Use of Name</w:t>
      </w:r>
      <w:r>
        <w:rPr>
          <w:rFonts w:ascii="Times New Roman" w:cs="Times New Roman" w:eastAsia="Times New Roman" w:hAnsi="Times New Roman"/>
          <w:sz w:val="22"/>
          <w:szCs w:val="22"/>
          <w:color w:val="auto"/>
        </w:rPr>
        <w:t>. Executive Chair will not use the name, logo, trade name, service mark, or trademark, or any simulation, abbreviation, or adaptation of same, or the name of Company or any of its affiliates for publicity, promotion, or other uses without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0" w:name="page201"/>
    <w:bookmarkEnd w:id="200"/>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 Executive Chair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Executive Chair’s possession, custody or control. Executive Chair further agrees that upon expiration or termination of this Agreement, Executive Chair shall immediately return all Company Property to Company. Executive Chair acknowledges and agree that all Company Property shall be and remain the sole and exclusive property of the Company. Immediately upon the expiration or termination of this Agreement, Executive Chair shall deliver all Company Property in Executive Chair’s possession, and all copies thereof, to the Company.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The term of this Agreement will commence on the Effective Date and will expire on December 31, 2022, unless extended by mutual written agreement of the parties or earlier terminated in accordance with this Section 12 (the “Term”). Notwithstanding anything to the contrary herein, the Company may terminate this Agreement, for any or no reason, on written notice to Executive Chair and Executive Chair may terminate this agreement, for any reason or no reason, on fifteen (15) days prior written notice to the Company.</w:t>
      </w:r>
    </w:p>
    <w:p>
      <w:pPr>
        <w:spacing w:after="0" w:line="17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required or permitted under this Agreement must be in writing and must be given by directing the notice to the address for the receiving party set forth in this Agreement or at such other address as the receiving party may specify in writing under this procedure. Notices to Company will be marked “Attention: Chief Legal Officer.” All notices must be given</w:t>
      </w:r>
    </w:p>
    <w:p>
      <w:pPr>
        <w:spacing w:after="0" w:line="1" w:lineRule="exact"/>
        <w:rPr>
          <w:sz w:val="20"/>
          <w:szCs w:val="20"/>
          <w:color w:val="auto"/>
        </w:rPr>
      </w:pPr>
    </w:p>
    <w:p>
      <w:pPr>
        <w:jc w:val="both"/>
        <w:ind w:right="20" w:firstLine="8"/>
        <w:spacing w:after="0" w:line="258" w:lineRule="auto"/>
        <w:tabs>
          <w:tab w:leader="none" w:pos="258"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personal delivery, with receipt acknowledged, (ii) by prepaid certified or registered mail, return receipt requested, or (iii) by prepaid recognized next business day delivery service. Notices will be effective upon receipt or at a later date stated in the notice.</w:t>
      </w:r>
    </w:p>
    <w:p>
      <w:pPr>
        <w:spacing w:after="0" w:line="15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Executive Chair agrees that (i) Company may be irreparably injured by a breach of this Agreement by Executive Chair; (ii) money damages would not be an adequate remedy for any such breach; (iii) as a remedy for any such breach Company will be entitled to seek equitable relief, including injunctive relief and specific performance, without being required by Executive Chair to post a bond; and (iv) such remedy will not be the exclusive remedy for any breach of this Agreement.</w:t>
      </w:r>
    </w:p>
    <w:p>
      <w:pPr>
        <w:spacing w:after="0" w:line="16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Executive Chair is an independent contractor and not an employee of the Company. Executive Chair shall be responsible for all taxes arising from compensation and other amounts paid under this Agreement. Neither federal, state or local income tax, nor payroll tax of any kind, shall be withheld or paid by the Company on Executive Chair’s behalf. Executive Chair will not be eligible for, and shall not participate in, any employee pension, health, welfare, or other fringe benefit plan of the Company.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 Amendments</w:t>
      </w:r>
      <w:r>
        <w:rPr>
          <w:rFonts w:ascii="Times New Roman" w:cs="Times New Roman" w:eastAsia="Times New Roman" w:hAnsi="Times New Roman"/>
          <w:sz w:val="22"/>
          <w:szCs w:val="22"/>
          <w:color w:val="auto"/>
        </w:rPr>
        <w:t>. Any waiver by the Company of a breach of any provision of this Agreement shall not operate or be construed as a waiver of any subsequent breach of such provision or any other provision hereof. In addition, any amendment to or modification of this Agreement or any waiver of any provision hereof must be agreed to in writing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1" w:name="page202"/>
    <w:bookmarkEnd w:id="201"/>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Executive Chair agrees that each provision and the subparts of each provision herein shall be treated as separate and independent clauses, and the unenforceability of 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Executive Chair hereby further agrees that the language of all parts of this Agreement shall in all cases be construed as a whole according to its fair meaning and not strictly for or against either of the parties.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Executive Chair’s obligations under Section 3 through 22 of this Agreement shall survive the expiration or termination of this Agreement and shall be binding upon Executive Chair’s successors, heirs, executors, administrators and legal representatives.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shall have the right to assign this Agreement to its successors and assigns, and all covenants and agreements hereunder shall inure to the benefit of and be enforceable by said successors or assigns. Executive Chair may not assign this Agreement. In no event will Executive Chair assign or delegate responsibility for actual performance of the Services to any third party.</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complete, sole and entire agreement between the parties with respect to the subject matter herein and supersedes any and all other agreements, negotiations, discussions, proposals, or understandings, whether oral or written, previously entered into, discussed or considered by the parties.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will be deemed an original, but all of which together will constitute one and the same instrument. A facsimile or portable document format (“.pdf”) copy of this Agreement, including the signature pages, will be deemed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ind w:left="760"/>
        <w:spacing w:after="0"/>
        <w:rPr>
          <w:sz w:val="20"/>
          <w:szCs w:val="20"/>
          <w:color w:val="auto"/>
        </w:rPr>
      </w:pPr>
      <w:r>
        <w:rPr>
          <w:rFonts w:ascii="Times New Roman" w:cs="Times New Roman" w:eastAsia="Times New Roman" w:hAnsi="Times New Roman"/>
          <w:sz w:val="22"/>
          <w:szCs w:val="22"/>
          <w:color w:val="auto"/>
        </w:rPr>
        <w:t>IN WITNESS HEREOF, Executive Chair has executed this Agreement as of the last date written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SOLID BIOSCIENCES INC.</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IAN F. SMITH</w:t>
            </w:r>
          </w:p>
        </w:tc>
      </w:tr>
      <w:tr>
        <w:trPr>
          <w:trHeight w:val="540"/>
        </w:trPr>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Ilan Ganot</w:t>
            </w:r>
          </w:p>
        </w:tc>
        <w:tc>
          <w:tcPr>
            <w:tcW w:w="14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Ian Smith</w:t>
            </w:r>
          </w:p>
        </w:tc>
      </w:tr>
      <w:tr>
        <w:trPr>
          <w:trHeight w:val="251"/>
        </w:trPr>
        <w:tc>
          <w:tcPr>
            <w:tcW w:w="8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47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Ilan Ganot</w:t>
            </w:r>
          </w:p>
        </w:tc>
        <w:tc>
          <w:tcPr>
            <w:tcW w:w="140" w:type="dxa"/>
            <w:vAlign w:val="bottom"/>
          </w:tcPr>
          <w:p>
            <w:pPr>
              <w:spacing w:after="0"/>
              <w:rPr>
                <w:sz w:val="21"/>
                <w:szCs w:val="21"/>
                <w:color w:val="auto"/>
              </w:rPr>
            </w:pPr>
          </w:p>
        </w:tc>
        <w:tc>
          <w:tcPr>
            <w:tcW w:w="5460" w:type="dxa"/>
            <w:vAlign w:val="bottom"/>
          </w:tcPr>
          <w:p>
            <w:pPr>
              <w:spacing w:after="0"/>
              <w:rPr>
                <w:sz w:val="21"/>
                <w:szCs w:val="21"/>
                <w:color w:val="auto"/>
              </w:rPr>
            </w:pPr>
          </w:p>
        </w:tc>
      </w:tr>
      <w:tr>
        <w:trPr>
          <w:trHeight w:val="282"/>
        </w:trPr>
        <w:tc>
          <w:tcPr>
            <w:tcW w:w="8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&amp; Chief Executive Officer</w:t>
            </w:r>
          </w:p>
        </w:tc>
        <w:tc>
          <w:tcPr>
            <w:tcW w:w="14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1872"/>
        </w:trPr>
        <w:tc>
          <w:tcPr>
            <w:tcW w:w="8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4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i w:val="1"/>
          <w:iCs w:val="1"/>
          <w:color w:val="auto"/>
        </w:rPr>
        <w:t>Solid Biosciences Inc.</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Executive Chairman Agreement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Executive Chairman Services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requires, in addition to the traditional duties as Chairman of the Board, that the Executive Chair, as</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Executive Chairman, will be available to perform the duties customarily related to this function, including:</w:t>
      </w:r>
    </w:p>
    <w:p>
      <w:pPr>
        <w:spacing w:after="0" w:line="182" w:lineRule="exact"/>
        <w:rPr>
          <w:sz w:val="20"/>
          <w:szCs w:val="20"/>
          <w:color w:val="auto"/>
        </w:rPr>
      </w:pPr>
    </w:p>
    <w:p>
      <w:pPr>
        <w:jc w:val="both"/>
        <w:ind w:left="1500" w:hanging="369"/>
        <w:spacing w:after="0" w:line="244" w:lineRule="auto"/>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mentorship and guidance to the Company’s Chief Executive Officer (who will remain the Company’s principal executive officer) and senior leadership team on operational and strategic matters; Chief Executive Officer will continue to report to the Board, as well as to the Executive Chair</w:t>
      </w:r>
    </w:p>
    <w:p>
      <w:pPr>
        <w:spacing w:after="0" w:line="17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 liaison between the Company’s senior management and the Board;</w:t>
      </w:r>
    </w:p>
    <w:p>
      <w:pPr>
        <w:spacing w:after="0" w:line="233" w:lineRule="exact"/>
        <w:rPr>
          <w:rFonts w:ascii="Times New Roman" w:cs="Times New Roman" w:eastAsia="Times New Roman" w:hAnsi="Times New Roman"/>
          <w:sz w:val="22"/>
          <w:szCs w:val="22"/>
          <w:color w:val="auto"/>
        </w:rPr>
      </w:pPr>
    </w:p>
    <w:p>
      <w:pPr>
        <w:ind w:left="1500" w:right="20" w:hanging="369"/>
        <w:spacing w:after="0" w:line="258" w:lineRule="auto"/>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regular meetings with the Chief Executive Officer and Chief Operating Officer to further advance the Company’s strategic initiatives;</w:t>
      </w:r>
    </w:p>
    <w:p>
      <w:pPr>
        <w:spacing w:after="0" w:line="185"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himself available as reasonably requested by the Board or Executive Chair officers of the Company to fulfill such other duties as may be reasonably requested, consistent with his status as the Executive Chair Chairman; and</w:t>
      </w:r>
    </w:p>
    <w:p>
      <w:pPr>
        <w:spacing w:after="0" w:line="200"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between thirty-five to fifty (35-50) hours per month, including one (1) full day per week, on a schedule and at a location(s) mutually agreed between Executive Chair and the Company’s Chief Executive Officer, to include flexible availability to the Company’s Chief Executive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3792220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THIS FIRST AMENDMENT TO </w:t>
      </w:r>
      <w:r>
        <w:rPr>
          <w:rFonts w:ascii="Times New Roman" w:cs="Times New Roman" w:eastAsia="Times New Roman" w:hAnsi="Times New Roman"/>
          <w:sz w:val="21"/>
          <w:szCs w:val="21"/>
          <w:color w:val="auto"/>
        </w:rPr>
        <w:t>EXECUTIVE CHAIR AGREEMENT is effective September 30, 2022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Amendment Date”), is by and between Ian F. Smith, an individual having an address at 104 Meadowbrook Road, Weston, MA, 02493 (the “Executive Chair”), and Solid Biosciences Inc., a Delaware corporation (together with its affiliates, the “Company”), having an address at 500 Rutherford Ave., Charlestown, MA 02129.</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Executive Chair and the Company are parties to that certain Executive Chair Agreement (“Agreement”), effective as of January 1, 2022 (the “Effective Date”), and</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WHEREAS, the parties desire to amend the Agreement in manner set forth below.</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58" w:lineRule="exact"/>
        <w:rPr>
          <w:sz w:val="20"/>
          <w:szCs w:val="20"/>
          <w:color w:val="auto"/>
        </w:rPr>
      </w:pPr>
    </w:p>
    <w:p>
      <w:pPr>
        <w:ind w:left="240" w:right="760" w:firstLine="741"/>
        <w:spacing w:after="0" w:line="258" w:lineRule="auto"/>
        <w:tabs>
          <w:tab w:leader="none" w:pos="151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2A as follows: and restated in its entirety as follows:</w:t>
      </w:r>
    </w:p>
    <w:p>
      <w:pPr>
        <w:spacing w:after="0" w:line="200" w:lineRule="exact"/>
        <w:rPr>
          <w:sz w:val="20"/>
          <w:szCs w:val="20"/>
          <w:color w:val="auto"/>
        </w:rPr>
      </w:pPr>
    </w:p>
    <w:p>
      <w:pPr>
        <w:spacing w:after="0" w:line="201" w:lineRule="exact"/>
        <w:rPr>
          <w:sz w:val="20"/>
          <w:szCs w:val="20"/>
          <w:color w:val="auto"/>
        </w:rPr>
      </w:pPr>
    </w:p>
    <w:p>
      <w:pPr>
        <w:ind w:left="760"/>
        <w:spacing w:after="0" w:line="233" w:lineRule="auto"/>
        <w:rPr>
          <w:sz w:val="20"/>
          <w:szCs w:val="20"/>
          <w:color w:val="auto"/>
        </w:rPr>
      </w:pPr>
      <w:r>
        <w:rPr>
          <w:rFonts w:ascii="Times New Roman" w:cs="Times New Roman" w:eastAsia="Times New Roman" w:hAnsi="Times New Roman"/>
          <w:sz w:val="22"/>
          <w:szCs w:val="22"/>
          <w:color w:val="auto"/>
        </w:rPr>
        <w:t xml:space="preserve">“2A. </w:t>
      </w:r>
      <w:r>
        <w:rPr>
          <w:rFonts w:ascii="Times New Roman" w:cs="Times New Roman" w:eastAsia="Times New Roman" w:hAnsi="Times New Roman"/>
          <w:sz w:val="22"/>
          <w:szCs w:val="22"/>
          <w:u w:val="single" w:color="auto"/>
          <w:color w:val="auto"/>
        </w:rPr>
        <w:t>Compensation – 2023</w:t>
      </w:r>
      <w:r>
        <w:rPr>
          <w:rFonts w:ascii="Times New Roman" w:cs="Times New Roman" w:eastAsia="Times New Roman" w:hAnsi="Times New Roman"/>
          <w:sz w:val="22"/>
          <w:szCs w:val="22"/>
          <w:color w:val="auto"/>
        </w:rPr>
        <w:t>. As consideration for Services provided under this Agreement from and after January 1, 2023, the Company shall, subject to approval of Company’s Board, grant to Executive Chair equity awards (the “2023 Awards”) with an aggregate total Black Scholes value of $700,000, consisting of (i) 50% stock options (the “2023 Stock Options”) at an exercise price per share equal to the closing price of the Company’s Common Stock on January 2, 2023 (the “2023 Grant Date”) and (ii) 50% restricted stock units (“2023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2023 Grant Date. The 2023 Awards will vest in equal quarterly installments with the first installment vesting three months from the 2023 Grant Date and the final installment vesting date on the date that is 12 months from the 2023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2023 Awards will accelerate and vest in full.”</w:t>
      </w:r>
    </w:p>
    <w:p>
      <w:pPr>
        <w:spacing w:after="0" w:line="182" w:lineRule="exact"/>
        <w:rPr>
          <w:sz w:val="20"/>
          <w:szCs w:val="20"/>
          <w:color w:val="auto"/>
        </w:rPr>
      </w:pPr>
    </w:p>
    <w:p>
      <w:pPr>
        <w:ind w:left="1520" w:hanging="539"/>
        <w:spacing w:after="0"/>
        <w:tabs>
          <w:tab w:leader="none" w:pos="15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05" w:name="page206"/>
    <w:bookmarkEnd w:id="205"/>
    <w:p>
      <w:pPr>
        <w:jc w:val="both"/>
        <w:ind w:left="560"/>
        <w:spacing w:after="0" w:line="235" w:lineRule="auto"/>
        <w:rPr>
          <w:sz w:val="20"/>
          <w:szCs w:val="20"/>
          <w:color w:val="auto"/>
        </w:rPr>
      </w:pP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The term of this Agreement will commence on the Effective Date and will expire on December 31, 2023, unless extended by mutual written agreement of the parties or earlier terminated in accordance with this Section 12 (the “Term”).Notwithstanding anything to the contrary herein, the Company may terminate this Agreement, for any or no reason, on written notice to Executive Chair and Executive Chair may terminate this agreement, for any reason or no reason, on fifteen (15) days prior written notice to the Company. The Board shall periodically review the ongoing benefit of the Executive Chair position to the Company and may elect to terminate the Agreement in accordance with the preceding sentence following any such review.”</w:t>
      </w:r>
    </w:p>
    <w:p>
      <w:pPr>
        <w:spacing w:after="0" w:line="183" w:lineRule="exact"/>
        <w:rPr>
          <w:sz w:val="20"/>
          <w:szCs w:val="20"/>
          <w:color w:val="auto"/>
        </w:rPr>
      </w:pPr>
    </w:p>
    <w:p>
      <w:pPr>
        <w:jc w:val="both"/>
        <w:ind w:firstLine="744"/>
        <w:spacing w:after="0" w:line="239" w:lineRule="auto"/>
        <w:tabs>
          <w:tab w:leader="none" w:pos="119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First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180" w:lineRule="exact"/>
        <w:rPr>
          <w:rFonts w:ascii="Times New Roman" w:cs="Times New Roman" w:eastAsia="Times New Roman" w:hAnsi="Times New Roman"/>
          <w:sz w:val="22"/>
          <w:szCs w:val="22"/>
          <w:color w:val="auto"/>
        </w:rPr>
      </w:pPr>
    </w:p>
    <w:p>
      <w:pPr>
        <w:ind w:left="1180" w:hanging="436"/>
        <w:spacing w:after="0"/>
        <w:tabs>
          <w:tab w:leader="none" w:pos="11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amended hereby, the Agreement shall remain in full force and effect as originally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w:t>
      </w:r>
    </w:p>
    <w:p>
      <w:pPr>
        <w:spacing w:after="0" w:line="1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1038225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206" w:name="page207"/>
    <w:bookmarkEnd w:id="206"/>
    <w:p>
      <w:pPr>
        <w:spacing w:after="0" w:line="333"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First Amendment to Executive Chair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-13970</wp:posOffset>
            </wp:positionV>
            <wp:extent cx="8648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8">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 Ilan Ganot</w:t>
      </w:r>
    </w:p>
    <w:p>
      <w:pPr>
        <w:spacing w:after="0" w:line="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2792730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-13970</wp:posOffset>
            </wp:positionV>
            <wp:extent cx="10972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10420"/>
          </w:cols>
          <w:pgMar w:left="560" w:top="1440" w:right="919" w:bottom="1440" w:gutter="0" w:footer="0" w:header="0"/>
        </w:sectPr>
      </w:pPr>
    </w:p>
    <w:bookmarkStart w:id="207" w:name="page208"/>
    <w:bookmarkEnd w:id="207"/>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SECOND AMENDMENT TO </w:t>
      </w:r>
      <w:r>
        <w:rPr>
          <w:rFonts w:ascii="Times New Roman" w:cs="Times New Roman" w:eastAsia="Times New Roman" w:hAnsi="Times New Roman"/>
          <w:sz w:val="21"/>
          <w:szCs w:val="21"/>
          <w:color w:val="auto"/>
        </w:rPr>
        <w:t>EXECUTIVE CHAIR AGREEMENT (“Amendment”) is effective January 1, 2024 (the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Amendment Date”), is by and between Ian F. Smith, an individual having an address at 104 Meadowbrook Road, Weston, MA, 02493 (the “Executive Chair”), and Solid Biosciences Inc., a Delaware corporation (together with its affiliates, the “Company”), having an address at 500 Rutherford Ave., Charlestown, MA 02129.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Executive Chair and the Company are parties to that certain Executive Chair Agreement (“Agreement”), effective as of January 1, 2022 (the “Effective Date”),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desire to amend the Agreement in manner set forth below.</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Each capitalized term used but not defined herein shall have the meaning ascribed to such term in the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2B as follows:</w:t>
      </w:r>
    </w:p>
    <w:p>
      <w:pPr>
        <w:spacing w:after="0" w:line="2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“2A. </w:t>
      </w:r>
      <w:r>
        <w:rPr>
          <w:rFonts w:ascii="Times New Roman" w:cs="Times New Roman" w:eastAsia="Times New Roman" w:hAnsi="Times New Roman"/>
          <w:sz w:val="22"/>
          <w:szCs w:val="22"/>
          <w:u w:val="single" w:color="auto"/>
          <w:color w:val="auto"/>
        </w:rPr>
        <w:t>Compensation – 2023</w:t>
      </w:r>
      <w:r>
        <w:rPr>
          <w:rFonts w:ascii="Times New Roman" w:cs="Times New Roman" w:eastAsia="Times New Roman" w:hAnsi="Times New Roman"/>
          <w:sz w:val="22"/>
          <w:szCs w:val="22"/>
          <w:color w:val="auto"/>
        </w:rPr>
        <w:t>. As consideration for Services provided under this Agreement from and after January 1, 2024, the Company shall, subject to approval of Company’s Board, grant to Executive Chair equity awards (the “2024 Awards”) with an aggregate total Black Scholes value of $150,000, consisting of (i) 50% stock options (the “2024 Stock Options”) at an exercise price per share equal to the closing price of the Company’s Common Stock on 2024 Grant Date and (ii) 50% restricted stock units (“2024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Grant Date. The 2024 Awards will vest in equal quarterly installments with the first installment vesting three months from the 2024 Grant Date and the final installment vesting date on the date that is 12 months from the 2024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2024 Awards will accelerate and vest in full. The Company’s external compensation consultants evaluated the cash rate and found the rates to be appropriate. The consultants were present for the official recommendation to the Compensation Committee.”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Second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2"/>
                <w:szCs w:val="22"/>
                <w:color w:val="auto"/>
              </w:rPr>
            </w:pPr>
          </w:p>
        </w:tc>
        <w:tc>
          <w:tcPr>
            <w:tcW w:w="772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“Term &amp; Termination. The term of this Agreement will commence on the Effective Date</w:t>
            </w:r>
          </w:p>
        </w:tc>
        <w:tc>
          <w:tcPr>
            <w:tcW w:w="302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and will expire on December</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31,</w:t>
            </w:r>
          </w:p>
        </w:tc>
        <w:tc>
          <w:tcPr>
            <w:tcW w:w="18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95"/>
              </w:rPr>
              <w:t>2024, unless extended</w:t>
            </w:r>
          </w:p>
        </w:tc>
        <w:tc>
          <w:tcPr>
            <w:tcW w:w="30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 mutual written agreement of</w:t>
            </w:r>
          </w:p>
        </w:tc>
        <w:tc>
          <w:tcPr>
            <w:tcW w:w="5780" w:type="dxa"/>
            <w:vAlign w:val="bottom"/>
            <w:gridSpan w:val="2"/>
          </w:tcPr>
          <w:p>
            <w:pPr>
              <w:ind w:left="220"/>
              <w:spacing w:after="0" w:line="236" w:lineRule="exact"/>
              <w:rPr>
                <w:sz w:val="20"/>
                <w:szCs w:val="20"/>
                <w:color w:val="auto"/>
              </w:rPr>
            </w:pPr>
            <w:r>
              <w:rPr>
                <w:rFonts w:ascii="Times New Roman" w:cs="Times New Roman" w:eastAsia="Times New Roman" w:hAnsi="Times New Roman"/>
                <w:sz w:val="22"/>
                <w:szCs w:val="22"/>
                <w:color w:val="auto"/>
                <w:w w:val="99"/>
              </w:rPr>
              <w:t>the parties or earlier terminated in accordance with this Section</w:t>
            </w:r>
          </w:p>
        </w:tc>
      </w:tr>
      <w:tr>
        <w:trPr>
          <w:trHeight w:val="243"/>
        </w:trPr>
        <w:tc>
          <w:tcPr>
            <w:tcW w:w="2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 (the “Term”).</w:t>
            </w:r>
          </w:p>
        </w:tc>
        <w:tc>
          <w:tcPr>
            <w:tcW w:w="886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Notwithstanding anything to the contrary herein, the Company may terminate this</w:t>
            </w:r>
          </w:p>
        </w:tc>
      </w:tr>
      <w:tr>
        <w:trPr>
          <w:trHeight w:val="243"/>
        </w:trPr>
        <w:tc>
          <w:tcPr>
            <w:tcW w:w="816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Agreement, for any or no reason, on written notice to Executive Chair, and Executive</w:t>
            </w:r>
          </w:p>
        </w:tc>
        <w:tc>
          <w:tcPr>
            <w:tcW w:w="30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Chair may terminate this</w:t>
            </w:r>
          </w:p>
        </w:tc>
      </w:tr>
      <w:tr>
        <w:trPr>
          <w:trHeight w:val="243"/>
        </w:trPr>
        <w:tc>
          <w:tcPr>
            <w:tcW w:w="5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agreement, for any reason or no reason, on fifteen (15) days</w:t>
            </w:r>
          </w:p>
        </w:tc>
        <w:tc>
          <w:tcPr>
            <w:tcW w:w="578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w w:val="97"/>
              </w:rPr>
              <w:t>prior written notice to the Company. The Board shall, on or</w:t>
            </w:r>
          </w:p>
        </w:tc>
      </w:tr>
      <w:tr>
        <w:trPr>
          <w:trHeight w:val="243"/>
        </w:trPr>
        <w:tc>
          <w:tcPr>
            <w:tcW w:w="23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about June 1, 2024, and</w:t>
            </w:r>
          </w:p>
        </w:tc>
        <w:tc>
          <w:tcPr>
            <w:tcW w:w="8860" w:type="dxa"/>
            <w:vAlign w:val="bottom"/>
            <w:gridSpan w:val="3"/>
          </w:tcPr>
          <w:p>
            <w:pPr>
              <w:ind w:left="280"/>
              <w:spacing w:after="0" w:line="243" w:lineRule="exact"/>
              <w:rPr>
                <w:sz w:val="20"/>
                <w:szCs w:val="20"/>
                <w:color w:val="auto"/>
              </w:rPr>
            </w:pPr>
            <w:r>
              <w:rPr>
                <w:rFonts w:ascii="Times New Roman" w:cs="Times New Roman" w:eastAsia="Times New Roman" w:hAnsi="Times New Roman"/>
                <w:sz w:val="22"/>
                <w:szCs w:val="22"/>
                <w:color w:val="auto"/>
              </w:rPr>
              <w:t>periodically thereafter, review the ongoing benefit of the Executive Chair position to the</w:t>
            </w:r>
          </w:p>
        </w:tc>
      </w:tr>
      <w:tr>
        <w:trPr>
          <w:trHeight w:val="243"/>
        </w:trPr>
        <w:tc>
          <w:tcPr>
            <w:tcW w:w="816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Company and may elect to terminate the Agreement in accordance with the preceding</w:t>
            </w:r>
          </w:p>
        </w:tc>
        <w:tc>
          <w:tcPr>
            <w:tcW w:w="30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sentence following any such</w:t>
            </w:r>
          </w:p>
        </w:tc>
      </w:tr>
      <w:tr>
        <w:trPr>
          <w:trHeight w:val="282"/>
        </w:trPr>
        <w:tc>
          <w:tcPr>
            <w:tcW w:w="5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review in accordance with the preceding sentence.</w:t>
            </w:r>
          </w:p>
        </w:tc>
        <w:tc>
          <w:tcPr>
            <w:tcW w:w="276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4" w:lineRule="exact"/>
        <w:rPr>
          <w:sz w:val="20"/>
          <w:szCs w:val="20"/>
          <w:color w:val="auto"/>
        </w:rPr>
      </w:pPr>
    </w:p>
    <w:p>
      <w:pPr>
        <w:ind w:right="20" w:firstLine="8"/>
        <w:spacing w:after="0" w:line="258" w:lineRule="auto"/>
        <w:tabs>
          <w:tab w:leader="none" w:pos="24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each of the other provisions of the Agreement shall remain in full force and effect.</w:t>
      </w:r>
    </w:p>
    <w:p>
      <w:pPr>
        <w:spacing w:after="0" w:line="185" w:lineRule="exact"/>
        <w:rPr>
          <w:rFonts w:ascii="Times New Roman" w:cs="Times New Roman" w:eastAsia="Times New Roman" w:hAnsi="Times New Roman"/>
          <w:sz w:val="22"/>
          <w:szCs w:val="22"/>
          <w:color w:val="auto"/>
        </w:rPr>
      </w:pPr>
    </w:p>
    <w:p>
      <w:pPr>
        <w:jc w:val="both"/>
        <w:ind w:firstLine="8"/>
        <w:spacing w:after="0" w:line="244" w:lineRule="auto"/>
        <w:tabs>
          <w:tab w:leader="none" w:pos="2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date hereof, each reference in the Agreement to “this Agreement,” “hereunder,” “hereof,” “herein,” or words of like important shall mean and be reference to the Agreement, as amended hereby.</w:t>
      </w:r>
    </w:p>
    <w:p>
      <w:pPr>
        <w:spacing w:after="0" w:line="200" w:lineRule="exact"/>
        <w:rPr>
          <w:rFonts w:ascii="Times New Roman" w:cs="Times New Roman" w:eastAsia="Times New Roman" w:hAnsi="Times New Roman"/>
          <w:sz w:val="22"/>
          <w:szCs w:val="22"/>
          <w:color w:val="auto"/>
        </w:rPr>
      </w:pPr>
    </w:p>
    <w:p>
      <w:pPr>
        <w:jc w:val="both"/>
        <w:ind w:firstLine="8"/>
        <w:spacing w:after="0" w:line="239" w:lineRule="auto"/>
        <w:tabs>
          <w:tab w:leader="none" w:pos="28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Second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207" w:lineRule="exact"/>
        <w:rPr>
          <w:rFonts w:ascii="Times New Roman" w:cs="Times New Roman" w:eastAsia="Times New Roman" w:hAnsi="Times New Roman"/>
          <w:sz w:val="22"/>
          <w:szCs w:val="22"/>
          <w:color w:val="auto"/>
        </w:rPr>
      </w:pPr>
    </w:p>
    <w:p>
      <w:pPr>
        <w:ind w:right="20" w:firstLine="8"/>
        <w:spacing w:after="0" w:line="258" w:lineRule="auto"/>
        <w:tabs>
          <w:tab w:leader="none" w:pos="2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 counterparts, including by electronic (PDF) transmission, each of which shall be deemed an original, but all of which together shall constitute one and the same instrument.</w:t>
      </w:r>
    </w:p>
    <w:p>
      <w:pPr>
        <w:spacing w:after="0" w:line="198" w:lineRule="exact"/>
        <w:rPr>
          <w:rFonts w:ascii="Times New Roman" w:cs="Times New Roman" w:eastAsia="Times New Roman" w:hAnsi="Times New Roman"/>
          <w:sz w:val="22"/>
          <w:szCs w:val="22"/>
          <w:color w:val="auto"/>
        </w:rPr>
      </w:pPr>
    </w:p>
    <w:p>
      <w:pPr>
        <w:jc w:val="both"/>
        <w:ind w:firstLine="8"/>
        <w:spacing w:after="0" w:line="239" w:lineRule="auto"/>
        <w:tabs>
          <w:tab w:leader="none" w:pos="21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as supplemented and modified by this Amendment contains the Parties’ entire agreement, and there are no promises or conditions in any other agreement between the Parties, whether oral or written, concerning the subject matter hereof. As supplemented and modified by this Amendment., the agreement supersedes any prior written or oral agreements between the Parties concerning the subject matter 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2261235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50"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Amendment No. 2 to Executive Chair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Bo Cumbo</w:t>
      </w:r>
    </w:p>
    <w:p>
      <w:pPr>
        <w:spacing w:after="0" w:line="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 Bo Cumbo</w:t>
      </w:r>
    </w:p>
    <w:p>
      <w:pPr>
        <w:spacing w:after="0" w:line="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Date: 12/31/2023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-13970</wp:posOffset>
            </wp:positionV>
            <wp:extent cx="10972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Date: 01/01/2024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1095375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560" w:top="1440" w:right="8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AMENDED AND RESTATED 2021 EMPLOYEE STOCK PURCHASE PLAN</w:t>
      </w:r>
    </w:p>
    <w:p>
      <w:pPr>
        <w:spacing w:after="0" w:line="1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following constitute the provisions of the Amended and Restated 2021 Employee Stock Purchase Plan of Solid Biosciences Inc.</w:t>
      </w:r>
    </w:p>
    <w:p>
      <w:pPr>
        <w:spacing w:after="0" w:line="104" w:lineRule="exact"/>
        <w:rPr>
          <w:sz w:val="20"/>
          <w:szCs w:val="20"/>
          <w:color w:val="auto"/>
        </w:rPr>
      </w:pPr>
    </w:p>
    <w:p>
      <w:pPr>
        <w:ind w:right="320" w:firstLine="757"/>
        <w:spacing w:after="0" w:line="239" w:lineRule="auto"/>
        <w:tabs>
          <w:tab w:leader="none" w:pos="101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The purpose of the Plan is to provide eligible employees of the Company and its Designated Subsidiaries with opportunities to purchase shares of Common Stock through accumulated payroll deductions. It is the intention of the Company to have the Plan qualify as an “employee stock purchase plan” under Section 423 of the Code and the regulations promulgated thereunder. The provisions of the Plan, accordingly, shall be construed consistent therewith.</w:t>
      </w:r>
    </w:p>
    <w:p>
      <w:pPr>
        <w:spacing w:after="0" w:line="12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760" w:right="2300" w:hanging="3"/>
        <w:spacing w:after="0" w:line="384" w:lineRule="auto"/>
        <w:tabs>
          <w:tab w:leader="none" w:pos="102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 Price</w:t>
      </w:r>
      <w:r>
        <w:rPr>
          <w:rFonts w:ascii="Times New Roman" w:cs="Times New Roman" w:eastAsia="Times New Roman" w:hAnsi="Times New Roman"/>
          <w:sz w:val="22"/>
          <w:szCs w:val="22"/>
          <w:color w:val="auto"/>
        </w:rPr>
        <w:t>” shall have the meaning given such term in Section 17(b)(2) of the Plan. (b)“</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ind w:left="760" w:right="3360" w:hanging="3"/>
        <w:spacing w:after="0" w:line="402" w:lineRule="auto"/>
        <w:tabs>
          <w:tab w:leader="none" w:pos="1029"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(d)“</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shall have the meaning given such term in Section 13 of the Plan.</w:t>
      </w:r>
    </w:p>
    <w:p>
      <w:pPr>
        <w:spacing w:after="0" w:line="1"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par value $0.001, of the Company.</w:t>
      </w:r>
    </w:p>
    <w:p>
      <w:pPr>
        <w:spacing w:after="0" w:line="15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Solid Biosciences Inc.</w:t>
      </w:r>
    </w:p>
    <w:p>
      <w:pPr>
        <w:spacing w:after="0" w:line="152"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shall mean the amount of money reportable on the employee’s Federal Income Tax Withholding Statement (or analogous non-U.S. statement), excluding overtime, shift premium, incentive or bonus awards, allowances and reimbursements for expenses such as relocation allowances for travel expenses, income or gains associated with the grant or vesting of restricted stock, income or gains on the exercise of Company stock options or stock appreciation rights, and similar items, whether or not shown or separately identified on the employee’s Federal Income Tax Withholding Statement (or analogous non-U.S. statement), but including, in the case of salespersons, sales commissions to the extent determined by the Board.</w:t>
      </w:r>
    </w:p>
    <w:p>
      <w:pPr>
        <w:spacing w:after="0" w:line="11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(h)“</w:t>
      </w:r>
      <w:r>
        <w:rPr>
          <w:rFonts w:ascii="Times New Roman" w:cs="Times New Roman" w:eastAsia="Times New Roman" w:hAnsi="Times New Roman"/>
          <w:sz w:val="22"/>
          <w:szCs w:val="22"/>
          <w:u w:val="single" w:color="auto"/>
          <w:color w:val="auto"/>
        </w:rPr>
        <w:t>Designated Subsidiaries</w:t>
      </w:r>
      <w:r>
        <w:rPr>
          <w:rFonts w:ascii="Times New Roman" w:cs="Times New Roman" w:eastAsia="Times New Roman" w:hAnsi="Times New Roman"/>
          <w:sz w:val="22"/>
          <w:szCs w:val="22"/>
          <w:color w:val="auto"/>
        </w:rPr>
        <w:t>” shall mean the Subsidiaries which have been designated by the Board from time to time in its sole discretion as eligible to participate in the Plan.</w:t>
      </w:r>
    </w:p>
    <w:p>
      <w:pPr>
        <w:spacing w:after="0" w:line="104" w:lineRule="exact"/>
        <w:rPr>
          <w:sz w:val="20"/>
          <w:szCs w:val="20"/>
          <w:color w:val="auto"/>
        </w:rPr>
      </w:pPr>
    </w:p>
    <w:p>
      <w:pPr>
        <w:ind w:left="1020" w:hanging="263"/>
        <w:spacing w:after="0"/>
        <w:tabs>
          <w:tab w:leader="none" w:pos="10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Enrollment Date</w:t>
      </w:r>
      <w:r>
        <w:rPr>
          <w:rFonts w:ascii="Times New Roman" w:cs="Times New Roman" w:eastAsia="Times New Roman" w:hAnsi="Times New Roman"/>
          <w:sz w:val="22"/>
          <w:szCs w:val="22"/>
          <w:color w:val="auto"/>
        </w:rPr>
        <w:t>” shall mean the first day of each Offering Period.</w:t>
      </w:r>
    </w:p>
    <w:p>
      <w:pPr>
        <w:spacing w:after="0" w:line="15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Exercise Date</w:t>
      </w:r>
      <w:r>
        <w:rPr>
          <w:rFonts w:ascii="Times New Roman" w:cs="Times New Roman" w:eastAsia="Times New Roman" w:hAnsi="Times New Roman"/>
          <w:sz w:val="22"/>
          <w:szCs w:val="22"/>
          <w:color w:val="auto"/>
        </w:rPr>
        <w:t>” shall mean the last day of each Purchase Period.</w:t>
      </w:r>
    </w:p>
    <w:p>
      <w:pPr>
        <w:spacing w:after="0" w:line="152"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(k)“</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xml:space="preserve">” shall mean, as of any date, (a) the closing price (for the primary trading session) on any national securities exchange on which the Common Stock is listed, or (b) the average of the closing bid and asked prices in the over-the-counter-market, whichever is applicable, as published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or another source selected by the Board. If no sales of Common Stock were made on such a day, the price of the Common Stock shall be the reported price for the preceding day on which sales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1" w:name="page212"/>
    <w:bookmarkEnd w:id="211"/>
    <w:p>
      <w:pPr>
        <w:spacing w:after="0" w:line="131" w:lineRule="exact"/>
        <w:rPr>
          <w:sz w:val="20"/>
          <w:szCs w:val="20"/>
          <w:color w:val="auto"/>
        </w:rPr>
      </w:pPr>
    </w:p>
    <w:p>
      <w:pPr>
        <w:ind w:firstLine="757"/>
        <w:spacing w:after="0" w:line="239" w:lineRule="auto"/>
        <w:tabs>
          <w:tab w:leader="none" w:pos="101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shall mean the period of approximately twenty-four (24) months during which an option granted pursuant to the Plan may be exercised, commencing on the first Trading Day on or after June 1 and December 1 of each year and terminating on the last Trading Day in the period ending twenty-four (24) months later. The duration and timing of an Offering Period may be changed pursuant to Section 4 of this Plan.</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Option Shares</w:t>
      </w:r>
      <w:r>
        <w:rPr>
          <w:rFonts w:ascii="Times New Roman" w:cs="Times New Roman" w:eastAsia="Times New Roman" w:hAnsi="Times New Roman"/>
          <w:sz w:val="22"/>
          <w:szCs w:val="22"/>
          <w:color w:val="auto"/>
        </w:rPr>
        <w:t>” shall have the meaning given such term in Section 7 of the Plan.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have the meaning given such term in Section 5(a) of the Plan.</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this Amended and Restated 2021 Employee Stock Purchase Plan.</w:t>
      </w:r>
    </w:p>
    <w:p>
      <w:pPr>
        <w:spacing w:after="0" w:line="15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Purchase Period</w:t>
      </w:r>
      <w:r>
        <w:rPr>
          <w:rFonts w:ascii="Times New Roman" w:cs="Times New Roman" w:eastAsia="Times New Roman" w:hAnsi="Times New Roman"/>
          <w:sz w:val="22"/>
          <w:szCs w:val="22"/>
          <w:color w:val="auto"/>
        </w:rPr>
        <w:t>” shall mean the period commencing the day after an Exercise Date and ending on the Trading Day closest to the day that is six (6) months after the preceding Exercise Date, except that the first Purchase Period of any Offering Period shall commence on the Enrollment Date and end with the Trading Day that is six (6) months after the Enrollment Date. The duration and timing of Purchase Periods may be changed pursuant to Section 4 of the Plan.</w:t>
      </w:r>
    </w:p>
    <w:p>
      <w:pPr>
        <w:spacing w:after="0" w:line="126"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(q)“</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shall mean, unless the Board determines otherwise, an amount equal to 85% of the Fair Market Value of a share of Common Stock on the Enrollment Date or on the Exercise Date, whichever is lower.</w:t>
      </w:r>
    </w:p>
    <w:p>
      <w:pPr>
        <w:spacing w:after="0" w:line="104" w:lineRule="exact"/>
        <w:rPr>
          <w:sz w:val="20"/>
          <w:szCs w:val="20"/>
          <w:color w:val="auto"/>
        </w:rPr>
      </w:pPr>
    </w:p>
    <w:p>
      <w:pPr>
        <w:ind w:left="1020" w:hanging="263"/>
        <w:spacing w:after="0"/>
        <w:tabs>
          <w:tab w:leader="none" w:pos="10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Reorganization Event</w:t>
      </w:r>
      <w:r>
        <w:rPr>
          <w:rFonts w:ascii="Times New Roman" w:cs="Times New Roman" w:eastAsia="Times New Roman" w:hAnsi="Times New Roman"/>
          <w:sz w:val="22"/>
          <w:szCs w:val="22"/>
          <w:color w:val="auto"/>
        </w:rPr>
        <w:t>” shall have the meaning given such term in Section 17(b)(i) of the Plan.</w:t>
      </w:r>
    </w:p>
    <w:p>
      <w:pPr>
        <w:spacing w:after="0" w:line="15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present or future subsidiary corporation as defined in Section 424(f) of the Code.</w:t>
      </w:r>
    </w:p>
    <w:p>
      <w:pPr>
        <w:spacing w:after="0" w:line="15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shall mean a day on which national stock exchanges and the Nasdaq System are open for trading.</w:t>
      </w:r>
    </w:p>
    <w:p>
      <w:pPr>
        <w:spacing w:after="0" w:line="152"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60" w:firstLine="757"/>
        <w:spacing w:after="0" w:line="258" w:lineRule="auto"/>
        <w:tabs>
          <w:tab w:leader="none" w:pos="10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employees of the Company and all employees of any Designated Subsidiary are eligible to participate in any one or more of the offerings to purchase Common Stock under the Plan provided that:</w:t>
      </w:r>
    </w:p>
    <w:p>
      <w:pPr>
        <w:spacing w:after="0" w:line="104" w:lineRule="exact"/>
        <w:rPr>
          <w:rFonts w:ascii="Times New Roman" w:cs="Times New Roman" w:eastAsia="Times New Roman" w:hAnsi="Times New Roman"/>
          <w:sz w:val="22"/>
          <w:szCs w:val="22"/>
          <w:color w:val="auto"/>
        </w:rPr>
      </w:pPr>
    </w:p>
    <w:p>
      <w:pPr>
        <w:ind w:left="760" w:right="400" w:firstLine="745"/>
        <w:spacing w:after="0" w:line="258" w:lineRule="auto"/>
        <w:tabs>
          <w:tab w:leader="none" w:pos="204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are customarily employed by the Company or a Designated Subsidiary for more than 20 hours a week and for more than five months in a calendar year; and</w:t>
      </w:r>
    </w:p>
    <w:p>
      <w:pPr>
        <w:spacing w:after="0" w:line="104" w:lineRule="exact"/>
        <w:rPr>
          <w:rFonts w:ascii="Times New Roman" w:cs="Times New Roman" w:eastAsia="Times New Roman" w:hAnsi="Times New Roman"/>
          <w:sz w:val="22"/>
          <w:szCs w:val="22"/>
          <w:color w:val="auto"/>
        </w:rPr>
      </w:pPr>
    </w:p>
    <w:p>
      <w:pPr>
        <w:ind w:left="760" w:right="420" w:firstLine="745"/>
        <w:spacing w:after="0" w:line="258" w:lineRule="auto"/>
        <w:tabs>
          <w:tab w:leader="none" w:pos="2048"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have been employed by the Company or a Designated Subsidiary for at least thirty days prior to enrolling in the Plan; and</w:t>
      </w:r>
    </w:p>
    <w:p>
      <w:pPr>
        <w:spacing w:after="0" w:line="10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they are employees of the Company or a Designated Subsidiary on the given Enrollment Date.</w:t>
      </w:r>
    </w:p>
    <w:p>
      <w:pPr>
        <w:spacing w:after="0" w:line="15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(b)Any provisions of the Plan to the contrary notwithstanding, no employee shall be granted an option under the Plan (i) to the extent that, immediately after the grant, such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12" w:name="page213"/>
    <w:bookmarkEnd w:id="212"/>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(or any other person whose stock would be attributed to such employee pursuant to Section 424(d) of the Code) would own capital stock of the Company or of any Subsidiary and/or hold outstanding options to purchase such stock possessing five percent (5%) or more of the total combined voting power or value of all classes of the capital stock of the Company or of any Subsidiary, or (ii) to the extent that his or her rights to purchase stock under all employee stock purchase plans of the Company and its Subsidiaries accrues at a rate which exceeds Twenty-Five Thousand Dollars ($25,000) worth of stock (determined at the Fair Market Value of the shares at the time such option is granted) for each calendar year in which such option is outstanding at any time. In the event that an employee may not be granted an option under the Plan because of the foregoing restrictions, the employee shall be granted an option to purchase the maximum number of shares that would not violate the foregoing restrictions.</w:t>
      </w:r>
    </w:p>
    <w:p>
      <w:pPr>
        <w:spacing w:after="0" w:line="118" w:lineRule="exact"/>
        <w:rPr>
          <w:sz w:val="20"/>
          <w:szCs w:val="20"/>
          <w:color w:val="auto"/>
        </w:rPr>
      </w:pPr>
    </w:p>
    <w:p>
      <w:pPr>
        <w:ind w:right="60" w:firstLine="757"/>
        <w:spacing w:after="0" w:line="258" w:lineRule="auto"/>
        <w:tabs>
          <w:tab w:leader="none" w:pos="101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retains the discretion to determine which eligible employees may participate in an offering pursuant to and consistent with Treasury Regulation Sections 1.423-2(e) and (f).</w:t>
      </w:r>
    </w:p>
    <w:p>
      <w:pPr>
        <w:spacing w:after="0" w:line="104" w:lineRule="exact"/>
        <w:rPr>
          <w:sz w:val="20"/>
          <w:szCs w:val="20"/>
          <w:color w:val="auto"/>
        </w:rPr>
      </w:pPr>
    </w:p>
    <w:p>
      <w:pPr>
        <w:ind w:right="40" w:firstLine="757"/>
        <w:spacing w:after="0" w:line="238" w:lineRule="auto"/>
        <w:tabs>
          <w:tab w:leader="none" w:pos="101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Periods</w:t>
      </w:r>
      <w:r>
        <w:rPr>
          <w:rFonts w:ascii="Times New Roman" w:cs="Times New Roman" w:eastAsia="Times New Roman" w:hAnsi="Times New Roman"/>
          <w:sz w:val="22"/>
          <w:szCs w:val="22"/>
          <w:color w:val="auto"/>
        </w:rPr>
        <w:t>. The Plan shall be implemented by consecutive, overlapping Offering Periods with a new Offering Period commencing on the first Trading Day on or after June 1 and December 1 each year, or on such other date as the Board shall determine, and continuing thereafter until terminated in accordance with Section 19 hereof. The Board shall have the power to change the duration of Offering Periods and Purchase Periods (including the commencement dates thereof) with respect to future offerings without stockholder approval.</w:t>
      </w:r>
    </w:p>
    <w:p>
      <w:pPr>
        <w:spacing w:after="0" w:line="12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100" w:firstLine="757"/>
        <w:spacing w:after="0" w:line="255" w:lineRule="auto"/>
        <w:tabs>
          <w:tab w:leader="none" w:pos="101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eligible employee may become a participant in the Plan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by completing and submitting the applicable enrollment and payroll deduction authorization or other forms prescribed by the Board in accordance with enrollment procedures prescribed by the Board (which may include accessing the website designated by the Company and electronically enrolling and authorizing payroll deductions or completing other forms) prior to the applicable the applicable Enrollment Date.</w:t>
      </w:r>
    </w:p>
    <w:p>
      <w:pPr>
        <w:spacing w:after="0" w:line="108"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(b)The payroll deduction authorization form will authorize a regular payroll deduction from the Compensation received by the employee during the Offering Period. Payroll deductions for a Participant shall commence on the first payroll following the Enrollment Date and shall end on the last payroll in the Offering Period to which such authorization is applicable, unless sooner terminated by the Participant as provided in Section 10 hereof.</w:t>
      </w:r>
    </w:p>
    <w:p>
      <w:pPr>
        <w:spacing w:after="0" w:line="126" w:lineRule="exact"/>
        <w:rPr>
          <w:sz w:val="20"/>
          <w:szCs w:val="20"/>
          <w:color w:val="auto"/>
        </w:rPr>
      </w:pPr>
    </w:p>
    <w:p>
      <w:pPr>
        <w:ind w:left="1020" w:hanging="263"/>
        <w:spacing w:after="0"/>
        <w:tabs>
          <w:tab w:leader="none" w:pos="10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Payroll Deductions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240" w:firstLine="757"/>
        <w:spacing w:after="0" w:line="238" w:lineRule="auto"/>
        <w:tabs>
          <w:tab w:leader="none" w:pos="10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a Participant files his or her payroll deduction authorization form, he or she shall elect to have payroll deductions made on each pay day during the Offering Period in an amount not exceeding fifteen percent (15%) of the Compensation which he or she receives on each pay day during the Offering Period. Such payroll deductions shall be in whole percentages only. The Board may, at its discretion, designate a lower maximum contribution rate. The minimum payroll deduction is such percentage of Compensation as may be established from time to time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3" w:name="page214"/>
    <w:bookmarkEnd w:id="213"/>
    <w:p>
      <w:pPr>
        <w:spacing w:after="0" w:line="13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(b)All payroll deductions made for a Participant shall be credited to his or her account under the Plan. A Participant may not make any additional payments into such account.</w:t>
      </w:r>
    </w:p>
    <w:p>
      <w:pPr>
        <w:spacing w:after="0" w:line="104" w:lineRule="exact"/>
        <w:rPr>
          <w:sz w:val="20"/>
          <w:szCs w:val="20"/>
          <w:color w:val="auto"/>
        </w:rPr>
      </w:pPr>
    </w:p>
    <w:p>
      <w:pPr>
        <w:ind w:firstLine="757"/>
        <w:spacing w:after="0" w:line="235" w:lineRule="auto"/>
        <w:tabs>
          <w:tab w:leader="none" w:pos="101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discontinue his or her participation in the Plan as provided in Section 10 hereof, or may decrease the rate of his or her payroll deduction once during any Offering Period, by filing either a written or electronic new payroll deduction authorization form, as determined by the Company. However, an employee may not increase his or her payroll deduction during any Offering Period. The Board may, in its discretion, limit the number of participation rate changes during any Offering Period. If a Participant elects to discontinue payroll deductions during an Offering Period, but does not elect to withdraw his or her funds pursuant to Section 10, funds deducted prior to such election to discontinue will be applied to the purchase of Common Stock on the next occurring Exercise Date. A Participant’s payroll deduction authorization form shall remain in effect for successive Offering Periods unless terminated as provided in Section 10 hereof.</w:t>
      </w:r>
    </w:p>
    <w:p>
      <w:pPr>
        <w:spacing w:after="0" w:line="124"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(d)At the time the option (as described in Section 7) is exercised, in whole or in part, or at the time any of the Common Stock issued under the Plan is disposed of, the Participant must make adequate provision for the Company’s federal, state, or other tax withholding obligations, if any, which arise upon the exercise of the option or the disposition of the Common Stock. At any time, the Company may, but shall not be obligated to, withhold from the Participant’s compensation the amount necessary for the Company to meet applicable withholding obligations, including any withholding required to make available to the Company any tax deductions or benefits attributable to sale or other disposition of Common Stock by the Participant.</w:t>
      </w:r>
    </w:p>
    <w:p>
      <w:pPr>
        <w:spacing w:after="0" w:line="127" w:lineRule="exact"/>
        <w:rPr>
          <w:sz w:val="20"/>
          <w:szCs w:val="20"/>
          <w:color w:val="auto"/>
        </w:rPr>
      </w:pPr>
    </w:p>
    <w:p>
      <w:pPr>
        <w:ind w:left="1020" w:hanging="263"/>
        <w:spacing w:after="0"/>
        <w:tabs>
          <w:tab w:leader="none" w:pos="10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757"/>
        <w:spacing w:after="0" w:line="235" w:lineRule="auto"/>
        <w:tabs>
          <w:tab w:leader="none" w:pos="101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Enrollment Date of each Offering Period, each eligible employee participating in such Offering Period shall be granted an option to purchase (at the applicable Purchase Price) up to a whole number of shares of the Common Stock the (“</w:t>
      </w:r>
      <w:r>
        <w:rPr>
          <w:rFonts w:ascii="Times New Roman" w:cs="Times New Roman" w:eastAsia="Times New Roman" w:hAnsi="Times New Roman"/>
          <w:sz w:val="22"/>
          <w:szCs w:val="22"/>
          <w:u w:val="single" w:color="auto"/>
          <w:color w:val="auto"/>
        </w:rPr>
        <w:t>Option Shares</w:t>
      </w:r>
      <w:r>
        <w:rPr>
          <w:rFonts w:ascii="Times New Roman" w:cs="Times New Roman" w:eastAsia="Times New Roman" w:hAnsi="Times New Roman"/>
          <w:sz w:val="22"/>
          <w:szCs w:val="22"/>
          <w:color w:val="auto"/>
        </w:rPr>
        <w:t>”) determined by dividing $50,000 by the Fair Market Value of a share of Common Stock on the Enrollment Date (subject to any adjustment pursuant to Section 17), and provided that such purchase shall be subject to the limitations set forth in Sections 3(b) and 12 hereof. The option shall be exercisable as to 25% of the Option Shares on each Exercise Date during the Offering Period. Exercise of the option shall occur as provided in Section 8 hereof, unless the Participant has withdrawn pursuant to Section 10 hereof. The option shall expire on the last day of the Offering Period following the purchase of shares pursuant to Section 8.</w:t>
      </w:r>
    </w:p>
    <w:p>
      <w:pPr>
        <w:spacing w:after="0" w:line="124"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(b)To the extent permitted by any applicable laws, regulations, or rules of the established stock exchange, national market system, or over-the-counter market on which the Common Stock trades, if the Fair Market Value of the Common Stock on the Enrollment Date of the next Offering Period is lower than the Fair Market Value of the Common Stock on the Enrollment Date of any current Offering Period, then all Participants in such current Offering Period shall be automatically withdrawn from such Offering Period immediately after the exercise of their option on the next occurring Exercise Date and shall be automatically re-enrolled in the next Offering Period as of the first day thereof.</w:t>
      </w:r>
    </w:p>
    <w:p>
      <w:pPr>
        <w:spacing w:after="0" w:line="127" w:lineRule="exact"/>
        <w:rPr>
          <w:sz w:val="20"/>
          <w:szCs w:val="20"/>
          <w:color w:val="auto"/>
        </w:rPr>
      </w:pPr>
    </w:p>
    <w:p>
      <w:pPr>
        <w:ind w:right="180" w:firstLine="757"/>
        <w:spacing w:after="0" w:line="258" w:lineRule="auto"/>
        <w:tabs>
          <w:tab w:leader="none" w:pos="101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 Unless a Participant withdraws from the Plan as provided in Section 10 hereof, his or her option for the purchase of shares shall be exercised automatically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each Exercise Date during the Offering Period, and a number of full shares not exceeding the number of shares as to which such Participant’s option is exercisable on such Exercise Date shall be purchased for such Participant at the applicable Purchase Price with the accumulated payroll deductions in his or her account. No fractional shares shall be purchased. Any balance remaining in a Participant’s payroll deduction account at the end of a Purchase Period will be automatically refunded to the Participant, except that any balance which is less than the purchase price of one share of Common Stock will be carried forward into the Participant’s payroll deduction account for the following Purchase Period or Offering Period, unless the employee elects not to participate in the next Purchase Period or Offering Period, in which case the balance in the employee’s account shall be refunded. During a Participant’s lifetime, a Participant’s option to purchase shares hereunder is exercisable only by him or her.</w:t>
      </w:r>
    </w:p>
    <w:p>
      <w:pPr>
        <w:spacing w:after="0" w:line="118" w:lineRule="exact"/>
        <w:rPr>
          <w:sz w:val="20"/>
          <w:szCs w:val="20"/>
          <w:color w:val="auto"/>
        </w:rPr>
      </w:pPr>
    </w:p>
    <w:p>
      <w:pPr>
        <w:ind w:left="1020" w:hanging="263"/>
        <w:spacing w:after="0"/>
        <w:tabs>
          <w:tab w:leader="none" w:pos="10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757"/>
        <w:spacing w:after="0" w:line="238" w:lineRule="auto"/>
        <w:tabs>
          <w:tab w:leader="none" w:pos="101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representing shares of Common Stock purchased under the Plan may be issued only in the name of the Participant, in the name of the Participant and another person of legal age as joint tenants with rights of survivorship, or (in the Company’s sole discretion) in the name of a brokerage firm, bank, or other nominee holder designated by the Participant. The Company may, in its sole discretion and in compliance with applicable laws, authorize the use of book entry registration of shares in lieu of issuing certificates.</w:t>
      </w:r>
    </w:p>
    <w:p>
      <w:pPr>
        <w:spacing w:after="0" w:line="12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(b)The Participant shall have no interest or voting right in shares covered by his or her option until such option has been exercised and then only with respect to the Option Shares actually purchased for the account of the Participant.</w:t>
      </w:r>
    </w:p>
    <w:p>
      <w:pPr>
        <w:spacing w:after="0" w:line="104" w:lineRule="exact"/>
        <w:rPr>
          <w:sz w:val="20"/>
          <w:szCs w:val="20"/>
          <w:color w:val="auto"/>
        </w:rPr>
      </w:pPr>
    </w:p>
    <w:p>
      <w:pPr>
        <w:ind w:right="20" w:firstLine="757"/>
        <w:spacing w:after="0" w:line="233" w:lineRule="auto"/>
        <w:tabs>
          <w:tab w:leader="none" w:pos="10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require that the shares purchased on behalf of each Participant shall be deposited directly into a brokerage account which the Company shall establish for the Participant at a Company-designated brokerage firm. The account will be known as the ESPP Broker Account. Except as otherwise provided below, the deposited shares may not be transferred (either electronically or in certificate form) from the ESPP Broker Account until the </w:t>
      </w:r>
      <w:r>
        <w:rPr>
          <w:rFonts w:ascii="Times New Roman" w:cs="Times New Roman" w:eastAsia="Times New Roman" w:hAnsi="Times New Roman"/>
          <w:sz w:val="22"/>
          <w:szCs w:val="22"/>
          <w:b w:val="1"/>
          <w:bCs w:val="1"/>
          <w:i w:val="1"/>
          <w:iCs w:val="1"/>
          <w:color w:val="auto"/>
        </w:rPr>
        <w:t>later</w:t>
      </w:r>
      <w:r>
        <w:rPr>
          <w:rFonts w:ascii="Times New Roman" w:cs="Times New Roman" w:eastAsia="Times New Roman" w:hAnsi="Times New Roman"/>
          <w:sz w:val="22"/>
          <w:szCs w:val="22"/>
          <w:color w:val="auto"/>
        </w:rPr>
        <w:t xml:space="preserve"> of the following two periods: (i) the end of the two (2)-year period measured from the date the participant first commences participation in an Offering Period in which the shares were purchased and (ii) the end of the one (1)-year period measured from the Exercise Date of those shares. Such limitation shall apply both to transfers to different accounts with the same ESPP broker and to transfers to other brokerage firms. Any shares held for the required holding period may thereafter be transferred (either electronically or in certificate form) to other accounts or to other brokerage firms. The foregoing procedures shall not in any way limit when a Participant may sell his or her shares. The foregoing procedures are designed solely to assure that any sale of shares prior to the satisfaction of the required holding period is made through the ESPP Broker Account. In addition, a Participant may request a stock certificate or share transfer from his or her ESPP Broker Account prior to the satisfaction of the required holding period should the Participant wish to make a gift of any shares held in that account. However, shares may not be transferred (either electronically or in certificate form) from the ESPP Broker Account for use as collateral for a loan, unless those shares have been held for the required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1368425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5" w:name="page216"/>
    <w:bookmarkEnd w:id="215"/>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Withdrawal; Termination of Employment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40" w:firstLine="757"/>
        <w:spacing w:after="0" w:line="247" w:lineRule="auto"/>
        <w:tabs>
          <w:tab w:leader="none" w:pos="101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may withdraw all but not less than all the payroll deductions credited to his or her account and not yet used to exercise his or her option under the Plan at any time prior to the close of business on the fifteenth business day prior to an Exercise Date by giving written notice to the Company in the form designated by the Company. All of the Participant’s payroll deductions credited to his or her account shall be paid to such Participant promptly after receipt of notice of withdrawal and such Participant’s option for the Offering Period shall be automatically terminated, and no further payroll deductions for the purchase of shares shall be made for such Offering Period. If a Participant withdraws from an Offering Period, payroll deductions shall not resume at the beginning of the succeeding Offering Period unless the Participant delivers to the Company a new payroll deduction authorization form in accordance with the terms and conditions established by the Board.</w:t>
      </w:r>
    </w:p>
    <w:p>
      <w:pPr>
        <w:spacing w:after="0" w:line="118"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(b)Upon a Participant’s ceasing to be an employee, for any reason, he or she shall be deemed to have elected to withdraw from the Plan and the payroll deductions credited to such Participant’s account during the Offering Period but not yet used to exercise the option shall be returned to such Participant or, in the case of his or her death, to the person or persons entitled thereto under Section 14 hereof, and such Participant’s option shall be automatically terminated. If, prior to the last day of the Offering Period, the Designated Subsidiary by which the employee is employed shall cease to be a Subsidiary of the Company, or if the employee is transferred to a Subsidiary of the Company that is not a Designated Subsidiary, the employee shall be deemed to have terminated employment for purposes of this Plan.</w:t>
      </w:r>
    </w:p>
    <w:p>
      <w:pPr>
        <w:spacing w:after="0" w:line="129" w:lineRule="exact"/>
        <w:rPr>
          <w:sz w:val="20"/>
          <w:szCs w:val="20"/>
          <w:color w:val="auto"/>
        </w:rPr>
      </w:pPr>
    </w:p>
    <w:p>
      <w:pPr>
        <w:ind w:right="160" w:firstLine="757"/>
        <w:spacing w:after="0" w:line="258" w:lineRule="auto"/>
        <w:tabs>
          <w:tab w:leader="none" w:pos="101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Participant’s withdrawal from an Offering Period shall not have any effect upon his or her eligibility to participate in any similar plan which may hereafter be adopted by the Company or in succeeding Offering Periods.</w:t>
      </w:r>
    </w:p>
    <w:p>
      <w:pPr>
        <w:spacing w:after="0" w:line="10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Interest will not be paid on any Participant accounts, except to the extent that the Board, in its sole discretion, elects to credit employee accounts with interest at such rate as it may from time to time determine.</w:t>
      </w:r>
    </w:p>
    <w:p>
      <w:pPr>
        <w:spacing w:after="0" w:line="104"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Subject to adjustment under Section 17(a) of the Plan, a number of shares of Common Stock equal to the sum of the following have been approved for issuance under the Plan: (a) 473,525 shares of Common Stock and (b) an annual increase to be added on the first day of each fiscal year, commencing with the fiscal year ending December 31, 2024 and continuing for each fiscal year until, and including, the fiscal year ending December 31, 2033, equal to the least of (i) 293,597 shares of Common Stock; (ii) 1% of the outstanding shares of Common Stock on such date; and (iii) an amount determined by the Board. If, on a given Exercise Date, the number of shares with respect to which options are to be exercised exceeds the number of shares then available under the Plan, the Company shall make a pro rata allocation of the shares remaining available for purchase in as uniform a manner as shall be practicable and as it shall determine to be equitable.</w:t>
      </w:r>
    </w:p>
    <w:p>
      <w:pPr>
        <w:spacing w:after="0" w:line="124"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shall be administered by the Board or a committee of members of the Board appointed by the Board (a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Board or its Committee has full and exclusive discretionary authority to construe, interpret and apply the terms of the Plan, to determine eligibility and to adjudicate all disputed claims filed under the Plan. Every finding, decision and determination made by the Board or its Committee shall,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permitted by law, be final, conclusive and binding upon all parties. Any reference to the authority of the Committee to act under this Plan shall be contingent upon the Board having delegated such authority to the Committee. All references to the Board contained herein shall also refer to its Committee, as applicable.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Designation of Beneficiary</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right="140" w:firstLine="757"/>
        <w:spacing w:after="0" w:line="236" w:lineRule="auto"/>
        <w:tabs>
          <w:tab w:leader="none" w:pos="101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file a written designation of a beneficiary who is to receive any shares and cash, if any, from the Participant’s account under the Plan in the event of such Participant’s death subsequent to an Exercise Date on which the option is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option. If a Participant is married and the designated beneficiary is not the spouse, spousal consent shall be required for such designation to be effective.</w:t>
      </w:r>
    </w:p>
    <w:p>
      <w:pPr>
        <w:spacing w:after="0" w:line="127"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1"/>
          <w:szCs w:val="21"/>
          <w:color w:val="auto"/>
        </w:rPr>
        <w:t>(b)Such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17"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Transferability</w:t>
      </w:r>
      <w:r>
        <w:rPr>
          <w:rFonts w:ascii="Times New Roman" w:cs="Times New Roman" w:eastAsia="Times New Roman" w:hAnsi="Times New Roman"/>
          <w:sz w:val="22"/>
          <w:szCs w:val="22"/>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Company may treat such act as an election to withdraw funds from an Offering Period in accordance with Section 10 hereof.</w:t>
      </w:r>
    </w:p>
    <w:p>
      <w:pPr>
        <w:spacing w:after="0" w:line="12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Use of Funds</w:t>
      </w:r>
      <w:r>
        <w:rPr>
          <w:rFonts w:ascii="Times New Roman" w:cs="Times New Roman" w:eastAsia="Times New Roman" w:hAnsi="Times New Roman"/>
          <w:sz w:val="22"/>
          <w:szCs w:val="22"/>
          <w:color w:val="auto"/>
        </w:rPr>
        <w:t>. All payroll deductions received or held by the Company under the Plan may be used by the Company for any corporate purpose, and the Company shall not be obligated to segregate such payroll deductions.</w:t>
      </w:r>
    </w:p>
    <w:p>
      <w:pPr>
        <w:spacing w:after="0" w:line="1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Adjustments for Changes in Common Stock and Certain Other Events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757"/>
        <w:spacing w:after="0" w:line="238" w:lineRule="auto"/>
        <w:tabs>
          <w:tab w:leader="none" w:pos="101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Capitalization</w:t>
      </w:r>
      <w:r>
        <w:rPr>
          <w:rFonts w:ascii="Times New Roman" w:cs="Times New Roman" w:eastAsia="Times New Roman" w:hAnsi="Times New Roman"/>
          <w:sz w:val="22"/>
          <w:szCs w:val="22"/>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share limitation set forth in Section 7, and (iii) the Purchase Price shall be equitably adjusted to the extent determined by the Board.</w:t>
      </w:r>
    </w:p>
    <w:p>
      <w:pPr>
        <w:spacing w:after="0" w:line="12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Reorganization Events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760" w:right="100" w:firstLine="745"/>
        <w:spacing w:after="0" w:line="258" w:lineRule="auto"/>
        <w:tabs>
          <w:tab w:leader="none" w:pos="204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Reorganization Event</w:t>
      </w:r>
      <w:r>
        <w:rPr>
          <w:rFonts w:ascii="Times New Roman" w:cs="Times New Roman" w:eastAsia="Times New Roman" w:hAnsi="Times New Roman"/>
          <w:sz w:val="22"/>
          <w:szCs w:val="22"/>
          <w:color w:val="auto"/>
        </w:rPr>
        <w:t>” shall mean: (A) any merger or consolidation of the Company with or into another entity as a result of which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7" w:name="page218"/>
    <w:bookmarkEnd w:id="217"/>
    <w:p>
      <w:pPr>
        <w:spacing w:after="0" w:line="131"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Common Stock of the Company is converted into or exchanged for the right to receive cash, securities or other property or is cancelled, (B) any transfer or disposition of all of the Common Stock for cash, securities or other property pursuant to a share exchange or other transaction or (C) any liquidation or dissolution of the Company.</w:t>
      </w:r>
    </w:p>
    <w:p>
      <w:pPr>
        <w:spacing w:after="0" w:line="119" w:lineRule="exact"/>
        <w:rPr>
          <w:sz w:val="20"/>
          <w:szCs w:val="20"/>
          <w:color w:val="auto"/>
        </w:rPr>
      </w:pPr>
    </w:p>
    <w:p>
      <w:pPr>
        <w:ind w:firstLine="745"/>
        <w:spacing w:after="0" w:line="232" w:lineRule="auto"/>
        <w:tabs>
          <w:tab w:leader="none" w:pos="12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of a Reorganization Event on Options</w:t>
      </w:r>
      <w:r>
        <w:rPr>
          <w:rFonts w:ascii="Times New Roman" w:cs="Times New Roman" w:eastAsia="Times New Roman" w:hAnsi="Times New Roman"/>
          <w:sz w:val="22"/>
          <w:szCs w:val="22"/>
          <w:color w:val="auto"/>
        </w:rPr>
        <w:t>. In connection with a Reorganization Event, the Board may take any one or more of the following actions as to outstanding options on such terms as the Board determines: (A) provide that options shall be assumed, or substantially equivalent options shall be substituted, by the acquiring or succeeding corporation (or an affiliate thereof), (B) upon written notice to Participants, provide that all outstanding options will be terminated immediately prior to the consummation of such Reorganization Event and that all such outstanding options will become exercisable to the extent of accumulated payroll deductions as of a date specified by the Board in such notice, which date shall not be less than ten (10) days preceding the effective date of the Reorganization Event, (C) upon written notice to Participants, provide that all outstanding options will be cancelled as of a date prior to the effective date of the Reorganization Event and that all accumulated payroll deductions will be returned to participating employees on such date, (D)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22"/>
          <w:szCs w:val="22"/>
          <w:u w:val="single" w:color="auto"/>
          <w:color w:val="auto"/>
        </w:rPr>
        <w:t>Acquisition Price</w:t>
      </w:r>
      <w:r>
        <w:rPr>
          <w:rFonts w:ascii="Times New Roman" w:cs="Times New Roman" w:eastAsia="Times New Roman" w:hAnsi="Times New Roman"/>
          <w:sz w:val="22"/>
          <w:szCs w:val="22"/>
          <w:color w:val="auto"/>
        </w:rPr>
        <w:t>”), change the last day of the Offering Period to be the date of the consummation of the Reorganization Event and make or provide for a cash payment to each employee equal to (1) (i) the Acquisition Price times (ii) the number of shares of Common Stock that the Participant’s accumulated payroll deductions as of immediately prior to the Reorganization Event could purchase at the Purchase Price, where the Acquisition Price is treated as the fair market value of the Common Stock on the last day of the applicable Plan Period for purposes of determining the Purchase Price under Section 2(q) hereof, and where the number of shares that could be purchased is subject to the limitations set forth in Sections 3 and 7, minus (2) the result of multiplying such number of shares by such Purchase Price, (E) provide that, in connection with a liquidation or dissolution of the Company, options shall convert into the right to receive liquidation proceeds (net of the Purchase Price thereof) and (vi) any combination of the foregoing.</w:t>
      </w:r>
    </w:p>
    <w:p>
      <w:pPr>
        <w:spacing w:after="0" w:line="129" w:lineRule="exact"/>
        <w:rPr>
          <w:rFonts w:ascii="Times New Roman" w:cs="Times New Roman" w:eastAsia="Times New Roman" w:hAnsi="Times New Roman"/>
          <w:sz w:val="22"/>
          <w:szCs w:val="22"/>
          <w:color w:val="auto"/>
        </w:rPr>
      </w:pPr>
    </w:p>
    <w:p>
      <w:pPr>
        <w:ind w:right="20" w:firstLine="745"/>
        <w:spacing w:after="0" w:line="234" w:lineRule="auto"/>
        <w:tabs>
          <w:tab w:leader="none" w:pos="12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clause (b)(ii)(A) above, an option shall be considered assumed if, following consummation of the Reorganization Event, the replacement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such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873125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218" w:name="page219"/>
    <w:bookmarkEnd w:id="218"/>
    <w:p>
      <w:pPr>
        <w:spacing w:after="0" w:line="131" w:lineRule="exact"/>
        <w:rPr>
          <w:sz w:val="20"/>
          <w:szCs w:val="20"/>
          <w:color w:val="auto"/>
        </w:rPr>
      </w:pPr>
    </w:p>
    <w:p>
      <w:pPr>
        <w:ind w:left="760" w:right="580"/>
        <w:spacing w:after="0" w:line="261" w:lineRule="auto"/>
        <w:rPr>
          <w:sz w:val="20"/>
          <w:szCs w:val="20"/>
          <w:color w:val="auto"/>
        </w:rPr>
      </w:pPr>
      <w:r>
        <w:rPr>
          <w:rFonts w:ascii="Times New Roman" w:cs="Times New Roman" w:eastAsia="Times New Roman" w:hAnsi="Times New Roman"/>
          <w:sz w:val="21"/>
          <w:szCs w:val="21"/>
          <w:color w:val="auto"/>
        </w:rPr>
        <w:t>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Amendment or Termination</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757"/>
        <w:spacing w:after="0" w:line="238" w:lineRule="auto"/>
        <w:tabs>
          <w:tab w:leader="none" w:pos="101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at any time, and from time to time, amend or suspend this Plan or any portion thereof, except that (i) if the approval of any such amendment by the shareholders of the Company is required by Section 423 of the Code, such amendment shall not be effected without such approval, and (ii) in no event may any amendment be made which would cause the Plan to fail to comply with Section 423 of the Code. This Plan may be terminated at any time by the Board. Upon termination of the Plan all amounts in the accounts of Participants shall be promptly refunded.</w:t>
      </w:r>
    </w:p>
    <w:p>
      <w:pPr>
        <w:spacing w:after="0" w:line="123"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(b)Without stockholder consent and without regard to whether any Participant rights may be considered to have been “adversely affected,” the Board shall be entitled to change the Offering Periods and Purchase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which are consistent with the Plan, subject, in each case, to Section 18(a) above.</w:t>
      </w:r>
    </w:p>
    <w:p>
      <w:pPr>
        <w:spacing w:after="0" w:line="210"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200"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Conditions Upon Issuance of Shares</w:t>
      </w:r>
      <w:r>
        <w:rPr>
          <w:rFonts w:ascii="Times New Roman" w:cs="Times New Roman" w:eastAsia="Times New Roman" w:hAnsi="Times New Roman"/>
          <w:sz w:val="22"/>
          <w:szCs w:val="22"/>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rules and regulations promulgated thereunder, and the requirements of any stock exchange upon which the shares may then be listed, and shall be further subject to the approval of counsel for the Company with respect to such compliance.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9" w:name="page220"/>
    <w:bookmarkEnd w:id="219"/>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amendment and restatement of the Company’s 2021 Employee Stock Purchase Plan, as amended, shall become effective on November 12, 2023.</w:t>
      </w:r>
    </w:p>
    <w:p>
      <w:pPr>
        <w:spacing w:after="0" w:line="185"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Governmental Regulations</w:t>
      </w:r>
      <w:r>
        <w:rPr>
          <w:rFonts w:ascii="Times New Roman" w:cs="Times New Roman" w:eastAsia="Times New Roman" w:hAnsi="Times New Roman"/>
          <w:sz w:val="22"/>
          <w:szCs w:val="22"/>
          <w:color w:val="auto"/>
        </w:rPr>
        <w:t>. The Company’s obligation to sell and deliver Common Stock under this Plan is subject to listing on an established stock exchange or quotation on a national market system or an over the counter market (to the extent the Common Stock is then so listed or quoted) and the approval of all governmental authorities required in connection with the authorization, issuance, or sale of such stock.</w:t>
      </w:r>
    </w:p>
    <w:p>
      <w:pPr>
        <w:spacing w:after="0" w:line="207" w:lineRule="exact"/>
        <w:rPr>
          <w:sz w:val="20"/>
          <w:szCs w:val="20"/>
          <w:color w:val="auto"/>
        </w:rPr>
      </w:pPr>
    </w:p>
    <w:p>
      <w:pPr>
        <w:ind w:right="500" w:firstLine="749"/>
        <w:spacing w:after="0" w:line="258"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shall be governed by Delaware law except to the extent that such law is preempted by federal law.</w:t>
      </w:r>
    </w:p>
    <w:p>
      <w:pPr>
        <w:spacing w:after="0" w:line="185"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Source of Shares</w:t>
      </w:r>
      <w:r>
        <w:rPr>
          <w:rFonts w:ascii="Times New Roman" w:cs="Times New Roman" w:eastAsia="Times New Roman" w:hAnsi="Times New Roman"/>
          <w:sz w:val="22"/>
          <w:szCs w:val="22"/>
          <w:color w:val="auto"/>
        </w:rPr>
        <w:t>. Shares may be issued upon exercise of an option from authorized but unissued Common Stock, from shares held in the treasury of the Company, or from any other proper source.</w:t>
      </w:r>
    </w:p>
    <w:p>
      <w:pPr>
        <w:spacing w:after="0" w:line="185"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Notification Upon Sale of Shares</w:t>
      </w:r>
      <w:r>
        <w:rPr>
          <w:rFonts w:ascii="Times New Roman" w:cs="Times New Roman" w:eastAsia="Times New Roman" w:hAnsi="Times New Roman"/>
          <w:sz w:val="22"/>
          <w:szCs w:val="22"/>
          <w:color w:val="auto"/>
        </w:rPr>
        <w:t>. Each employee agrees, by participating in the Plan, to promptly give notice to the Company of any disposition of shares purchased under the Plan where such disposition occurs within two years after the Enrollment Date with respect to the option pursuant to which such shares were purchased or within one year of the date of exercise of such option pursuant to which such shares were purchased.</w:t>
      </w:r>
    </w:p>
    <w:p>
      <w:pPr>
        <w:spacing w:after="0" w:line="207" w:lineRule="exact"/>
        <w:rPr>
          <w:sz w:val="20"/>
          <w:szCs w:val="20"/>
          <w:color w:val="auto"/>
        </w:rPr>
      </w:pPr>
    </w:p>
    <w:p>
      <w:pPr>
        <w:jc w:val="both"/>
        <w:ind w:right="40" w:firstLine="749"/>
        <w:spacing w:after="0" w:line="249" w:lineRule="auto"/>
        <w:rPr>
          <w:sz w:val="20"/>
          <w:szCs w:val="20"/>
          <w:color w:val="auto"/>
        </w:rPr>
      </w:pPr>
      <w:r>
        <w:rPr>
          <w:rFonts w:ascii="Times New Roman" w:cs="Times New Roman" w:eastAsia="Times New Roman" w:hAnsi="Times New Roman"/>
          <w:sz w:val="21"/>
          <w:szCs w:val="21"/>
          <w:color w:val="auto"/>
        </w:rPr>
        <w:t>26.</w:t>
      </w:r>
      <w:r>
        <w:rPr>
          <w:rFonts w:ascii="Times New Roman" w:cs="Times New Roman" w:eastAsia="Times New Roman" w:hAnsi="Times New Roman"/>
          <w:sz w:val="21"/>
          <w:szCs w:val="21"/>
          <w:u w:val="single" w:color="auto"/>
          <w:color w:val="auto"/>
        </w:rPr>
        <w:t>Grants to Employees in Foreign Jurisdictions</w:t>
      </w:r>
      <w:r>
        <w:rPr>
          <w:rFonts w:ascii="Times New Roman" w:cs="Times New Roman" w:eastAsia="Times New Roman" w:hAnsi="Times New Roman"/>
          <w:sz w:val="21"/>
          <w:szCs w:val="21"/>
          <w:color w:val="auto"/>
        </w:rPr>
        <w:t>. The Company may, to comply with the laws of a foreign jurisdiction, grant options to employees of the Company or a Designated Subsidiary who are citizens or residents of such foreign jurisdiction (without regard to whether they are also citizens of the United States or resident aliens (within the meaning of Section 7701(b)(1)</w:t>
      </w:r>
    </w:p>
    <w:p>
      <w:pPr>
        <w:spacing w:after="0" w:line="1" w:lineRule="exact"/>
        <w:rPr>
          <w:sz w:val="20"/>
          <w:szCs w:val="20"/>
          <w:color w:val="auto"/>
        </w:rPr>
      </w:pPr>
    </w:p>
    <w:p>
      <w:pPr>
        <w:ind w:firstLine="8"/>
        <w:spacing w:after="0" w:line="230" w:lineRule="auto"/>
        <w:tabs>
          <w:tab w:leader="none" w:pos="35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Code)) with terms that are less favorable (but not more favorable) than the terms of options granted under the Plan to employees of the Company or a Designated Subsidiary who are resident in the United States. Notwithstanding the preceding provisions of this Plan, employees of the Company or a Designated Subsidiary who are citizens or residents of a foreign jurisdiction (without regard to whether they are also citizens of the United States or resident aliens (within the meaning of Section 7701(b)(1)(A) of the Code)) may be excluded from eligibility under the Plan if (a) the grant of an option under the Plan to a citizen or resident of the foreign jurisdiction is prohibited under the laws of such jurisdiction or</w:t>
      </w:r>
    </w:p>
    <w:p>
      <w:pPr>
        <w:spacing w:after="0" w:line="3" w:lineRule="exact"/>
        <w:rPr>
          <w:rFonts w:ascii="Times New Roman" w:cs="Times New Roman" w:eastAsia="Times New Roman" w:hAnsi="Times New Roman"/>
          <w:sz w:val="22"/>
          <w:szCs w:val="22"/>
          <w:color w:val="auto"/>
        </w:rPr>
      </w:pPr>
    </w:p>
    <w:p>
      <w:pPr>
        <w:ind w:right="280" w:firstLine="62"/>
        <w:spacing w:after="0" w:line="235" w:lineRule="auto"/>
        <w:tabs>
          <w:tab w:leader="none" w:pos="360"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with the laws of the foreign jurisdiction would cause the Plan to violate the requirements of Section 423 of the Code. The Company may add one or more appendices to this Plan describing the operation of the Plan in those foreign jurisdictions in which employees are excluded from participation or granted less favorable options.</w:t>
      </w:r>
    </w:p>
    <w:p>
      <w:pPr>
        <w:spacing w:after="0" w:line="205"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Authorization of Sub-Plans</w:t>
      </w:r>
      <w:r>
        <w:rPr>
          <w:rFonts w:ascii="Times New Roman" w:cs="Times New Roman" w:eastAsia="Times New Roman" w:hAnsi="Times New Roman"/>
          <w:sz w:val="22"/>
          <w:szCs w:val="22"/>
          <w:color w:val="auto"/>
        </w:rPr>
        <w:t>. The Board may from time to time establish one or more sub-plans under the Plan with respect to one or more Designated Subsidiaries, provided that such sub-plan complies with Section 423 of the Code.</w:t>
      </w:r>
    </w:p>
    <w:p>
      <w:pPr>
        <w:spacing w:after="0" w:line="185"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No Right to Employment</w:t>
      </w:r>
      <w:r>
        <w:rPr>
          <w:rFonts w:ascii="Times New Roman" w:cs="Times New Roman" w:eastAsia="Times New Roman" w:hAnsi="Times New Roman"/>
          <w:sz w:val="22"/>
          <w:szCs w:val="22"/>
          <w:color w:val="auto"/>
        </w:rPr>
        <w:t>. Participation in the Plan by a Participant will not be construed as giving a Participant the right to be retained as an employee of the Company or a Designated Subsidiary, as applicable. Further, the Company or a Designated Subsidiary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color w:val="auto"/>
        </w:rPr>
        <w:t>dismiss a Participant from employment at any time, free from any liability or any claim under the Plan.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Approved by the stockholders on</w:t>
      </w:r>
    </w:p>
    <w:p>
      <w:pPr>
        <w:spacing w:after="0" w:line="2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June 16, 2021 and June 6, 2023</w:t>
      </w:r>
    </w:p>
    <w:p>
      <w:pPr>
        <w:spacing w:after="0" w:line="27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1"/>
          <w:szCs w:val="21"/>
          <w:color w:val="auto"/>
        </w:rPr>
        <w:t>Adopted by the Board of Directors on</w:t>
      </w:r>
    </w:p>
    <w:p>
      <w:pPr>
        <w:spacing w:after="0" w:line="2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2"/>
          <w:szCs w:val="22"/>
          <w:color w:val="auto"/>
        </w:rPr>
        <w:t>November 12,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1654810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1408" w:right="1199" w:bottom="1440" w:gutter="0" w:footer="0" w:header="0"/>
        </w:sectPr>
      </w:pPr>
    </w:p>
    <w:bookmarkStart w:id="221" w:name="page222"/>
    <w:bookmarkEnd w:id="221"/>
    <w:p>
      <w:pPr>
        <w:ind w:left="10020"/>
        <w:spacing w:after="0"/>
        <w:rPr>
          <w:sz w:val="20"/>
          <w:szCs w:val="20"/>
          <w:color w:val="auto"/>
        </w:rPr>
      </w:pPr>
      <w:r>
        <w:rPr>
          <w:rFonts w:ascii="Times New Roman" w:cs="Times New Roman" w:eastAsia="Times New Roman" w:hAnsi="Times New Roman"/>
          <w:sz w:val="21"/>
          <w:szCs w:val="21"/>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Shares of Common Stock</w:t>
      </w:r>
    </w:p>
    <w:p>
      <w:pPr>
        <w:jc w:val="center"/>
        <w:spacing w:after="0"/>
        <w:rPr>
          <w:sz w:val="20"/>
          <w:szCs w:val="20"/>
          <w:color w:val="auto"/>
        </w:rPr>
      </w:pPr>
      <w:r>
        <w:rPr>
          <w:rFonts w:ascii="Times New Roman" w:cs="Times New Roman" w:eastAsia="Times New Roman" w:hAnsi="Times New Roman"/>
          <w:sz w:val="22"/>
          <w:szCs w:val="22"/>
          <w:color w:val="auto"/>
        </w:rPr>
        <w:t>(par value $0.001 per share)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SALES AGREEMENT</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March 13,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Solid Biosciences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shares of the Company’s common stock, par value $0.001 per share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on the terms set forth in this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DEFINITIONS</w:t>
      </w:r>
    </w:p>
    <w:p>
      <w:pPr>
        <w:spacing w:after="0" w:line="210" w:lineRule="exact"/>
        <w:rPr>
          <w:sz w:val="20"/>
          <w:szCs w:val="20"/>
          <w:color w:val="auto"/>
        </w:rPr>
      </w:pPr>
    </w:p>
    <w:p>
      <w:pPr>
        <w:ind w:right="20" w:firstLine="757"/>
        <w:spacing w:after="0" w:line="258" w:lineRule="auto"/>
        <w:tabs>
          <w:tab w:leader="none" w:pos="101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capitalized terms used herein and not otherwise defined shall have the following respective meanings: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Actions</w:t>
      </w:r>
      <w:r>
        <w:rPr>
          <w:rFonts w:ascii="Times New Roman" w:cs="Times New Roman" w:eastAsia="Times New Roman" w:hAnsi="Times New Roman"/>
          <w:sz w:val="22"/>
          <w:szCs w:val="22"/>
          <w:color w:val="auto"/>
        </w:rPr>
        <w:t>” has the meaning set forth in Section‎ 2(t).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-11430</wp:posOffset>
            </wp:positionV>
            <wp:extent cx="643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6">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8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 Person means another Person that directly or indirectly, through one or more intermediaries, controls, is controlled by, or is under common control with, such first-mentioned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Agency Period</w:t>
      </w:r>
      <w:r>
        <w:rPr>
          <w:rFonts w:ascii="Times New Roman" w:cs="Times New Roman" w:eastAsia="Times New Roman" w:hAnsi="Times New Roman"/>
          <w:sz w:val="22"/>
          <w:szCs w:val="22"/>
          <w:color w:val="auto"/>
        </w:rPr>
        <w:t>” means the period commencing on the date of this Agreement and expiring on the earliest to occur of</w:t>
      </w:r>
    </w:p>
    <w:p>
      <w:pPr>
        <w:spacing w:after="0" w:line="8" w:lineRule="exact"/>
        <w:rPr>
          <w:sz w:val="20"/>
          <w:szCs w:val="20"/>
          <w:color w:val="auto"/>
        </w:rPr>
      </w:pPr>
    </w:p>
    <w:p>
      <w:pPr>
        <w:ind w:left="280" w:hanging="272"/>
        <w:spacing w:after="0"/>
        <w:tabs>
          <w:tab w:leader="none" w:pos="2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the Agent shall have placed the Maximum Program Amount pursuant to this Agreement and (ii) the date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terminated pursuant to Section‎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-29210</wp:posOffset>
            </wp:positionV>
            <wp:extent cx="51435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Anti-Money Laundering Laws</w:t>
      </w:r>
      <w:r>
        <w:rPr>
          <w:rFonts w:ascii="Times New Roman" w:cs="Times New Roman" w:eastAsia="Times New Roman" w:hAnsi="Times New Roman"/>
          <w:sz w:val="22"/>
          <w:szCs w:val="22"/>
          <w:color w:val="auto"/>
        </w:rPr>
        <w:t>” has the meaning set forth in Section‎ 2(jj).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-11430</wp:posOffset>
            </wp:positionV>
            <wp:extent cx="6819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8">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has the meaning set forth in Section‎ 2(k).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-11430</wp:posOffset>
            </wp:positionV>
            <wp:extent cx="6743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0">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22" w:name="page223"/>
    <w:bookmarkEnd w:id="222"/>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Commission</w:t>
      </w:r>
      <w:r>
        <w:rPr>
          <w:rFonts w:ascii="Times New Roman" w:cs="Times New Roman" w:eastAsia="Times New Roman" w:hAnsi="Times New Roman"/>
          <w:sz w:val="22"/>
          <w:szCs w:val="22"/>
          <w:color w:val="auto"/>
        </w:rPr>
        <w:t>” means the U.S. Securities and Exchange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the meaning set forth in the introductory paragraph of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Stock Plans</w:t>
      </w:r>
      <w:r>
        <w:rPr>
          <w:rFonts w:ascii="Times New Roman" w:cs="Times New Roman" w:eastAsia="Times New Roman" w:hAnsi="Times New Roman"/>
          <w:sz w:val="22"/>
          <w:szCs w:val="22"/>
          <w:color w:val="auto"/>
        </w:rPr>
        <w:t>” has the meaning set forth in Section‎ 2(k).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-11430</wp:posOffset>
            </wp:positionV>
            <wp:extent cx="67437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1">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EDGAR</w:t>
      </w:r>
      <w:r>
        <w:rPr>
          <w:rFonts w:ascii="Times New Roman" w:cs="Times New Roman" w:eastAsia="Times New Roman" w:hAnsi="Times New Roman"/>
          <w:sz w:val="22"/>
          <w:szCs w:val="22"/>
          <w:color w:val="auto"/>
        </w:rPr>
        <w:t>” has the meaning set forth in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-11430</wp:posOffset>
            </wp:positionV>
            <wp:extent cx="6743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2">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has the meaning set forth in Section‎ 2(cc).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-11430</wp:posOffset>
            </wp:positionV>
            <wp:extent cx="7270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has the meaning set forth in Section‎ 2(dd).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-11430</wp:posOffset>
            </wp:positionV>
            <wp:extent cx="74295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4">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8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 and the rules and regulations of the Commission thereunder.</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has the meaning set forth in Section‎ 2(s).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2625090</wp:posOffset>
            </wp:positionH>
            <wp:positionV relativeFrom="paragraph">
              <wp:posOffset>-11430</wp:posOffset>
            </wp:positionV>
            <wp:extent cx="6591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5">
                      <a:extLst>
                        <a:ext uri="{28A0092B-C50C-407E-A947-70E740481C1C}"/>
                      </a:extLst>
                    </a:blip>
                    <a:srcRect/>
                    <a:stretch>
                      <a:fillRect/>
                    </a:stretch>
                  </pic:blipFill>
                  <pic:spPr bwMode="auto">
                    <a:xfrm>
                      <a:off x="0" y="0"/>
                      <a:ext cx="659130" cy="8255"/>
                    </a:xfrm>
                    <a:prstGeom prst="rect">
                      <a:avLst/>
                    </a:prstGeom>
                    <a:noFill/>
                  </pic:spPr>
                </pic:pic>
              </a:graphicData>
            </a:graphic>
          </wp:anchor>
        </w:drawing>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 Price</w:t>
      </w:r>
      <w:r>
        <w:rPr>
          <w:rFonts w:ascii="Times New Roman" w:cs="Times New Roman" w:eastAsia="Times New Roman" w:hAnsi="Times New Roman"/>
          <w:sz w:val="22"/>
          <w:szCs w:val="22"/>
          <w:color w:val="auto"/>
        </w:rPr>
        <w:t>” means the minimum price per share set by the Company in the Issuance Notice below which the Agent shall not sell Shares during the applicable Selling Period, which may be adjusted by the Company at any time during the Selling Period by delivering written notice of such change to the Agent and which in no event shall be less than $1.00 without the prior written consent of the Agent, which may be withheld in the Agent’s sole discretion.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Free Writing Prospectus</w:t>
      </w:r>
      <w:r>
        <w:rPr>
          <w:rFonts w:ascii="Times New Roman" w:cs="Times New Roman" w:eastAsia="Times New Roman" w:hAnsi="Times New Roman"/>
          <w:sz w:val="22"/>
          <w:szCs w:val="22"/>
          <w:color w:val="auto"/>
        </w:rPr>
        <w:t>” has the meaning set forth in ‎Section 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-11430</wp:posOffset>
            </wp:positionV>
            <wp:extent cx="6667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6">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has the meaning set forth in Section‎ 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-11430</wp:posOffset>
            </wp:positionV>
            <wp:extent cx="6743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7">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has the meaning set forth in Section‎ 2(w).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-11430</wp:posOffset>
            </wp:positionV>
            <wp:extent cx="7048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8">
                      <a:extLst>
                        <a:ext uri="{28A0092B-C50C-407E-A947-70E740481C1C}"/>
                      </a:extLst>
                    </a:blip>
                    <a:srcRect/>
                    <a:stretch>
                      <a:fillRect/>
                    </a:stretch>
                  </pic:blipFill>
                  <pic:spPr bwMode="auto">
                    <a:xfrm>
                      <a:off x="0" y="0"/>
                      <a:ext cx="7048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Interim Prospectus Supplement</w:t>
      </w:r>
      <w:r>
        <w:rPr>
          <w:rFonts w:ascii="Times New Roman" w:cs="Times New Roman" w:eastAsia="Times New Roman" w:hAnsi="Times New Roman"/>
          <w:sz w:val="22"/>
          <w:szCs w:val="22"/>
          <w:color w:val="auto"/>
        </w:rPr>
        <w:t>” has the meaning set forth in Section‎ 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4047490</wp:posOffset>
            </wp:positionH>
            <wp:positionV relativeFrom="paragraph">
              <wp:posOffset>-11430</wp:posOffset>
            </wp:positionV>
            <wp:extent cx="66675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9">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 has the meaning set forth in Section‎ 2(y).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-11430</wp:posOffset>
            </wp:positionV>
            <wp:extent cx="6743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0">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Amount</w:t>
      </w:r>
      <w:r>
        <w:rPr>
          <w:rFonts w:ascii="Times New Roman" w:cs="Times New Roman" w:eastAsia="Times New Roman" w:hAnsi="Times New Roman"/>
          <w:sz w:val="22"/>
          <w:szCs w:val="22"/>
          <w:color w:val="auto"/>
        </w:rPr>
        <w:t>” means the aggregate Sales Price of the Shares to be sold by the Agent pursuant to any Issuance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78"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w:t>
      </w:r>
      <w:r>
        <w:rPr>
          <w:rFonts w:ascii="Times New Roman" w:cs="Times New Roman" w:eastAsia="Times New Roman" w:hAnsi="Times New Roman"/>
          <w:sz w:val="22"/>
          <w:szCs w:val="22"/>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is executed by its Chief Executive Officer, President or Chief Financial Officer.</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Notice Date</w:t>
      </w:r>
      <w:r>
        <w:rPr>
          <w:rFonts w:ascii="Times New Roman" w:cs="Times New Roman" w:eastAsia="Times New Roman" w:hAnsi="Times New Roman"/>
          <w:sz w:val="22"/>
          <w:szCs w:val="22"/>
          <w:color w:val="auto"/>
        </w:rPr>
        <w:t>” means any Trading Day during the Agency Period that an Issuance Notice is delivered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-46990</wp:posOffset>
            </wp:positionV>
            <wp:extent cx="8039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1">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Issuance Price</w:t>
      </w:r>
      <w:r>
        <w:rPr>
          <w:rFonts w:ascii="Times New Roman" w:cs="Times New Roman" w:eastAsia="Times New Roman" w:hAnsi="Times New Roman"/>
          <w:sz w:val="22"/>
          <w:szCs w:val="22"/>
          <w:color w:val="auto"/>
        </w:rPr>
        <w:t>” means the Sales Price less the Selling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IT Systems and Data</w:t>
      </w:r>
      <w:r>
        <w:rPr>
          <w:rFonts w:ascii="Times New Roman" w:cs="Times New Roman" w:eastAsia="Times New Roman" w:hAnsi="Times New Roman"/>
          <w:sz w:val="22"/>
          <w:szCs w:val="22"/>
          <w:color w:val="auto"/>
        </w:rPr>
        <w:t>” has the meaning set forth in Section‎ 2(ii).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-11430</wp:posOffset>
            </wp:positionV>
            <wp:extent cx="6819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2">
                      <a:extLst>
                        <a:ext uri="{28A0092B-C50C-407E-A947-70E740481C1C}"/>
                      </a:extLst>
                    </a:blip>
                    <a:srcRect/>
                    <a:stretch>
                      <a:fillRect/>
                    </a:stretch>
                  </pic:blipFill>
                  <pic:spPr bwMode="auto">
                    <a:xfrm>
                      <a:off x="0" y="0"/>
                      <a:ext cx="68199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3" w:name="page224"/>
    <w:bookmarkEnd w:id="223"/>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has the meaning set forth in Section‎ 2(i).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3599815</wp:posOffset>
            </wp:positionH>
            <wp:positionV relativeFrom="paragraph">
              <wp:posOffset>-11430</wp:posOffset>
            </wp:positionV>
            <wp:extent cx="6438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4">
                      <a:extLst>
                        <a:ext uri="{28A0092B-C50C-407E-A947-70E740481C1C}"/>
                      </a:extLst>
                    </a:blip>
                    <a:srcRect/>
                    <a:stretch>
                      <a:fillRect/>
                    </a:stretch>
                  </pic:blipFill>
                  <pic:spPr bwMode="auto">
                    <a:xfrm>
                      <a:off x="0" y="0"/>
                      <a:ext cx="643890" cy="8890"/>
                    </a:xfrm>
                    <a:prstGeom prst="rect">
                      <a:avLst/>
                    </a:prstGeom>
                    <a:noFill/>
                  </pic:spPr>
                </pic:pic>
              </a:graphicData>
            </a:graphic>
          </wp:anchor>
        </w:drawing>
      </w:r>
    </w:p>
    <w:p>
      <w:pPr>
        <w:spacing w:after="0" w:line="18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Program Amount</w:t>
      </w:r>
      <w:r>
        <w:rPr>
          <w:rFonts w:ascii="Times New Roman" w:cs="Times New Roman" w:eastAsia="Times New Roman" w:hAnsi="Times New Roman"/>
          <w:sz w:val="22"/>
          <w:szCs w:val="22"/>
          <w:color w:val="auto"/>
        </w:rPr>
        <w:t>” means Common Shares with an aggregate Sales Price of the lesser of (i) the number or dollar amount of Common Shares registered under the effective Registration Statement (defined below) pursuant to which the offering is being made, (ii) the number of authorized but unissued Common Shares (less Common Shares issuable upon exercise, conversion or exchange of any outstanding securities of the Company or otherwise reserved from the Company’s authorized capital stock), (iii) the number or dollar amount of Common Shares permitted to be sold under Form S-3 (including General Instruction I.B.6 thereof, if applicable), or (iv) the number or dollar amount of Common Shares for which the Company has filed a Prospectus (defined below).</w:t>
      </w:r>
    </w:p>
    <w:p>
      <w:pPr>
        <w:spacing w:after="0" w:line="17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a corporation, partnership, limited liability company, trust, incorporated or unincorporated association, joint venture, joint stock company, governmental authority or other entity of any kind.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the meaning set forth in Section‎ 2(dd).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-11430</wp:posOffset>
            </wp:positionV>
            <wp:extent cx="74295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5">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8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 Market</w:t>
      </w:r>
      <w:r>
        <w:rPr>
          <w:rFonts w:ascii="Times New Roman" w:cs="Times New Roman" w:eastAsia="Times New Roman" w:hAnsi="Times New Roman"/>
          <w:sz w:val="22"/>
          <w:szCs w:val="22"/>
          <w:color w:val="auto"/>
        </w:rPr>
        <w:t>” means the Nasdaq Global Select Market or such other national securities exchange on which the Common Shares, including any Shares, are then listed.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has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-11430</wp:posOffset>
            </wp:positionV>
            <wp:extent cx="66675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6">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has the meaning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-11430</wp:posOffset>
            </wp:positionV>
            <wp:extent cx="66675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7">
                      <a:extLst>
                        <a:ext uri="{28A0092B-C50C-407E-A947-70E740481C1C}"/>
                      </a:extLst>
                    </a:blip>
                    <a:srcRect/>
                    <a:stretch>
                      <a:fillRect/>
                    </a:stretch>
                  </pic:blipFill>
                  <pic:spPr bwMode="auto">
                    <a:xfrm>
                      <a:off x="0" y="0"/>
                      <a:ext cx="6667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has the meaning set forth in Section‎ 2(oo).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-11430</wp:posOffset>
            </wp:positionV>
            <wp:extent cx="7429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8">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Authorities</w:t>
      </w:r>
      <w:r>
        <w:rPr>
          <w:rFonts w:ascii="Times New Roman" w:cs="Times New Roman" w:eastAsia="Times New Roman" w:hAnsi="Times New Roman"/>
          <w:sz w:val="22"/>
          <w:szCs w:val="22"/>
          <w:color w:val="auto"/>
        </w:rPr>
        <w:t>” has the meaning set forth in Section‎ 2(tt).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-11430</wp:posOffset>
            </wp:positionV>
            <wp:extent cx="68199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9">
                      <a:extLst>
                        <a:ext uri="{28A0092B-C50C-407E-A947-70E740481C1C}"/>
                      </a:extLst>
                    </a:blip>
                    <a:srcRect/>
                    <a:stretch>
                      <a:fillRect/>
                    </a:stretch>
                  </pic:blipFill>
                  <pic:spPr bwMode="auto">
                    <a:xfrm>
                      <a:off x="0" y="0"/>
                      <a:ext cx="68199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has the meaning set forth in the introductory paragraph of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-11430</wp:posOffset>
            </wp:positionV>
            <wp:extent cx="5143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102</w:t>
      </w:r>
      <w:r>
        <w:rPr>
          <w:rFonts w:ascii="Times New Roman" w:cs="Times New Roman" w:eastAsia="Times New Roman" w:hAnsi="Times New Roman"/>
          <w:sz w:val="22"/>
          <w:szCs w:val="22"/>
          <w:color w:val="auto"/>
        </w:rPr>
        <w:t>” has the meaning set forth in Section‎ 4(v).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-11430</wp:posOffset>
            </wp:positionV>
            <wp:extent cx="6743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1">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462(b) Registration Statement</w:t>
      </w:r>
      <w:r>
        <w:rPr>
          <w:rFonts w:ascii="Times New Roman" w:cs="Times New Roman" w:eastAsia="Times New Roman" w:hAnsi="Times New Roman"/>
          <w:sz w:val="22"/>
          <w:szCs w:val="22"/>
          <w:color w:val="auto"/>
        </w:rPr>
        <w:t>” has the meaning set forth in Section‎ 2(b).</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Price</w:t>
      </w:r>
      <w:r>
        <w:rPr>
          <w:rFonts w:ascii="Times New Roman" w:cs="Times New Roman" w:eastAsia="Times New Roman" w:hAnsi="Times New Roman"/>
          <w:sz w:val="22"/>
          <w:szCs w:val="22"/>
          <w:color w:val="auto"/>
        </w:rPr>
        <w:t>” means the actual sale execution price of each Share placed by the Agent pursuant to this Agreement.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 as amended, and the rules and regulations of the Commission thereunder.</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Commission</w:t>
      </w:r>
      <w:r>
        <w:rPr>
          <w:rFonts w:ascii="Times New Roman" w:cs="Times New Roman" w:eastAsia="Times New Roman" w:hAnsi="Times New Roman"/>
          <w:sz w:val="22"/>
          <w:szCs w:val="22"/>
          <w:color w:val="auto"/>
        </w:rPr>
        <w:t>” means, except as otherwise agreed, three percent (3.00%) of the gross proceeds of the Shares sold pursuant to this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Selling Period</w:t>
      </w:r>
      <w:r>
        <w:rPr>
          <w:rFonts w:ascii="Times New Roman" w:cs="Times New Roman" w:eastAsia="Times New Roman" w:hAnsi="Times New Roman"/>
          <w:sz w:val="22"/>
          <w:szCs w:val="22"/>
          <w:color w:val="auto"/>
        </w:rPr>
        <w:t>” means the period set forth in the Issuance Notice.</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Date</w:t>
      </w:r>
      <w:r>
        <w:rPr>
          <w:rFonts w:ascii="Times New Roman" w:cs="Times New Roman" w:eastAsia="Times New Roman" w:hAnsi="Times New Roman"/>
          <w:sz w:val="22"/>
          <w:szCs w:val="22"/>
          <w:color w:val="auto"/>
        </w:rPr>
        <w:t>” means (i) prior to May 28, 2024, the second business day and (ii) on or after May 28, 2024, the first business day following each Trading Day during the Selling Period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4" w:name="page225"/>
    <w:bookmarkEnd w:id="22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on which Shares are sold pursuant to this Agreement, when the Company shall deliver to the Agent the amount of Shares sold on such Trading Day and the Agent shall deliver to the Company the Issuance Price received on such sales.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shall mean the Company’s Common Shares issued or issuable pursuant to this Agreement.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has the meaning set forth in Section‎ 8(g).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wp:posOffset>
            </wp:positionV>
            <wp:extent cx="6743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3">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Options</w:t>
      </w:r>
      <w:r>
        <w:rPr>
          <w:rFonts w:ascii="Times New Roman" w:cs="Times New Roman" w:eastAsia="Times New Roman" w:hAnsi="Times New Roman"/>
          <w:sz w:val="22"/>
          <w:szCs w:val="22"/>
          <w:color w:val="auto"/>
        </w:rPr>
        <w:t>” has the meaning set forth in Section‎ 2(k).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-11430</wp:posOffset>
            </wp:positionV>
            <wp:extent cx="67437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4">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Time of Sale</w:t>
      </w:r>
      <w:r>
        <w:rPr>
          <w:rFonts w:ascii="Times New Roman" w:cs="Times New Roman" w:eastAsia="Times New Roman" w:hAnsi="Times New Roman"/>
          <w:sz w:val="22"/>
          <w:szCs w:val="22"/>
          <w:color w:val="auto"/>
        </w:rPr>
        <w:t>” has the meaning set forth in Section‎ 3(b)(v).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-11430</wp:posOffset>
            </wp:positionV>
            <wp:extent cx="8343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5">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Time of Sale Information</w:t>
      </w:r>
      <w:r>
        <w:rPr>
          <w:rFonts w:ascii="Times New Roman" w:cs="Times New Roman" w:eastAsia="Times New Roman" w:hAnsi="Times New Roman"/>
          <w:sz w:val="22"/>
          <w:szCs w:val="22"/>
          <w:color w:val="auto"/>
        </w:rPr>
        <w:t>” has the meaning set forth in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3670300</wp:posOffset>
            </wp:positionH>
            <wp:positionV relativeFrom="paragraph">
              <wp:posOffset>-11430</wp:posOffset>
            </wp:positionV>
            <wp:extent cx="6743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6">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any day on which the Principal Market is open for trading.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Triggering Event Date</w:t>
      </w:r>
      <w:r>
        <w:rPr>
          <w:rFonts w:ascii="Times New Roman" w:cs="Times New Roman" w:eastAsia="Times New Roman" w:hAnsi="Times New Roman"/>
          <w:sz w:val="22"/>
          <w:szCs w:val="22"/>
          <w:color w:val="auto"/>
        </w:rPr>
        <w:t>” has the meaning set forth in Section‎ 4(o).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-11430</wp:posOffset>
            </wp:positionV>
            <wp:extent cx="67437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7">
                      <a:extLst>
                        <a:ext uri="{28A0092B-C50C-407E-A947-70E740481C1C}"/>
                      </a:extLst>
                    </a:blip>
                    <a:srcRect/>
                    <a:stretch>
                      <a:fillRect/>
                    </a:stretch>
                  </pic:blipFill>
                  <pic:spPr bwMode="auto">
                    <a:xfrm>
                      <a:off x="0" y="0"/>
                      <a:ext cx="67437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REPRESENTATIONS AND WARRANTIES OF THE COMPANY</w:t>
      </w:r>
    </w:p>
    <w:p>
      <w:pPr>
        <w:spacing w:after="0" w:line="21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The Company represents and warrants to, and agrees with, the Agent that, unless such representation, warranty or agreement specifies otherwise, as of (1) the date of this Agreement, (2) each Issuance Notice Date, (3) each Settlement Date, (4) each Triggering Event Date with respect to which the Company is obligated to deliver a certificate pursuant to Section 4(o) and</w:t>
      </w:r>
    </w:p>
    <w:p>
      <w:pPr>
        <w:spacing w:after="0" w:line="1" w:lineRule="exact"/>
        <w:rPr>
          <w:sz w:val="20"/>
          <w:szCs w:val="20"/>
          <w:color w:val="auto"/>
        </w:rPr>
      </w:pPr>
    </w:p>
    <w:p>
      <w:pPr>
        <w:jc w:val="both"/>
        <w:ind w:firstLine="8"/>
        <w:spacing w:after="0" w:line="235" w:lineRule="auto"/>
        <w:tabs>
          <w:tab w:leader="none" w:pos="31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each Time of Sale (each of the times referenced above is referred to herein as a “</w:t>
      </w:r>
      <w:r>
        <w:rPr>
          <w:rFonts w:ascii="Times New Roman" w:cs="Times New Roman" w:eastAsia="Times New Roman" w:hAnsi="Times New Roman"/>
          <w:sz w:val="22"/>
          <w:szCs w:val="22"/>
          <w:b w:val="1"/>
          <w:bCs w:val="1"/>
          <w:color w:val="auto"/>
        </w:rPr>
        <w:t>Representation Date</w:t>
      </w:r>
      <w:r>
        <w:rPr>
          <w:rFonts w:ascii="Times New Roman" w:cs="Times New Roman" w:eastAsia="Times New Roman" w:hAnsi="Times New Roman"/>
          <w:sz w:val="22"/>
          <w:szCs w:val="22"/>
          <w:color w:val="auto"/>
        </w:rPr>
        <w:t>”), except as may be disclosed in the Prospectus (including any documents incorporated by reference therein and any amendments or supplements thereto) on or before a Representation Date:</w:t>
      </w:r>
    </w:p>
    <w:p>
      <w:pPr>
        <w:spacing w:after="0" w:line="177"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The Company has prepared and filed, or will file, with the Commission a shelf registration statement on Form S-3 that contains a prospectus specifically relating to the Shares.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 registers the issuance and sale by the Company of the Shares under the Securities Act.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and the prospectus (including the base prospectus and the sales agreement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except that if any revised prospectus is provided to the Agent by the Company for use in connection with the offering of the Shares that is not required to be filed by the Company pursuant to Rule 424(b) under the Securities Act,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5" w:name="page226"/>
    <w:bookmarkEnd w:id="225"/>
    <w:p>
      <w:pPr>
        <w:jc w:val="both"/>
        <w:spacing w:after="0" w:line="241" w:lineRule="auto"/>
        <w:rPr>
          <w:sz w:val="20"/>
          <w:szCs w:val="20"/>
          <w:color w:val="auto"/>
        </w:rPr>
      </w:pPr>
      <w:r>
        <w:rPr>
          <w:rFonts w:ascii="Times New Roman" w:cs="Times New Roman" w:eastAsia="Times New Roman" w:hAnsi="Times New Roman"/>
          <w:sz w:val="22"/>
          <w:szCs w:val="22"/>
          <w:color w:val="auto"/>
        </w:rPr>
        <w:t>term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shall refer to such revised prospectus from and after the time it is first provided to the Agent for such use.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At the time the Registration Statement was or will be declared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0" w:lineRule="exact"/>
        <w:rPr>
          <w:sz w:val="20"/>
          <w:szCs w:val="20"/>
          <w:color w:val="auto"/>
        </w:rPr>
      </w:pPr>
    </w:p>
    <w:p>
      <w:pPr>
        <w:jc w:val="both"/>
        <w:ind w:firstLine="757"/>
        <w:spacing w:after="0" w:line="235" w:lineRule="auto"/>
        <w:tabs>
          <w:tab w:leader="none" w:pos="10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Registration Requirements</w:t>
      </w:r>
      <w:r>
        <w:rPr>
          <w:rFonts w:ascii="Times New Roman" w:cs="Times New Roman" w:eastAsia="Times New Roman" w:hAnsi="Times New Roman"/>
          <w:sz w:val="22"/>
          <w:szCs w:val="22"/>
          <w:color w:val="auto"/>
        </w:rPr>
        <w:t>. The Registration Statement and any registration statement filed pursuant to Rule 462(b) under the Securities Act (“</w:t>
      </w:r>
      <w:r>
        <w:rPr>
          <w:rFonts w:ascii="Times New Roman" w:cs="Times New Roman" w:eastAsia="Times New Roman" w:hAnsi="Times New Roman"/>
          <w:sz w:val="22"/>
          <w:szCs w:val="22"/>
          <w:b w:val="1"/>
          <w:bCs w:val="1"/>
          <w:color w:val="auto"/>
        </w:rPr>
        <w:t>Rule 462(b) Registration Statement</w:t>
      </w:r>
      <w:r>
        <w:rPr>
          <w:rFonts w:ascii="Times New Roman" w:cs="Times New Roman" w:eastAsia="Times New Roman" w:hAnsi="Times New Roman"/>
          <w:sz w:val="22"/>
          <w:szCs w:val="22"/>
          <w:color w:val="auto"/>
        </w:rPr>
        <w:t>”) has been or will be declared effective by the Commission under the Securities Act prior to any Issuance Notice Date following such filing. The Company has complied to the Commission’s satisfaction with all requests of the Commission for additional or supplemental information in connection therewith, if any.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3" w:lineRule="exact"/>
        <w:rPr>
          <w:sz w:val="20"/>
          <w:szCs w:val="20"/>
          <w:color w:val="auto"/>
        </w:rPr>
      </w:pPr>
    </w:p>
    <w:p>
      <w:pPr>
        <w:jc w:val="both"/>
        <w:ind w:firstLine="432"/>
        <w:spacing w:after="0" w:line="248" w:lineRule="exact"/>
        <w:rPr>
          <w:sz w:val="20"/>
          <w:szCs w:val="20"/>
          <w:color w:val="auto"/>
        </w:rPr>
      </w:pPr>
      <w:r>
        <w:rPr>
          <w:rFonts w:ascii="Times New Roman" w:cs="Times New Roman" w:eastAsia="Times New Roman" w:hAnsi="Times New Roman"/>
          <w:sz w:val="21"/>
          <w:szCs w:val="21"/>
          <w:color w:val="auto"/>
        </w:rPr>
        <w:t>The Prospectus when filed complied, or will comply, in all material respects with the Securities Act and, if filed by electronic transmission pursuant to the Commission’s Electronic Data Gathering, Analysis, and Retrieval system (“</w:t>
      </w:r>
      <w:r>
        <w:rPr>
          <w:rFonts w:ascii="Times New Roman" w:cs="Times New Roman" w:eastAsia="Times New Roman" w:hAnsi="Times New Roman"/>
          <w:sz w:val="21"/>
          <w:szCs w:val="21"/>
          <w:b w:val="1"/>
          <w:bCs w:val="1"/>
          <w:color w:val="auto"/>
        </w:rPr>
        <w:t>EDGAR</w:t>
      </w:r>
      <w:r>
        <w:rPr>
          <w:rFonts w:ascii="Times New Roman" w:cs="Times New Roman" w:eastAsia="Times New Roman" w:hAnsi="Times New Roman"/>
          <w:sz w:val="21"/>
          <w:szCs w:val="21"/>
          <w:color w:val="auto"/>
        </w:rPr>
        <w:t>”) (except as may be permitted by Regulation 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consented to by the Agent pursuant to </w:t>
      </w:r>
      <w:r>
        <w:rPr>
          <w:rFonts w:ascii="Times New Roman" w:cs="Times New Roman" w:eastAsia="Times New Roman" w:hAnsi="Times New Roman"/>
          <w:sz w:val="21"/>
          <w:szCs w:val="21"/>
          <w:u w:val="single" w:color="auto"/>
          <w:color w:val="auto"/>
        </w:rPr>
        <w:t>Section 4(e)</w:t>
      </w:r>
      <w:r>
        <w:rPr>
          <w:rFonts w:ascii="Times New Roman" w:cs="Times New Roman" w:eastAsia="Times New Roman" w:hAnsi="Times New Roman"/>
          <w:sz w:val="21"/>
          <w:szCs w:val="21"/>
          <w:color w:val="auto"/>
        </w:rPr>
        <w:t xml:space="preserve"> considered together (collectively, the “</w:t>
      </w:r>
      <w:r>
        <w:rPr>
          <w:rFonts w:ascii="Times New Roman" w:cs="Times New Roman" w:eastAsia="Times New Roman" w:hAnsi="Times New Roman"/>
          <w:sz w:val="21"/>
          <w:szCs w:val="21"/>
          <w:b w:val="1"/>
          <w:bCs w:val="1"/>
          <w:color w:val="auto"/>
        </w:rPr>
        <w:t>Time of Sale Information</w:t>
      </w:r>
      <w:r>
        <w:rPr>
          <w:rFonts w:ascii="Times New Roman" w:cs="Times New Roman" w:eastAsia="Times New Roman" w:hAnsi="Times New Roman"/>
          <w:sz w:val="21"/>
          <w:szCs w:val="21"/>
          <w:color w:val="auto"/>
        </w:rPr>
        <w:t>”) did not contain any untrue statement of a material fact or omit to state a material fact necessary to make the statements therein, in the light of the circumstances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6" w:name="page227"/>
    <w:bookmarkEnd w:id="226"/>
    <w:p>
      <w:pPr>
        <w:jc w:val="both"/>
        <w:spacing w:after="0" w:line="233" w:lineRule="auto"/>
        <w:rPr>
          <w:sz w:val="20"/>
          <w:szCs w:val="20"/>
          <w:color w:val="auto"/>
        </w:rPr>
      </w:pPr>
      <w:r>
        <w:rPr>
          <w:rFonts w:ascii="Times New Roman" w:cs="Times New Roman" w:eastAsia="Times New Roman" w:hAnsi="Times New Roman"/>
          <w:sz w:val="22"/>
          <w:szCs w:val="22"/>
          <w:color w:val="auto"/>
        </w:rPr>
        <w:t>under which they were made, not misleading. The Prospectus, as amended or supplemented, as of its date and at all subsequent times,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5316855</wp:posOffset>
            </wp:positionH>
            <wp:positionV relativeFrom="paragraph">
              <wp:posOffset>-644525</wp:posOffset>
            </wp:positionV>
            <wp:extent cx="5226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0">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97" w:lineRule="exact"/>
        <w:rPr>
          <w:sz w:val="20"/>
          <w:szCs w:val="20"/>
          <w:color w:val="auto"/>
        </w:rPr>
      </w:pPr>
    </w:p>
    <w:p>
      <w:pPr>
        <w:jc w:val="both"/>
        <w:ind w:firstLine="757"/>
        <w:spacing w:after="0" w:line="233" w:lineRule="auto"/>
        <w:tabs>
          <w:tab w:leader="none" w:pos="10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Ineligible Issuer Status</w:t>
      </w:r>
      <w:r>
        <w:rPr>
          <w:rFonts w:ascii="Times New Roman" w:cs="Times New Roman" w:eastAsia="Times New Roman" w:hAnsi="Times New Roman"/>
          <w:sz w:val="22"/>
          <w:szCs w:val="22"/>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84"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Incorporated Documents</w:t>
      </w:r>
      <w:r>
        <w:rPr>
          <w:rFonts w:ascii="Times New Roman" w:cs="Times New Roman" w:eastAsia="Times New Roman" w:hAnsi="Times New Roman"/>
          <w:sz w:val="22"/>
          <w:szCs w:val="22"/>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S-3 Eligibility</w:t>
      </w:r>
      <w:r>
        <w:rPr>
          <w:rFonts w:ascii="Times New Roman" w:cs="Times New Roman" w:eastAsia="Times New Roman" w:hAnsi="Times New Roman"/>
          <w:sz w:val="22"/>
          <w:szCs w:val="22"/>
          <w:color w:val="auto"/>
        </w:rPr>
        <w:t>. The Company and the transactions contemplated by this Agreement meet the requirements for, and comply with the conditions for the use of, Form S-3 under the Act, including but not limited to Instruction I.B.1 of Form S-3. The Company is not a shell company (as defined in Rule 405 of the Act) and has not been a shell company for at least 12 calendar months.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jc w:val="both"/>
        <w:ind w:firstLine="757"/>
        <w:spacing w:after="0" w:line="248" w:lineRule="auto"/>
        <w:tabs>
          <w:tab w:leader="none" w:pos="101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Act Compliance</w:t>
      </w:r>
      <w:r>
        <w:rPr>
          <w:rFonts w:ascii="Times New Roman" w:cs="Times New Roman" w:eastAsia="Times New Roman" w:hAnsi="Times New Roman"/>
          <w:sz w:val="21"/>
          <w:szCs w:val="21"/>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70" w:lineRule="exact"/>
        <w:rPr>
          <w:rFonts w:ascii="Times New Roman" w:cs="Times New Roman" w:eastAsia="Times New Roman" w:hAnsi="Times New Roman"/>
          <w:sz w:val="21"/>
          <w:szCs w:val="21"/>
          <w:color w:val="auto"/>
        </w:rPr>
      </w:pPr>
    </w:p>
    <w:p>
      <w:pPr>
        <w:jc w:val="both"/>
        <w:ind w:firstLine="757"/>
        <w:spacing w:after="0" w:line="233" w:lineRule="auto"/>
        <w:tabs>
          <w:tab w:leader="none" w:pos="10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financial statements (including the related notes thereto) of the Company and its consolidated subsidiaries included or incorporated by reference in the Registration Statement, the Prospectus and the Time of Sale Information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in the United States applied on a consistent basis throughout the periods covered thereby, except unaudited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Prospectus and the Time of Sale Information has been derived from the accounting records of the Company and its consolidated subsidiaries and presents fairly in all material respects the information shown thereby.</w:t>
      </w:r>
    </w:p>
    <w:p>
      <w:pPr>
        <w:spacing w:after="0" w:line="184"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the date of the most recent financial statements of the Company included or incorporated by reference in the Registration Statement, the Prospectus and the Time of Sale Information, (i) there has not been any material change in the capital stock (other than the issuance of shares of Common Stock upon exercise of stock options and warrants described as outstanding in, and the grant of options and awards under existing equity incentive plans described in, the Registration Statement, the Prospectus and the Time of Sale Information),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spacing w:after="0" w:line="258" w:lineRule="auto"/>
        <w:rPr>
          <w:sz w:val="20"/>
          <w:szCs w:val="20"/>
          <w:color w:val="auto"/>
        </w:rPr>
      </w:pPr>
      <w:r>
        <w:rPr>
          <w:rFonts w:ascii="Times New Roman" w:cs="Times New Roman" w:eastAsia="Times New Roman" w:hAnsi="Times New Roman"/>
          <w:sz w:val="22"/>
          <w:szCs w:val="22"/>
          <w:color w:val="auto"/>
        </w:rPr>
        <w:t>arbitrator or governmental or regulatory authority, except in each case as otherwise disclosed in the Registration Statement, the Prospectus and the Time of Sale Information.</w:t>
      </w:r>
    </w:p>
    <w:p>
      <w:pPr>
        <w:spacing w:after="0" w:line="158" w:lineRule="exact"/>
        <w:rPr>
          <w:sz w:val="20"/>
          <w:szCs w:val="20"/>
          <w:color w:val="auto"/>
        </w:rPr>
      </w:pPr>
    </w:p>
    <w:p>
      <w:pPr>
        <w:jc w:val="both"/>
        <w:ind w:firstLine="757"/>
        <w:spacing w:after="0" w:line="233" w:lineRule="auto"/>
        <w:tabs>
          <w:tab w:leader="none" w:pos="101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Good Standing</w:t>
      </w:r>
      <w:r>
        <w:rPr>
          <w:rFonts w:ascii="Times New Roman" w:cs="Times New Roman" w:eastAsia="Times New Roman" w:hAnsi="Times New Roman"/>
          <w:sz w:val="22"/>
          <w:szCs w:val="22"/>
          <w:color w:val="auto"/>
        </w:rPr>
        <w:t>.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w:t>
      </w:r>
      <w:r>
        <w:rPr>
          <w:rFonts w:ascii="Times New Roman" w:cs="Times New Roman" w:eastAsia="Times New Roman" w:hAnsi="Times New Roman"/>
          <w:sz w:val="22"/>
          <w:szCs w:val="22"/>
          <w:b w:val="1"/>
          <w:bCs w:val="1"/>
          <w:color w:val="auto"/>
        </w:rPr>
        <w:t>Material Adverse Effect</w:t>
      </w:r>
      <w:r>
        <w:rPr>
          <w:rFonts w:ascii="Times New Roman" w:cs="Times New Roman" w:eastAsia="Times New Roman" w:hAnsi="Times New Roman"/>
          <w:sz w:val="22"/>
          <w:szCs w:val="22"/>
          <w:color w:val="auto"/>
        </w:rPr>
        <w:t>”). Except as otherwise disclosed to the Agent, the Company does not own or control, directly or indirectly, any corporation, association or other entity other than the subsidiaries listed in Exhibit 21.1 to the most recent annual report on Form 10-K filed by the Company and incorporated by reference in the Registration Statement, the Prospectus and the Time of Sale Information.</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All the outstanding shares of capital stock of the Company have been duly and validly authorized and issued and are fully paid and non-assessable and are not subject to any preemptive or similar rights that have not been validly waived; except as described in or expressly contemplated by the Registration Statement, the Prospectus and the Time of Sale Information, there are no outstanding rights (including, without limitation, preemptive rights), warrants, restricted stock units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restricted stock units or options; the capital stock of the Company conforms in all material respects to the description thereof contained in the Registration Statement and the Prospectus; and all the outstanding shares of capital stock or other equity interests of each subsidiary owned, directly or indirectly, by the Company have been duly and validly authorized and issued, are fully paid and non-assessable (except, as otherwise described in the Registration Statement, the Prospectus and the Time of Sale Information), and are owned directly or indirectly by the Company, free and clear of any lien, charge, encumbrance, security interest, restriction on voting or transfer or any other claim of any third party.</w:t>
      </w:r>
    </w:p>
    <w:p>
      <w:pPr>
        <w:spacing w:after="0" w:line="179"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With respect to the stock options (the “</w:t>
      </w:r>
      <w:r>
        <w:rPr>
          <w:rFonts w:ascii="Times New Roman" w:cs="Times New Roman" w:eastAsia="Times New Roman" w:hAnsi="Times New Roman"/>
          <w:sz w:val="22"/>
          <w:szCs w:val="22"/>
          <w:b w:val="1"/>
          <w:bCs w:val="1"/>
          <w:color w:val="auto"/>
        </w:rPr>
        <w:t>Stock Options</w:t>
      </w:r>
      <w:r>
        <w:rPr>
          <w:rFonts w:ascii="Times New Roman" w:cs="Times New Roman" w:eastAsia="Times New Roman" w:hAnsi="Times New Roman"/>
          <w:sz w:val="22"/>
          <w:szCs w:val="22"/>
          <w:color w:val="auto"/>
        </w:rPr>
        <w:t>”) granted pursuant to the stock-based compensation plans of the Company and its subsidiaries (the “</w:t>
      </w:r>
      <w:r>
        <w:rPr>
          <w:rFonts w:ascii="Times New Roman" w:cs="Times New Roman" w:eastAsia="Times New Roman" w:hAnsi="Times New Roman"/>
          <w:sz w:val="22"/>
          <w:szCs w:val="22"/>
          <w:b w:val="1"/>
          <w:bCs w:val="1"/>
          <w:color w:val="auto"/>
        </w:rPr>
        <w:t>Company Stock Plans</w:t>
      </w:r>
      <w:r>
        <w:rPr>
          <w:rFonts w:ascii="Times New Roman" w:cs="Times New Roman" w:eastAsia="Times New Roman" w:hAnsi="Times New Roman"/>
          <w:sz w:val="22"/>
          <w:szCs w:val="22"/>
          <w:color w:val="auto"/>
        </w:rPr>
        <w:t>”), (i) to the Company’s knowledge, each Stock Option intended to qualify as an “incentive stock option” under Section 422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so qualifies, (ii) each grant of a Stock Option was duly authorized no later than the date on which the grant of such Stock Option was by its terms to be effective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both"/>
        <w:spacing w:after="0" w:line="238" w:lineRule="auto"/>
        <w:rPr>
          <w:sz w:val="20"/>
          <w:szCs w:val="20"/>
          <w:color w:val="auto"/>
        </w:rPr>
      </w:pPr>
      <w:r>
        <w:rPr>
          <w:rFonts w:ascii="Times New Roman" w:cs="Times New Roman" w:eastAsia="Times New Roman" w:hAnsi="Times New Roman"/>
          <w:sz w:val="22"/>
          <w:szCs w:val="22"/>
          <w:color w:val="auto"/>
        </w:rPr>
        <w:t>such grant (if any) was duly executed by the Company and delivered to the recipient, (iii) each such grant was made in accordance with the terms of the Company Stock Plans and all other applicable laws and regulatory rules or requirements, including the rules of the Principal Market and any other exchange on which Company securities are traded, and (iv) each such grant was properly accounted for in accordance with GAAP in the United States in the financial statements (including the related notes) of the Company.</w:t>
      </w:r>
    </w:p>
    <w:p>
      <w:pPr>
        <w:spacing w:after="0" w:line="177" w:lineRule="exact"/>
        <w:rPr>
          <w:sz w:val="20"/>
          <w:szCs w:val="20"/>
          <w:color w:val="auto"/>
        </w:rPr>
      </w:pPr>
    </w:p>
    <w:p>
      <w:pPr>
        <w:jc w:val="both"/>
        <w:ind w:firstLine="757"/>
        <w:spacing w:after="0" w:line="261" w:lineRule="auto"/>
        <w:tabs>
          <w:tab w:leader="none" w:pos="1018"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Due Authorization</w:t>
      </w:r>
      <w:r>
        <w:rPr>
          <w:rFonts w:ascii="Times New Roman" w:cs="Times New Roman" w:eastAsia="Times New Roman" w:hAnsi="Times New Roman"/>
          <w:sz w:val="21"/>
          <w:szCs w:val="21"/>
          <w:color w:val="auto"/>
        </w:rPr>
        <w:t>. The Company has the requisite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Sales Agreement</w:t>
      </w:r>
      <w:r>
        <w:rPr>
          <w:rFonts w:ascii="Times New Roman" w:cs="Times New Roman" w:eastAsia="Times New Roman" w:hAnsi="Times New Roman"/>
          <w:sz w:val="22"/>
          <w:szCs w:val="22"/>
          <w:color w:val="auto"/>
        </w:rPr>
        <w:t>. This Agreement has been duly authorized, executed and delivered by the Company.</w:t>
      </w:r>
    </w:p>
    <w:p>
      <w:pPr>
        <w:spacing w:after="0" w:line="206" w:lineRule="exact"/>
        <w:rPr>
          <w:sz w:val="20"/>
          <w:szCs w:val="20"/>
          <w:color w:val="auto"/>
        </w:rPr>
      </w:pPr>
    </w:p>
    <w:p>
      <w:pPr>
        <w:jc w:val="both"/>
        <w:ind w:firstLine="757"/>
        <w:spacing w:after="0" w:line="239"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Shares</w:t>
      </w:r>
      <w:r>
        <w:rPr>
          <w:rFonts w:ascii="Times New Roman" w:cs="Times New Roman" w:eastAsia="Times New Roman" w:hAnsi="Times New Roman"/>
          <w:sz w:val="22"/>
          <w:szCs w:val="22"/>
          <w:color w:val="auto"/>
        </w:rPr>
        <w:t>. The Shares to be issued and sold by the Company hereunder, when issued and delivered and paid for as provided herein, will be duly authorized and validly issued, will be fully paid and nonassessable and will conform in all material respects to the descriptions thereof in the Registration Statement, the Prospectus and the Time of Sale Information; and the issuance of the Shares is not subject to any preemptive or similar rights that have not been duly waived or satisfied.</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Descriptions of the Sales Agreement</w:t>
      </w:r>
      <w:r>
        <w:rPr>
          <w:rFonts w:ascii="Times New Roman" w:cs="Times New Roman" w:eastAsia="Times New Roman" w:hAnsi="Times New Roman"/>
          <w:sz w:val="22"/>
          <w:szCs w:val="22"/>
          <w:color w:val="auto"/>
        </w:rPr>
        <w:t>. This Agreement conforms in all material respects to the description thereof contained in the Prospectus and the Time of Sale Information.</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Exchange Listing</w:t>
      </w:r>
      <w:r>
        <w:rPr>
          <w:rFonts w:ascii="Times New Roman" w:cs="Times New Roman" w:eastAsia="Times New Roman" w:hAnsi="Times New Roman"/>
          <w:sz w:val="22"/>
          <w:szCs w:val="22"/>
          <w:color w:val="auto"/>
        </w:rPr>
        <w:t>. The Common Shares are registered pursuant to Section 12(b) of the Exchange Act and are listed on the Nasdaq Global Select Market, and the Company has taken no action designed to, or likely to have the effect of, terminating the registration of the Common Shares under the Exchange Act or delisting the Common Shares from the Nasdaq Global Select Market, nor has the Company received any notification that the Commission or the Nasdaq Global Select Market is contemplating terminating such registration or listing.</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 or Default</w:t>
      </w:r>
      <w:r>
        <w:rPr>
          <w:rFonts w:ascii="Times New Roman" w:cs="Times New Roman" w:eastAsia="Times New Roman" w:hAnsi="Times New Roman"/>
          <w:sz w:val="22"/>
          <w:szCs w:val="22"/>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reasonably be expected to have a Material Adverse Effect.</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the Company of this Agreement, the issuance and sale of the Shares and the consummation of the transactions contemplated by this Agreement will not (i) conflict with or result in a breach or violation of 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jc w:val="both"/>
        <w:spacing w:after="0" w:line="234" w:lineRule="auto"/>
        <w:rPr>
          <w:sz w:val="20"/>
          <w:szCs w:val="20"/>
          <w:color w:val="auto"/>
        </w:rPr>
      </w:pPr>
      <w:r>
        <w:rPr>
          <w:rFonts w:ascii="Times New Roman" w:cs="Times New Roman" w:eastAsia="Times New Roman" w:hAnsi="Times New Roman"/>
          <w:sz w:val="22"/>
          <w:szCs w:val="22"/>
          <w:color w:val="auto"/>
        </w:rPr>
        <w:t>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w:t>
      </w:r>
    </w:p>
    <w:p>
      <w:pPr>
        <w:spacing w:after="0" w:line="183" w:lineRule="exact"/>
        <w:rPr>
          <w:sz w:val="20"/>
          <w:szCs w:val="20"/>
          <w:color w:val="auto"/>
        </w:rPr>
      </w:pPr>
    </w:p>
    <w:p>
      <w:pPr>
        <w:jc w:val="both"/>
        <w:ind w:firstLine="757"/>
        <w:spacing w:after="0" w:line="235" w:lineRule="auto"/>
        <w:tabs>
          <w:tab w:leader="none" w:pos="10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Consents Required</w:t>
      </w:r>
      <w:r>
        <w:rPr>
          <w:rFonts w:ascii="Times New Roman" w:cs="Times New Roman" w:eastAsia="Times New Roman" w:hAnsi="Times New Roman"/>
          <w:sz w:val="22"/>
          <w:szCs w:val="22"/>
          <w:color w:val="auto"/>
        </w:rPr>
        <w:t>. No consent, approval, authorization, order, registration or qualification of or with any court or arbitrator or governmental or regulatory authority is required for the execution, delivery and performance by the Company of this Agreement, the issuance and sale of the Shares and the consummation of the transactions contemplated by this Agreement and by each Prospectus, except for the registration of the Shares under the Securities Act and such consents, approvals, authorizations, orders and registrations or qualifications as may be required by the Financial Industry Regulatory Authority, Inc. (“</w:t>
      </w:r>
      <w:r>
        <w:rPr>
          <w:rFonts w:ascii="Times New Roman" w:cs="Times New Roman" w:eastAsia="Times New Roman" w:hAnsi="Times New Roman"/>
          <w:sz w:val="22"/>
          <w:szCs w:val="22"/>
          <w:b w:val="1"/>
          <w:bCs w:val="1"/>
          <w:color w:val="auto"/>
        </w:rPr>
        <w:t>FINRA</w:t>
      </w:r>
      <w:r>
        <w:rPr>
          <w:rFonts w:ascii="Times New Roman" w:cs="Times New Roman" w:eastAsia="Times New Roman" w:hAnsi="Times New Roman"/>
          <w:sz w:val="22"/>
          <w:szCs w:val="22"/>
          <w:color w:val="auto"/>
        </w:rPr>
        <w:t>”), the Nasdaq Global Select Market or under applicable state securities laws in connection with the sale and distribution of the Shares.</w:t>
      </w:r>
    </w:p>
    <w:p>
      <w:pPr>
        <w:spacing w:after="0" w:line="183"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Proceedings</w:t>
      </w:r>
      <w:r>
        <w:rPr>
          <w:rFonts w:ascii="Times New Roman" w:cs="Times New Roman" w:eastAsia="Times New Roman" w:hAnsi="Times New Roman"/>
          <w:sz w:val="22"/>
          <w:szCs w:val="22"/>
          <w:color w:val="auto"/>
        </w:rPr>
        <w:t>. Except as described in the Registration Statement, the Prospectus, and the Time of Sale Information, there are no legal, governmental or regulatory investigations, actions, demands, claims, suits, arbitrations, inquiries or proceedings (“</w:t>
      </w:r>
      <w:r>
        <w:rPr>
          <w:rFonts w:ascii="Times New Roman" w:cs="Times New Roman" w:eastAsia="Times New Roman" w:hAnsi="Times New Roman"/>
          <w:sz w:val="22"/>
          <w:szCs w:val="22"/>
          <w:b w:val="1"/>
          <w:bCs w:val="1"/>
          <w:color w:val="auto"/>
        </w:rPr>
        <w:t>Actions</w:t>
      </w:r>
      <w:r>
        <w:rPr>
          <w:rFonts w:ascii="Times New Roman" w:cs="Times New Roman" w:eastAsia="Times New Roman" w:hAnsi="Times New Roman"/>
          <w:sz w:val="22"/>
          <w:szCs w:val="22"/>
          <w:color w:val="auto"/>
        </w:rPr>
        <w:t>”) pending to which the Company or any of its subsidiaries is or may be a party or to which any property of the Company or any of its subsidiaries is or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Prospectus, and the Time of Sale Information that are not so described in the Registration Statement, the Prospectus, and the Time of Sale Information and (ii) there are no statutes, regulations or contracts or other documents that are required under the Securities Act to be filed as exhibits to the Registration Statement or described in the Registration Statement, the Prospectus, or the Time of Sale Information that are not so filed as exhibits to the Registration Statement or described in the Registration Statement, the Prospectus, and the Time of Sale Information.</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Accountants</w:t>
      </w:r>
      <w:r>
        <w:rPr>
          <w:rFonts w:ascii="Times New Roman" w:cs="Times New Roman" w:eastAsia="Times New Roman" w:hAnsi="Times New Roman"/>
          <w:sz w:val="22"/>
          <w:szCs w:val="22"/>
          <w:color w:val="auto"/>
        </w:rPr>
        <w:t>. PricewaterhouseCoopers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to Real and Personal Property</w:t>
      </w:r>
      <w:r>
        <w:rPr>
          <w:rFonts w:ascii="Times New Roman" w:cs="Times New Roman" w:eastAsia="Times New Roman" w:hAnsi="Times New Roman"/>
          <w:sz w:val="22"/>
          <w:szCs w:val="22"/>
          <w:color w:val="auto"/>
        </w:rPr>
        <w:t>. The Company and its subsidiaries have good and marketable title in fee simple to, or have valid rights to lease or otherwise use, all items of real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jc w:val="both"/>
        <w:spacing w:after="0" w:line="239" w:lineRule="auto"/>
        <w:rPr>
          <w:sz w:val="20"/>
          <w:szCs w:val="20"/>
          <w:color w:val="auto"/>
        </w:rPr>
      </w:pPr>
      <w:r>
        <w:rPr>
          <w:rFonts w:ascii="Times New Roman" w:cs="Times New Roman" w:eastAsia="Times New Roman" w:hAnsi="Times New Roman"/>
          <w:sz w:val="22"/>
          <w:szCs w:val="22"/>
          <w:color w:val="auto"/>
        </w:rPr>
        <w:t>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(w)</w:t>
      </w:r>
      <w:r>
        <w:rPr>
          <w:rFonts w:ascii="Times New Roman" w:cs="Times New Roman" w:eastAsia="Times New Roman" w:hAnsi="Times New Roman"/>
          <w:sz w:val="21"/>
          <w:szCs w:val="21"/>
          <w:u w:val="single" w:color="auto"/>
          <w:color w:val="auto"/>
        </w:rPr>
        <w:t>Title to Intellectual Property</w:t>
      </w:r>
      <w:r>
        <w:rPr>
          <w:rFonts w:ascii="Times New Roman" w:cs="Times New Roman" w:eastAsia="Times New Roman" w:hAnsi="Times New Roman"/>
          <w:sz w:val="21"/>
          <w:szCs w:val="21"/>
          <w:color w:val="auto"/>
        </w:rPr>
        <w:t>. The Company and its subsidiaries own or license valid and enforceable rights to use all inventions, patent rights, trademarks, service marks, trade names, trade dress, domain names, copyrights, licenses, know-how, trade secrets and other unpatented and/or unpatentable proprietary or confidential information, systems or procedures and all similar intellectual property and proprietary rights (including all registrations and applications for registration of, and all goodwill associated with, any of the foregoing, as applicable) (collectively, “</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described in the Registration Statement, the Prospectus and the Time of Sale Information as being owned by or licensed to the Company and its subsidiaries, and all other Intellectual Property used in or reasonably necessary for the conduct of their business as currently conducted and as proposed to be conducted in the Registration Statement, the Prospectus and the Time of Sale Information. The conduct of the business of the Company and its subsidiaries does not, and the proposed conduct of such business as disclosed in the Registration Statement, the Prospectus and the Time of Sale Information will not, infringe, misappropriate or otherwise violate any Intellectual Property rights of any others. Except as described in the Registration Statement, the Prospectus and the Time of Sale Information, there is no pending or, to the Company’s knowledge, threatened action, suit, proceeding or claim by any others (i) that the Company or any of its subsidiaries infringes, misappropriates or otherwise violates the Intellectual Property of others or</w:t>
      </w:r>
    </w:p>
    <w:p>
      <w:pPr>
        <w:spacing w:after="0" w:line="5" w:lineRule="exact"/>
        <w:rPr>
          <w:sz w:val="20"/>
          <w:szCs w:val="20"/>
          <w:color w:val="auto"/>
        </w:rPr>
      </w:pPr>
    </w:p>
    <w:p>
      <w:pPr>
        <w:jc w:val="both"/>
        <w:ind w:firstLine="8"/>
        <w:spacing w:after="0" w:line="242" w:lineRule="auto"/>
        <w:tabs>
          <w:tab w:leader="none" w:pos="32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challenging the validity, enforceability, scope or ownership of any Intellectual Property owned by or licensed to the Company or any of its subsidiaries or their rights therein. To the knowledge of the Company, no third party has infringed, misappropriated or otherwise violated any Intellectual Property owned by or exclusively licensed to the Company or any of its subsidiaries. To the Company’s knowledge, none of the Intellectual Property used by the Company or any of its subsidiaries in the conduct of its business has been obtained or is being used by the Company or any of its subsidiaries in material violation of any contractual obligation binding on the Company or any of its subsidiaries. Except as set forth in the Registration Statement, the Prospectus and the Time of Sale Information, the Intellectual Property owned by the Company and its subsidiaries is all solely owned by the Company or its subsidiaries free and clear of any liens or encumbrances. To the Company’s knowledge, no trademark, issued patent, pending patent application (if issued), copyright, or trade secret that is described in the Registration Statement, the Prospectus and the Time of Sale Information as being owned by or licensed to the Company or any of its subsidiaries is invalid or unenforceable. Neither the Company nor any of its subsidiaries is subject to any judgment, order, writ, injunction or decree of any court or any federal, state, local, foreign or other governmental department, commission, board, bureau, agency or instrumentality, domestic or foreign, or any arbitrator, nor has it entered into or is a party to any agreement made in settlement of any pending or threatened litigation, which materially restricts or impairs its use of any Intellectual Property. The Company and its subsidiaries have taken all commercially reasonable steps, in accordance with normal industry practice, necessary to maintain the confidentiality of all Intellectual Property the value of which to the Company or any of its subsidiaries is contingent upon maintaining the confidentiality thereof, except as would not reasonably be expected to have a Material Adverse Effect, and neither the Company nor any of its subsidiaries is aware of any material disclosure of such Intellectual Property other than to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jc w:val="both"/>
        <w:spacing w:after="0" w:line="235" w:lineRule="auto"/>
        <w:rPr>
          <w:sz w:val="20"/>
          <w:szCs w:val="20"/>
          <w:color w:val="auto"/>
        </w:rPr>
      </w:pPr>
      <w:r>
        <w:rPr>
          <w:rFonts w:ascii="Times New Roman" w:cs="Times New Roman" w:eastAsia="Times New Roman" w:hAnsi="Times New Roman"/>
          <w:sz w:val="22"/>
          <w:szCs w:val="22"/>
          <w:color w:val="auto"/>
        </w:rPr>
        <w:t>employees, representatives, independent contractors, collaborators, licensors, licensees, agents and advisors of the Company and its subsidiaries, all of whom are bound by written obligations to maintain the confidentiality thereof. All founders, key employees and any other employees involved in the development of Intellectual Property for the Company and its subsidiaries have signed confidentiality and invention assignment agreements or similar agreements for the transfer, assignment, and/or licensing of Intellectual Property with the Company and its subsidiaries pursuant to which the Company and its subsidiaries either (i) have obtained ownership of and are the exclusive owners of or (ii) have obtained a valid and unrestricted right to exploit, sufficient for the conduct of their business, such Intellectual Property.</w:t>
      </w:r>
    </w:p>
    <w:p>
      <w:pPr>
        <w:spacing w:after="0" w:line="183" w:lineRule="exact"/>
        <w:rPr>
          <w:sz w:val="20"/>
          <w:szCs w:val="20"/>
          <w:color w:val="auto"/>
        </w:rPr>
      </w:pPr>
    </w:p>
    <w:p>
      <w:pPr>
        <w:jc w:val="both"/>
        <w:ind w:firstLine="757"/>
        <w:spacing w:after="0" w:line="239" w:lineRule="auto"/>
        <w:tabs>
          <w:tab w:leader="none" w:pos="101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Undisclosed Relationships</w:t>
      </w:r>
      <w:r>
        <w:rPr>
          <w:rFonts w:ascii="Times New Roman" w:cs="Times New Roman" w:eastAsia="Times New Roman" w:hAnsi="Times New Roman"/>
          <w:sz w:val="22"/>
          <w:szCs w:val="22"/>
          <w:color w:val="auto"/>
        </w:rPr>
        <w:t>. 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the Prospectus and the Time of Sale Information and that is not so described in such documents.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Act</w:t>
      </w:r>
      <w:r>
        <w:rPr>
          <w:rFonts w:ascii="Times New Roman" w:cs="Times New Roman" w:eastAsia="Times New Roman" w:hAnsi="Times New Roman"/>
          <w:sz w:val="22"/>
          <w:szCs w:val="22"/>
          <w:color w:val="auto"/>
        </w:rPr>
        <w:t>. The Company is not, and immediately after giving effect to the offering and sale of the Shares and the application of the proceeds thereof as described in the Prospectus will not be, an “investment company” or an entity “controlled” by an “investment company” within the meaning of the Investment Company Act of 1940, as amended, and the rules and regulations of the Commission thereunder (collectively, the “</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its subsidiaries have paid all federal, state, local and foreign taxes and filed all tax returns required to be paid or filed through the date hereof; and except as otherwise disclosed in each of the Registration Statement, the Prospectus and the Time of Sale Information, there is no tax deficiency that has been, or could reasonably be expected to be, asserted against the Company or any of its subsidiaries or any of their respective properties or assets that would reasonably be expected to have a Material Adverse Effect.</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u w:val="single" w:color="auto"/>
          <w:color w:val="auto"/>
        </w:rPr>
        <w:t>Licenses and Permits</w:t>
      </w:r>
      <w:r>
        <w:rPr>
          <w:rFonts w:ascii="Times New Roman" w:cs="Times New Roman" w:eastAsia="Times New Roman" w:hAnsi="Times New Roman"/>
          <w:sz w:val="22"/>
          <w:szCs w:val="22"/>
          <w:color w:val="auto"/>
        </w:rPr>
        <w:t>.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Prospectus and the Time of Sale Information, except where the failure to possess or make the same would not, individually or in the aggregate, reasonably be expected to have a Material Adverse Effect; and except as described in each of the Registration Statement, the Prospectus and the Time of Sale Information, neither the Company nor any of its subsidiaries has received notice of any revocation or material modification of any such license, sub-license, certificate, permit or authorization or has any reason to believe that any such license, sub-license, certificate, permit or authorization will not be renewed in the ordinary course.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(bb)</w:t>
      </w:r>
      <w:r>
        <w:rPr>
          <w:rFonts w:ascii="Times New Roman" w:cs="Times New Roman" w:eastAsia="Times New Roman" w:hAnsi="Times New Roman"/>
          <w:sz w:val="21"/>
          <w:szCs w:val="21"/>
          <w:u w:val="single" w:color="auto"/>
          <w:color w:val="auto"/>
        </w:rPr>
        <w:t>No Labor Disputes</w:t>
      </w:r>
      <w:r>
        <w:rPr>
          <w:rFonts w:ascii="Times New Roman" w:cs="Times New Roman" w:eastAsia="Times New Roman" w:hAnsi="Times New Roman"/>
          <w:sz w:val="21"/>
          <w:szCs w:val="21"/>
          <w:color w:val="auto"/>
        </w:rPr>
        <w:t>.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3" w:name="page234"/>
    <w:bookmarkEnd w:id="233"/>
    <w:p>
      <w:pPr>
        <w:jc w:val="both"/>
        <w:spacing w:after="0" w:line="244" w:lineRule="auto"/>
        <w:rPr>
          <w:sz w:val="20"/>
          <w:szCs w:val="20"/>
          <w:color w:val="auto"/>
        </w:rPr>
      </w:pPr>
      <w:r>
        <w:rPr>
          <w:rFonts w:ascii="Times New Roman" w:cs="Times New Roman" w:eastAsia="Times New Roman" w:hAnsi="Times New Roman"/>
          <w:sz w:val="22"/>
          <w:szCs w:val="22"/>
          <w:color w:val="auto"/>
        </w:rPr>
        <w:t>customers, except as would not reasonably be expected to have a Material Adverse Effect. Neither the Company nor any of its subsidiaries has received any notice of cancellation or termination with respect to any collective bargaining agreement to which it is a party.</w:t>
      </w:r>
    </w:p>
    <w:p>
      <w:pPr>
        <w:spacing w:after="0" w:line="17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(cc)</w:t>
      </w:r>
      <w:r>
        <w:rPr>
          <w:rFonts w:ascii="Times New Roman" w:cs="Times New Roman" w:eastAsia="Times New Roman" w:hAnsi="Times New Roman"/>
          <w:sz w:val="21"/>
          <w:szCs w:val="21"/>
          <w:u w:val="single" w:color="auto"/>
          <w:color w:val="auto"/>
        </w:rPr>
        <w:t>Certain Environmental Laws</w:t>
      </w:r>
      <w:r>
        <w:rPr>
          <w:rFonts w:ascii="Times New Roman" w:cs="Times New Roman" w:eastAsia="Times New Roman" w:hAnsi="Times New Roman"/>
          <w:sz w:val="21"/>
          <w:szCs w:val="21"/>
          <w:color w:val="auto"/>
        </w:rPr>
        <w:t>. (i) The Company and its subsidiaries (x) are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Registration Statement, the Prospectus and the Time of Sale Information, (x) there is no proceeding that is pending, or that is, to the Company’s knowledge,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effect on the capital expenditures, earnings or competitive position of the Company and its subsidiaries, and (z) none of the Company or its subsidiaries anticipates material increase in capital expenditures relating to any Environmental Laws.</w:t>
      </w:r>
    </w:p>
    <w:p>
      <w:pPr>
        <w:spacing w:after="0" w:line="18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(dd)</w:t>
      </w:r>
      <w:r>
        <w:rPr>
          <w:rFonts w:ascii="Times New Roman" w:cs="Times New Roman" w:eastAsia="Times New Roman" w:hAnsi="Times New Roman"/>
          <w:sz w:val="22"/>
          <w:szCs w:val="22"/>
          <w:u w:val="single" w:color="auto"/>
          <w:color w:val="auto"/>
        </w:rPr>
        <w:t>Compliance with ERISA</w:t>
      </w:r>
      <w:r>
        <w:rPr>
          <w:rFonts w:ascii="Times New Roman" w:cs="Times New Roman" w:eastAsia="Times New Roman" w:hAnsi="Times New Roman"/>
          <w:sz w:val="22"/>
          <w:szCs w:val="22"/>
          <w:color w:val="auto"/>
        </w:rPr>
        <w:t>. (i) Each employee benefit plan, within the meaning of Section 3(3) of the Employee Retirement Income Security Act of 1974, as amended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Code) would have any liability (each, a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been maintained in compliance with its terms and the requirements of any applicable statutes, orders, rules and regulations, including but not limited to ERISA and the Code, except for noncompliance that would not reasonably be expected to result in material liability to the Company; (ii) no prohibited transaction, within the meaning of Section 406 of ERISA or Section 4975 of the Code, has occurred with respect to any Plan, excluding transactions effected pursuant to a statutory or administrative exemption that would not reasonably be expected to result in material liability to the Company; (iii) for each Plan that is subject to the funding rules of Section 412 of the Code or Section 302 of ERISA, no Plan has failed (whether or not waived), or is reasonably expected to fail, to satisfy the minimum funding standards (within the meaning 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jc w:val="both"/>
        <w:spacing w:after="0" w:line="243" w:lineRule="auto"/>
        <w:rPr>
          <w:sz w:val="20"/>
          <w:szCs w:val="20"/>
          <w:color w:val="auto"/>
        </w:rPr>
      </w:pPr>
      <w:r>
        <w:rPr>
          <w:rFonts w:ascii="Times New Roman" w:cs="Times New Roman" w:eastAsia="Times New Roman" w:hAnsi="Times New Roman"/>
          <w:sz w:val="21"/>
          <w:szCs w:val="21"/>
          <w:color w:val="auto"/>
        </w:rPr>
        <w:t>Section 302 of ERISA or Section 412 of the Code) applicable to such Plan; (iv) to the knowledge of the Company,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to the knowledge of the Company, is reasonably expected to occur that either has resulted, or would reasonably be expected to result, in material liability to the Company; (vii) each Plan that is intended to be qualified under Section 401(a) of the Code is so qualified, and nothing has occurred, whether by action or by failure to act, which would reasonably be expected to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w:t>
      </w:r>
    </w:p>
    <w:p>
      <w:pPr>
        <w:spacing w:after="0" w:line="4" w:lineRule="exact"/>
        <w:rPr>
          <w:sz w:val="20"/>
          <w:szCs w:val="20"/>
          <w:color w:val="auto"/>
        </w:rPr>
      </w:pPr>
    </w:p>
    <w:p>
      <w:pPr>
        <w:jc w:val="both"/>
        <w:ind w:firstLine="8"/>
        <w:spacing w:after="0" w:line="232" w:lineRule="auto"/>
        <w:tabs>
          <w:tab w:leader="none" w:pos="398"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(ee)</w:t>
      </w:r>
      <w:r>
        <w:rPr>
          <w:rFonts w:ascii="Times New Roman" w:cs="Times New Roman" w:eastAsia="Times New Roman" w:hAnsi="Times New Roman"/>
          <w:sz w:val="22"/>
          <w:szCs w:val="22"/>
          <w:u w:val="single" w:color="auto"/>
          <w:color w:val="auto"/>
        </w:rPr>
        <w:t>Disclosure Controls</w:t>
      </w:r>
      <w:r>
        <w:rPr>
          <w:rFonts w:ascii="Times New Roman" w:cs="Times New Roman" w:eastAsia="Times New Roman" w:hAnsi="Times New Roman"/>
          <w:sz w:val="22"/>
          <w:szCs w:val="22"/>
          <w:color w:val="auto"/>
        </w:rPr>
        <w:t>. Except as disclosed in the Registration Statement, the Prospectus and the Time of Sale Information,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(ff)</w:t>
      </w:r>
      <w:r>
        <w:rPr>
          <w:rFonts w:ascii="Times New Roman" w:cs="Times New Roman" w:eastAsia="Times New Roman" w:hAnsi="Times New Roman"/>
          <w:sz w:val="22"/>
          <w:szCs w:val="22"/>
          <w:u w:val="single" w:color="auto"/>
          <w:color w:val="auto"/>
        </w:rPr>
        <w:t>Accounting Controls</w:t>
      </w:r>
      <w:r>
        <w:rPr>
          <w:rFonts w:ascii="Times New Roman" w:cs="Times New Roman" w:eastAsia="Times New Roman" w:hAnsi="Times New Roman"/>
          <w:sz w:val="22"/>
          <w:szCs w:val="22"/>
          <w:color w:val="auto"/>
        </w:rPr>
        <w:t>. The Company and its subsidiaries maintain systems of “internal control over financial reporting” (as defined in Rule 13a-15(f) of the Exchange Act) that have been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5" w:name="page236"/>
    <w:bookmarkEnd w:id="235"/>
    <w:p>
      <w:pPr>
        <w:jc w:val="both"/>
        <w:spacing w:after="0" w:line="233" w:lineRule="auto"/>
        <w:rPr>
          <w:sz w:val="20"/>
          <w:szCs w:val="20"/>
          <w:color w:val="auto"/>
        </w:rPr>
      </w:pPr>
      <w:r>
        <w:rPr>
          <w:rFonts w:ascii="Times New Roman" w:cs="Times New Roman" w:eastAsia="Times New Roman" w:hAnsi="Times New Roman"/>
          <w:sz w:val="22"/>
          <w:szCs w:val="22"/>
          <w:color w:val="auto"/>
        </w:rPr>
        <w:t>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the Prospectus and the Time of Sale Information fairly presents the information called for in all material respects and is prepared in accordance with the Commission’s rules and guidelines applicable thereto. Except as disclosed in the Registration Statement, the Prospectus and the Time of Sale Information, there are no material weaknesses in the Company’s internal controls. The Company’s auditors and the Audit Committee of the Board of Directors of the Company have been advised of: (i)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(ii) to the knowledge of the Company, any fraud, whether or not material, that involves management or other employees who have a significant role in the Company’s internal controls over financial reporting.</w:t>
      </w:r>
    </w:p>
    <w:p>
      <w:pPr>
        <w:spacing w:after="0" w:line="185"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(gg)</w:t>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The Company and its subsidiaries have insurance covering their respective properties, operations, personnel and businesses, including business interruption insurance, which insurance is in amounts and insures against such losses and risks which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7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(hh)</w:t>
      </w:r>
      <w:r>
        <w:rPr>
          <w:rFonts w:ascii="Times New Roman" w:cs="Times New Roman" w:eastAsia="Times New Roman" w:hAnsi="Times New Roman"/>
          <w:sz w:val="22"/>
          <w:szCs w:val="22"/>
          <w:u w:val="single" w:color="auto"/>
          <w:color w:val="auto"/>
        </w:rPr>
        <w:t>No Unlawful Payments</w:t>
      </w:r>
      <w:r>
        <w:rPr>
          <w:rFonts w:ascii="Times New Roman" w:cs="Times New Roman" w:eastAsia="Times New Roman" w:hAnsi="Times New Roman"/>
          <w:sz w:val="22"/>
          <w:szCs w:val="22"/>
          <w:color w:val="auto"/>
        </w:rPr>
        <w:t>. Neither the Company nor any of its subsidiaries, nor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(ii)</w:t>
      </w:r>
      <w:r>
        <w:rPr>
          <w:rFonts w:ascii="Times New Roman" w:cs="Times New Roman" w:eastAsia="Times New Roman" w:hAnsi="Times New Roman"/>
          <w:sz w:val="21"/>
          <w:szCs w:val="21"/>
          <w:u w:val="single" w:color="auto"/>
          <w:color w:val="auto"/>
        </w:rPr>
        <w:t>Cybersecurity</w:t>
      </w:r>
      <w:r>
        <w:rPr>
          <w:rFonts w:ascii="Times New Roman" w:cs="Times New Roman" w:eastAsia="Times New Roman" w:hAnsi="Times New Roman"/>
          <w:sz w:val="21"/>
          <w:szCs w:val="21"/>
          <w:color w:val="auto"/>
        </w:rPr>
        <w:t>. Except as disclosed in the Registration Statement, the Prospectus and the Time of Sale Information, (i)(x) there has been no security breach or other compromise of or relating to any of the Company’s information technology and computer systems, networks, hardware, software, data (including the data of its customers, employees, suppliers, vendors and any third party data maintained by or on behalf of the Company), equipment or technology (collectively, “</w:t>
      </w:r>
      <w:r>
        <w:rPr>
          <w:rFonts w:ascii="Times New Roman" w:cs="Times New Roman" w:eastAsia="Times New Roman" w:hAnsi="Times New Roman"/>
          <w:sz w:val="21"/>
          <w:szCs w:val="21"/>
          <w:b w:val="1"/>
          <w:bCs w:val="1"/>
          <w:color w:val="auto"/>
        </w:rPr>
        <w:t>IT Systems and Data</w:t>
      </w:r>
      <w:r>
        <w:rPr>
          <w:rFonts w:ascii="Times New Roman" w:cs="Times New Roman" w:eastAsia="Times New Roman" w:hAnsi="Times New Roman"/>
          <w:sz w:val="21"/>
          <w:szCs w:val="21"/>
          <w:color w:val="auto"/>
        </w:rPr>
        <w:t>”) and (y) the Company has not been notified of, and has no knowledge of any event or condition that would reasonably be expected to result in, any security breach or other compromise to its IT Systems and Data; (ii)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clause (i) and (ii), individually or in the aggregate, have a Material Adverse Effect; and (iii) the Company has implemented backup and disaster recovery technology consistent with industry standards and practices.</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(jj)</w:t>
      </w:r>
      <w:r>
        <w:rPr>
          <w:rFonts w:ascii="Times New Roman" w:cs="Times New Roman" w:eastAsia="Times New Roman" w:hAnsi="Times New Roman"/>
          <w:sz w:val="22"/>
          <w:szCs w:val="22"/>
          <w:u w:val="single" w:color="auto"/>
          <w:color w:val="auto"/>
        </w:rPr>
        <w:t>Compliance with Anti-Money Laundering Laws</w:t>
      </w:r>
      <w:r>
        <w:rPr>
          <w:rFonts w:ascii="Times New Roman" w:cs="Times New Roman" w:eastAsia="Times New Roman" w:hAnsi="Times New Roman"/>
          <w:sz w:val="22"/>
          <w:szCs w:val="22"/>
          <w:color w:val="auto"/>
        </w:rPr>
        <w:t>.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color w:val="auto"/>
        </w:rPr>
        <w:t xml:space="preserve">Anti-Money Laundering Laws </w:t>
      </w:r>
      <w:r>
        <w:rPr>
          <w:rFonts w:ascii="Times New Roman" w:cs="Times New Roman" w:eastAsia="Times New Roman" w:hAnsi="Times New Roman"/>
          <w:sz w:val="22"/>
          <w:szCs w:val="22"/>
          <w:color w:val="auto"/>
        </w:rPr>
        <w:t>”), and no action, suit or proceeding by or before any court or governmental agency, authority or body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any arbitrator involving the Company or any of its subsidiaries with respect to the Anti-Money Laundering Laws is pending or, to the knowledge of the Company, threatened.</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(kk)</w:t>
      </w:r>
      <w:r>
        <w:rPr>
          <w:rFonts w:ascii="Times New Roman" w:cs="Times New Roman" w:eastAsia="Times New Roman" w:hAnsi="Times New Roman"/>
          <w:sz w:val="22"/>
          <w:szCs w:val="22"/>
          <w:u w:val="single" w:color="auto"/>
          <w:color w:val="auto"/>
        </w:rPr>
        <w:t>No Conflicts with Sanctions Laws</w:t>
      </w:r>
      <w:r>
        <w:rPr>
          <w:rFonts w:ascii="Times New Roman" w:cs="Times New Roman" w:eastAsia="Times New Roman" w:hAnsi="Times New Roman"/>
          <w:sz w:val="22"/>
          <w:szCs w:val="22"/>
          <w:color w:val="auto"/>
        </w:rPr>
        <w:t>.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nor is the Company or any of its subsidiaries located, organized or resident in a country or territory that is the subject or target of Sanctions, including, without limitation, the so-called Donetsk People’s Republic, or so-called Luhansk People’s Republic or any other Covered Region of Ukraine identified pursuant to Executive Order 14065, and the Crimea region, Cuba, Iran, North Korea and Syria (each, a “</w:t>
      </w:r>
      <w:r>
        <w:rPr>
          <w:rFonts w:ascii="Times New Roman" w:cs="Times New Roman" w:eastAsia="Times New Roman" w:hAnsi="Times New Roman"/>
          <w:sz w:val="22"/>
          <w:szCs w:val="22"/>
          <w:b w:val="1"/>
          <w:bCs w:val="1"/>
          <w:color w:val="auto"/>
        </w:rPr>
        <w:t>Sanctioned Territory</w:t>
      </w:r>
      <w:r>
        <w:rPr>
          <w:rFonts w:ascii="Times New Roman" w:cs="Times New Roman" w:eastAsia="Times New Roman" w:hAnsi="Times New Roman"/>
          <w:sz w:val="22"/>
          <w:szCs w:val="22"/>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Territory or (iii) in any other manner that will result in a violation by any person (including any person participating in the transaction,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7" w:name="page238"/>
    <w:bookmarkEnd w:id="237"/>
    <w:p>
      <w:pPr>
        <w:jc w:val="both"/>
        <w:spacing w:after="0" w:line="244" w:lineRule="auto"/>
        <w:rPr>
          <w:sz w:val="20"/>
          <w:szCs w:val="20"/>
          <w:color w:val="auto"/>
        </w:rPr>
      </w:pPr>
      <w:r>
        <w:rPr>
          <w:rFonts w:ascii="Times New Roman" w:cs="Times New Roman" w:eastAsia="Times New Roman" w:hAnsi="Times New Roman"/>
          <w:sz w:val="22"/>
          <w:szCs w:val="22"/>
          <w:color w:val="auto"/>
        </w:rPr>
        <w:t>whether as agent,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Territory.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(ll)</w:t>
      </w:r>
      <w:r>
        <w:rPr>
          <w:rFonts w:ascii="Times New Roman" w:cs="Times New Roman" w:eastAsia="Times New Roman" w:hAnsi="Times New Roman"/>
          <w:sz w:val="22"/>
          <w:szCs w:val="22"/>
          <w:u w:val="single" w:color="auto"/>
          <w:color w:val="auto"/>
        </w:rPr>
        <w:t>No Restrictions on Subsidiaries</w:t>
      </w:r>
      <w:r>
        <w:rPr>
          <w:rFonts w:ascii="Times New Roman" w:cs="Times New Roman" w:eastAsia="Times New Roman" w:hAnsi="Times New Roman"/>
          <w:sz w:val="22"/>
          <w:szCs w:val="22"/>
          <w:color w:val="auto"/>
        </w:rPr>
        <w: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(mm)</w:t>
      </w:r>
      <w:r>
        <w:rPr>
          <w:rFonts w:ascii="Times New Roman" w:cs="Times New Roman" w:eastAsia="Times New Roman" w:hAnsi="Times New Roman"/>
          <w:sz w:val="22"/>
          <w:szCs w:val="22"/>
          <w:u w:val="single" w:color="auto"/>
          <w:color w:val="auto"/>
        </w:rPr>
        <w:t>No Broker’s Fees</w:t>
      </w:r>
      <w:r>
        <w:rPr>
          <w:rFonts w:ascii="Times New Roman" w:cs="Times New Roman" w:eastAsia="Times New Roman" w:hAnsi="Times New Roman"/>
          <w:sz w:val="22"/>
          <w:szCs w:val="22"/>
          <w:color w:val="auto"/>
        </w:rPr>
        <w:t>. Neither the Company nor any of its subsidiaries is a party to any contract, agreement or understanding with any person (other than this Agreement) that would give rise to a valid claim against any of them for a brokerage commission, finder’s fee or like payment in connection with the transactions contemplated by this Agreement or any Prospectus.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(nn) </w:t>
      </w:r>
      <w:r>
        <w:rPr>
          <w:rFonts w:ascii="Times New Roman" w:cs="Times New Roman" w:eastAsia="Times New Roman" w:hAnsi="Times New Roman"/>
          <w:sz w:val="22"/>
          <w:szCs w:val="22"/>
          <w:u w:val="single" w:color="auto"/>
          <w:color w:val="auto"/>
        </w:rPr>
        <w:t>No Registration Rights</w:t>
      </w:r>
      <w:r>
        <w:rPr>
          <w:rFonts w:ascii="Times New Roman" w:cs="Times New Roman" w:eastAsia="Times New Roman" w:hAnsi="Times New Roman"/>
          <w:sz w:val="22"/>
          <w:szCs w:val="22"/>
          <w:color w:val="auto"/>
        </w:rPr>
        <w:t>. Except as disclosed in the Registration Statement, the Prospectus and the Time of Sale Information, no person has the right to require the Company or any of its subsidiaries to register any securities for sale under the Securities Act by reason of the filing of the Registration Statement with the Commission or the issuance and sale of the Shares, other than rights that have been validly waived.</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(oo)</w:t>
      </w:r>
      <w:r>
        <w:rPr>
          <w:rFonts w:ascii="Times New Roman" w:cs="Times New Roman" w:eastAsia="Times New Roman" w:hAnsi="Times New Roman"/>
          <w:sz w:val="22"/>
          <w:szCs w:val="22"/>
          <w:u w:val="single" w:color="auto"/>
          <w:color w:val="auto"/>
        </w:rPr>
        <w:t>No Stabilization</w:t>
      </w:r>
      <w:r>
        <w:rPr>
          <w:rFonts w:ascii="Times New Roman" w:cs="Times New Roman" w:eastAsia="Times New Roman" w:hAnsi="Times New Roman"/>
          <w:sz w:val="22"/>
          <w:szCs w:val="22"/>
          <w:color w:val="auto"/>
        </w:rPr>
        <w:t>. Neither the Company nor any of its subsidiaries has taken, directly or indirectly, without given effect to activities by the Agent, any action designed to or that would reasonably be expected to cause or result in any stabilization or manipulation of the price of the Shares or any other “</w:t>
      </w:r>
      <w:r>
        <w:rPr>
          <w:rFonts w:ascii="Times New Roman" w:cs="Times New Roman" w:eastAsia="Times New Roman" w:hAnsi="Times New Roman"/>
          <w:sz w:val="22"/>
          <w:szCs w:val="22"/>
          <w:b w:val="1"/>
          <w:bCs w:val="1"/>
          <w:color w:val="auto"/>
        </w:rPr>
        <w:t>reference security</w:t>
      </w:r>
      <w:r>
        <w:rPr>
          <w:rFonts w:ascii="Times New Roman" w:cs="Times New Roman" w:eastAsia="Times New Roman" w:hAnsi="Times New Roman"/>
          <w:sz w:val="22"/>
          <w:szCs w:val="22"/>
          <w:color w:val="auto"/>
        </w:rPr>
        <w:t>” (as defined in Rule 100 of Regulation M under the Exchange Act (</w:t>
      </w:r>
      <w:r>
        <w:rPr>
          <w:rFonts w:ascii="Times New Roman" w:cs="Times New Roman" w:eastAsia="Times New Roman" w:hAnsi="Times New Roman"/>
          <w:sz w:val="22"/>
          <w:szCs w:val="22"/>
          <w:b w:val="1"/>
          <w:bCs w:val="1"/>
          <w:color w:val="auto"/>
        </w:rPr>
        <w:t>“Regulation M”</w:t>
      </w:r>
      <w:r>
        <w:rPr>
          <w:rFonts w:ascii="Times New Roman" w:cs="Times New Roman" w:eastAsia="Times New Roman" w:hAnsi="Times New Roman"/>
          <w:sz w:val="22"/>
          <w:szCs w:val="22"/>
          <w:color w:val="auto"/>
        </w:rPr>
        <w:t>)) whether to facilitate the sale or resale of the Shares or otherwise, and has taken no action which would directly or indirectly violate Regulation M. The Company acknowledges that the Agent may engage in passive market making transactions in the Shares on the Nasdaq Global Select Market in accordance with Regulation M.</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(pp)</w:t>
      </w:r>
      <w:r>
        <w:rPr>
          <w:rFonts w:ascii="Times New Roman" w:cs="Times New Roman" w:eastAsia="Times New Roman" w:hAnsi="Times New Roman"/>
          <w:sz w:val="22"/>
          <w:szCs w:val="22"/>
          <w:u w:val="single" w:color="auto"/>
          <w:color w:val="auto"/>
        </w:rPr>
        <w:t>Margin Rules</w:t>
      </w:r>
      <w:r>
        <w:rPr>
          <w:rFonts w:ascii="Times New Roman" w:cs="Times New Roman" w:eastAsia="Times New Roman" w:hAnsi="Times New Roman"/>
          <w:sz w:val="22"/>
          <w:szCs w:val="22"/>
          <w:color w:val="auto"/>
        </w:rPr>
        <w:t>. Neither the issuance, sale and delivery of the Shares nor the application of the proceeds thereof by the Company as described in each of the Registration Statement, the Prospectus and the Time of Sale Information will violate Regulation T, U or X of the Board of Governors of the Federal Reserve System or any other regulation of such Board of Governors.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(qq)</w:t>
      </w:r>
      <w:r>
        <w:rPr>
          <w:rFonts w:ascii="Times New Roman" w:cs="Times New Roman" w:eastAsia="Times New Roman" w:hAnsi="Times New Roman"/>
          <w:sz w:val="22"/>
          <w:szCs w:val="22"/>
          <w:u w:val="single" w:color="auto"/>
          <w:color w:val="auto"/>
        </w:rPr>
        <w:t>Forward-Looking Statements</w:t>
      </w:r>
      <w:r>
        <w:rPr>
          <w:rFonts w:ascii="Times New Roman" w:cs="Times New Roman" w:eastAsia="Times New Roman" w:hAnsi="Times New Roman"/>
          <w:sz w:val="22"/>
          <w:szCs w:val="22"/>
          <w:color w:val="auto"/>
        </w:rPr>
        <w:t>. No forward-looking statement (within the meaning of Section 27A of the Securities Act and Section 21E of the Exchange Act) included or incorporated by reference in any of the Registration Statement, the Prospectus or the Time of Sale Information has been made or reaffirmed without a reasonable basis or has been disclosed other than in good faith.</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(rr)</w:t>
      </w:r>
      <w:r>
        <w:rPr>
          <w:rFonts w:ascii="Times New Roman" w:cs="Times New Roman" w:eastAsia="Times New Roman" w:hAnsi="Times New Roman"/>
          <w:sz w:val="22"/>
          <w:szCs w:val="22"/>
          <w:u w:val="single" w:color="auto"/>
          <w:color w:val="auto"/>
        </w:rPr>
        <w:t>Statistical and Market Data</w:t>
      </w:r>
      <w:r>
        <w:rPr>
          <w:rFonts w:ascii="Times New Roman" w:cs="Times New Roman" w:eastAsia="Times New Roman" w:hAnsi="Times New Roman"/>
          <w:sz w:val="22"/>
          <w:szCs w:val="22"/>
          <w:color w:val="auto"/>
        </w:rPr>
        <w:t>. Nothing has come to the attention of the Company that has caused the Company to believe that the statistical and market-related data included or incorporated by reference in the Registration Statement, the Prospectus and the Time of Sale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Information is not based on or derived from sources that are reliable and accurate in all material respects.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(ss)</w:t>
      </w:r>
      <w:r>
        <w:rPr>
          <w:rFonts w:ascii="Times New Roman" w:cs="Times New Roman" w:eastAsia="Times New Roman" w:hAnsi="Times New Roman"/>
          <w:sz w:val="22"/>
          <w:szCs w:val="22"/>
          <w:u w:val="single" w:color="auto"/>
          <w:color w:val="auto"/>
        </w:rPr>
        <w:t>eXtensible Business Reporting Language</w:t>
      </w:r>
      <w:r>
        <w:rPr>
          <w:rFonts w:ascii="Times New Roman" w:cs="Times New Roman" w:eastAsia="Times New Roman" w:hAnsi="Times New Roman"/>
          <w:sz w:val="22"/>
          <w:szCs w:val="22"/>
          <w:color w:val="auto"/>
        </w:rPr>
        <w:t>. The interactive data in eXtensible Business Reporting Language included or incorporated by reference in the Registration Statement, the Prospectus and the Time of Sale Information fairly presents the information called for in all material respects and has been prepared in accordance with the Commission’s rules and guidelines applicable thereto.</w:t>
      </w:r>
    </w:p>
    <w:p>
      <w:pPr>
        <w:spacing w:after="0" w:line="18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(tt)</w:t>
      </w:r>
      <w:r>
        <w:rPr>
          <w:rFonts w:ascii="Times New Roman" w:cs="Times New Roman" w:eastAsia="Times New Roman" w:hAnsi="Times New Roman"/>
          <w:sz w:val="22"/>
          <w:szCs w:val="22"/>
          <w:u w:val="single" w:color="auto"/>
          <w:color w:val="auto"/>
        </w:rPr>
        <w:t>Preclinical Studies and Clinical Trials</w:t>
      </w:r>
      <w:r>
        <w:rPr>
          <w:rFonts w:ascii="Times New Roman" w:cs="Times New Roman" w:eastAsia="Times New Roman" w:hAnsi="Times New Roman"/>
          <w:sz w:val="22"/>
          <w:szCs w:val="22"/>
          <w:color w:val="auto"/>
        </w:rPr>
        <w:t>. (i) Except as described in the Registration Statement, the Prospectus and the Time of Sale Information, the preclinical studies and clinical trials conducted by or, to the knowledge of the Company, on behalf of or sponsored by the Company or its subsidiaries, or in which the Company or its subsidiaries have participated, that are described in the Registration Statement, the Prospectus and the Time of Sale Information, or the results of which are referred to in the Registration Statement, the Prospectus and the Time of Sale Information,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U.S. Food and Drug Administration and comparable regulatory agencies outside of the United States to which they are subject, including the European Medicines Agency (collectively, the “</w:t>
      </w:r>
      <w:r>
        <w:rPr>
          <w:rFonts w:ascii="Times New Roman" w:cs="Times New Roman" w:eastAsia="Times New Roman" w:hAnsi="Times New Roman"/>
          <w:sz w:val="22"/>
          <w:szCs w:val="22"/>
          <w:b w:val="1"/>
          <w:bCs w:val="1"/>
          <w:color w:val="auto"/>
        </w:rPr>
        <w:t>Regulatory Authorities</w:t>
      </w:r>
      <w:r>
        <w:rPr>
          <w:rFonts w:ascii="Times New Roman" w:cs="Times New Roman" w:eastAsia="Times New Roman" w:hAnsi="Times New Roman"/>
          <w:sz w:val="22"/>
          <w:szCs w:val="22"/>
          <w:color w:val="auto"/>
        </w:rPr>
        <w:t>”) and Good Clinical Practice and Good Laboratory Practice requirements; (ii) the descriptions in the Registration Statement, the Prospectus and the Time of Sale Information of the results of such studies and trials are accurate and complete descriptions in all material respects and fairly present the data derived therefrom; (iii) the Company has no knowledge of any other studies or trials not described in the Registration Statement, the Prospectus and the Time of Sale Information, the results of which the Company believes are inconsistent with or reasonably call into question the results described or referred to in the Registration Statement, the Prospectus and the Time of Sale Information; (iv) the Company and its subsidiaries have operated at all times and are currently in compliance with all applicable statutes, rules and regulations of the Regulatory Authorities, except where such non-compliance would not, individually or in the aggregate, have a Material Adverse Effect; (v) the Company has provided the Agent with all substantive written notices, correspondence and summaries of all other communications from the Regulatory Authorities; and (vi) neither the Company nor any of its subsidiaries have received any written notices, correspondence or other communications from the Regulatory Authorities or any other governmental agency requiring or threatening the termination, material modification or suspension of any preclinical studies or clinical trials that are described in the Registration Statement, the Prospectus and the Time of Sale Information or the results of which are referred to in the Registration Statement, the Prospectus and the Time of Sale Information, other than ordinary course communications with respect to modifications in connection with the design and implementation of such studies or trials, and, to the Company’s knowledge, there are no reasonable grounds for the same.</w:t>
      </w:r>
    </w:p>
    <w:p>
      <w:pPr>
        <w:spacing w:after="0" w:line="17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(uu)</w:t>
      </w:r>
      <w:r>
        <w:rPr>
          <w:rFonts w:ascii="Times New Roman" w:cs="Times New Roman" w:eastAsia="Times New Roman" w:hAnsi="Times New Roman"/>
          <w:sz w:val="21"/>
          <w:szCs w:val="21"/>
          <w:u w:val="single" w:color="auto"/>
          <w:color w:val="auto"/>
        </w:rPr>
        <w:t>Regulatory Filings</w:t>
      </w:r>
      <w:r>
        <w:rPr>
          <w:rFonts w:ascii="Times New Roman" w:cs="Times New Roman" w:eastAsia="Times New Roman" w:hAnsi="Times New Roman"/>
          <w:sz w:val="21"/>
          <w:szCs w:val="21"/>
          <w:color w:val="auto"/>
        </w:rPr>
        <w:t>. The Company has not failed to file with the Regulatory Authorities any required filing, declaration, listing, registration, report or submission with respect to the Company’s product candidates that are described or referred to in the Registration Statement, the Prospectus and the Time of Sale Information; all such filings, declarations, listings,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9" w:name="page240"/>
    <w:bookmarkEnd w:id="239"/>
    <w:p>
      <w:pPr>
        <w:jc w:val="both"/>
        <w:spacing w:after="0" w:line="244" w:lineRule="auto"/>
        <w:rPr>
          <w:sz w:val="20"/>
          <w:szCs w:val="20"/>
          <w:color w:val="auto"/>
        </w:rPr>
      </w:pPr>
      <w:r>
        <w:rPr>
          <w:rFonts w:ascii="Times New Roman" w:cs="Times New Roman" w:eastAsia="Times New Roman" w:hAnsi="Times New Roman"/>
          <w:sz w:val="22"/>
          <w:szCs w:val="22"/>
          <w:color w:val="auto"/>
        </w:rPr>
        <w:t>registrations, reports or submissions, as applicable, were in material compliance with applicable laws when filed; and no material deficiencies regarding compliance with applicable law have been asserted by any applicable regulatory authority with respect to any such filings, declarations, listings, registrations, reports or submissions.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(vv)</w:t>
      </w:r>
      <w:r>
        <w:rPr>
          <w:rFonts w:ascii="Times New Roman" w:cs="Times New Roman" w:eastAsia="Times New Roman" w:hAnsi="Times New Roman"/>
          <w:sz w:val="22"/>
          <w:szCs w:val="22"/>
          <w:u w:val="single" w:color="auto"/>
          <w:color w:val="auto"/>
        </w:rPr>
        <w:t>Sarbanes-Oxley Act</w:t>
      </w:r>
      <w:r>
        <w:rPr>
          <w:rFonts w:ascii="Times New Roman" w:cs="Times New Roman" w:eastAsia="Times New Roman" w:hAnsi="Times New Roman"/>
          <w:sz w:val="22"/>
          <w:szCs w:val="22"/>
          <w:color w:val="auto"/>
        </w:rPr>
        <w:t>. There is and has been no material failure on the part of the Company or, to the Company’s knowledge,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180"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The Company acknowledges that the Agent and, for purposes of the opinions to be delivered pursuant to Section‎ 4(p) hereof, counsel to the Company and counsel to the Agent, will rely upon the accuracy and truthfulness of the foregoing representations and hereby consents to such 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6439535</wp:posOffset>
            </wp:positionH>
            <wp:positionV relativeFrom="paragraph">
              <wp:posOffset>-343535</wp:posOffset>
            </wp:positionV>
            <wp:extent cx="6915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4">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ISSUANCE AND SALE OF COMMON SHARES</w:t>
      </w:r>
    </w:p>
    <w:p>
      <w:pPr>
        <w:spacing w:after="0" w:line="210" w:lineRule="exact"/>
        <w:rPr>
          <w:sz w:val="20"/>
          <w:szCs w:val="20"/>
          <w:color w:val="auto"/>
        </w:rPr>
      </w:pPr>
    </w:p>
    <w:p>
      <w:pPr>
        <w:jc w:val="both"/>
        <w:ind w:firstLine="757"/>
        <w:spacing w:after="0" w:line="238" w:lineRule="auto"/>
        <w:tabs>
          <w:tab w:leader="none" w:pos="1018"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Sale of Securities</w:t>
      </w:r>
      <w:r>
        <w:rPr>
          <w:rFonts w:ascii="Times New Roman" w:cs="Times New Roman" w:eastAsia="Times New Roman" w:hAnsi="Times New Roman"/>
          <w:sz w:val="22"/>
          <w:szCs w:val="22"/>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Issuances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80" w:hanging="340"/>
        <w:spacing w:after="0"/>
        <w:tabs>
          <w:tab w:leader="none" w:pos="7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Notice</w:t>
      </w:r>
      <w:r>
        <w:rPr>
          <w:rFonts w:ascii="Times New Roman" w:cs="Times New Roman" w:eastAsia="Times New Roman" w:hAnsi="Times New Roman"/>
          <w:sz w:val="22"/>
          <w:szCs w:val="22"/>
          <w:color w:val="auto"/>
        </w:rPr>
        <w:t>. Upon the terms and subject to the conditions set forth herein, on any Trading Day during the Agency</w:t>
      </w:r>
    </w:p>
    <w:p>
      <w:pPr>
        <w:spacing w:after="0" w:line="14" w:lineRule="exact"/>
        <w:rPr>
          <w:rFonts w:ascii="Times New Roman" w:cs="Times New Roman" w:eastAsia="Times New Roman" w:hAnsi="Times New Roman"/>
          <w:sz w:val="22"/>
          <w:szCs w:val="22"/>
          <w:color w:val="auto"/>
        </w:rPr>
      </w:pPr>
    </w:p>
    <w:p>
      <w:pPr>
        <w:jc w:val="both"/>
        <w:spacing w:after="0" w:line="246"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Period on which the conditions set forth in Section‎ 5(a) and Section‎ 5(b) shall have been satisfied, the Company may exercise its right to request an issuance of Shares by delivering to the Agent an Issuance Notice;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Selling Period for any previous Issuance Notice shall have expired or been terminated. An Issuance Notice shall be considered delivered on the Trading Day that it is received by 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mail to the persons so identified in writing by the Agent and confirmed by the Company by telephone (including a voicemail message to the persons so identified), with the understanding that, with adequate prior written notice, the Agent may modify the list of such persons from time to time.</w:t>
      </w:r>
    </w:p>
    <w:p>
      <w:pPr>
        <w:spacing w:after="0" w:line="182" w:lineRule="exact"/>
        <w:rPr>
          <w:rFonts w:ascii="Times New Roman" w:cs="Times New Roman" w:eastAsia="Times New Roman" w:hAnsi="Times New Roman"/>
          <w:sz w:val="22"/>
          <w:szCs w:val="22"/>
          <w:color w:val="auto"/>
        </w:rPr>
      </w:pPr>
    </w:p>
    <w:p>
      <w:pPr>
        <w:ind w:right="20" w:firstLine="440"/>
        <w:spacing w:after="0" w:line="258" w:lineRule="auto"/>
        <w:tabs>
          <w:tab w:leader="none" w:pos="86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 Efforts</w:t>
      </w:r>
      <w:r>
        <w:rPr>
          <w:rFonts w:ascii="Times New Roman" w:cs="Times New Roman" w:eastAsia="Times New Roman" w:hAnsi="Times New Roman"/>
          <w:sz w:val="22"/>
          <w:szCs w:val="22"/>
          <w:color w:val="auto"/>
        </w:rPr>
        <w:t>. Upon the terms and subject to the conditions set forth in this Agreement, upon the receipt of an Issuance Notice, the Agent will use its commercially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-1732915</wp:posOffset>
            </wp:positionV>
            <wp:extent cx="160718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5">
                      <a:extLst>
                        <a:ext uri="{28A0092B-C50C-407E-A947-70E740481C1C}"/>
                      </a:extLst>
                    </a:blip>
                    <a:srcRect/>
                    <a:stretch>
                      <a:fillRect/>
                    </a:stretch>
                  </pic:blipFill>
                  <pic:spPr bwMode="auto">
                    <a:xfrm>
                      <a:off x="0" y="0"/>
                      <a:ext cx="160718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0" w:name="page241"/>
    <w:bookmarkEnd w:id="240"/>
    <w:p>
      <w:pPr>
        <w:jc w:val="both"/>
        <w:spacing w:after="0" w:line="238" w:lineRule="auto"/>
        <w:rPr>
          <w:sz w:val="20"/>
          <w:szCs w:val="20"/>
          <w:color w:val="auto"/>
        </w:rPr>
      </w:pPr>
      <w:r>
        <w:rPr>
          <w:rFonts w:ascii="Times New Roman" w:cs="Times New Roman" w:eastAsia="Times New Roman" w:hAnsi="Times New Roman"/>
          <w:sz w:val="22"/>
          <w:szCs w:val="22"/>
          <w:color w:val="auto"/>
        </w:rPr>
        <w:t>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77" w:lineRule="exact"/>
        <w:rPr>
          <w:sz w:val="20"/>
          <w:szCs w:val="20"/>
          <w:color w:val="auto"/>
        </w:rPr>
      </w:pPr>
    </w:p>
    <w:p>
      <w:pPr>
        <w:jc w:val="both"/>
        <w:ind w:firstLine="440"/>
        <w:spacing w:after="0" w:line="236" w:lineRule="auto"/>
        <w:tabs>
          <w:tab w:leader="none" w:pos="87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Offer and Sale</w:t>
      </w:r>
      <w:r>
        <w:rPr>
          <w:rFonts w:ascii="Times New Roman" w:cs="Times New Roman" w:eastAsia="Times New Roman" w:hAnsi="Times New Roman"/>
          <w:sz w:val="22"/>
          <w:szCs w:val="22"/>
          <w:color w:val="auto"/>
        </w:rPr>
        <w:t>. The Shares may be offered and sold (A) in privately negotiated transactions, (B) as block transactions or (C) by any other method or payment permitted by law deemed to be an “at the market” offering as defined in Rule 415 under the Securities Act, including sales made directly on the Principal Market, sales made into any other existing trading market or sales made to or through a market maker or through an electronic communications network. Nothing in this Agreement shall be deemed to require either party to agree to the method of offer and sale specified in the preceding sentence, and the method of placement of any Shares by the Agent shall be at the Agent’s discretion.</w:t>
      </w:r>
    </w:p>
    <w:p>
      <w:pPr>
        <w:spacing w:after="0" w:line="181" w:lineRule="exact"/>
        <w:rPr>
          <w:rFonts w:ascii="Times New Roman" w:cs="Times New Roman" w:eastAsia="Times New Roman" w:hAnsi="Times New Roman"/>
          <w:sz w:val="22"/>
          <w:szCs w:val="22"/>
          <w:color w:val="auto"/>
        </w:rPr>
      </w:pPr>
    </w:p>
    <w:p>
      <w:pPr>
        <w:jc w:val="both"/>
        <w:ind w:firstLine="440"/>
        <w:spacing w:after="0" w:line="239" w:lineRule="auto"/>
        <w:tabs>
          <w:tab w:leader="none" w:pos="89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to the Company</w:t>
      </w:r>
      <w:r>
        <w:rPr>
          <w:rFonts w:ascii="Times New Roman" w:cs="Times New Roman" w:eastAsia="Times New Roman" w:hAnsi="Times New Roman"/>
          <w:sz w:val="22"/>
          <w:szCs w:val="22"/>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0" w:lineRule="exact"/>
        <w:rPr>
          <w:rFonts w:ascii="Times New Roman" w:cs="Times New Roman" w:eastAsia="Times New Roman" w:hAnsi="Times New Roman"/>
          <w:sz w:val="22"/>
          <w:szCs w:val="22"/>
          <w:color w:val="auto"/>
        </w:rPr>
      </w:pPr>
    </w:p>
    <w:p>
      <w:pPr>
        <w:ind w:left="880" w:hanging="440"/>
        <w:spacing w:after="0"/>
        <w:tabs>
          <w:tab w:leader="none" w:pos="88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Each issuance of Shares will be settled on the applicable Settlement Date for such issuance of Shares and,</w:t>
      </w:r>
    </w:p>
    <w:p>
      <w:pPr>
        <w:spacing w:after="0" w:line="25" w:lineRule="exact"/>
        <w:rPr>
          <w:rFonts w:ascii="Times New Roman" w:cs="Times New Roman" w:eastAsia="Times New Roman" w:hAnsi="Times New Roman"/>
          <w:sz w:val="21"/>
          <w:szCs w:val="21"/>
          <w:color w:val="auto"/>
        </w:rPr>
      </w:pPr>
    </w:p>
    <w:p>
      <w:pPr>
        <w:jc w:val="both"/>
        <w:spacing w:after="0" w:line="23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subject to the provisions of Section‎ 5,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aggregate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22"/>
          <w:szCs w:val="22"/>
          <w:b w:val="1"/>
          <w:bCs w:val="1"/>
          <w:color w:val="auto"/>
        </w:rPr>
        <w:t>Time of Sale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1"/>
          <w:szCs w:val="21"/>
          <w:color w:val="auto"/>
        </w:rPr>
      </w:pPr>
    </w:p>
    <w:p>
      <w:pPr>
        <w:jc w:val="both"/>
        <w:ind w:firstLine="440"/>
        <w:spacing w:after="0" w:line="246" w:lineRule="auto"/>
        <w:tabs>
          <w:tab w:leader="none" w:pos="877"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Suspension or Termination of Sales</w:t>
      </w:r>
      <w:r>
        <w:rPr>
          <w:rFonts w:ascii="Times New Roman" w:cs="Times New Roman" w:eastAsia="Times New Roman" w:hAnsi="Times New Roman"/>
          <w:sz w:val="21"/>
          <w:szCs w:val="21"/>
          <w:color w:val="auto"/>
        </w:rPr>
        <w:t xml:space="preserve">. Consistent with standard market settlement practices, the Company or the Agent may, upon notice to the other party hereto in writing or by telephone (confirmed immediately by verifiable email), suspend any sale of Shares, and the Selling Period shall immediately terminate;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w:t>
      </w:r>
    </w:p>
    <w:p>
      <w:pPr>
        <w:spacing w:after="0" w:line="1"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Company shall still be obligated to comply with Section‎ 3(b)(v)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-2791460</wp:posOffset>
            </wp:positionV>
            <wp:extent cx="5226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7">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-648335</wp:posOffset>
            </wp:positionV>
            <wp:extent cx="8343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8">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1" w:name="page242"/>
    <w:bookmarkEnd w:id="241"/>
    <w:p>
      <w:pPr>
        <w:jc w:val="both"/>
        <w:spacing w:after="0" w:line="244" w:lineRule="auto"/>
        <w:rPr>
          <w:sz w:val="20"/>
          <w:szCs w:val="20"/>
          <w:color w:val="auto"/>
        </w:rPr>
      </w:pPr>
      <w:r>
        <w:rPr>
          <w:rFonts w:ascii="Times New Roman" w:cs="Times New Roman" w:eastAsia="Times New Roman" w:hAnsi="Times New Roman"/>
          <w:sz w:val="22"/>
          <w:szCs w:val="22"/>
          <w:color w:val="auto"/>
        </w:rPr>
        <w:t>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‎Section 3(b)(i).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-34925</wp:posOffset>
            </wp:positionV>
            <wp:extent cx="80391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0">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53" w:lineRule="exact"/>
        <w:rPr>
          <w:sz w:val="20"/>
          <w:szCs w:val="20"/>
          <w:color w:val="auto"/>
        </w:rPr>
      </w:pPr>
    </w:p>
    <w:p>
      <w:pPr>
        <w:jc w:val="both"/>
        <w:ind w:firstLine="440"/>
        <w:spacing w:after="0" w:line="239" w:lineRule="auto"/>
        <w:tabs>
          <w:tab w:leader="none" w:pos="87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Guarantee of Placement, Etc.</w:t>
      </w:r>
      <w:r>
        <w:rPr>
          <w:rFonts w:ascii="Times New Roman" w:cs="Times New Roman" w:eastAsia="Times New Roman" w:hAnsi="Times New Roman"/>
          <w:sz w:val="22"/>
          <w:szCs w:val="22"/>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61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3" w:lineRule="exact"/>
        <w:rPr>
          <w:sz w:val="20"/>
          <w:szCs w:val="20"/>
          <w:color w:val="auto"/>
        </w:rPr>
      </w:pPr>
    </w:p>
    <w:p>
      <w:pPr>
        <w:jc w:val="both"/>
        <w:ind w:firstLine="757"/>
        <w:spacing w:after="0" w:line="244" w:lineRule="auto"/>
        <w:tabs>
          <w:tab w:leader="none" w:pos="101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22"/>
          <w:szCs w:val="22"/>
          <w:u w:val="single" w:color="auto"/>
          <w:color w:val="auto"/>
        </w:rPr>
        <w:t>Section 3(b)(vi))</w:t>
      </w:r>
      <w:r>
        <w:rPr>
          <w:rFonts w:ascii="Times New Roman" w:cs="Times New Roman" w:eastAsia="Times New Roman" w:hAnsi="Times New Roman"/>
          <w:sz w:val="22"/>
          <w:szCs w:val="22"/>
          <w:color w:val="auto"/>
        </w:rPr>
        <w:t xml:space="preserve"> by the Agent deducting the Selling Commission from the applicable Issuance Amount.</w:t>
      </w:r>
    </w:p>
    <w:p>
      <w:pPr>
        <w:spacing w:after="0" w:line="173" w:lineRule="exact"/>
        <w:rPr>
          <w:rFonts w:ascii="Times New Roman" w:cs="Times New Roman" w:eastAsia="Times New Roman" w:hAnsi="Times New Roman"/>
          <w:sz w:val="22"/>
          <w:szCs w:val="22"/>
          <w:color w:val="auto"/>
        </w:rPr>
      </w:pPr>
    </w:p>
    <w:p>
      <w:pPr>
        <w:jc w:val="both"/>
        <w:ind w:firstLine="757"/>
        <w:spacing w:after="0" w:line="243" w:lineRule="auto"/>
        <w:tabs>
          <w:tab w:leader="none" w:pos="1018"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21"/>
          <w:szCs w:val="21"/>
          <w:b w:val="1"/>
          <w:bCs w:val="1"/>
          <w:color w:val="auto"/>
        </w:rPr>
        <w:t>Blue Sky Survey</w:t>
      </w:r>
      <w:r>
        <w:rPr>
          <w:rFonts w:ascii="Times New Roman" w:cs="Times New Roman" w:eastAsia="Times New Roman" w:hAnsi="Times New Roman"/>
          <w:sz w:val="21"/>
          <w:szCs w:val="21"/>
          <w:color w:val="auto"/>
        </w:rPr>
        <w:t>” or memorandum and a “Canadian wrapper”, and any supplements thereto,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2" w:name="page243"/>
    <w:bookmarkEnd w:id="242"/>
    <w:p>
      <w:pPr>
        <w:jc w:val="both"/>
        <w:spacing w:after="0" w:line="244" w:lineRule="auto"/>
        <w:rPr>
          <w:sz w:val="20"/>
          <w:szCs w:val="20"/>
          <w:color w:val="auto"/>
        </w:rPr>
      </w:pPr>
      <w:r>
        <w:rPr>
          <w:rFonts w:ascii="Times New Roman" w:cs="Times New Roman" w:eastAsia="Times New Roman" w:hAnsi="Times New Roman"/>
          <w:sz w:val="22"/>
          <w:szCs w:val="22"/>
          <w:color w:val="auto"/>
        </w:rPr>
        <w:t>lodging expenses of the representatives, employees and officers of the Company and of the Agent and any such consultants, and the cost of any aircraft chartered in connection with the road show and (x) the fees and expenses associated with listing the Shares on the Nasdaq Global Select Market.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4. ADDITIONAL COVENANTS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covenants and agrees with the Agent as follows, in addition to any other covenants and agreements made elsewhere in this Agreement:</w:t>
      </w:r>
    </w:p>
    <w:p>
      <w:pPr>
        <w:spacing w:after="0" w:line="158" w:lineRule="exact"/>
        <w:rPr>
          <w:sz w:val="20"/>
          <w:szCs w:val="20"/>
          <w:color w:val="auto"/>
        </w:rPr>
      </w:pPr>
    </w:p>
    <w:p>
      <w:pPr>
        <w:jc w:val="both"/>
        <w:ind w:firstLine="757"/>
        <w:spacing w:after="0" w:line="234" w:lineRule="auto"/>
        <w:tabs>
          <w:tab w:leader="none" w:pos="101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 Compliance</w:t>
      </w:r>
      <w:r>
        <w:rPr>
          <w:rFonts w:ascii="Times New Roman" w:cs="Times New Roman" w:eastAsia="Times New Roman" w:hAnsi="Times New Roman"/>
          <w:sz w:val="22"/>
          <w:szCs w:val="22"/>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or in such other filing permitted by the Securities Act or Exchange Act (each an “</w:t>
      </w:r>
      <w:r>
        <w:rPr>
          <w:rFonts w:ascii="Times New Roman" w:cs="Times New Roman" w:eastAsia="Times New Roman" w:hAnsi="Times New Roman"/>
          <w:sz w:val="22"/>
          <w:szCs w:val="22"/>
          <w:b w:val="1"/>
          <w:bCs w:val="1"/>
          <w:color w:val="auto"/>
        </w:rPr>
        <w:t>Interim Prospectus Supplement</w:t>
      </w:r>
      <w:r>
        <w:rPr>
          <w:rFonts w:ascii="Times New Roman" w:cs="Times New Roman" w:eastAsia="Times New Roman" w:hAnsi="Times New Roman"/>
          <w:sz w:val="22"/>
          <w:szCs w:val="22"/>
          <w:color w:val="auto"/>
        </w:rPr>
        <w:t xml:space="preserve">”) with such summary information and, at least once a quarter and subject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file such Interim Prospectus Supplement pursuant to Rule 424(b) under the Securities Act (and within the time periods required by Rule 424(b) and Rule 430B under the Securities Act)).</w:t>
      </w:r>
    </w:p>
    <w:p>
      <w:pPr>
        <w:spacing w:after="0" w:line="183"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Act Compliance</w:t>
      </w:r>
      <w:r>
        <w:rPr>
          <w:rFonts w:ascii="Times New Roman" w:cs="Times New Roman" w:eastAsia="Times New Roman" w:hAnsi="Times New Roman"/>
          <w:sz w:val="22"/>
          <w:szCs w:val="22"/>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79"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and Supplements to the Prospectus and Other Securities Act Matters</w:t>
      </w:r>
      <w:r>
        <w:rPr>
          <w:rFonts w:ascii="Times New Roman" w:cs="Times New Roman" w:eastAsia="Times New Roman" w:hAnsi="Times New Roman"/>
          <w:sz w:val="22"/>
          <w:szCs w:val="22"/>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3" w:name="page244"/>
    <w:bookmarkEnd w:id="243"/>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opinion of the Agent or counsel for the Agent it is otherwise necessary to amend or supplement the Prospectus to comply with applicable law, including the Securities Act, the Company agrees (subject to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cs="Times New Roman" w:eastAsia="Times New Roman" w:hAnsi="Times New Roman"/>
          <w:sz w:val="22"/>
          <w:szCs w:val="22"/>
          <w:u w:val="single" w:color="auto"/>
          <w:color w:val="auto"/>
        </w:rPr>
        <w:t>Sections 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57"/>
        <w:spacing w:after="0" w:line="245" w:lineRule="auto"/>
        <w:tabs>
          <w:tab w:leader="none" w:pos="101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Agent’s Review of Proposed Amendments and Supplements</w:t>
      </w:r>
      <w:r>
        <w:rPr>
          <w:rFonts w:ascii="Times New Roman" w:cs="Times New Roman" w:eastAsia="Times New Roman" w:hAnsi="Times New Roman"/>
          <w:sz w:val="21"/>
          <w:szCs w:val="21"/>
          <w:color w:val="auto"/>
        </w:rPr>
        <w:t>. Prior to amending or supplementing the Registration Statement (including any Rule 462(b) Registration Statement) under the Securities Act, but excluding (i) documents incorporated by reference filed under the Exchange Act that either (A) do not name Agent and do not relate to the transactions contemplated by this Agreement or (B) only include disclosure relating to periodic sales pursuant to this Agreement, and (ii) amendments or supplements that do not name Agent and do not relate to the transactions contemplated by this Agreement) or the Prospectus (excluding documents incorporated by reference filed under the Exchange Act that either (A) do not name Agent and do not relate to the transactions contemplated by this Agreement or (B) only include disclosure relating to periodic sales pursuant to this Agreement),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77" w:lineRule="exact"/>
        <w:rPr>
          <w:rFonts w:ascii="Times New Roman" w:cs="Times New Roman" w:eastAsia="Times New Roman" w:hAnsi="Times New Roman"/>
          <w:sz w:val="21"/>
          <w:szCs w:val="21"/>
          <w:color w:val="auto"/>
        </w:rPr>
      </w:pPr>
    </w:p>
    <w:p>
      <w:pPr>
        <w:jc w:val="both"/>
        <w:ind w:firstLine="757"/>
        <w:spacing w:after="0" w:line="255" w:lineRule="auto"/>
        <w:tabs>
          <w:tab w:leader="none" w:pos="101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Free Writing Prospectus</w:t>
      </w:r>
      <w:r>
        <w:rPr>
          <w:rFonts w:ascii="Times New Roman" w:cs="Times New Roman" w:eastAsia="Times New Roman" w:hAnsi="Times New Roman"/>
          <w:sz w:val="21"/>
          <w:szCs w:val="21"/>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21"/>
          <w:szCs w:val="21"/>
          <w:b w:val="1"/>
          <w:bCs w:val="1"/>
          <w:color w:val="auto"/>
        </w:rPr>
        <w:t>Free Writing Prospectus</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auto"/>
        </w:rPr>
      </w:pPr>
    </w:p>
    <w:p>
      <w:pPr>
        <w:jc w:val="both"/>
        <w:ind w:firstLine="757"/>
        <w:spacing w:after="0" w:line="234" w:lineRule="auto"/>
        <w:tabs>
          <w:tab w:leader="none" w:pos="101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Free Writing Prospectuses</w:t>
      </w:r>
      <w:r>
        <w:rPr>
          <w:rFonts w:ascii="Times New Roman" w:cs="Times New Roman" w:eastAsia="Times New Roman" w:hAnsi="Times New Roman"/>
          <w:sz w:val="22"/>
          <w:szCs w:val="22"/>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4" w:name="page245"/>
    <w:bookmarkEnd w:id="244"/>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83" w:lineRule="exact"/>
        <w:rPr>
          <w:sz w:val="20"/>
          <w:szCs w:val="20"/>
          <w:color w:val="auto"/>
        </w:rPr>
      </w:pPr>
    </w:p>
    <w:p>
      <w:pPr>
        <w:jc w:val="both"/>
        <w:ind w:firstLine="757"/>
        <w:spacing w:after="0" w:line="244" w:lineRule="auto"/>
        <w:tabs>
          <w:tab w:leader="none" w:pos="101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of Agent Free Writing Prospectuses</w:t>
      </w:r>
      <w:r>
        <w:rPr>
          <w:rFonts w:ascii="Times New Roman" w:cs="Times New Roman" w:eastAsia="Times New Roman" w:hAnsi="Times New Roman"/>
          <w:sz w:val="22"/>
          <w:szCs w:val="22"/>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3" w:lineRule="exact"/>
        <w:rPr>
          <w:rFonts w:ascii="Times New Roman" w:cs="Times New Roman" w:eastAsia="Times New Roman" w:hAnsi="Times New Roman"/>
          <w:sz w:val="22"/>
          <w:szCs w:val="22"/>
          <w:color w:val="auto"/>
        </w:rPr>
      </w:pPr>
    </w:p>
    <w:p>
      <w:pPr>
        <w:jc w:val="both"/>
        <w:ind w:firstLine="757"/>
        <w:spacing w:after="0" w:line="243" w:lineRule="auto"/>
        <w:tabs>
          <w:tab w:leader="none" w:pos="101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Copies of Registration Statement and Prospectus</w:t>
      </w:r>
      <w:r>
        <w:rPr>
          <w:rFonts w:ascii="Times New Roman" w:cs="Times New Roman" w:eastAsia="Times New Roman" w:hAnsi="Times New Roman"/>
          <w:sz w:val="21"/>
          <w:szCs w:val="21"/>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Selling Period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(it being acknowledged that the Company may delay the filing of any amendment or supplement, if, in the judgment of the Company, it is in the best interest of the Company); provided, however, that if during such same period the Agent is required to deliver a prospectus in respect of transactions in the Shares, the Company shall promptly prepare and file with the Commission such an amendment or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5" w:name="page246"/>
    <w:bookmarkEnd w:id="245"/>
    <w:p>
      <w:pPr>
        <w:jc w:val="both"/>
        <w:ind w:firstLine="757"/>
        <w:spacing w:after="0" w:line="234"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Sky Compliance</w:t>
      </w:r>
      <w:r>
        <w:rPr>
          <w:rFonts w:ascii="Times New Roman" w:cs="Times New Roman" w:eastAsia="Times New Roman" w:hAnsi="Times New Roman"/>
          <w:sz w:val="22"/>
          <w:szCs w:val="22"/>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79"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Statement</w:t>
      </w:r>
      <w:r>
        <w:rPr>
          <w:rFonts w:ascii="Times New Roman" w:cs="Times New Roman" w:eastAsia="Times New Roman" w:hAnsi="Times New Roman"/>
          <w:sz w:val="22"/>
          <w:szCs w:val="22"/>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provided that the Company will be deemed to have furnished such statements to its security holders and the Agent to the extent they are filed on EDGAR or any successor system.</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 Reservation of Shares</w:t>
      </w:r>
      <w:r>
        <w:rPr>
          <w:rFonts w:ascii="Times New Roman" w:cs="Times New Roman" w:eastAsia="Times New Roman" w:hAnsi="Times New Roman"/>
          <w:sz w:val="22"/>
          <w:szCs w:val="22"/>
          <w:color w:val="auto"/>
        </w:rPr>
        <w:t>. (a) The Company will maintain the listing of the Shares on the Nasdaq Global Select Market, and (b) the Company will reserve and keep available at all times, free of preemptive rights, Shares for the purpose of enabling the Company to satisfy its obligations under this Agreement.</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The Company shall engage and maintain, at its expense, a registrar and transfer agent for the Shares.</w:t>
      </w:r>
    </w:p>
    <w:p>
      <w:pPr>
        <w:spacing w:after="0" w:line="21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Due Diligence</w:t>
      </w:r>
      <w:r>
        <w:rPr>
          <w:rFonts w:ascii="Times New Roman" w:cs="Times New Roman" w:eastAsia="Times New Roman" w:hAnsi="Times New Roman"/>
          <w:sz w:val="22"/>
          <w:szCs w:val="22"/>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0" w:lineRule="exact"/>
        <w:rPr>
          <w:sz w:val="20"/>
          <w:szCs w:val="20"/>
          <w:color w:val="auto"/>
        </w:rPr>
      </w:pPr>
    </w:p>
    <w:p>
      <w:pPr>
        <w:jc w:val="both"/>
        <w:ind w:firstLine="757"/>
        <w:spacing w:after="0" w:line="234" w:lineRule="auto"/>
        <w:tabs>
          <w:tab w:leader="none" w:pos="101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6" w:name="page247"/>
    <w:bookmarkEnd w:id="246"/>
    <w:p>
      <w:pPr>
        <w:ind w:firstLine="757"/>
        <w:spacing w:after="0" w:line="258" w:lineRule="auto"/>
        <w:tabs>
          <w:tab w:leader="none" w:pos="101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Deliverables at Triggering Event Dates; Certificates.</w:t>
      </w:r>
      <w:r>
        <w:rPr>
          <w:rFonts w:ascii="Times New Roman" w:cs="Times New Roman" w:eastAsia="Times New Roman" w:hAnsi="Times New Roman"/>
          <w:sz w:val="22"/>
          <w:szCs w:val="22"/>
          <w:color w:val="auto"/>
        </w:rPr>
        <w:t xml:space="preserve"> The Company agrees that on or prior to the date of the first Issuance Notice and, during the term of this Agreement after the date of the first Issuance Notice, upon:</w:t>
      </w:r>
    </w:p>
    <w:p>
      <w:pPr>
        <w:spacing w:after="0" w:line="158" w:lineRule="exact"/>
        <w:rPr>
          <w:rFonts w:ascii="Times New Roman" w:cs="Times New Roman" w:eastAsia="Times New Roman" w:hAnsi="Times New Roman"/>
          <w:sz w:val="22"/>
          <w:szCs w:val="22"/>
          <w:color w:val="auto"/>
        </w:rPr>
      </w:pPr>
    </w:p>
    <w:p>
      <w:pPr>
        <w:jc w:val="both"/>
        <w:ind w:firstLine="872"/>
        <w:spacing w:after="0" w:line="239" w:lineRule="auto"/>
        <w:tabs>
          <w:tab w:leader="none" w:pos="1296"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of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207" w:lineRule="exact"/>
        <w:rPr>
          <w:rFonts w:ascii="Times New Roman" w:cs="Times New Roman" w:eastAsia="Times New Roman" w:hAnsi="Times New Roman"/>
          <w:sz w:val="22"/>
          <w:szCs w:val="22"/>
          <w:color w:val="auto"/>
        </w:rPr>
      </w:pPr>
    </w:p>
    <w:p>
      <w:pPr>
        <w:jc w:val="both"/>
        <w:ind w:firstLine="872"/>
        <w:spacing w:after="0" w:line="244" w:lineRule="auto"/>
        <w:tabs>
          <w:tab w:leader="none" w:pos="1296"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200" w:lineRule="exact"/>
        <w:rPr>
          <w:rFonts w:ascii="Times New Roman" w:cs="Times New Roman" w:eastAsia="Times New Roman" w:hAnsi="Times New Roman"/>
          <w:sz w:val="22"/>
          <w:szCs w:val="22"/>
          <w:color w:val="auto"/>
        </w:rPr>
      </w:pPr>
    </w:p>
    <w:p>
      <w:pPr>
        <w:jc w:val="both"/>
        <w:ind w:firstLine="872"/>
        <w:spacing w:after="0" w:line="238" w:lineRule="auto"/>
        <w:tabs>
          <w:tab w:leader="none" w:pos="1296"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(any such event, a “</w:t>
      </w:r>
      <w:r>
        <w:rPr>
          <w:rFonts w:ascii="Times New Roman" w:cs="Times New Roman" w:eastAsia="Times New Roman" w:hAnsi="Times New Roman"/>
          <w:sz w:val="22"/>
          <w:szCs w:val="22"/>
          <w:b w:val="1"/>
          <w:bCs w:val="1"/>
          <w:color w:val="auto"/>
        </w:rPr>
        <w:t>Triggering Event Date</w:t>
      </w:r>
      <w:r>
        <w:rPr>
          <w:rFonts w:ascii="Times New Roman" w:cs="Times New Roman" w:eastAsia="Times New Roman" w:hAnsi="Times New Roman"/>
          <w:sz w:val="22"/>
          <w:szCs w:val="22"/>
          <w:color w:val="auto"/>
        </w:rPr>
        <w:t>”), the Company shall furnish the Agent (but in the case of clause (iii)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that the Company has performed all of its obligations hereunder to be performed on or prior to the date of such certificate and as to the matters set forth in ‎Section 5(a)(i)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5668645</wp:posOffset>
            </wp:positionH>
            <wp:positionV relativeFrom="paragraph">
              <wp:posOffset>-21590</wp:posOffset>
            </wp:positionV>
            <wp:extent cx="7956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6">
                      <a:extLst>
                        <a:ext uri="{28A0092B-C50C-407E-A947-70E740481C1C}"/>
                      </a:extLst>
                    </a:blip>
                    <a:srcRect/>
                    <a:stretch>
                      <a:fillRect/>
                    </a:stretch>
                  </pic:blipFill>
                  <pic:spPr bwMode="auto">
                    <a:xfrm>
                      <a:off x="0" y="0"/>
                      <a:ext cx="795655" cy="8255"/>
                    </a:xfrm>
                    <a:prstGeom prst="rect">
                      <a:avLst/>
                    </a:prstGeom>
                    <a:noFill/>
                  </pic:spPr>
                </pic:pic>
              </a:graphicData>
            </a:graphic>
          </wp:anchor>
        </w:drawing>
      </w:r>
    </w:p>
    <w:p>
      <w:pPr>
        <w:jc w:val="both"/>
        <w:ind w:firstLine="8"/>
        <w:spacing w:after="0" w:line="232" w:lineRule="auto"/>
        <w:tabs>
          <w:tab w:leader="none" w:pos="35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containing any other certification that the Agent shall reasonably request. The requirement to provide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shall be waived for any Triggering Event Date occurring at a time when no Issuance Notice is pending or a suspension pursuant to </w:t>
      </w:r>
      <w:r>
        <w:rPr>
          <w:rFonts w:ascii="Times New Roman" w:cs="Times New Roman" w:eastAsia="Times New Roman" w:hAnsi="Times New Roman"/>
          <w:sz w:val="22"/>
          <w:szCs w:val="22"/>
          <w:u w:val="single" w:color="auto"/>
          <w:color w:val="auto"/>
        </w:rPr>
        <w:t>Section 3(b)(vi)</w:t>
      </w:r>
      <w:r>
        <w:rPr>
          <w:rFonts w:ascii="Times New Roman" w:cs="Times New Roman" w:eastAsia="Times New Roman" w:hAnsi="Times New Roman"/>
          <w:sz w:val="22"/>
          <w:szCs w:val="22"/>
          <w:color w:val="auto"/>
        </w:rPr>
        <w:t xml:space="preserve">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dated as of the date that the instructions for the sale of Shares are issued.</w:t>
      </w:r>
    </w:p>
    <w:p>
      <w:pPr>
        <w:spacing w:after="0" w:line="178"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xml:space="preserve"> On or prior to the date of the first Issuance Notice and within five (5) Trading Days of each Triggering Event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for which no waiver is applicable and excluding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date of this Agreement, a negative assurances letter and the written legal opinion of Wilmer Cutler Pickering Hale and Dorr LLP, counsel to the Company, and the written legal opinions of McCarter &amp; English, LLP and Knobbe, Martens, Olson &amp; Bear, LLP, intellectual property counsels to the Company, or if one or more of such intellectual property counsel are no longer counsel to the Company, the opinion of such other intellectual property counsel to the Company reasonably satisfactory to the Agent,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be required to furnish no more than one opinion from each of Company’s counsel per fiscal quarter.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85" w:lineRule="exact"/>
        <w:rPr>
          <w:sz w:val="20"/>
          <w:szCs w:val="20"/>
          <w:color w:val="auto"/>
        </w:rPr>
      </w:pPr>
    </w:p>
    <w:p>
      <w:pPr>
        <w:jc w:val="both"/>
        <w:ind w:firstLine="757"/>
        <w:spacing w:after="0" w:line="245" w:lineRule="auto"/>
        <w:tabs>
          <w:tab w:leader="none" w:pos="1018"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Comfort Letter</w:t>
      </w:r>
      <w:r>
        <w:rPr>
          <w:rFonts w:ascii="Times New Roman" w:cs="Times New Roman" w:eastAsia="Times New Roman" w:hAnsi="Times New Roman"/>
          <w:sz w:val="21"/>
          <w:szCs w:val="21"/>
          <w:color w:val="auto"/>
        </w:rPr>
        <w:t xml:space="preserve">. On or prior to the date of the first Issuance Notice and within five (5) Trading Days of each Triggering Event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further that the Company shall be required to furnish no more than one comfort letter per fiscal quarter. If requested by the Agent, the Company shall also cause a comfort letter to be furnished to the Agent on the date of occurrence of any material transaction or event requiring the filing of a current report on Form 8-K containing material amended financial information of the Company, including the restatement of the Company’s financial statements.</w:t>
      </w:r>
    </w:p>
    <w:p>
      <w:pPr>
        <w:spacing w:after="0" w:line="173" w:lineRule="exact"/>
        <w:rPr>
          <w:rFonts w:ascii="Times New Roman" w:cs="Times New Roman" w:eastAsia="Times New Roman" w:hAnsi="Times New Roman"/>
          <w:sz w:val="21"/>
          <w:szCs w:val="21"/>
          <w:color w:val="auto"/>
        </w:rPr>
      </w:pPr>
    </w:p>
    <w:p>
      <w:pPr>
        <w:jc w:val="both"/>
        <w:ind w:firstLine="440"/>
        <w:spacing w:after="0" w:line="234" w:lineRule="auto"/>
        <w:tabs>
          <w:tab w:leader="none" w:pos="94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 xml:space="preserve">. On or prior to the date of the first Issuance Notice and within five (5) Trading Days of each Triggering Event Date with respect to which the Company is obligated to deliver a certificate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for which no waiver is applicable and excluding the date of this Agreement, the Company shall furnish the Agent a certificate executed by the Secretary of the Company, signing in such capacity, dated the Applicable Time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or its counsel shall reasonably request.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8" w:name="page249"/>
    <w:bookmarkEnd w:id="248"/>
    <w:p>
      <w:pPr>
        <w:jc w:val="both"/>
        <w:ind w:firstLine="757"/>
        <w:spacing w:after="0" w:line="249" w:lineRule="auto"/>
        <w:tabs>
          <w:tab w:leader="none" w:pos="1018"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Officer’s Certificate</w:t>
      </w:r>
      <w:r>
        <w:rPr>
          <w:rFonts w:ascii="Times New Roman" w:cs="Times New Roman" w:eastAsia="Times New Roman" w:hAnsi="Times New Roman"/>
          <w:sz w:val="21"/>
          <w:szCs w:val="21"/>
          <w:color w:val="auto"/>
        </w:rPr>
        <w:t xml:space="preserve">. On or prior to the date of the first Issuance Notice and within five (5) Trading Days of each Triggering Event Date with respect to which the Company is obligated to deliver a certificate pursuant to </w:t>
      </w:r>
      <w:r>
        <w:rPr>
          <w:rFonts w:ascii="Times New Roman" w:cs="Times New Roman" w:eastAsia="Times New Roman" w:hAnsi="Times New Roman"/>
          <w:sz w:val="21"/>
          <w:szCs w:val="21"/>
          <w:u w:val="single" w:color="auto"/>
          <w:color w:val="auto"/>
        </w:rPr>
        <w:t>Section 4(o)</w:t>
      </w:r>
      <w:r>
        <w:rPr>
          <w:rFonts w:ascii="Times New Roman" w:cs="Times New Roman" w:eastAsia="Times New Roman" w:hAnsi="Times New Roman"/>
          <w:sz w:val="21"/>
          <w:szCs w:val="21"/>
          <w:color w:val="auto"/>
        </w:rPr>
        <w:t xml:space="preserve"> for which no waiver is applicable and excluding the date of this Agreement, the Company shall furnish the Agent a certificate executed by the Chief Executive Officer, President or Chief Financial Officer of the Company, signing in such capacity, dated the Applicable Time to the effect that all conditions to the delivery of the applicable Issuance Notice shall have been satisfied as at the date of such certificate (which certificate shall not be required if the foregoing representations shall be set forth in the Issuance Notice)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21"/>
          <w:szCs w:val="21"/>
          <w:color w:val="auto"/>
        </w:rPr>
      </w:pPr>
    </w:p>
    <w:p>
      <w:pPr>
        <w:jc w:val="both"/>
        <w:ind w:firstLine="757"/>
        <w:spacing w:after="0" w:line="244"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Agent’s Own Account; Clients’ Account</w:t>
      </w:r>
      <w:r>
        <w:rPr>
          <w:rFonts w:ascii="Times New Roman" w:cs="Times New Roman" w:eastAsia="Times New Roman" w:hAnsi="Times New Roman"/>
          <w:sz w:val="22"/>
          <w:szCs w:val="22"/>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Limitation</w:t>
      </w:r>
      <w:r>
        <w:rPr>
          <w:rFonts w:ascii="Times New Roman" w:cs="Times New Roman" w:eastAsia="Times New Roman" w:hAnsi="Times New Roman"/>
          <w:sz w:val="22"/>
          <w:szCs w:val="22"/>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Activities</w:t>
      </w:r>
      <w:r>
        <w:rPr>
          <w:rFonts w:ascii="Times New Roman" w:cs="Times New Roman" w:eastAsia="Times New Roman" w:hAnsi="Times New Roman"/>
          <w:sz w:val="22"/>
          <w:szCs w:val="22"/>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22"/>
          <w:szCs w:val="22"/>
          <w:b w:val="1"/>
          <w:bCs w:val="1"/>
          <w:color w:val="auto"/>
        </w:rPr>
        <w:t>Rule 102</w:t>
      </w:r>
      <w:r>
        <w:rPr>
          <w:rFonts w:ascii="Times New Roman" w:cs="Times New Roman" w:eastAsia="Times New Roman" w:hAnsi="Times New Roman"/>
          <w:sz w:val="22"/>
          <w:szCs w:val="22"/>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If the exemptive provisions set forth in Rule 101(c)(1) of Regulation M under the 1934 Act are not satisfied with respect to the Company or the Shares, the Company shall promptly notify the Agent.</w:t>
      </w:r>
    </w:p>
    <w:p>
      <w:pPr>
        <w:spacing w:after="0" w:line="183"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Other Sale.</w:t>
      </w:r>
      <w:r>
        <w:rPr>
          <w:rFonts w:ascii="Times New Roman" w:cs="Times New Roman" w:eastAsia="Times New Roman" w:hAnsi="Times New Roman"/>
          <w:sz w:val="22"/>
          <w:szCs w:val="22"/>
          <w:color w:val="auto"/>
        </w:rPr>
        <w:t xml:space="preserve">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provided, however, that such restriction will not be required in connection with (i) the Company’s issuance or sale of Common Shares, options to purchase Common Shares or Common Shares issuable upon the exercise of options granted under Company Stock Plans or warrants described as outstanding in the Registration Statement, the Prospectus and the Time of Sale Information, (ii) any options and other awards granted under Company Stock Plans described in the Registration Statement, the Prospectus and the Time of Sale Information, and (iii) shares of Stock or other securities issued in connection with a transaction with an unaffiliated third party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9" w:name="page250"/>
    <w:bookmarkEnd w:id="249"/>
    <w:p>
      <w:pPr>
        <w:jc w:val="both"/>
        <w:spacing w:after="0" w:line="244" w:lineRule="auto"/>
        <w:rPr>
          <w:sz w:val="20"/>
          <w:szCs w:val="20"/>
          <w:color w:val="auto"/>
        </w:rPr>
      </w:pPr>
      <w:r>
        <w:rPr>
          <w:rFonts w:ascii="Times New Roman" w:cs="Times New Roman" w:eastAsia="Times New Roman" w:hAnsi="Times New Roman"/>
          <w:sz w:val="22"/>
          <w:szCs w:val="22"/>
          <w:color w:val="auto"/>
        </w:rPr>
        <w:t>that includes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w:t>
      </w:r>
    </w:p>
    <w:p>
      <w:pPr>
        <w:spacing w:after="0" w:line="16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(w)If immediately prior to the third anniversary (the “</w:t>
      </w:r>
      <w:r>
        <w:rPr>
          <w:rFonts w:ascii="Times New Roman" w:cs="Times New Roman" w:eastAsia="Times New Roman" w:hAnsi="Times New Roman"/>
          <w:sz w:val="22"/>
          <w:szCs w:val="22"/>
          <w:b w:val="1"/>
          <w:bCs w:val="1"/>
          <w:color w:val="auto"/>
        </w:rPr>
        <w:t>Renewal Deadline</w:t>
      </w:r>
      <w:r>
        <w:rPr>
          <w:rFonts w:ascii="Times New Roman" w:cs="Times New Roman" w:eastAsia="Times New Roman" w:hAnsi="Times New Roman"/>
          <w:sz w:val="22"/>
          <w:szCs w:val="22"/>
          <w:color w:val="auto"/>
        </w:rPr>
        <w:t>”) of the initial effective date of the Registration Statement, the Company has not sold the Maximum Program Amount and this Agreement has not expired or been terminated, the Company will, prior to the Renewal Deadline, file, if it has not already done so and is eligible to do so, a new automatic shelf registration statement relating to the Shares, in a form satisfactory to the Agent. The Company will, prior to the Renewal Deadline, if it has not already done so, file a new shelf registration statement relating to the Shares, in a form satisfactory to the Agent, and will use its best efforts to cause such registration statement to be declared effective within 60 days after the Renewal Deadline. The Company will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5. CONDITIONS TO DELIVERY OF ISSUANCE NOTICES AND TO SETTLEMENT</w:t>
      </w:r>
    </w:p>
    <w:p>
      <w:pPr>
        <w:spacing w:after="0" w:line="210" w:lineRule="exact"/>
        <w:rPr>
          <w:sz w:val="20"/>
          <w:szCs w:val="20"/>
          <w:color w:val="auto"/>
        </w:rPr>
      </w:pPr>
    </w:p>
    <w:p>
      <w:pPr>
        <w:jc w:val="both"/>
        <w:ind w:firstLine="757"/>
        <w:spacing w:after="0" w:line="238" w:lineRule="auto"/>
        <w:tabs>
          <w:tab w:leader="none" w:pos="10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 to the Right of the Company to Deliver an Issuance Notice and the Obligation of the Agent to Sell Shares During the Selling Period(s)</w:t>
      </w:r>
      <w:r>
        <w:rPr>
          <w:rFonts w:ascii="Times New Roman" w:cs="Times New Roman" w:eastAsia="Times New Roman" w:hAnsi="Times New Roman"/>
          <w:sz w:val="22"/>
          <w:szCs w:val="22"/>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Selling Period is subject to the satisfaction, on each Trading Day during the Selling Period, of each of the following conditions:</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557"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Accuracy of the Company’s Representations and Warranties; Performance by the Company</w:t>
      </w:r>
      <w:r>
        <w:rPr>
          <w:rFonts w:ascii="Times New Roman" w:cs="Times New Roman" w:eastAsia="Times New Roman" w:hAnsi="Times New Roman"/>
          <w:sz w:val="22"/>
          <w:szCs w:val="22"/>
          <w:color w:val="auto"/>
        </w:rPr>
        <w:t xml:space="preserve">. The Company shall have delivered the certificate required to be delivered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on or before the date on which delivery of such certificate is required pursuant to </w:t>
      </w:r>
      <w:r>
        <w:rPr>
          <w:rFonts w:ascii="Times New Roman" w:cs="Times New Roman" w:eastAsia="Times New Roman" w:hAnsi="Times New Roman"/>
          <w:sz w:val="22"/>
          <w:szCs w:val="22"/>
          <w:u w:val="single" w:color="auto"/>
          <w:color w:val="auto"/>
        </w:rPr>
        <w:t>Section 4(o)</w:t>
      </w:r>
      <w:r>
        <w:rPr>
          <w:rFonts w:ascii="Times New Roman" w:cs="Times New Roman" w:eastAsia="Times New Roman" w:hAnsi="Times New Roman"/>
          <w:sz w:val="22"/>
          <w:szCs w:val="22"/>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4(q)</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557"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Injunction</w:t>
      </w:r>
      <w:r>
        <w:rPr>
          <w:rFonts w:ascii="Times New Roman" w:cs="Times New Roman" w:eastAsia="Times New Roman" w:hAnsi="Times New Roman"/>
          <w:sz w:val="22"/>
          <w:szCs w:val="22"/>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1"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u w:val="single" w:color="auto"/>
          <w:color w:val="auto"/>
        </w:rPr>
        <w:t>Material Adverse Changes</w:t>
      </w:r>
      <w:r>
        <w:rPr>
          <w:rFonts w:ascii="Times New Roman" w:cs="Times New Roman" w:eastAsia="Times New Roman" w:hAnsi="Times New Roman"/>
          <w:sz w:val="22"/>
          <w:szCs w:val="22"/>
          <w:color w:val="auto"/>
        </w:rPr>
        <w:t>. Except as disclosed in the Registration Statement, the Prospectus and the Time of Sale Information, (a) in the judgment of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0" w:name="page251"/>
    <w:bookmarkEnd w:id="250"/>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77" w:lineRule="exact"/>
        <w:rPr>
          <w:sz w:val="20"/>
          <w:szCs w:val="20"/>
          <w:color w:val="auto"/>
        </w:rPr>
      </w:pPr>
    </w:p>
    <w:p>
      <w:pPr>
        <w:jc w:val="both"/>
        <w:ind w:left="760" w:firstLine="1497"/>
        <w:spacing w:after="0" w:line="233"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No Suspension of Trading in or Delisting of Common Shares; Other Events</w:t>
      </w:r>
      <w:r>
        <w:rPr>
          <w:rFonts w:ascii="Times New Roman" w:cs="Times New Roman" w:eastAsia="Times New Roman" w:hAnsi="Times New Roman"/>
          <w:sz w:val="22"/>
          <w:szCs w:val="22"/>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Principal Market. There shall not have occurred (and be continuing in the case of occurrences under clauses (i), (ii) and (iii) below) any of the following: (i) trading generally shall have been suspended or materially limited on or by any of the New York Stock Exchange or the Principal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Agent is material and adverse and makes it impracticable or inadvisable to market the Shares in the manner and on the terms contemplated by this Agreement and described in the Prospectus.</w:t>
      </w:r>
    </w:p>
    <w:p>
      <w:pPr>
        <w:spacing w:after="0" w:line="185" w:lineRule="exact"/>
        <w:rPr>
          <w:sz w:val="20"/>
          <w:szCs w:val="20"/>
          <w:color w:val="auto"/>
        </w:rPr>
      </w:pPr>
    </w:p>
    <w:p>
      <w:pPr>
        <w:jc w:val="both"/>
        <w:ind w:firstLine="757"/>
        <w:spacing w:after="0" w:line="244" w:lineRule="auto"/>
        <w:tabs>
          <w:tab w:leader="none" w:pos="118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Documents Required to be Delivered on each Issuance Notice Date</w:t>
      </w:r>
      <w:r>
        <w:rPr>
          <w:rFonts w:ascii="Times New Roman" w:cs="Times New Roman" w:eastAsia="Times New Roman" w:hAnsi="Times New Roman"/>
          <w:sz w:val="22"/>
          <w:szCs w:val="22"/>
          <w:color w:val="auto"/>
        </w:rPr>
        <w:t>. The Agent’s obligation to use its commercially reasonable efforts to place Shares hereunder shall additionally be conditioned upon the delivery to the Agent on or before the Issuance Notice Date of:</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2107"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as required to be delivered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4(s)</w:t>
      </w:r>
      <w:r>
        <w:rPr>
          <w:rFonts w:ascii="Times New Roman" w:cs="Times New Roman" w:eastAsia="Times New Roman" w:hAnsi="Times New Roman"/>
          <w:sz w:val="21"/>
          <w:szCs w:val="21"/>
          <w:color w:val="auto"/>
        </w:rPr>
        <w:t xml:space="preserve"> (which certificate shall not be required if the foregoing representations shall be set forth in the Issuance Notice);</w:t>
      </w:r>
    </w:p>
    <w:p>
      <w:pPr>
        <w:spacing w:after="0" w:line="161" w:lineRule="exact"/>
        <w:rPr>
          <w:rFonts w:ascii="Times New Roman" w:cs="Times New Roman" w:eastAsia="Times New Roman" w:hAnsi="Times New Roman"/>
          <w:sz w:val="21"/>
          <w:szCs w:val="21"/>
          <w:color w:val="auto"/>
        </w:rPr>
      </w:pPr>
    </w:p>
    <w:p>
      <w:pPr>
        <w:ind w:left="760" w:firstLine="745"/>
        <w:spacing w:after="0" w:line="258" w:lineRule="auto"/>
        <w:tabs>
          <w:tab w:leader="none" w:pos="2048"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negative assurances letter and the written legal opinion of counsel to the Company required to be delivered pursuant to </w:t>
      </w:r>
      <w:r>
        <w:rPr>
          <w:rFonts w:ascii="Times New Roman" w:cs="Times New Roman" w:eastAsia="Times New Roman" w:hAnsi="Times New Roman"/>
          <w:sz w:val="22"/>
          <w:szCs w:val="22"/>
          <w:u w:val="single" w:color="auto"/>
          <w:color w:val="auto"/>
        </w:rPr>
        <w:t>Section 4(p)</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written legal opinions of intellectual property counsels to the Company required to be delivered pursuant to </w:t>
      </w:r>
      <w:r>
        <w:rPr>
          <w:rFonts w:ascii="Times New Roman" w:cs="Times New Roman" w:eastAsia="Times New Roman" w:hAnsi="Times New Roman"/>
          <w:sz w:val="22"/>
          <w:szCs w:val="22"/>
          <w:u w:val="single" w:color="auto"/>
          <w:color w:val="auto"/>
        </w:rPr>
        <w:t>Section 4(p);</w:t>
      </w:r>
    </w:p>
    <w:p>
      <w:pPr>
        <w:spacing w:after="0" w:line="158" w:lineRule="exact"/>
        <w:rPr>
          <w:sz w:val="20"/>
          <w:szCs w:val="20"/>
          <w:color w:val="auto"/>
        </w:rPr>
      </w:pPr>
    </w:p>
    <w:p>
      <w:pPr>
        <w:jc w:val="both"/>
        <w:ind w:left="760" w:firstLine="745"/>
        <w:spacing w:after="0" w:line="239" w:lineRule="auto"/>
        <w:tabs>
          <w:tab w:leader="none" w:pos="194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negative assurances letter and the written legal opinion of counsel to the Agent, such opinion or opinions to be delivered on or before the date on which the delivery of the opinion by counsel to the Company is required pursuant to </w:t>
      </w:r>
      <w:r>
        <w:rPr>
          <w:rFonts w:ascii="Times New Roman" w:cs="Times New Roman" w:eastAsia="Times New Roman" w:hAnsi="Times New Roman"/>
          <w:sz w:val="22"/>
          <w:szCs w:val="22"/>
          <w:u w:val="single" w:color="auto"/>
          <w:color w:val="auto"/>
        </w:rPr>
        <w:t>Section 4(p)</w:t>
      </w:r>
      <w:r>
        <w:rPr>
          <w:rFonts w:ascii="Times New Roman" w:cs="Times New Roman" w:eastAsia="Times New Roman" w:hAnsi="Times New Roman"/>
          <w:sz w:val="22"/>
          <w:szCs w:val="22"/>
          <w:color w:val="auto"/>
        </w:rPr>
        <w:t>, with respect to such matters as Agent may reasonably require, and the Company shall have furnished to such counsel such documents as they request for enabling them to pass upon such matters;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ind w:left="1940" w:hanging="435"/>
        <w:spacing w:after="0"/>
        <w:tabs>
          <w:tab w:leader="none" w:pos="1940" w:val="left"/>
        </w:tabs>
        <w:numPr>
          <w:ilvl w:val="2"/>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comfort letter required to be delivered pursuant to </w:t>
      </w:r>
      <w:r>
        <w:rPr>
          <w:rFonts w:ascii="Times New Roman" w:cs="Times New Roman" w:eastAsia="Times New Roman" w:hAnsi="Times New Roman"/>
          <w:sz w:val="22"/>
          <w:szCs w:val="22"/>
          <w:u w:val="single" w:color="auto"/>
          <w:color w:val="auto"/>
        </w:rPr>
        <w:t>Section 4(q)</w:t>
      </w:r>
      <w:r>
        <w:rPr>
          <w:rFonts w:ascii="Times New Roman" w:cs="Times New Roman" w:eastAsia="Times New Roman" w:hAnsi="Times New Roman"/>
          <w:sz w:val="22"/>
          <w:szCs w:val="22"/>
          <w:color w:val="auto"/>
        </w:rPr>
        <w:t>; and</w:t>
      </w:r>
    </w:p>
    <w:p>
      <w:pPr>
        <w:spacing w:after="0" w:line="206" w:lineRule="exact"/>
        <w:rPr>
          <w:rFonts w:ascii="Times New Roman" w:cs="Times New Roman" w:eastAsia="Times New Roman" w:hAnsi="Times New Roman"/>
          <w:sz w:val="22"/>
          <w:szCs w:val="22"/>
          <w:color w:val="auto"/>
        </w:rPr>
      </w:pPr>
    </w:p>
    <w:p>
      <w:pPr>
        <w:ind w:left="1300" w:hanging="428"/>
        <w:spacing w:after="0"/>
        <w:tabs>
          <w:tab w:leader="none" w:pos="130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certificate of the Secretary of the Company to be delivered pursuant to </w:t>
      </w:r>
      <w:r>
        <w:rPr>
          <w:rFonts w:ascii="Times New Roman" w:cs="Times New Roman" w:eastAsia="Times New Roman" w:hAnsi="Times New Roman"/>
          <w:sz w:val="22"/>
          <w:szCs w:val="22"/>
          <w:u w:val="single" w:color="auto"/>
          <w:color w:val="auto"/>
        </w:rPr>
        <w:t>Section 4(r)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Misstatement or Material Omission</w:t>
      </w:r>
      <w:r>
        <w:rPr>
          <w:rFonts w:ascii="Times New Roman" w:cs="Times New Roman" w:eastAsia="Times New Roman" w:hAnsi="Times New Roman"/>
          <w:sz w:val="22"/>
          <w:szCs w:val="22"/>
          <w:color w:val="auto"/>
        </w:rPr>
        <w:t>. Agent shall not have advised the Company that the Registration Statement,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6. INDEMNIFICATION AND CONTRIBUTION</w:t>
      </w:r>
    </w:p>
    <w:p>
      <w:pPr>
        <w:spacing w:after="0" w:line="210" w:lineRule="exact"/>
        <w:rPr>
          <w:sz w:val="20"/>
          <w:szCs w:val="20"/>
          <w:color w:val="auto"/>
        </w:rPr>
      </w:pPr>
    </w:p>
    <w:p>
      <w:pPr>
        <w:jc w:val="both"/>
        <w:ind w:firstLine="757"/>
        <w:spacing w:after="0" w:line="242" w:lineRule="auto"/>
        <w:tabs>
          <w:tab w:leader="none" w:pos="1018"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of the Agent</w:t>
      </w:r>
      <w:r>
        <w:rPr>
          <w:rFonts w:ascii="Times New Roman" w:cs="Times New Roman" w:eastAsia="Times New Roman" w:hAnsi="Times New Roman"/>
          <w:sz w:val="21"/>
          <w:szCs w:val="21"/>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(i) the Agent’s name. The indemnity</w:t>
      </w:r>
    </w:p>
    <w:p>
      <w:pPr>
        <w:spacing w:after="0" w:line="1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 set forth in this Section‎ 6(a) shall be in addition to any liabilities that the Company may otherwise have.</w:t>
      </w:r>
    </w:p>
    <w:p>
      <w:pPr>
        <w:spacing w:after="0" w:line="182"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Notifications and Other Indemnification Procedures</w:t>
      </w:r>
      <w:r>
        <w:rPr>
          <w:rFonts w:ascii="Times New Roman" w:cs="Times New Roman" w:eastAsia="Times New Roman" w:hAnsi="Times New Roman"/>
          <w:sz w:val="22"/>
          <w:szCs w:val="22"/>
          <w:color w:val="auto"/>
        </w:rPr>
        <w:t>.  Promptly after receipt by an indemnified party under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 of notice of the commencement of any action,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-474980</wp:posOffset>
            </wp:positionV>
            <wp:extent cx="66675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2">
                      <a:extLst>
                        <a:ext uri="{28A0092B-C50C-407E-A947-70E740481C1C}"/>
                      </a:extLst>
                    </a:blip>
                    <a:srcRect/>
                    <a:stretch>
                      <a:fillRect/>
                    </a:stretch>
                  </pic:blipFill>
                  <pic:spPr bwMode="auto">
                    <a:xfrm>
                      <a:off x="0" y="0"/>
                      <a:ext cx="6667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51435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2" w:name="page253"/>
    <w:bookmarkEnd w:id="252"/>
    <w:p>
      <w:pPr>
        <w:jc w:val="both"/>
        <w:spacing w:after="0" w:line="243" w:lineRule="auto"/>
        <w:rPr>
          <w:sz w:val="20"/>
          <w:szCs w:val="20"/>
          <w:color w:val="auto"/>
        </w:rPr>
      </w:pPr>
      <w:r>
        <w:rPr>
          <w:rFonts w:ascii="Times New Roman" w:cs="Times New Roman" w:eastAsia="Times New Roman" w:hAnsi="Times New Roman"/>
          <w:sz w:val="21"/>
          <w:szCs w:val="21"/>
          <w:color w:val="auto"/>
        </w:rPr>
        <w:t>indemnified party will, if a claim in respect thereof is to be made against an indemnifying party under this ‎Section 6,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6001385</wp:posOffset>
            </wp:positionH>
            <wp:positionV relativeFrom="paragraph">
              <wp:posOffset>-2182495</wp:posOffset>
            </wp:positionV>
            <wp:extent cx="51435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5">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-1719580</wp:posOffset>
            </wp:positionV>
            <wp:extent cx="5226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party of counsel,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-792480</wp:posOffset>
            </wp:positionV>
            <wp:extent cx="52260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79" w:lineRule="exact"/>
        <w:rPr>
          <w:sz w:val="20"/>
          <w:szCs w:val="20"/>
          <w:color w:val="auto"/>
        </w:rPr>
      </w:pPr>
    </w:p>
    <w:p>
      <w:pPr>
        <w:jc w:val="both"/>
        <w:ind w:firstLine="757"/>
        <w:spacing w:after="0" w:line="234" w:lineRule="auto"/>
        <w:tabs>
          <w:tab w:leader="none" w:pos="101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Settlements</w:t>
      </w:r>
      <w:r>
        <w:rPr>
          <w:rFonts w:ascii="Times New Roman" w:cs="Times New Roman" w:eastAsia="Times New Roman" w:hAnsi="Times New Roman"/>
          <w:sz w:val="22"/>
          <w:szCs w:val="22"/>
          <w:color w:val="auto"/>
        </w:rPr>
        <w:t xml:space="preserve">.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hereof,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3404870</wp:posOffset>
            </wp:positionH>
            <wp:positionV relativeFrom="paragraph">
              <wp:posOffset>-1419860</wp:posOffset>
            </wp:positionV>
            <wp:extent cx="52260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8">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3" w:name="page254"/>
    <w:bookmarkEnd w:id="253"/>
    <w:p>
      <w:pPr>
        <w:jc w:val="both"/>
        <w:spacing w:after="0" w:line="239" w:lineRule="auto"/>
        <w:rPr>
          <w:sz w:val="20"/>
          <w:szCs w:val="20"/>
          <w:color w:val="auto"/>
        </w:rPr>
      </w:pPr>
      <w:r>
        <w:rPr>
          <w:rFonts w:ascii="Times New Roman" w:cs="Times New Roman" w:eastAsia="Times New Roman" w:hAnsi="Times New Roman"/>
          <w:sz w:val="22"/>
          <w:szCs w:val="22"/>
          <w:color w:val="auto"/>
        </w:rPr>
        <w:t>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0" w:lineRule="exact"/>
        <w:rPr>
          <w:sz w:val="20"/>
          <w:szCs w:val="20"/>
          <w:color w:val="auto"/>
        </w:rPr>
      </w:pPr>
    </w:p>
    <w:p>
      <w:pPr>
        <w:jc w:val="both"/>
        <w:ind w:firstLine="757"/>
        <w:spacing w:after="0" w:line="232" w:lineRule="auto"/>
        <w:tabs>
          <w:tab w:leader="none" w:pos="1018"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-2493010</wp:posOffset>
            </wp:positionV>
            <wp:extent cx="5314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70"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22"/>
          <w:szCs w:val="22"/>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any legal or other fees or expenses reasonably incurred by such party in connection with investigating or defending any action or claim. The provisions set forth in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with respect to notice of commencement of any action shall apply if a claim for contribution is to be made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additional notice shall be required with respect to any action for which notice has been given under </w:t>
      </w:r>
      <w:r>
        <w:rPr>
          <w:rFonts w:ascii="Times New Roman" w:cs="Times New Roman" w:eastAsia="Times New Roman" w:hAnsi="Times New Roman"/>
          <w:sz w:val="22"/>
          <w:szCs w:val="22"/>
          <w:u w:val="single" w:color="auto"/>
          <w:color w:val="auto"/>
        </w:rPr>
        <w:t>Section 6(b)</w:t>
      </w:r>
      <w:r>
        <w:rPr>
          <w:rFonts w:ascii="Times New Roman" w:cs="Times New Roman" w:eastAsia="Times New Roman" w:hAnsi="Times New Roman"/>
          <w:sz w:val="22"/>
          <w:szCs w:val="22"/>
          <w:color w:val="auto"/>
        </w:rPr>
        <w:t xml:space="preserve"> for purposes of indemnification.</w:t>
      </w:r>
    </w:p>
    <w:p>
      <w:pPr>
        <w:spacing w:after="0" w:line="181" w:lineRule="exact"/>
        <w:rPr>
          <w:sz w:val="20"/>
          <w:szCs w:val="20"/>
          <w:color w:val="auto"/>
        </w:rPr>
      </w:pPr>
    </w:p>
    <w:p>
      <w:pPr>
        <w:ind w:right="200" w:firstLine="432"/>
        <w:spacing w:after="0" w:line="244" w:lineRule="auto"/>
        <w:rPr>
          <w:sz w:val="20"/>
          <w:szCs w:val="20"/>
          <w:color w:val="auto"/>
        </w:rPr>
      </w:pPr>
      <w:r>
        <w:rPr>
          <w:rFonts w:ascii="Times New Roman" w:cs="Times New Roman" w:eastAsia="Times New Roman" w:hAnsi="Times New Roman"/>
          <w:sz w:val="22"/>
          <w:szCs w:val="22"/>
          <w:color w:val="auto"/>
        </w:rPr>
        <w:t xml:space="preserve">The Company and the Agent agree that it would not be just and equitable if contribution pursuant to this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 xml:space="preserve">Notwithstanding the provisions of this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4" w:name="page255"/>
    <w:bookmarkEnd w:id="254"/>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who was not guilty of such fraudulent misrepresentation. For purposes of this </w:t>
      </w:r>
      <w:r>
        <w:rPr>
          <w:rFonts w:ascii="Times New Roman" w:cs="Times New Roman" w:eastAsia="Times New Roman" w:hAnsi="Times New Roman"/>
          <w:sz w:val="22"/>
          <w:szCs w:val="22"/>
          <w:u w:val="single" w:color="auto"/>
          <w:color w:val="auto"/>
        </w:rPr>
        <w:t>Section 6(d)</w:t>
      </w:r>
      <w:r>
        <w:rPr>
          <w:rFonts w:ascii="Times New Roman" w:cs="Times New Roman" w:eastAsia="Times New Roman" w:hAnsi="Times New Roman"/>
          <w:sz w:val="22"/>
          <w:szCs w:val="22"/>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7. TERMINATION &amp; SURVIVAL</w:t>
      </w:r>
    </w:p>
    <w:p>
      <w:pPr>
        <w:spacing w:after="0" w:line="210" w:lineRule="exact"/>
        <w:rPr>
          <w:sz w:val="20"/>
          <w:szCs w:val="20"/>
          <w:color w:val="auto"/>
        </w:rPr>
      </w:pPr>
    </w:p>
    <w:p>
      <w:pPr>
        <w:jc w:val="both"/>
        <w:ind w:firstLine="757"/>
        <w:spacing w:after="0" w:line="253" w:lineRule="auto"/>
        <w:tabs>
          <w:tab w:leader="none" w:pos="101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Subject to the provisions of this Section‎ 7,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1"/>
          <w:szCs w:val="21"/>
          <w:color w:val="auto"/>
        </w:rPr>
      </w:pPr>
    </w:p>
    <w:p>
      <w:pPr>
        <w:jc w:val="both"/>
        <w:ind w:firstLine="757"/>
        <w:spacing w:after="0" w:line="238" w:lineRule="auto"/>
        <w:tabs>
          <w:tab w:leader="none" w:pos="10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Survival Following Termination</w:t>
      </w:r>
      <w:r>
        <w:rPr>
          <w:rFonts w:ascii="Times New Roman" w:cs="Times New Roman" w:eastAsia="Times New Roman" w:hAnsi="Times New Roman"/>
          <w:sz w:val="22"/>
          <w:szCs w:val="22"/>
          <w:color w:val="auto"/>
        </w:rPr>
        <w:t>. (i) Either party may terminate this Agreement prior to the end of the Agency Period, by giving written notice as required by this Agreement, upon five Trading Days’ notice to the other party; provided that, (A) if the Company terminates this Agreement after the Agent confirms to the Company any sale of Shares,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Company shall remain obligated to comply with Section‎ 3(b)(v) with respect to such Shares and (B) Section‎ 2, Section‎ 6,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and Section‎ 8 shall survive termination of this Agreement. If termination shall occur prior to the Settlement Date for any sale of Shares, such sale shall nevertheless settle in accordance with the terms of this Agreement. Upon termination of this Agreement, the Company shall not have any liability to the Agent for any discount, commission or other compensation with respect to any Shares not otherwise sold by the Agent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-1712595</wp:posOffset>
            </wp:positionV>
            <wp:extent cx="52260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2">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-649605</wp:posOffset>
            </wp:positionV>
            <wp:extent cx="8343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3">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5553075</wp:posOffset>
            </wp:positionH>
            <wp:positionV relativeFrom="paragraph">
              <wp:posOffset>-649605</wp:posOffset>
            </wp:positionV>
            <wp:extent cx="10972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9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-495300</wp:posOffset>
            </wp:positionV>
            <wp:extent cx="5143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7" w:lineRule="exact"/>
        <w:rPr>
          <w:sz w:val="20"/>
          <w:szCs w:val="20"/>
          <w:color w:val="auto"/>
        </w:rPr>
      </w:pPr>
    </w:p>
    <w:p>
      <w:pPr>
        <w:jc w:val="both"/>
        <w:ind w:firstLine="440"/>
        <w:spacing w:after="0" w:line="251" w:lineRule="auto"/>
        <w:tabs>
          <w:tab w:leader="none" w:pos="81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the survival provision of Section‎ 7(b)(i),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-655320</wp:posOffset>
            </wp:positionV>
            <wp:extent cx="83820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6">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8. MISCELLANEOUS</w:t>
      </w:r>
    </w:p>
    <w:p>
      <w:pPr>
        <w:spacing w:after="0" w:line="210" w:lineRule="exact"/>
        <w:rPr>
          <w:sz w:val="20"/>
          <w:szCs w:val="20"/>
          <w:color w:val="auto"/>
        </w:rPr>
      </w:pPr>
    </w:p>
    <w:p>
      <w:pPr>
        <w:jc w:val="both"/>
        <w:ind w:firstLine="757"/>
        <w:spacing w:after="0" w:line="234" w:lineRule="auto"/>
        <w:tabs>
          <w:tab w:leader="none" w:pos="101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Press Releases and Disclosure</w:t>
      </w:r>
      <w:r>
        <w:rPr>
          <w:rFonts w:ascii="Times New Roman" w:cs="Times New Roman" w:eastAsia="Times New Roman" w:hAnsi="Times New Roman"/>
          <w:sz w:val="22"/>
          <w:szCs w:val="22"/>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Notwithstanding anything to the contrary herein, the Company shall not issue any press release or make any other public disclosure or public statement (other than disclosure, including related to periodic sales pursuant to this Agreement, the Company believes is required to be included in any reports filed with the Commission pursuant to the Securities Act or Exchange Act) related to this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22"/>
          <w:szCs w:val="22"/>
          <w:color w:val="auto"/>
        </w:rPr>
        <w:t>Agreement, or any of the transactions contemplated hereby or naming the Agent without the Agent’s prior written approval.</w:t>
      </w:r>
    </w:p>
    <w:p>
      <w:pPr>
        <w:spacing w:after="0" w:line="206" w:lineRule="exact"/>
        <w:rPr>
          <w:sz w:val="20"/>
          <w:szCs w:val="20"/>
          <w:color w:val="auto"/>
        </w:rPr>
      </w:pPr>
    </w:p>
    <w:p>
      <w:pPr>
        <w:jc w:val="both"/>
        <w:ind w:firstLine="757"/>
        <w:spacing w:after="0" w:line="233" w:lineRule="auto"/>
        <w:tabs>
          <w:tab w:leader="none" w:pos="101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Advisory or Fiduciary Relationship</w:t>
      </w:r>
      <w:r>
        <w:rPr>
          <w:rFonts w:ascii="Times New Roman" w:cs="Times New Roman" w:eastAsia="Times New Roman" w:hAnsi="Times New Roman"/>
          <w:sz w:val="22"/>
          <w:szCs w:val="22"/>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7"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Research Analyst Independence</w:t>
      </w:r>
      <w:r>
        <w:rPr>
          <w:rFonts w:ascii="Times New Roman" w:cs="Times New Roman" w:eastAsia="Times New Roman" w:hAnsi="Times New Roman"/>
          <w:sz w:val="22"/>
          <w:szCs w:val="22"/>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7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communications hereunder shall be in writing and shall be mailed, hand delivered, sent via electronic mail (if applicable) or telecopied and confirmed to the parties hereto as follows: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If to the Agent:</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520 Madison Avenue</w:t>
      </w:r>
    </w:p>
    <w:p>
      <w:pPr>
        <w:ind w:left="1140"/>
        <w:spacing w:after="0" w:line="230" w:lineRule="auto"/>
        <w:rPr>
          <w:sz w:val="20"/>
          <w:szCs w:val="20"/>
          <w:color w:val="auto"/>
        </w:rPr>
      </w:pPr>
      <w:r>
        <w:rPr>
          <w:rFonts w:ascii="Times New Roman" w:cs="Times New Roman" w:eastAsia="Times New Roman" w:hAnsi="Times New Roman"/>
          <w:sz w:val="22"/>
          <w:szCs w:val="22"/>
          <w:color w:val="auto"/>
        </w:rPr>
        <w:t>New York, NY 10022</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Davis Polk &amp; Wardwell LLP</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450 Lexington Avenue</w:t>
      </w:r>
    </w:p>
    <w:p>
      <w:pPr>
        <w:ind w:left="114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6" w:name="page257"/>
    <w:bookmarkEnd w:id="256"/>
    <w:p>
      <w:pPr>
        <w:ind w:left="1140"/>
        <w:spacing w:after="0"/>
        <w:rPr>
          <w:sz w:val="20"/>
          <w:szCs w:val="20"/>
          <w:color w:val="auto"/>
        </w:rPr>
      </w:pPr>
      <w:r>
        <w:rPr>
          <w:rFonts w:ascii="Times New Roman" w:cs="Times New Roman" w:eastAsia="Times New Roman" w:hAnsi="Times New Roman"/>
          <w:sz w:val="22"/>
          <w:szCs w:val="22"/>
          <w:color w:val="auto"/>
        </w:rPr>
        <w:t>Facsimile: (212) 701-5135</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Deanna Kirkpatrick, Esq.</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500 Rutherford Avenue, Third Floor</w:t>
      </w:r>
    </w:p>
    <w:p>
      <w:pPr>
        <w:ind w:left="820"/>
        <w:spacing w:after="0" w:line="230" w:lineRule="auto"/>
        <w:rPr>
          <w:sz w:val="20"/>
          <w:szCs w:val="20"/>
          <w:color w:val="auto"/>
        </w:rPr>
      </w:pPr>
      <w:r>
        <w:rPr>
          <w:rFonts w:ascii="Times New Roman" w:cs="Times New Roman" w:eastAsia="Times New Roman" w:hAnsi="Times New Roman"/>
          <w:sz w:val="22"/>
          <w:szCs w:val="22"/>
          <w:color w:val="auto"/>
        </w:rPr>
        <w:t>Charlestown, Massachusetts 02129</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Chief Executive Officer</w:t>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Wilmer Cutler Pickering Hale and Dorr LLP</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60 State Street</w:t>
      </w:r>
    </w:p>
    <w:p>
      <w:pPr>
        <w:ind w:left="1140"/>
        <w:spacing w:after="0" w:line="230" w:lineRule="auto"/>
        <w:rPr>
          <w:sz w:val="20"/>
          <w:szCs w:val="20"/>
          <w:color w:val="auto"/>
        </w:rPr>
      </w:pPr>
      <w:r>
        <w:rPr>
          <w:rFonts w:ascii="Times New Roman" w:cs="Times New Roman" w:eastAsia="Times New Roman" w:hAnsi="Times New Roman"/>
          <w:sz w:val="22"/>
          <w:szCs w:val="22"/>
          <w:color w:val="auto"/>
        </w:rPr>
        <w:t>Boston, MA 02109</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Attention: Caroline Dotolo</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Any party hereto may change the address for receipt of communications by giving written notice to the others in accordance with this ‎Section 8(d).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-44450</wp:posOffset>
            </wp:positionV>
            <wp:extent cx="6743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9">
                      <a:extLst>
                        <a:ext uri="{28A0092B-C50C-407E-A947-70E740481C1C}"/>
                      </a:extLst>
                    </a:blip>
                    <a:srcRect/>
                    <a:stretch>
                      <a:fillRect/>
                    </a:stretch>
                  </pic:blipFill>
                  <pic:spPr bwMode="auto">
                    <a:xfrm>
                      <a:off x="0" y="0"/>
                      <a:ext cx="674370" cy="8255"/>
                    </a:xfrm>
                    <a:prstGeom prst="rect">
                      <a:avLst/>
                    </a:prstGeom>
                    <a:noFill/>
                  </pic:spPr>
                </pic:pic>
              </a:graphicData>
            </a:graphic>
          </wp:anchor>
        </w:drawing>
      </w:r>
    </w:p>
    <w:p>
      <w:pPr>
        <w:spacing w:after="0" w:line="138" w:lineRule="exact"/>
        <w:rPr>
          <w:sz w:val="20"/>
          <w:szCs w:val="20"/>
          <w:color w:val="auto"/>
        </w:rPr>
      </w:pPr>
    </w:p>
    <w:p>
      <w:pPr>
        <w:ind w:left="1020" w:hanging="263"/>
        <w:spacing w:after="0"/>
        <w:tabs>
          <w:tab w:leader="none" w:pos="102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to the benefit of</w:t>
      </w:r>
    </w:p>
    <w:p>
      <w:pPr>
        <w:spacing w:after="0" w:line="14" w:lineRule="exact"/>
        <w:rPr>
          <w:rFonts w:ascii="Times New Roman" w:cs="Times New Roman" w:eastAsia="Times New Roman" w:hAnsi="Times New Roman"/>
          <w:sz w:val="22"/>
          <w:szCs w:val="22"/>
          <w:color w:val="auto"/>
        </w:rPr>
      </w:pPr>
    </w:p>
    <w:p>
      <w:pPr>
        <w:jc w:val="both"/>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employees, officers and directors and controlling persons referred to in Section‎ 6, and in each case their respective successors, and no other person will have any right or obligation hereunder. The term “</w:t>
      </w: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shall not include any purchaser of the Shares as such from the Agent merely by reason of such purchase.</w:t>
      </w:r>
    </w:p>
    <w:p>
      <w:pPr>
        <w:spacing w:after="0" w:line="177" w:lineRule="exact"/>
        <w:rPr>
          <w:rFonts w:ascii="Times New Roman" w:cs="Times New Roman" w:eastAsia="Times New Roman" w:hAnsi="Times New Roman"/>
          <w:sz w:val="22"/>
          <w:szCs w:val="22"/>
          <w:color w:val="auto"/>
        </w:rPr>
      </w:pPr>
    </w:p>
    <w:p>
      <w:pPr>
        <w:jc w:val="both"/>
        <w:ind w:firstLine="757"/>
        <w:spacing w:after="0" w:line="255" w:lineRule="auto"/>
        <w:tabs>
          <w:tab w:leader="none" w:pos="1018"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Unenforceability</w:t>
      </w:r>
      <w:r>
        <w:rPr>
          <w:rFonts w:ascii="Times New Roman" w:cs="Times New Roman" w:eastAsia="Times New Roman" w:hAnsi="Times New Roman"/>
          <w:sz w:val="21"/>
          <w:szCs w:val="21"/>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61" w:lineRule="exact"/>
        <w:rPr>
          <w:rFonts w:ascii="Times New Roman" w:cs="Times New Roman" w:eastAsia="Times New Roman" w:hAnsi="Times New Roman"/>
          <w:sz w:val="21"/>
          <w:szCs w:val="21"/>
          <w:color w:val="auto"/>
        </w:rPr>
      </w:pPr>
    </w:p>
    <w:p>
      <w:pPr>
        <w:jc w:val="both"/>
        <w:ind w:firstLine="757"/>
        <w:spacing w:after="0" w:line="233" w:lineRule="auto"/>
        <w:tabs>
          <w:tab w:leader="none" w:pos="101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Provisions</w:t>
      </w:r>
      <w:r>
        <w:rPr>
          <w:rFonts w:ascii="Times New Roman" w:cs="Times New Roman" w:eastAsia="Times New Roman" w:hAnsi="Times New Roman"/>
          <w:sz w:val="22"/>
          <w:szCs w:val="22"/>
          <w:color w:val="auto"/>
        </w:rPr>
        <w:t>. This Agreement, and any claim, controversy or dispute of any kind or nature whatsoever arising out of or in any way relating to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-2923540</wp:posOffset>
            </wp:positionV>
            <wp:extent cx="51435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0">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7" w:name="page258"/>
    <w:bookmarkEnd w:id="257"/>
    <w:p>
      <w:pPr>
        <w:spacing w:after="0" w:line="258" w:lineRule="auto"/>
        <w:rPr>
          <w:sz w:val="20"/>
          <w:szCs w:val="20"/>
          <w:color w:val="auto"/>
        </w:rPr>
      </w:pPr>
      <w:r>
        <w:rPr>
          <w:rFonts w:ascii="Times New Roman" w:cs="Times New Roman" w:eastAsia="Times New Roman" w:hAnsi="Times New Roman"/>
          <w:sz w:val="22"/>
          <w:szCs w:val="22"/>
          <w:color w:val="auto"/>
        </w:rPr>
        <w:t>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58" w:lineRule="exact"/>
        <w:rPr>
          <w:sz w:val="20"/>
          <w:szCs w:val="20"/>
          <w:color w:val="auto"/>
        </w:rPr>
      </w:pPr>
    </w:p>
    <w:p>
      <w:pPr>
        <w:jc w:val="both"/>
        <w:ind w:firstLine="757"/>
        <w:spacing w:after="0" w:line="234" w:lineRule="auto"/>
        <w:tabs>
          <w:tab w:leader="none" w:pos="101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Immediately Follows]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8" w:name="page259"/>
    <w:bookmarkEnd w:id="258"/>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 /s/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6878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3">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ind w:left="5680"/>
        <w:spacing w:after="0"/>
        <w:rPr>
          <w:sz w:val="20"/>
          <w:szCs w:val="20"/>
          <w:color w:val="auto"/>
        </w:rPr>
      </w:pPr>
      <w:r>
        <w:rPr>
          <w:rFonts w:ascii="Times New Roman" w:cs="Times New Roman" w:eastAsia="Times New Roman" w:hAnsi="Times New Roman"/>
          <w:sz w:val="22"/>
          <w:szCs w:val="22"/>
          <w:color w:val="auto"/>
        </w:rPr>
        <w:t>Name: Kevin Tan</w:t>
      </w:r>
    </w:p>
    <w:p>
      <w:pPr>
        <w:ind w:left="568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22"/>
          <w:szCs w:val="22"/>
          <w:color w:val="auto"/>
        </w:rPr>
        <w:t>The foregoing Agreement is hereby confirmed and accepted by the Agent in New York, New York as of the date first above written.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JEFFERIES LLC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Michael Magarro</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Name: Michael Magarro</w:t>
      </w:r>
    </w:p>
    <w:p>
      <w:pPr>
        <w:ind w:left="4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ISSUANCE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Jefferies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Madison Avenue</w:t>
      </w:r>
    </w:p>
    <w:p>
      <w:pPr>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[__________]</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Reference is made to the Amended and Restated Sales Agreement, between Solid Biosciences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Jefferies LLC (the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dated as of March 13, 2024. The Company confirms that all conditions to the delivery of this Issuance Notice are satisfied as of the date 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Delivery of Issuance Notice (determined pursuant to ‎Section 3(b)(i)):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-13970</wp:posOffset>
            </wp:positionV>
            <wp:extent cx="80391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5">
                      <a:extLst>
                        <a:ext uri="{28A0092B-C50C-407E-A947-70E740481C1C}"/>
                      </a:extLst>
                    </a:blip>
                    <a:srcRect/>
                    <a:stretch>
                      <a:fillRect/>
                    </a:stretch>
                  </pic:blipFill>
                  <pic:spPr bwMode="auto">
                    <a:xfrm>
                      <a:off x="0" y="0"/>
                      <a:ext cx="80391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Issuance Amount (equal to the total Sales Price for such Shares):</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-13970</wp:posOffset>
            </wp:positionV>
            <wp:extent cx="102870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-13970</wp:posOffset>
            </wp:positionV>
            <wp:extent cx="10972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-13970</wp:posOffset>
            </wp:positionV>
            <wp:extent cx="10972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-13970</wp:posOffset>
            </wp:positionV>
            <wp:extent cx="10972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Date(s) if other than standard [T+2][T+1]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276860</wp:posOffset>
            </wp:positionV>
            <wp:extent cx="10972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Floor Price Limitation (in no event less than $1.00 without the prior written consent of the Agent, which consent may be withheld in the Agent’s sole discretion): $ ____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-13970</wp:posOffset>
            </wp:positionV>
            <wp:extent cx="317373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1">
                      <a:extLst>
                        <a:ext uri="{28A0092B-C50C-407E-A947-70E740481C1C}"/>
                      </a:extLst>
                    </a:blip>
                    <a:srcRect/>
                    <a:stretch>
                      <a:fillRect/>
                    </a:stretch>
                  </pic:blipFill>
                  <pic:spPr bwMode="auto">
                    <a:xfrm>
                      <a:off x="0" y="0"/>
                      <a:ext cx="3173730" cy="8255"/>
                    </a:xfrm>
                    <a:prstGeom prst="rect">
                      <a:avLst/>
                    </a:prstGeom>
                    <a:noFill/>
                  </pic:spPr>
                </pic:pic>
              </a:graphicData>
            </a:graphic>
          </wp:anchor>
        </w:drawing>
      </w:r>
    </w:p>
    <w:p>
      <w:pPr>
        <w:spacing w:after="0" w:line="1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-13970</wp:posOffset>
            </wp:positionV>
            <wp:extent cx="168783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2">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ind w:left="5680"/>
        <w:spacing w:after="0"/>
        <w:rPr>
          <w:sz w:val="20"/>
          <w:szCs w:val="20"/>
          <w:color w:val="auto"/>
        </w:rPr>
      </w:pPr>
      <w:r>
        <w:rPr>
          <w:rFonts w:ascii="Times New Roman" w:cs="Times New Roman" w:eastAsia="Times New Roman" w:hAnsi="Times New Roman"/>
          <w:sz w:val="22"/>
          <w:szCs w:val="22"/>
          <w:color w:val="auto"/>
        </w:rPr>
        <w:t>Name:</w:t>
      </w:r>
    </w:p>
    <w:p>
      <w:pPr>
        <w:ind w:left="5680"/>
        <w:spacing w:after="0"/>
        <w:rPr>
          <w:sz w:val="20"/>
          <w:szCs w:val="20"/>
          <w:color w:val="auto"/>
        </w:rPr>
      </w:pPr>
      <w:r>
        <w:rPr>
          <w:rFonts w:ascii="Times New Roman" w:cs="Times New Roman" w:eastAsia="Times New Roman" w:hAnsi="Times New Roman"/>
          <w:sz w:val="22"/>
          <w:szCs w:val="22"/>
          <w:color w:val="auto"/>
        </w:rPr>
        <w:t>Title: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color w:val="auto"/>
        </w:rPr>
        <w:t>Exhibit 10.49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INDUCEMENT STOCK INCENTIVE PLAN</w:t>
      </w:r>
    </w:p>
    <w:p>
      <w:pPr>
        <w:spacing w:after="0" w:line="229" w:lineRule="exact"/>
        <w:rPr>
          <w:sz w:val="20"/>
          <w:szCs w:val="20"/>
          <w:color w:val="auto"/>
        </w:rPr>
      </w:pPr>
    </w:p>
    <w:p>
      <w:pPr>
        <w:ind w:left="360" w:hanging="352"/>
        <w:spacing w:after="0"/>
        <w:tabs>
          <w:tab w:leader="none" w:pos="3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purpose of this 2024 Inducement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of Solid Biosciences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to advance the interests of the Company’s stockholders by enhancing the Company’s ability to attract, retain and motivate persons who are expected to make important contributions to the Company with an inducement material for such persons to enter into employment with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60" w:hanging="352"/>
        <w:spacing w:after="0"/>
        <w:tabs>
          <w:tab w:leader="none" w:pos="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Awards under the Plan may only be granted to persons who (a) were not previously an employee or director of the Company or (b)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commencing employment with the Company following a bona fide period of non-employment, in either case as an inducement material to the individual’s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entering into employment with the Company and in accordance with the requirements of Nasdaq Stock Market Rule 5635(c)(4). For the avoidance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doubt, neither consultants nor advisors shall be eligible to participate in the Plan. Each person who is granted an Award under the Plan is deemed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Options (as defined in Section 5), SARs (as defined in Section 6), Restricted Stock (as defined in Section 7), RSUs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Section 7), and Other Stock-Based Awards (as defined in Section 8). Except as otherwise provided by the Plan, each Award may be made alone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addition or in relation to any other Award. The terms of each Award need not be identical, and the Board need not treat Participants uniformly.</w:t>
      </w:r>
    </w:p>
    <w:p>
      <w:pPr>
        <w:spacing w:after="0" w:line="207" w:lineRule="exact"/>
        <w:rPr>
          <w:sz w:val="20"/>
          <w:szCs w:val="20"/>
          <w:color w:val="auto"/>
        </w:rPr>
      </w:pPr>
    </w:p>
    <w:p>
      <w:pPr>
        <w:ind w:left="360" w:hanging="352"/>
        <w:spacing w:after="0"/>
        <w:tabs>
          <w:tab w:leader="none" w:pos="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the Plan or in any Award. Notwithstanding the foregoing or anything in the Plan to the contrary, the grant of any Award under the Plan must be approved by the Company’s independent compensation committee or a majority of the Company’s independent directors (as defined in Nasdaq Stock Market Rule 5605(a)(2)) in order to comply with the exemption from the stockholder approval requirement for “inducement grants” provided under Nasdaq Stock Market Rule 5635(c)(4).</w:t>
      </w:r>
    </w:p>
    <w:p>
      <w:pPr>
        <w:spacing w:after="0" w:line="188" w:lineRule="exact"/>
        <w:rPr>
          <w:rFonts w:ascii="Times New Roman" w:cs="Times New Roman" w:eastAsia="Times New Roman" w:hAnsi="Times New Roman"/>
          <w:sz w:val="18"/>
          <w:szCs w:val="18"/>
          <w:color w:val="auto"/>
        </w:rPr>
      </w:pPr>
    </w:p>
    <w:p>
      <w:pPr>
        <w:jc w:val="both"/>
        <w:ind w:right="80" w:firstLine="757"/>
        <w:spacing w:after="0" w:line="261" w:lineRule="auto"/>
        <w:tabs>
          <w:tab w:leader="none" w:pos="110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and the Nasdaq Stock Market rules, the Board may delegate any or all of its powers under the Plan to one or more committees or subcommittees of the Board (a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All references in the Plan to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or a Committee of the Board or the Delegated Persons referred to in Section 3(c) to the extent that the Board’s powers or authority under the Plan have been delegated to such Committee or such Delegated Persons.</w:t>
      </w:r>
    </w:p>
    <w:p>
      <w:pPr>
        <w:spacing w:after="0" w:line="179" w:lineRule="exact"/>
        <w:rPr>
          <w:rFonts w:ascii="Times New Roman" w:cs="Times New Roman" w:eastAsia="Times New Roman" w:hAnsi="Times New Roman"/>
          <w:sz w:val="18"/>
          <w:szCs w:val="18"/>
          <w:color w:val="auto"/>
        </w:rPr>
      </w:pPr>
    </w:p>
    <w:p>
      <w:pPr>
        <w:jc w:val="both"/>
        <w:ind w:right="380" w:firstLine="757"/>
        <w:spacing w:after="0" w:line="261" w:lineRule="auto"/>
        <w:tabs>
          <w:tab w:leader="none" w:pos="1109"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Delegated Persons</w:t>
      </w:r>
      <w:r>
        <w:rPr>
          <w:rFonts w:ascii="Times New Roman" w:cs="Times New Roman" w:eastAsia="Times New Roman" w:hAnsi="Times New Roman"/>
          <w:sz w:val="18"/>
          <w:szCs w:val="18"/>
          <w:color w:val="auto"/>
        </w:rPr>
        <w:t>. Subject to any requirements of applicable law (including as applicable Sections 152 and 157(c) of the General Corporation Law of the State of Delaware) and the Nasdaq Stock Market rules, the Board may, by resolution, delegate to one or more persons (including officers of the Company) or bodies (such persons or bodies, the “</w:t>
      </w:r>
      <w:r>
        <w:rPr>
          <w:rFonts w:ascii="Times New Roman" w:cs="Times New Roman" w:eastAsia="Times New Roman" w:hAnsi="Times New Roman"/>
          <w:sz w:val="18"/>
          <w:szCs w:val="18"/>
          <w:b w:val="1"/>
          <w:bCs w:val="1"/>
          <w:i w:val="1"/>
          <w:iCs w:val="1"/>
          <w:color w:val="auto"/>
        </w:rPr>
        <w:t>Delegated Persons</w:t>
      </w:r>
      <w:r>
        <w:rPr>
          <w:rFonts w:ascii="Times New Roman" w:cs="Times New Roman" w:eastAsia="Times New Roman" w:hAnsi="Times New Roman"/>
          <w:sz w:val="18"/>
          <w:szCs w:val="18"/>
          <w:color w:val="auto"/>
        </w:rPr>
        <w:t>”) the power to grant Awards (subject to any limitations under the Plan) to eligible service providers of the Company and to exercise such other powers under the Plan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1" w:name="page262"/>
    <w:bookmarkEnd w:id="261"/>
    <w:p>
      <w:pPr>
        <w:spacing w:after="0" w:line="254" w:lineRule="auto"/>
        <w:rPr>
          <w:sz w:val="20"/>
          <w:szCs w:val="20"/>
          <w:color w:val="auto"/>
        </w:rPr>
      </w:pPr>
      <w:r>
        <w:rPr>
          <w:rFonts w:ascii="Times New Roman" w:cs="Times New Roman" w:eastAsia="Times New Roman" w:hAnsi="Times New Roman"/>
          <w:sz w:val="18"/>
          <w:szCs w:val="18"/>
          <w:color w:val="auto"/>
        </w:rPr>
        <w:t>Board may determine, provided that the Board shall fix: (i) the maximum number of Awards, and the maximum number of shares issuable upon exercise thereof, that may be issued by such Delegated Persons, (ii) the time period during which such Awards, and during which the shares issuable upon exercise thereof, may be issued, and (iii) the minimum amount of consideration (if any) for which such Awards may be issued, and a minimum amount of consideration for the shares issuable upon exercise thereof; and provided further, that no Delegated Person shall be authorized to grant Awards to any “executive officer” of the Company (as defined by Rule 3b-7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to any “officer” of the Company (as defined by Rule 16a-1(f) under the Exchange Act); and provided further, that to the extent the resolution of the Board is made dependent on facts ascertainable outside the resolution, such facts may not be dependent on a determination or action of the Delegated Person to whom authority has been delegated hereunder.</w:t>
      </w:r>
    </w:p>
    <w:p>
      <w:pPr>
        <w:spacing w:after="0" w:line="192" w:lineRule="exact"/>
        <w:rPr>
          <w:sz w:val="20"/>
          <w:szCs w:val="20"/>
          <w:color w:val="auto"/>
        </w:rPr>
      </w:pPr>
    </w:p>
    <w:p>
      <w:pPr>
        <w:ind w:left="360" w:hanging="352"/>
        <w:spacing w:after="0"/>
        <w:tabs>
          <w:tab w:leader="none" w:pos="3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225" w:lineRule="exact"/>
        <w:rPr>
          <w:rFonts w:ascii="Times New Roman" w:cs="Times New Roman" w:eastAsia="Times New Roman" w:hAnsi="Times New Roman"/>
          <w:sz w:val="18"/>
          <w:szCs w:val="18"/>
          <w:color w:val="auto"/>
        </w:rPr>
      </w:pPr>
    </w:p>
    <w:p>
      <w:pPr>
        <w:ind w:right="260" w:firstLine="757"/>
        <w:spacing w:after="0" w:line="266" w:lineRule="auto"/>
        <w:tabs>
          <w:tab w:leader="none" w:pos="110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9, Awards may be made under the Plan for up to 1,000,000 shares of common stock, $0.001 par value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Shares issued under the Plan may consist in whole or in part of authorized but unissued shares or treasury shares.</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the Plan under this Section 4:</w:t>
      </w:r>
    </w:p>
    <w:p>
      <w:pPr>
        <w:spacing w:after="0" w:line="225" w:lineRule="exact"/>
        <w:rPr>
          <w:rFonts w:ascii="Times New Roman" w:cs="Times New Roman" w:eastAsia="Times New Roman" w:hAnsi="Times New Roman"/>
          <w:sz w:val="18"/>
          <w:szCs w:val="18"/>
          <w:color w:val="auto"/>
        </w:rPr>
      </w:pPr>
    </w:p>
    <w:p>
      <w:pPr>
        <w:ind w:right="40" w:firstLine="1505"/>
        <w:spacing w:after="0" w:line="258" w:lineRule="auto"/>
        <w:tabs>
          <w:tab w:leader="none" w:pos="1857"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Common Stock covered by SARs shall be counted against the number of shares available for the grant of Awards under the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8"/>
          <w:szCs w:val="18"/>
          <w:b w:val="1"/>
          <w:bCs w:val="1"/>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the Plan;</w:t>
      </w:r>
    </w:p>
    <w:p>
      <w:pPr>
        <w:spacing w:after="0" w:line="18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RSU award may be settled only in cash, no shares shall be counted against the shares available for the grant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under the Plan;</w:t>
      </w:r>
    </w:p>
    <w:p>
      <w:pPr>
        <w:spacing w:after="0" w:line="206" w:lineRule="exact"/>
        <w:rPr>
          <w:rFonts w:ascii="Times New Roman" w:cs="Times New Roman" w:eastAsia="Times New Roman" w:hAnsi="Times New Roman"/>
          <w:sz w:val="18"/>
          <w:szCs w:val="18"/>
          <w:color w:val="auto"/>
        </w:rPr>
      </w:pPr>
    </w:p>
    <w:p>
      <w:pPr>
        <w:ind w:firstLine="1505"/>
        <w:spacing w:after="0" w:line="254" w:lineRule="auto"/>
        <w:tabs>
          <w:tab w:leader="none" w:pos="1857"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the exercise of an SAR, the number of shares counted against the shares available under the Plan shall be the full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subject to the SAR multiplied by the percentage of the SAR actually exercised, regardless of the number of shares actually used to settle such SAR upon exercise and the shares covered by a Tandem SAR shall not again become available for grant upon the expiration or termination of such Tandem SAR; and</w:t>
      </w:r>
    </w:p>
    <w:p>
      <w:pPr>
        <w:spacing w:after="0" w:line="191" w:lineRule="exact"/>
        <w:rPr>
          <w:rFonts w:ascii="Times New Roman" w:cs="Times New Roman" w:eastAsia="Times New Roman" w:hAnsi="Times New Roman"/>
          <w:sz w:val="18"/>
          <w:szCs w:val="18"/>
          <w:color w:val="auto"/>
        </w:rPr>
      </w:pPr>
    </w:p>
    <w:p>
      <w:pPr>
        <w:ind w:right="500" w:firstLine="1505"/>
        <w:spacing w:after="0" w:line="266" w:lineRule="auto"/>
        <w:tabs>
          <w:tab w:leader="none" w:pos="1857"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be added back to the number of shares available for the future grant of Awards.</w:t>
      </w:r>
    </w:p>
    <w:p>
      <w:pPr>
        <w:spacing w:after="0" w:line="17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p>
    <w:p>
      <w:pPr>
        <w:spacing w:after="0" w:line="221" w:lineRule="exact"/>
        <w:rPr>
          <w:rFonts w:ascii="Times New Roman" w:cs="Times New Roman" w:eastAsia="Times New Roman" w:hAnsi="Times New Roman"/>
          <w:sz w:val="18"/>
          <w:szCs w:val="18"/>
          <w:color w:val="auto"/>
        </w:rPr>
      </w:pPr>
    </w:p>
    <w:p>
      <w:pPr>
        <w:ind w:right="220" w:firstLine="757"/>
        <w:spacing w:after="0" w:line="259" w:lineRule="auto"/>
        <w:tabs>
          <w:tab w:leader="none" w:pos="110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All Options under the Plan shall be Nonstatutory Stock Options. A “</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is an Option which is not intended to be an “incentive stock option” within the meaning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62" w:name="page263"/>
    <w:bookmarkEnd w:id="262"/>
    <w:p>
      <w:pPr>
        <w:ind w:firstLine="757"/>
        <w:spacing w:after="0" w:line="258" w:lineRule="auto"/>
        <w:tabs>
          <w:tab w:leader="none" w:pos="110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with an exercise price to be determined on a future date, the exercise price shall be not less than 100% of the Grant Date Fair Market Value on such future date.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of a share of Common Stock for purposes of the Plan will be determined as follows:</w:t>
      </w:r>
    </w:p>
    <w:p>
      <w:pPr>
        <w:spacing w:after="0" w:line="18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trades on a national securities exchange, the closing sale price (for the primary trading session)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grant; or</w:t>
      </w:r>
    </w:p>
    <w:p>
      <w:pPr>
        <w:spacing w:after="0" w:line="206" w:lineRule="exact"/>
        <w:rPr>
          <w:rFonts w:ascii="Times New Roman" w:cs="Times New Roman" w:eastAsia="Times New Roman" w:hAnsi="Times New Roman"/>
          <w:sz w:val="18"/>
          <w:szCs w:val="18"/>
          <w:color w:val="auto"/>
        </w:rPr>
      </w:pPr>
    </w:p>
    <w:p>
      <w:pPr>
        <w:ind w:right="40" w:firstLine="1505"/>
        <w:spacing w:after="0" w:line="282" w:lineRule="auto"/>
        <w:tabs>
          <w:tab w:leader="none" w:pos="185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does not trade on any such exchange, the average of the closing bid and asked prices on the date of grant as reported by an over-the-counter marketplace designated by the Board; or</w:t>
      </w:r>
    </w:p>
    <w:p>
      <w:pPr>
        <w:spacing w:after="0" w:line="161" w:lineRule="exact"/>
        <w:rPr>
          <w:rFonts w:ascii="Times New Roman" w:cs="Times New Roman" w:eastAsia="Times New Roman" w:hAnsi="Times New Roman"/>
          <w:sz w:val="18"/>
          <w:szCs w:val="18"/>
          <w:color w:val="auto"/>
        </w:rPr>
      </w:pPr>
    </w:p>
    <w:p>
      <w:pPr>
        <w:ind w:right="140" w:firstLine="1505"/>
        <w:spacing w:after="0" w:line="266" w:lineRule="auto"/>
        <w:tabs>
          <w:tab w:leader="none" w:pos="185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Code Section 409A.</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spacing w:after="0" w:line="162" w:lineRule="exact"/>
        <w:rPr>
          <w:sz w:val="20"/>
          <w:szCs w:val="20"/>
          <w:color w:val="auto"/>
        </w:rPr>
      </w:pPr>
    </w:p>
    <w:p>
      <w:pPr>
        <w:ind w:right="200" w:firstLine="757"/>
        <w:spacing w:after="0" w:line="282" w:lineRule="auto"/>
        <w:tabs>
          <w:tab w:leader="none" w:pos="110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10 years.</w:t>
      </w:r>
    </w:p>
    <w:p>
      <w:pPr>
        <w:spacing w:after="0" w:line="161" w:lineRule="exact"/>
        <w:rPr>
          <w:rFonts w:ascii="Times New Roman" w:cs="Times New Roman" w:eastAsia="Times New Roman" w:hAnsi="Times New Roman"/>
          <w:sz w:val="18"/>
          <w:szCs w:val="18"/>
          <w:color w:val="auto"/>
        </w:rPr>
      </w:pPr>
    </w:p>
    <w:p>
      <w:pPr>
        <w:ind w:right="120" w:firstLine="757"/>
        <w:spacing w:after="0" w:line="261" w:lineRule="auto"/>
        <w:tabs>
          <w:tab w:leader="none" w:pos="110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and which may be provided to a third party equity plan administrator) approved by the Company, together with payment in full (in the manner specified in Section 5(e)) of the exercise price for the number of shares for which the Option is exercised. Shares of Common Stock subject to the Option will be delivered by the Company as soon as practicable following exercise.</w:t>
      </w:r>
    </w:p>
    <w:p>
      <w:pPr>
        <w:spacing w:after="0" w:line="17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the Plan shall be paid for as follows:</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ind w:right="60" w:firstLine="1505"/>
        <w:spacing w:after="0" w:line="261" w:lineRule="auto"/>
        <w:tabs>
          <w:tab w:leader="none" w:pos="185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79" w:lineRule="exact"/>
        <w:rPr>
          <w:rFonts w:ascii="Times New Roman" w:cs="Times New Roman" w:eastAsia="Times New Roman" w:hAnsi="Times New Roman"/>
          <w:sz w:val="18"/>
          <w:szCs w:val="18"/>
          <w:color w:val="auto"/>
        </w:rPr>
      </w:pPr>
    </w:p>
    <w:p>
      <w:pPr>
        <w:ind w:right="120" w:firstLine="1505"/>
        <w:spacing w:after="0" w:line="266" w:lineRule="auto"/>
        <w:tabs>
          <w:tab w:leader="none" w:pos="185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3" w:name="page264"/>
    <w:bookmarkEnd w:id="263"/>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was owned by the Participant for such minimum period of time, if any, as may be established by the Board and (iii) such Common Stock is not subject to any repurchase, forfeiture, unfulfilled vesting or other similar requirements;</w:t>
      </w:r>
    </w:p>
    <w:p>
      <w:pPr>
        <w:spacing w:after="0" w:line="162" w:lineRule="exact"/>
        <w:rPr>
          <w:sz w:val="20"/>
          <w:szCs w:val="20"/>
          <w:color w:val="auto"/>
        </w:rPr>
      </w:pPr>
    </w:p>
    <w:p>
      <w:pPr>
        <w:ind w:right="140" w:firstLine="1505"/>
        <w:spacing w:after="0" w:line="261" w:lineRule="auto"/>
        <w:tabs>
          <w:tab w:leader="none" w:pos="1857"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spacing w:after="0" w:line="179" w:lineRule="exact"/>
        <w:rPr>
          <w:rFonts w:ascii="Times New Roman" w:cs="Times New Roman" w:eastAsia="Times New Roman" w:hAnsi="Times New Roman"/>
          <w:sz w:val="18"/>
          <w:szCs w:val="18"/>
          <w:color w:val="auto"/>
        </w:rPr>
      </w:pPr>
    </w:p>
    <w:p>
      <w:pPr>
        <w:ind w:right="220" w:firstLine="1505"/>
        <w:spacing w:after="0" w:line="266" w:lineRule="auto"/>
        <w:tabs>
          <w:tab w:leader="none" w:pos="1857"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spacing w:after="0" w:line="17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2"/>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 to the extent approved by the Board.</w:t>
      </w:r>
    </w:p>
    <w:p>
      <w:pPr>
        <w:spacing w:after="0" w:line="225" w:lineRule="exact"/>
        <w:rPr>
          <w:rFonts w:ascii="Times New Roman" w:cs="Times New Roman" w:eastAsia="Times New Roman" w:hAnsi="Times New Roman"/>
          <w:sz w:val="18"/>
          <w:szCs w:val="18"/>
          <w:color w:val="auto"/>
        </w:rPr>
      </w:pPr>
    </w:p>
    <w:p>
      <w:pPr>
        <w:ind w:right="60" w:firstLine="757"/>
        <w:spacing w:after="0" w:line="254" w:lineRule="auto"/>
        <w:tabs>
          <w:tab w:leader="none" w:pos="1109"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covering the same or a different number of shares of Common Stock and having an exercise or measurement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the manner approved by) the Board) or (4) take any other action under the Plan that constitutes a “repricing” within the meaning of the rules of the Nasdaq Stock Market or any other exchange or marketplace on which the Company stock is listed or traded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Option shall provide for the payment or accrual of dividend equivalents.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p>
    <w:p>
      <w:pPr>
        <w:spacing w:after="0" w:line="221" w:lineRule="exact"/>
        <w:rPr>
          <w:rFonts w:ascii="Times New Roman" w:cs="Times New Roman" w:eastAsia="Times New Roman" w:hAnsi="Times New Roman"/>
          <w:sz w:val="18"/>
          <w:szCs w:val="18"/>
          <w:color w:val="auto"/>
        </w:rPr>
      </w:pPr>
    </w:p>
    <w:p>
      <w:pPr>
        <w:ind w:right="20" w:firstLine="757"/>
        <w:spacing w:after="0" w:line="262" w:lineRule="auto"/>
        <w:tabs>
          <w:tab w:leader="none" w:pos="11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the manner approved by) the Board) over the measurement price established pursuant to Section 6(b). The date as of which such appreciation is determined shall be the exercise date.</w:t>
      </w:r>
    </w:p>
    <w:p>
      <w:pPr>
        <w:spacing w:after="0" w:line="180" w:lineRule="exact"/>
        <w:rPr>
          <w:rFonts w:ascii="Times New Roman" w:cs="Times New Roman" w:eastAsia="Times New Roman" w:hAnsi="Times New Roman"/>
          <w:sz w:val="18"/>
          <w:szCs w:val="18"/>
          <w:color w:val="auto"/>
        </w:rPr>
      </w:pPr>
    </w:p>
    <w:p>
      <w:pPr>
        <w:ind w:right="140" w:firstLine="757"/>
        <w:spacing w:after="0" w:line="261" w:lineRule="auto"/>
        <w:tabs>
          <w:tab w:leader="none" w:pos="11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Grant Date Fair Market Value on such future date.</w:t>
      </w:r>
    </w:p>
    <w:p>
      <w:pPr>
        <w:spacing w:after="0" w:line="179" w:lineRule="exact"/>
        <w:rPr>
          <w:rFonts w:ascii="Times New Roman" w:cs="Times New Roman" w:eastAsia="Times New Roman" w:hAnsi="Times New Roman"/>
          <w:sz w:val="18"/>
          <w:szCs w:val="18"/>
          <w:color w:val="auto"/>
        </w:rPr>
      </w:pPr>
    </w:p>
    <w:p>
      <w:pPr>
        <w:ind w:right="260" w:firstLine="757"/>
        <w:spacing w:after="0" w:line="282" w:lineRule="auto"/>
        <w:tabs>
          <w:tab w:leader="none" w:pos="11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109"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SARs may be exercised by delivery to the Company of a notice of exercise in a form (which may be electronic) approved by the Company, together with any other documents required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4" w:name="page265"/>
    <w:bookmarkEnd w:id="264"/>
    <w:p>
      <w:pPr>
        <w:spacing w:after="0" w:line="194" w:lineRule="exact"/>
        <w:rPr>
          <w:sz w:val="20"/>
          <w:szCs w:val="20"/>
          <w:color w:val="auto"/>
        </w:rPr>
      </w:pPr>
    </w:p>
    <w:p>
      <w:pPr>
        <w:ind w:left="-8" w:right="100" w:firstLine="757"/>
        <w:spacing w:after="0" w:line="255" w:lineRule="auto"/>
        <w:tabs>
          <w:tab w:leader="none" w:pos="1101"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Exchange.</w:t>
      </w:r>
    </w:p>
    <w:p>
      <w:pPr>
        <w:spacing w:after="0" w:line="188" w:lineRule="exact"/>
        <w:rPr>
          <w:rFonts w:ascii="Times New Roman" w:cs="Times New Roman" w:eastAsia="Times New Roman" w:hAnsi="Times New Roman"/>
          <w:sz w:val="18"/>
          <w:szCs w:val="18"/>
          <w:color w:val="auto"/>
        </w:rPr>
      </w:pPr>
    </w:p>
    <w:p>
      <w:pPr>
        <w:ind w:left="1112" w:hanging="363"/>
        <w:spacing w:after="0"/>
        <w:tabs>
          <w:tab w:leader="none" w:pos="111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Dividend Equivalents</w:t>
      </w:r>
      <w:r>
        <w:rPr>
          <w:rFonts w:ascii="Times New Roman" w:cs="Times New Roman" w:eastAsia="Times New Roman" w:hAnsi="Times New Roman"/>
          <w:sz w:val="18"/>
          <w:szCs w:val="18"/>
          <w:color w:val="auto"/>
        </w:rPr>
        <w:t>. No SAR shall provide for the payment or accrual of dividend equivalents.</w:t>
      </w:r>
    </w:p>
    <w:p>
      <w:pPr>
        <w:spacing w:after="0" w:line="225"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RSUs</w:t>
      </w:r>
    </w:p>
    <w:p>
      <w:pPr>
        <w:spacing w:after="0" w:line="221" w:lineRule="exact"/>
        <w:rPr>
          <w:rFonts w:ascii="Times New Roman" w:cs="Times New Roman" w:eastAsia="Times New Roman" w:hAnsi="Times New Roman"/>
          <w:sz w:val="18"/>
          <w:szCs w:val="18"/>
          <w:color w:val="auto"/>
        </w:rPr>
      </w:pPr>
    </w:p>
    <w:p>
      <w:pPr>
        <w:ind w:left="-8" w:right="180" w:firstLine="757"/>
        <w:spacing w:after="0" w:line="259" w:lineRule="auto"/>
        <w:tabs>
          <w:tab w:leader="none" w:pos="1101"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as soon as practicable after the time such Award vests or is settled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8" w:right="240" w:firstLine="757"/>
        <w:spacing w:after="0" w:line="282" w:lineRule="auto"/>
        <w:tabs>
          <w:tab w:leader="none" w:pos="1101"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Restricted Stock and RSUs</w:t>
      </w:r>
      <w:r>
        <w:rPr>
          <w:rFonts w:ascii="Times New Roman" w:cs="Times New Roman" w:eastAsia="Times New Roman" w:hAnsi="Times New Roman"/>
          <w:sz w:val="18"/>
          <w:szCs w:val="18"/>
          <w:color w:val="auto"/>
        </w:rPr>
        <w:t>. The Board shall determine the terms and conditions of Restricted Stock and RSUs,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1112" w:hanging="363"/>
        <w:spacing w:after="0"/>
        <w:tabs>
          <w:tab w:leader="none" w:pos="111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20" w:firstLine="1505"/>
        <w:spacing w:after="0" w:line="258" w:lineRule="auto"/>
        <w:tabs>
          <w:tab w:leader="none" w:pos="1849"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dividends (whether paid in cash, stock or property) declared and paid by the Company with respect to shares of Restricted Stock (“</w:t>
      </w:r>
      <w:r>
        <w:rPr>
          <w:rFonts w:ascii="Times New Roman" w:cs="Times New Roman" w:eastAsia="Times New Roman" w:hAnsi="Times New Roman"/>
          <w:sz w:val="18"/>
          <w:szCs w:val="18"/>
          <w:b w:val="1"/>
          <w:bCs w:val="1"/>
          <w:i w:val="1"/>
          <w:iCs w:val="1"/>
          <w:color w:val="auto"/>
        </w:rPr>
        <w:t>Unvested Dividends</w:t>
      </w:r>
      <w:r>
        <w:rPr>
          <w:rFonts w:ascii="Times New Roman" w:cs="Times New Roman" w:eastAsia="Times New Roman" w:hAnsi="Times New Roman"/>
          <w:sz w:val="18"/>
          <w:szCs w:val="18"/>
          <w:color w:val="auto"/>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183" w:lineRule="exact"/>
        <w:rPr>
          <w:rFonts w:ascii="Times New Roman" w:cs="Times New Roman" w:eastAsia="Times New Roman" w:hAnsi="Times New Roman"/>
          <w:sz w:val="18"/>
          <w:szCs w:val="18"/>
          <w:color w:val="auto"/>
        </w:rPr>
      </w:pPr>
    </w:p>
    <w:p>
      <w:pPr>
        <w:ind w:left="-8" w:firstLine="1505"/>
        <w:spacing w:after="0" w:line="256" w:lineRule="auto"/>
        <w:tabs>
          <w:tab w:leader="none" w:pos="1849"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87" w:lineRule="exact"/>
        <w:rPr>
          <w:rFonts w:ascii="Times New Roman" w:cs="Times New Roman" w:eastAsia="Times New Roman" w:hAnsi="Times New Roman"/>
          <w:sz w:val="18"/>
          <w:szCs w:val="18"/>
          <w:color w:val="auto"/>
        </w:rPr>
      </w:pPr>
    </w:p>
    <w:p>
      <w:pPr>
        <w:ind w:left="1112" w:hanging="363"/>
        <w:spacing w:after="0"/>
        <w:tabs>
          <w:tab w:leader="none" w:pos="1112"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RSUs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right="160" w:firstLine="1505"/>
        <w:spacing w:after="0" w:line="261" w:lineRule="auto"/>
        <w:tabs>
          <w:tab w:leader="none" w:pos="1849"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As soon as practicable after the vesting of and/or lapsing of any other restrictions (i.e., settlement) with respect to each RSU, the Participant shall be entitled to receive from the Company such number of shares of Common Stock or (if so provided in the applicable Award agreement) an amount of cash equal to the fair market value (valued in the manner determined by (or in a manner approved by) the Board) of such number of shares of Common Stock as are set forth in the applicable RSU agreement. The Board may provide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867410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color w:val="auto"/>
        </w:rPr>
        <w:t>settlement of RSUs shall be deferred, on a mandatory basis or at the election of the Participant in a manner that complies with Section 409A of the Code.</w:t>
      </w:r>
    </w:p>
    <w:p>
      <w:pPr>
        <w:spacing w:after="0" w:line="225" w:lineRule="exact"/>
        <w:rPr>
          <w:sz w:val="20"/>
          <w:szCs w:val="20"/>
          <w:color w:val="auto"/>
        </w:rPr>
      </w:pPr>
    </w:p>
    <w:p>
      <w:pPr>
        <w:ind w:left="1860" w:hanging="355"/>
        <w:spacing w:after="0"/>
        <w:tabs>
          <w:tab w:leader="none" w:pos="1860"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RSUs.</w:t>
      </w:r>
    </w:p>
    <w:p>
      <w:pPr>
        <w:spacing w:after="0" w:line="225" w:lineRule="exact"/>
        <w:rPr>
          <w:rFonts w:ascii="Times New Roman" w:cs="Times New Roman" w:eastAsia="Times New Roman" w:hAnsi="Times New Roman"/>
          <w:sz w:val="18"/>
          <w:szCs w:val="18"/>
          <w:color w:val="auto"/>
        </w:rPr>
      </w:pPr>
    </w:p>
    <w:p>
      <w:pPr>
        <w:ind w:right="60" w:firstLine="1505"/>
        <w:spacing w:after="0" w:line="261" w:lineRule="auto"/>
        <w:tabs>
          <w:tab w:leader="none" w:pos="1857" w:val="left"/>
        </w:tabs>
        <w:numPr>
          <w:ilvl w:val="2"/>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RSUs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Dividend Equivalents may be settled in cash and/or shares of Common Stock, as provided in the Award agreement, and shall be subject to the same restrictions on transfer and forfeitability as the RSUs with respect to which paid.</w:t>
      </w:r>
    </w:p>
    <w:p>
      <w:pPr>
        <w:spacing w:after="0" w:line="17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p>
    <w:p>
      <w:pPr>
        <w:spacing w:after="0" w:line="225" w:lineRule="exact"/>
        <w:rPr>
          <w:rFonts w:ascii="Times New Roman" w:cs="Times New Roman" w:eastAsia="Times New Roman" w:hAnsi="Times New Roman"/>
          <w:sz w:val="18"/>
          <w:szCs w:val="18"/>
          <w:color w:val="auto"/>
        </w:rPr>
      </w:pPr>
    </w:p>
    <w:p>
      <w:pPr>
        <w:ind w:right="80" w:firstLine="757"/>
        <w:spacing w:after="0" w:line="261" w:lineRule="auto"/>
        <w:tabs>
          <w:tab w:leader="none" w:pos="11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8"/>
          <w:szCs w:val="18"/>
          <w:b w:val="1"/>
          <w:bCs w:val="1"/>
          <w:i w:val="1"/>
          <w:iCs w:val="1"/>
          <w:color w:val="auto"/>
        </w:rPr>
        <w:t>Other Stock-Based Awards</w:t>
      </w:r>
      <w:r>
        <w:rPr>
          <w:rFonts w:ascii="Times New Roman" w:cs="Times New Roman" w:eastAsia="Times New Roman" w:hAnsi="Times New Roman"/>
          <w:sz w:val="18"/>
          <w:szCs w:val="18"/>
          <w:color w:val="auto"/>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spacing w:after="0" w:line="179" w:lineRule="exact"/>
        <w:rPr>
          <w:rFonts w:ascii="Times New Roman" w:cs="Times New Roman" w:eastAsia="Times New Roman" w:hAnsi="Times New Roman"/>
          <w:sz w:val="18"/>
          <w:szCs w:val="18"/>
          <w:color w:val="auto"/>
        </w:rPr>
      </w:pPr>
    </w:p>
    <w:p>
      <w:pPr>
        <w:ind w:right="80" w:firstLine="757"/>
        <w:spacing w:after="0" w:line="282" w:lineRule="auto"/>
        <w:tabs>
          <w:tab w:leader="none" w:pos="11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the Plan, the Board shall determine the terms and conditions of each Other Stock-Based Award, including any purchase price applicable thereto.</w:t>
      </w:r>
    </w:p>
    <w:p>
      <w:pPr>
        <w:spacing w:after="0" w:line="161" w:lineRule="exact"/>
        <w:rPr>
          <w:rFonts w:ascii="Times New Roman" w:cs="Times New Roman" w:eastAsia="Times New Roman" w:hAnsi="Times New Roman"/>
          <w:sz w:val="18"/>
          <w:szCs w:val="18"/>
          <w:color w:val="auto"/>
        </w:rPr>
      </w:pPr>
    </w:p>
    <w:p>
      <w:pPr>
        <w:jc w:val="both"/>
        <w:ind w:right="60" w:firstLine="757"/>
        <w:spacing w:after="0" w:line="261" w:lineRule="auto"/>
        <w:tabs>
          <w:tab w:leader="none" w:pos="11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spacing w:after="0" w:line="17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225" w:lineRule="exact"/>
        <w:rPr>
          <w:rFonts w:ascii="Times New Roman" w:cs="Times New Roman" w:eastAsia="Times New Roman" w:hAnsi="Times New Roman"/>
          <w:sz w:val="18"/>
          <w:szCs w:val="18"/>
          <w:color w:val="auto"/>
        </w:rPr>
      </w:pPr>
    </w:p>
    <w:p>
      <w:pPr>
        <w:ind w:firstLine="757"/>
        <w:spacing w:after="0" w:line="253" w:lineRule="auto"/>
        <w:tabs>
          <w:tab w:leader="none" w:pos="1109"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set forth in Section 4,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award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89"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right="60" w:firstLine="1505"/>
        <w:spacing w:after="0" w:line="262" w:lineRule="auto"/>
        <w:tabs>
          <w:tab w:leader="none" w:pos="1857" w:val="left"/>
        </w:tabs>
        <w:numPr>
          <w:ilvl w:val="2"/>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Reorganization Event</w:t>
      </w:r>
      <w:r>
        <w:rPr>
          <w:rFonts w:ascii="Times New Roman" w:cs="Times New Roman" w:eastAsia="Times New Roman" w:hAnsi="Times New Roman"/>
          <w:sz w:val="18"/>
          <w:szCs w:val="18"/>
          <w:color w:val="auto"/>
        </w:rPr>
        <w:t>” shall mean: (i) any merger or consolidation of the Company with or into another entity as a result of which all of the Common Stock of the Company is converted into or exchanged for the right to receive cash, securities or other property or is cancelled, (ii) any transfer or disposition of all of the Common Stock of the Company for cash, securities or other property pursuant to a share exchange or other transaction or (iii) any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6" w:name="page267"/>
    <w:bookmarkEnd w:id="266"/>
    <w:p>
      <w:pPr>
        <w:ind w:left="740" w:hanging="355"/>
        <w:spacing w:after="0"/>
        <w:tabs>
          <w:tab w:leader="none" w:pos="7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Awards Other than 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right="40" w:firstLine="2254"/>
        <w:spacing w:after="0" w:line="252" w:lineRule="auto"/>
        <w:tabs>
          <w:tab w:leader="none" w:pos="148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b w:val="1"/>
          <w:bCs w:val="1"/>
          <w:i w:val="1"/>
          <w:iCs w:val="1"/>
          <w:color w:val="auto"/>
        </w:rPr>
        <w:t>Acquisition Price</w:t>
      </w:r>
      <w:r>
        <w:rPr>
          <w:rFonts w:ascii="Times New Roman" w:cs="Times New Roman" w:eastAsia="Times New Roman" w:hAnsi="Times New Roman"/>
          <w:sz w:val="18"/>
          <w:szCs w:val="18"/>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spacing w:after="0" w:line="193" w:lineRule="exact"/>
        <w:rPr>
          <w:rFonts w:ascii="Times New Roman" w:cs="Times New Roman" w:eastAsia="Times New Roman" w:hAnsi="Times New Roman"/>
          <w:sz w:val="18"/>
          <w:szCs w:val="18"/>
          <w:color w:val="auto"/>
        </w:rPr>
      </w:pPr>
    </w:p>
    <w:p>
      <w:pPr>
        <w:ind w:left="-1120" w:right="40" w:firstLine="2254"/>
        <w:spacing w:after="0" w:line="254" w:lineRule="auto"/>
        <w:tabs>
          <w:tab w:leader="none" w:pos="148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9(b)(2)(A), in the case of outstanding RSUs that are subject to Section 409A of the Code: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9(b)(2)(A)(i) and the RSUs shall instead be settled in accordance with the terms of the applicable RSU agreement; and (ii) the Board may only undertake the actions set forth in clauses (iii), (iv) or (v) of Section 9(b)(2)(A)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RSUs pursuant to clause (i) of Section 9(b)(2)(A), then the unvested RSUs shall terminate immediately prior to the consummation of the Reorganization Event without any payment in exchange therefor.</w:t>
      </w:r>
    </w:p>
    <w:p>
      <w:pPr>
        <w:spacing w:after="0" w:line="188" w:lineRule="exact"/>
        <w:rPr>
          <w:rFonts w:ascii="Times New Roman" w:cs="Times New Roman" w:eastAsia="Times New Roman" w:hAnsi="Times New Roman"/>
          <w:sz w:val="18"/>
          <w:szCs w:val="18"/>
          <w:color w:val="auto"/>
        </w:rPr>
      </w:pPr>
    </w:p>
    <w:p>
      <w:pPr>
        <w:ind w:left="-1120" w:firstLine="2254"/>
        <w:spacing w:after="0" w:line="253" w:lineRule="auto"/>
        <w:tabs>
          <w:tab w:leader="none" w:pos="148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191" w:lineRule="exact"/>
        <w:rPr>
          <w:rFonts w:ascii="Times New Roman" w:cs="Times New Roman" w:eastAsia="Times New Roman" w:hAnsi="Times New Roman"/>
          <w:sz w:val="18"/>
          <w:szCs w:val="18"/>
          <w:color w:val="auto"/>
        </w:rPr>
      </w:pPr>
    </w:p>
    <w:p>
      <w:pPr>
        <w:ind w:left="-1120" w:right="240" w:firstLine="1505"/>
        <w:spacing w:after="0" w:line="266" w:lineRule="auto"/>
        <w:tabs>
          <w:tab w:leader="none" w:pos="73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Stock</w:t>
      </w:r>
      <w:r>
        <w:rPr>
          <w:rFonts w:ascii="Times New Roman" w:cs="Times New Roman" w:eastAsia="Times New Roman" w:hAnsi="Times New Roman"/>
          <w:sz w:val="18"/>
          <w:szCs w:val="18"/>
          <w:color w:val="auto"/>
        </w:rPr>
        <w:t>. Upon the occurrence of a Reorganization Event other than a liquidation or dissolution of the Company, the repurchase and other rights of the Company with respect to outstanding Restricted Stock shall inure to the benefit of the Company’s successor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864870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7" w:right="339" w:bottom="1440" w:gutter="0" w:footer="0" w:header="0"/>
        </w:sectPr>
      </w:pPr>
    </w:p>
    <w:bookmarkStart w:id="267" w:name="page268"/>
    <w:bookmarkEnd w:id="267"/>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189" w:lineRule="exact"/>
        <w:rPr>
          <w:sz w:val="20"/>
          <w:szCs w:val="20"/>
          <w:color w:val="auto"/>
        </w:rPr>
      </w:pPr>
    </w:p>
    <w:p>
      <w:pPr>
        <w:ind w:left="360" w:hanging="352"/>
        <w:spacing w:after="0"/>
        <w:tabs>
          <w:tab w:leader="none" w:pos="3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rFonts w:ascii="Times New Roman" w:cs="Times New Roman" w:eastAsia="Times New Roman" w:hAnsi="Times New Roman"/>
          <w:sz w:val="18"/>
          <w:szCs w:val="18"/>
          <w:color w:val="auto"/>
        </w:rPr>
      </w:pPr>
    </w:p>
    <w:p>
      <w:pPr>
        <w:ind w:right="20" w:firstLine="757"/>
        <w:spacing w:after="0" w:line="253" w:lineRule="auto"/>
        <w:tabs>
          <w:tab w:leader="none" w:pos="110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the Participant, either voluntarily or by operation of law, except by will or the laws of descent and distribution or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with respect to Awards subject to Section 409A of the Code,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91" w:lineRule="exact"/>
        <w:rPr>
          <w:rFonts w:ascii="Times New Roman" w:cs="Times New Roman" w:eastAsia="Times New Roman" w:hAnsi="Times New Roman"/>
          <w:sz w:val="18"/>
          <w:szCs w:val="18"/>
          <w:color w:val="auto"/>
        </w:rPr>
      </w:pPr>
    </w:p>
    <w:p>
      <w:pPr>
        <w:jc w:val="both"/>
        <w:ind w:right="80" w:firstLine="757"/>
        <w:spacing w:after="0" w:line="261" w:lineRule="auto"/>
        <w:tabs>
          <w:tab w:leader="none" w:pos="110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Press Release</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 Promptly following the grant of an Award hereunder, the Company must disclose in a press release the material terms of the grant, the number of shares involved, and, if required by law or the rules of the Exchange, the identity of the Participant and each Participant, by accepting the Award, consents to the foregoing.</w:t>
      </w:r>
    </w:p>
    <w:p>
      <w:pPr>
        <w:spacing w:after="0" w:line="179" w:lineRule="exact"/>
        <w:rPr>
          <w:rFonts w:ascii="Times New Roman" w:cs="Times New Roman" w:eastAsia="Times New Roman" w:hAnsi="Times New Roman"/>
          <w:sz w:val="18"/>
          <w:szCs w:val="18"/>
          <w:color w:val="auto"/>
        </w:rPr>
      </w:pPr>
    </w:p>
    <w:p>
      <w:pPr>
        <w:ind w:right="20" w:firstLine="757"/>
        <w:spacing w:after="0" w:line="261" w:lineRule="auto"/>
        <w:tabs>
          <w:tab w:leader="none" w:pos="110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the Award.</w:t>
      </w:r>
    </w:p>
    <w:p>
      <w:pPr>
        <w:spacing w:after="0" w:line="179" w:lineRule="exact"/>
        <w:rPr>
          <w:rFonts w:ascii="Times New Roman" w:cs="Times New Roman" w:eastAsia="Times New Roman" w:hAnsi="Times New Roman"/>
          <w:sz w:val="18"/>
          <w:szCs w:val="18"/>
          <w:color w:val="auto"/>
        </w:rPr>
      </w:pPr>
    </w:p>
    <w:p>
      <w:pPr>
        <w:ind w:firstLine="757"/>
        <w:spacing w:after="0" w:line="253" w:lineRule="auto"/>
        <w:tabs>
          <w:tab w:leader="none" w:pos="110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except as otherwise provided by the Board, that the total tax withholding where stock is being used to satisfy such tax obligations cannot exceed the Company’s minimum statutory withholding obligations (based on minimum statutory withholding rates for federal, state and local tax purposes, including payroll taxes, that are applicable to such supplemental taxable income), except that, to the extent that the Company is able to retain shares of Common Stock having a fair market value (determined by, or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8" w:name="page269"/>
    <w:bookmarkEnd w:id="268"/>
    <w:p>
      <w:pPr>
        <w:spacing w:after="0" w:line="258" w:lineRule="auto"/>
        <w:rPr>
          <w:sz w:val="20"/>
          <w:szCs w:val="20"/>
          <w:color w:val="auto"/>
        </w:rPr>
      </w:pPr>
      <w:r>
        <w:rPr>
          <w:rFonts w:ascii="Times New Roman" w:cs="Times New Roman" w:eastAsia="Times New Roman" w:hAnsi="Times New Roman"/>
          <w:sz w:val="18"/>
          <w:szCs w:val="18"/>
          <w:color w:val="auto"/>
        </w:rPr>
        <w:t>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spacing w:after="0" w:line="183" w:lineRule="exact"/>
        <w:rPr>
          <w:sz w:val="20"/>
          <w:szCs w:val="20"/>
          <w:color w:val="auto"/>
        </w:rPr>
      </w:pPr>
    </w:p>
    <w:p>
      <w:pPr>
        <w:jc w:val="both"/>
        <w:ind w:right="100" w:firstLine="757"/>
        <w:spacing w:after="0" w:line="261" w:lineRule="auto"/>
        <w:tabs>
          <w:tab w:leader="none" w:pos="110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otherwise provided in Sections 5(f) and 6(e) with respect to repricings, the Board may amend, modify or terminate any outstanding Award, including but not limited to, substituting therefor another Award of the same or a different type and changing the date of exercise or realization.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spacing w:after="0" w:line="179" w:lineRule="exact"/>
        <w:rPr>
          <w:rFonts w:ascii="Times New Roman" w:cs="Times New Roman" w:eastAsia="Times New Roman" w:hAnsi="Times New Roman"/>
          <w:sz w:val="18"/>
          <w:szCs w:val="18"/>
          <w:color w:val="auto"/>
        </w:rPr>
      </w:pPr>
    </w:p>
    <w:p>
      <w:pPr>
        <w:ind w:firstLine="757"/>
        <w:spacing w:after="0" w:line="256" w:lineRule="auto"/>
        <w:tabs>
          <w:tab w:leader="none" w:pos="110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from some or all restrictions or conditions, or otherwise realizable in whole or in part, as the case may be.</w:t>
      </w:r>
    </w:p>
    <w:p>
      <w:pPr>
        <w:spacing w:after="0" w:line="16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right="80" w:firstLine="757"/>
        <w:spacing w:after="0" w:line="261" w:lineRule="auto"/>
        <w:tabs>
          <w:tab w:leader="none" w:pos="110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8"/>
          <w:szCs w:val="18"/>
          <w:color w:val="auto"/>
        </w:rPr>
      </w:pPr>
    </w:p>
    <w:p>
      <w:pPr>
        <w:jc w:val="both"/>
        <w:ind w:right="80" w:firstLine="757"/>
        <w:spacing w:after="0" w:line="261" w:lineRule="auto"/>
        <w:tabs>
          <w:tab w:leader="none" w:pos="110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Clawback</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a Participant agrees to be bound by any clawback policy the Company has in effect or may adopt in the future.</w:t>
      </w:r>
    </w:p>
    <w:p>
      <w:pPr>
        <w:spacing w:after="0" w:line="179" w:lineRule="exact"/>
        <w:rPr>
          <w:rFonts w:ascii="Times New Roman" w:cs="Times New Roman" w:eastAsia="Times New Roman" w:hAnsi="Times New Roman"/>
          <w:sz w:val="18"/>
          <w:szCs w:val="18"/>
          <w:color w:val="auto"/>
        </w:rPr>
      </w:pPr>
    </w:p>
    <w:p>
      <w:pPr>
        <w:jc w:val="both"/>
        <w:ind w:right="20" w:firstLine="757"/>
        <w:spacing w:after="0" w:line="266" w:lineRule="auto"/>
        <w:tabs>
          <w:tab w:leader="none" w:pos="110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shall become effective on the date on which it is adopted by the Board. It is expressly intended that approval of the Company’s stockholders not be required as a condition to the effectiveness of the Plan, and the Plan’s provisions shall be interpreted in a manner consistent with such intent for all purposes.</w:t>
      </w:r>
    </w:p>
    <w:p>
      <w:pPr>
        <w:spacing w:after="0" w:line="175" w:lineRule="exact"/>
        <w:rPr>
          <w:rFonts w:ascii="Times New Roman" w:cs="Times New Roman" w:eastAsia="Times New Roman" w:hAnsi="Times New Roman"/>
          <w:sz w:val="18"/>
          <w:szCs w:val="18"/>
          <w:color w:val="auto"/>
        </w:rPr>
      </w:pPr>
    </w:p>
    <w:p>
      <w:pPr>
        <w:ind w:right="60" w:firstLine="757"/>
        <w:spacing w:after="0" w:line="258" w:lineRule="auto"/>
        <w:tabs>
          <w:tab w:leader="none" w:pos="110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no amendment that would require stockholder approval under the rules of the Exchange may be made effective unless and until the Company’s stockholders approve such amendment.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spacing w:after="0" w:line="183" w:lineRule="exact"/>
        <w:rPr>
          <w:rFonts w:ascii="Times New Roman" w:cs="Times New Roman" w:eastAsia="Times New Roman" w:hAnsi="Times New Roman"/>
          <w:sz w:val="18"/>
          <w:szCs w:val="18"/>
          <w:color w:val="auto"/>
        </w:rPr>
      </w:pPr>
    </w:p>
    <w:p>
      <w:pPr>
        <w:ind w:right="320" w:firstLine="757"/>
        <w:spacing w:after="0" w:line="282" w:lineRule="auto"/>
        <w:tabs>
          <w:tab w:leader="none" w:pos="110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Grants to non-U.S. Employees)</w:t>
      </w:r>
      <w:r>
        <w:rPr>
          <w:rFonts w:ascii="Times New Roman" w:cs="Times New Roman" w:eastAsia="Times New Roman" w:hAnsi="Times New Roman"/>
          <w:sz w:val="18"/>
          <w:szCs w:val="18"/>
          <w:color w:val="auto"/>
        </w:rPr>
        <w:t>. The Board may from time to time establish one or more sub-plans under the Plan for purposes of satisfying applicable securities, tax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9" w:name="page270"/>
    <w:bookmarkEnd w:id="269"/>
    <w:p>
      <w:pPr>
        <w:ind w:right="40"/>
        <w:spacing w:after="0" w:line="258" w:lineRule="auto"/>
        <w:rPr>
          <w:sz w:val="20"/>
          <w:szCs w:val="20"/>
          <w:color w:val="auto"/>
        </w:rPr>
      </w:pPr>
      <w:r>
        <w:rPr>
          <w:rFonts w:ascii="Times New Roman" w:cs="Times New Roman" w:eastAsia="Times New Roman" w:hAnsi="Times New Roman"/>
          <w:sz w:val="18"/>
          <w:szCs w:val="18"/>
          <w:color w:val="auto"/>
        </w:rPr>
        <w:t>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3" w:lineRule="exact"/>
        <w:rPr>
          <w:sz w:val="20"/>
          <w:szCs w:val="20"/>
          <w:color w:val="auto"/>
        </w:rPr>
      </w:pPr>
    </w:p>
    <w:p>
      <w:pPr>
        <w:ind w:firstLine="757"/>
        <w:spacing w:after="0" w:line="254" w:lineRule="auto"/>
        <w:tabs>
          <w:tab w:leader="none" w:pos="110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If and to the extent (i) any portion of any payment, compensation or other benefit provided to a Participant pursuant to the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8"/>
          <w:szCs w:val="18"/>
          <w:b w:val="1"/>
          <w:bCs w:val="1"/>
          <w:i w:val="1"/>
          <w:iCs w:val="1"/>
          <w:color w:val="auto"/>
        </w:rPr>
        <w:t>New Payment Date</w:t>
      </w:r>
      <w:r>
        <w:rPr>
          <w:rFonts w:ascii="Times New Roman" w:cs="Times New Roman" w:eastAsia="Times New Roman" w:hAnsi="Times New Roman"/>
          <w:sz w:val="18"/>
          <w:szCs w:val="18"/>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spacing w:after="0" w:line="176" w:lineRule="exact"/>
        <w:rPr>
          <w:sz w:val="20"/>
          <w:szCs w:val="20"/>
          <w:color w:val="auto"/>
        </w:rPr>
      </w:pPr>
    </w:p>
    <w:p>
      <w:pPr>
        <w:ind w:right="80" w:firstLine="757"/>
        <w:spacing w:after="0" w:line="255" w:lineRule="auto"/>
        <w:tabs>
          <w:tab w:leader="none" w:pos="110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spacing w:after="0" w:line="188" w:lineRule="exact"/>
        <w:rPr>
          <w:rFonts w:ascii="Times New Roman" w:cs="Times New Roman" w:eastAsia="Times New Roman" w:hAnsi="Times New Roman"/>
          <w:sz w:val="18"/>
          <w:szCs w:val="18"/>
          <w:color w:val="auto"/>
        </w:rPr>
      </w:pPr>
    </w:p>
    <w:p>
      <w:pPr>
        <w:jc w:val="both"/>
        <w:ind w:right="280" w:firstLine="757"/>
        <w:spacing w:after="0" w:line="266" w:lineRule="auto"/>
        <w:tabs>
          <w:tab w:leader="none" w:pos="110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1096645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color w:val="auto"/>
        </w:rPr>
        <w:t>Exhibit 10.50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NONSTATUTORY STOCK OPTION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Granted under 2024 Inducement Stock Incentive Plan</w:t>
      </w:r>
    </w:p>
    <w:p>
      <w:pPr>
        <w:spacing w:after="0" w:line="206"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Solid Biosciences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stock option pursuant to its 2024 Inducement Stock Incentive Plan. The terms and conditions attached hereto are also a part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146050</wp:posOffset>
            </wp:positionV>
            <wp:extent cx="7057390" cy="15449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24">
                      <a:extLst>
                        <a:ext uri="{28A0092B-C50C-407E-A947-70E740481C1C}"/>
                      </a:extLst>
                    </a:blip>
                    <a:srcRect/>
                    <a:stretch>
                      <a:fillRect/>
                    </a:stretch>
                  </pic:blipFill>
                  <pic:spPr bwMode="auto">
                    <a:xfrm>
                      <a:off x="0" y="0"/>
                      <a:ext cx="7057390" cy="1544955"/>
                    </a:xfrm>
                    <a:prstGeom prst="rect">
                      <a:avLst/>
                    </a:prstGeom>
                    <a:noFill/>
                  </pic:spPr>
                </pic:pic>
              </a:graphicData>
            </a:graphic>
          </wp:anchor>
        </w:drawing>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Name of optionee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Grant Date:</w:t>
      </w:r>
    </w:p>
    <w:p>
      <w:pPr>
        <w:spacing w:after="0" w:line="17" w:lineRule="exact"/>
        <w:rPr>
          <w:sz w:val="20"/>
          <w:szCs w:val="20"/>
          <w:color w:val="auto"/>
        </w:rPr>
      </w:pPr>
    </w:p>
    <w:p>
      <w:pPr>
        <w:ind w:left="240" w:right="5220"/>
        <w:spacing w:after="0" w:line="243" w:lineRule="auto"/>
        <w:rPr>
          <w:sz w:val="20"/>
          <w:szCs w:val="20"/>
          <w:color w:val="auto"/>
        </w:rPr>
      </w:pPr>
      <w:r>
        <w:rPr>
          <w:rFonts w:ascii="Times New Roman" w:cs="Times New Roman" w:eastAsia="Times New Roman" w:hAnsi="Times New Roman"/>
          <w:sz w:val="22"/>
          <w:szCs w:val="22"/>
          <w:color w:val="auto"/>
        </w:rPr>
        <w:t>Number of shares of the Company’s Common Stock subject to this option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Option exercise price per Share: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Number, if any, of Shares that vest immediately on the grant date: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Shares that are subject to vesting schedule: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Final Exercise Date: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77470</wp:posOffset>
            </wp:positionV>
            <wp:extent cx="7057390" cy="9023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5">
                      <a:extLst>
                        <a:ext uri="{28A0092B-C50C-407E-A947-70E740481C1C}"/>
                      </a:extLst>
                    </a:blip>
                    <a:srcRect/>
                    <a:stretch>
                      <a:fillRect/>
                    </a:stretch>
                  </pic:blipFill>
                  <pic:spPr bwMode="auto">
                    <a:xfrm>
                      <a:off x="0" y="0"/>
                      <a:ext cx="7057390" cy="90233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u w:val="single" w:color="auto"/>
          <w:color w:val="auto"/>
        </w:rPr>
        <w:t>Vesting 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Number of Options that Vest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5620" w:space="720"/>
            <w:col w:w="4900"/>
          </w:cols>
          <w:pgMar w:left="320" w:top="765" w:right="339" w:bottom="1440" w:gutter="0" w:footer="0" w:header="0"/>
          <w:type w:val="continuous"/>
        </w:sectPr>
      </w:pPr>
    </w:p>
    <w:p>
      <w:pPr>
        <w:spacing w:after="0" w:line="3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All vesting is dependent on the Participant remaining an Eligible Participant,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1557020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71" w:name="page272"/>
    <w:bookmarkEnd w:id="271"/>
    <w:p>
      <w:pPr>
        <w:ind w:firstLine="749"/>
        <w:spacing w:after="0" w:line="258" w:lineRule="auto"/>
        <w:rPr>
          <w:sz w:val="20"/>
          <w:szCs w:val="20"/>
          <w:color w:val="auto"/>
        </w:rPr>
      </w:pPr>
      <w:r>
        <w:rPr>
          <w:rFonts w:ascii="Times New Roman" w:cs="Times New Roman" w:eastAsia="Times New Roman" w:hAnsi="Times New Roman"/>
          <w:sz w:val="22"/>
          <w:szCs w:val="22"/>
          <w:color w:val="auto"/>
        </w:rPr>
        <w:t>This option satisfies in full all commitments that the Company has to the Participant with respect to the issuance of stock, stock options or other equity securities.</w:t>
      </w:r>
    </w:p>
    <w:p>
      <w:pPr>
        <w:spacing w:after="0" w:line="37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39471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22"/>
          <w:szCs w:val="22"/>
          <w:color w:val="auto"/>
        </w:rPr>
        <w:t>By:</w:t>
      </w:r>
    </w:p>
    <w:p>
      <w:pPr>
        <w:sectPr>
          <w:pgSz w:w="11900" w:h="16838" w:orient="portrait"/>
          <w:cols w:equalWidth="0" w:num="1">
            <w:col w:w="10700"/>
          </w:cols>
          <w:pgMar w:left="320" w:top="1408" w:right="87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339471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39471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Name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1800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6395085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520" w:space="720"/>
            <w:col w:w="4460"/>
          </w:cols>
          <w:pgMar w:left="320" w:top="1408" w:right="879" w:bottom="1440" w:gutter="0" w:footer="0" w:header="0"/>
          <w:type w:val="continuous"/>
        </w:sectPr>
      </w:pPr>
    </w:p>
    <w:bookmarkStart w:id="272" w:name="page273"/>
    <w:bookmarkEnd w:id="272"/>
    <w:p>
      <w:pPr>
        <w:ind w:left="466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u w:val="single" w:color="auto"/>
          <w:color w:val="auto"/>
        </w:rPr>
        <w:t>Nonstatutory</w:t>
      </w:r>
      <w:r>
        <w:rPr>
          <w:rFonts w:ascii="Times New Roman" w:cs="Times New Roman" w:eastAsia="Times New Roman" w:hAnsi="Times New Roman"/>
          <w:sz w:val="22"/>
          <w:szCs w:val="22"/>
          <w:color w:val="auto"/>
        </w:rPr>
        <w:t xml:space="preserve"> Stock Option Agreement</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Granted under 2024 Inducement Stock Incentive Plan</w:t>
      </w: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82" w:lineRule="exact"/>
        <w:rPr>
          <w:sz w:val="20"/>
          <w:szCs w:val="20"/>
          <w:color w:val="auto"/>
        </w:rPr>
      </w:pPr>
    </w:p>
    <w:p>
      <w:pPr>
        <w:ind w:left="440" w:hanging="432"/>
        <w:spacing w:after="0"/>
        <w:tabs>
          <w:tab w:leader="none" w:pos="44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This agreement evidences the grant by the Company, on the grant date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set forth in the Notice of Grant that forms part of this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to the Participant of an option to purchase, in whole or in part, on the terms provided herein and in the Company’s 2024 Inducement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number of Shares set forth in the Notice of Grant of common stock, $0.001 par value per share, of the Company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at the exercise price per Share set forth in the Notice of Grant. Unless earlier terminated, this option shall expire at 5:00 p.m., Eastern time, on the Final Exercise Date set forth in the Notice of Grant (the “</w:t>
      </w:r>
      <w:r>
        <w:rPr>
          <w:rFonts w:ascii="Times New Roman" w:cs="Times New Roman" w:eastAsia="Times New Roman" w:hAnsi="Times New Roman"/>
          <w:sz w:val="22"/>
          <w:szCs w:val="22"/>
          <w:u w:val="single" w:color="auto"/>
          <w:color w:val="auto"/>
        </w:rPr>
        <w:t>Final Exercise 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21"/>
          <w:szCs w:val="21"/>
          <w:color w:val="auto"/>
        </w:rPr>
        <w:t>The option evidenced by this agreement was granted to the Participant pursuant to the inducement grant exception under Nasdaq Stock Market Rule 5635(c)(4) as an inducement that is material to the Participant’s employment with the Company.</w:t>
      </w:r>
    </w:p>
    <w:p>
      <w:pPr>
        <w:spacing w:after="0" w:line="135"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The option evidenced by this agreement shall not be an incentive stock option as defined in Section 422 of the Internal Revenue Code of 1986, as amended, and any regulations promulgated thereunder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Except as otherwise indicated by the context, the term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as used in this option, shall be deemed to include any person who acquires the right to exercise this option validly under its terms.</w:t>
      </w:r>
    </w:p>
    <w:p>
      <w:pPr>
        <w:spacing w:after="0" w:line="180" w:lineRule="exact"/>
        <w:rPr>
          <w:sz w:val="20"/>
          <w:szCs w:val="20"/>
          <w:color w:val="auto"/>
        </w:rPr>
      </w:pPr>
    </w:p>
    <w:p>
      <w:pPr>
        <w:ind w:left="440" w:hanging="432"/>
        <w:spacing w:after="0"/>
        <w:tabs>
          <w:tab w:leader="none" w:pos="44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option will become exercisable (“</w:t>
      </w:r>
      <w:r>
        <w:rPr>
          <w:rFonts w:ascii="Times New Roman" w:cs="Times New Roman" w:eastAsia="Times New Roman" w:hAnsi="Times New Roman"/>
          <w:sz w:val="22"/>
          <w:szCs w:val="22"/>
          <w:u w:val="single" w:color="auto"/>
          <w:color w:val="auto"/>
        </w:rPr>
        <w:t>vest</w:t>
      </w:r>
      <w:r>
        <w:rPr>
          <w:rFonts w:ascii="Times New Roman" w:cs="Times New Roman" w:eastAsia="Times New Roman" w:hAnsi="Times New Roman"/>
          <w:sz w:val="22"/>
          <w:szCs w:val="22"/>
          <w:color w:val="auto"/>
        </w:rPr>
        <w:t>”) in accordance with the vesting schedule set forth in the Notice of Grant.</w:t>
      </w:r>
    </w:p>
    <w:p>
      <w:pPr>
        <w:spacing w:after="0" w:line="20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3" w:lineRule="exact"/>
        <w:rPr>
          <w:sz w:val="20"/>
          <w:szCs w:val="20"/>
          <w:color w:val="auto"/>
        </w:rPr>
      </w:pPr>
    </w:p>
    <w:p>
      <w:pPr>
        <w:ind w:left="440" w:hanging="432"/>
        <w:spacing w:after="0"/>
        <w:tabs>
          <w:tab w:leader="none" w:pos="44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1700"/>
        <w:spacing w:after="0" w:line="238" w:lineRule="auto"/>
        <w:tabs>
          <w:tab w:leader="none" w:pos="2556"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Exercise</w:t>
      </w:r>
      <w:r>
        <w:rPr>
          <w:rFonts w:ascii="Times New Roman" w:cs="Times New Roman" w:eastAsia="Times New Roman" w:hAnsi="Times New Roman"/>
          <w:sz w:val="22"/>
          <w:szCs w:val="22"/>
          <w:color w:val="auto"/>
        </w:rPr>
        <w:t xml:space="preserve">. Each election to exercise this option shall be in writing, in the form of the Stock Option Exercise Notice attached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signed by the Participant, and received by the Company at its principal office, accompanied by this agreement, or in such other form (which may be electronic) as is approved by the Company, together with payment in full in the manner provided in the Plan. The Participant may purchase less than the number of shares covered hereby, provided that no partial exercise of this option may be for any fractional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73" w:name="page274"/>
    <w:bookmarkEnd w:id="273"/>
    <w:p>
      <w:pPr>
        <w:ind w:left="-1120" w:right="20" w:firstLine="1700"/>
        <w:spacing w:after="0" w:line="238" w:lineRule="auto"/>
        <w:tabs>
          <w:tab w:leader="none" w:pos="143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Continuous Relationship with the Company Required</w:t>
      </w:r>
      <w:r>
        <w:rPr>
          <w:rFonts w:ascii="Times New Roman" w:cs="Times New Roman" w:eastAsia="Times New Roman" w:hAnsi="Times New Roman"/>
          <w:sz w:val="22"/>
          <w:szCs w:val="22"/>
          <w:color w:val="auto"/>
        </w:rPr>
        <w:t>. Except as otherwise provided in this Section 3, this option may not be exercised unless the Participant, at the time he or she exercises this option, is, and has been at all times since the Grant Date, an employee, director or officer of, or consultant or advisor to, the Company or any other entity the employees, officers, directors, consultants, or advisors of which are eligible to receive option grants under the Plan (an “</w:t>
      </w:r>
      <w:r>
        <w:rPr>
          <w:rFonts w:ascii="Times New Roman" w:cs="Times New Roman" w:eastAsia="Times New Roman" w:hAnsi="Times New Roman"/>
          <w:sz w:val="22"/>
          <w:szCs w:val="22"/>
          <w:u w:val="single" w:color="auto"/>
          <w:color w:val="auto"/>
        </w:rPr>
        <w:t>Eligible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120" w:right="80" w:firstLine="1700"/>
        <w:spacing w:after="0" w:line="247" w:lineRule="auto"/>
        <w:tabs>
          <w:tab w:leader="none" w:pos="1436"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Relationship with the Company</w:t>
      </w:r>
      <w:r>
        <w:rPr>
          <w:rFonts w:ascii="Times New Roman" w:cs="Times New Roman" w:eastAsia="Times New Roman" w:hAnsi="Times New Roman"/>
          <w:sz w:val="21"/>
          <w:szCs w:val="21"/>
          <w:color w:val="auto"/>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71" w:lineRule="exact"/>
        <w:rPr>
          <w:rFonts w:ascii="Times New Roman" w:cs="Times New Roman" w:eastAsia="Times New Roman" w:hAnsi="Times New Roman"/>
          <w:sz w:val="21"/>
          <w:szCs w:val="21"/>
          <w:color w:val="auto"/>
        </w:rPr>
      </w:pPr>
    </w:p>
    <w:p>
      <w:pPr>
        <w:ind w:left="-1120" w:right="40" w:firstLine="1700"/>
        <w:spacing w:after="0" w:line="235" w:lineRule="auto"/>
        <w:tabs>
          <w:tab w:leader="none" w:pos="143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Period Upon Death or Disability</w:t>
      </w:r>
      <w:r>
        <w:rPr>
          <w:rFonts w:ascii="Times New Roman" w:cs="Times New Roman" w:eastAsia="Times New Roman" w:hAnsi="Times New Roman"/>
          <w:sz w:val="22"/>
          <w:szCs w:val="22"/>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83" w:lineRule="exact"/>
        <w:rPr>
          <w:rFonts w:ascii="Times New Roman" w:cs="Times New Roman" w:eastAsia="Times New Roman" w:hAnsi="Times New Roman"/>
          <w:sz w:val="22"/>
          <w:szCs w:val="22"/>
          <w:color w:val="auto"/>
        </w:rPr>
      </w:pPr>
    </w:p>
    <w:p>
      <w:pPr>
        <w:ind w:left="-1120" w:firstLine="1700"/>
        <w:spacing w:after="0" w:line="244" w:lineRule="auto"/>
        <w:tabs>
          <w:tab w:leader="none" w:pos="1436"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If, prior to the Final Exercise Date, the Participant’s employment or other relationship with the Company is terminated by the Company for Cause (as defined below), the right to exercise this option shall terminate immediately upon the effective date of such termination of employment or other relationship. If, prior to the Final Exercise Date, the Participant is given notice by the Company of the termination of his or her employment or other relationship by the Company for Cause, and the effective date of such termination is subsequent to the date of delivery of such notice, the right to exercise this option shall be suspended from the time of the delivery of such notice until the earlier of (i) such time as it is determined or otherwise agreed that the Participant’s employment or other relationship shall not be terminated for Cause as provided in such notice or (ii) the effective date of such termination of employment or other relationship (in which case the right to exercise this option shall, pursuant to the preceding sentence, terminate upon the effective date of such termination of employment or other relationship). If the Participant is subject to an individual employment, consulting or other service agreement with the Company or eligible to participate in a Company severance plan or arrangement, in any case which agreement, plan or arrangement contains a definition of “cause” for termination of employment or other relationship, “Cause” shall have the meaning ascribed to such term in such agreement, plan or arrangement. Otherwise, “Cause” shall mean willful misconduct by the Participant or willful failure by the Participant to perform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873760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274" w:name="page275"/>
    <w:bookmarkEnd w:id="274"/>
    <w:p>
      <w:pPr>
        <w:ind w:right="300"/>
        <w:spacing w:after="0" w:line="238" w:lineRule="auto"/>
        <w:rPr>
          <w:sz w:val="20"/>
          <w:szCs w:val="20"/>
          <w:color w:val="auto"/>
        </w:rPr>
      </w:pPr>
      <w:r>
        <w:rPr>
          <w:rFonts w:ascii="Times New Roman" w:cs="Times New Roman" w:eastAsia="Times New Roman" w:hAnsi="Times New Roman"/>
          <w:sz w:val="22"/>
          <w:szCs w:val="22"/>
          <w:color w:val="auto"/>
        </w:rPr>
        <w:t>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employment or other relationship shall be considered to have been terminated for Cause if the Company determines, within 30 days after the Participant’s resignation, that termination for Cause was warranted.</w:t>
      </w:r>
    </w:p>
    <w:p>
      <w:pPr>
        <w:spacing w:after="0" w:line="204" w:lineRule="exact"/>
        <w:rPr>
          <w:sz w:val="20"/>
          <w:szCs w:val="20"/>
          <w:color w:val="auto"/>
        </w:rPr>
      </w:pPr>
    </w:p>
    <w:p>
      <w:pPr>
        <w:ind w:right="100" w:firstLine="8"/>
        <w:spacing w:after="0" w:line="244" w:lineRule="auto"/>
        <w:tabs>
          <w:tab w:leader="none" w:pos="43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73"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 Clawback.</w:t>
      </w:r>
    </w:p>
    <w:p>
      <w:pPr>
        <w:spacing w:after="0" w:line="206" w:lineRule="exact"/>
        <w:rPr>
          <w:rFonts w:ascii="Times New Roman" w:cs="Times New Roman" w:eastAsia="Times New Roman" w:hAnsi="Times New Roman"/>
          <w:sz w:val="22"/>
          <w:szCs w:val="22"/>
          <w:color w:val="auto"/>
        </w:rPr>
      </w:pPr>
    </w:p>
    <w:p>
      <w:pPr>
        <w:ind w:firstLine="1700"/>
        <w:spacing w:after="0" w:line="244" w:lineRule="auto"/>
        <w:tabs>
          <w:tab w:leader="none" w:pos="2556"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option may not be sold, assigned, transferred, pledged, encumbered or otherwise disposed of by the Participant, either voluntarily or by operation of law, except by will or the laws of descent and distribution, and, during the lifetime of the Participant, this option shall be exercisable only by the Participant.</w:t>
      </w:r>
    </w:p>
    <w:p>
      <w:pPr>
        <w:spacing w:after="0" w:line="173" w:lineRule="exact"/>
        <w:rPr>
          <w:rFonts w:ascii="Times New Roman" w:cs="Times New Roman" w:eastAsia="Times New Roman" w:hAnsi="Times New Roman"/>
          <w:sz w:val="22"/>
          <w:szCs w:val="22"/>
          <w:color w:val="auto"/>
        </w:rPr>
      </w:pPr>
    </w:p>
    <w:p>
      <w:pPr>
        <w:ind w:right="740" w:firstLine="1700"/>
        <w:spacing w:after="0" w:line="258" w:lineRule="auto"/>
        <w:tabs>
          <w:tab w:leader="none" w:pos="2556"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accepting this option, the Participant agrees to be bound by any clawback policy that the Company has in place or may adopt in the future.</w:t>
      </w:r>
    </w:p>
    <w:p>
      <w:pPr>
        <w:spacing w:after="0" w:line="15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This option is subject to the provisions of the Plan (including the provisions relating to amendments to the Plan), a copy of which is furnished to the Participant with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1425575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75" w:name="page276"/>
    <w:bookmarkEnd w:id="275"/>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Stock Option Exercise Notice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220" w:type="dxa"/>
            <w:vAlign w:val="bottom"/>
            <w:gridSpan w:val="10"/>
          </w:tcPr>
          <w:p>
            <w:pPr>
              <w:spacing w:after="0"/>
              <w:rPr>
                <w:sz w:val="20"/>
                <w:szCs w:val="20"/>
                <w:color w:val="auto"/>
              </w:rPr>
            </w:pPr>
            <w:r>
              <w:rPr>
                <w:rFonts w:ascii="Times New Roman" w:cs="Times New Roman" w:eastAsia="Times New Roman" w:hAnsi="Times New Roman"/>
                <w:sz w:val="22"/>
                <w:szCs w:val="22"/>
                <w:color w:val="auto"/>
              </w:rPr>
              <w:t>Dear Sir or Madam:</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20" w:type="dxa"/>
            <w:vAlign w:val="bottom"/>
            <w:gridSpan w:val="12"/>
          </w:tcPr>
          <w:p>
            <w:pPr>
              <w:ind w:left="60"/>
              <w:spacing w:after="0"/>
              <w:rPr>
                <w:sz w:val="20"/>
                <w:szCs w:val="20"/>
                <w:color w:val="auto"/>
              </w:rPr>
            </w:pPr>
            <w:r>
              <w:rPr>
                <w:rFonts w:ascii="Times New Roman" w:cs="Times New Roman" w:eastAsia="Times New Roman" w:hAnsi="Times New Roman"/>
                <w:sz w:val="22"/>
                <w:szCs w:val="22"/>
                <w:color w:val="auto"/>
              </w:rPr>
              <w:t>(the “Participant”), hereby irrevocably exercise the right to purchase</w:t>
            </w:r>
          </w:p>
        </w:tc>
        <w:tc>
          <w:tcPr>
            <w:tcW w:w="3200" w:type="dxa"/>
            <w:vAlign w:val="bottom"/>
            <w:gridSpan w:val="4"/>
          </w:tcPr>
          <w:p>
            <w:pPr>
              <w:ind w:left="300"/>
              <w:spacing w:after="0"/>
              <w:rPr>
                <w:sz w:val="20"/>
                <w:szCs w:val="20"/>
                <w:color w:val="auto"/>
              </w:rPr>
            </w:pPr>
            <w:r>
              <w:rPr>
                <w:rFonts w:ascii="Times New Roman" w:cs="Times New Roman" w:eastAsia="Times New Roman" w:hAnsi="Times New Roman"/>
                <w:sz w:val="22"/>
                <w:szCs w:val="22"/>
                <w:color w:val="auto"/>
              </w:rPr>
              <w:t>shares of the Common Stock,</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480" w:type="dxa"/>
            <w:vAlign w:val="bottom"/>
            <w:gridSpan w:val="2"/>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per share pursuant to the</w:t>
            </w:r>
          </w:p>
        </w:tc>
        <w:tc>
          <w:tcPr>
            <w:tcW w:w="0" w:type="dxa"/>
            <w:vAlign w:val="bottom"/>
          </w:tcPr>
          <w:p>
            <w:pPr>
              <w:spacing w:after="0" w:line="20" w:lineRule="exact"/>
              <w:rPr>
                <w:sz w:val="1"/>
                <w:szCs w:val="1"/>
                <w:color w:val="auto"/>
              </w:rPr>
            </w:pPr>
          </w:p>
        </w:tc>
      </w:tr>
      <w:tr>
        <w:trPr>
          <w:trHeight w:val="223"/>
        </w:trPr>
        <w:tc>
          <w:tcPr>
            <w:tcW w:w="180" w:type="dxa"/>
            <w:vAlign w:val="bottom"/>
            <w:vMerge w:val="continue"/>
          </w:tcPr>
          <w:p>
            <w:pPr>
              <w:spacing w:after="0"/>
              <w:rPr>
                <w:sz w:val="19"/>
                <w:szCs w:val="19"/>
                <w:color w:val="auto"/>
              </w:rPr>
            </w:pPr>
          </w:p>
        </w:tc>
        <w:tc>
          <w:tcPr>
            <w:tcW w:w="7880" w:type="dxa"/>
            <w:vAlign w:val="bottom"/>
            <w:gridSpan w:val="14"/>
          </w:tcPr>
          <w:p>
            <w:pPr>
              <w:spacing w:after="0" w:line="223" w:lineRule="exact"/>
              <w:rPr>
                <w:sz w:val="20"/>
                <w:szCs w:val="20"/>
                <w:color w:val="auto"/>
              </w:rPr>
            </w:pPr>
            <w:r>
              <w:rPr>
                <w:rFonts w:ascii="Times New Roman" w:cs="Times New Roman" w:eastAsia="Times New Roman" w:hAnsi="Times New Roman"/>
                <w:sz w:val="22"/>
                <w:szCs w:val="22"/>
                <w:color w:val="auto"/>
              </w:rPr>
              <w:t>0.001 par value per share (the “Shares”), of Solid Biosciences Inc. (the “Company”) at $</w:t>
            </w:r>
          </w:p>
        </w:tc>
        <w:tc>
          <w:tcPr>
            <w:tcW w:w="3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340" w:type="dxa"/>
            <w:vAlign w:val="bottom"/>
            <w:gridSpan w:val="18"/>
          </w:tcPr>
          <w:p>
            <w:pPr>
              <w:spacing w:after="0" w:line="223" w:lineRule="exact"/>
              <w:rPr>
                <w:sz w:val="20"/>
                <w:szCs w:val="20"/>
                <w:color w:val="auto"/>
              </w:rPr>
            </w:pPr>
            <w:r>
              <w:rPr>
                <w:rFonts w:ascii="Times New Roman" w:cs="Times New Roman" w:eastAsia="Times New Roman" w:hAnsi="Times New Roman"/>
                <w:sz w:val="22"/>
                <w:szCs w:val="22"/>
                <w:color w:val="auto"/>
                <w:w w:val="98"/>
              </w:rPr>
              <w:t>Company’s 2024 Inducement Stock Incentive Plan and a nonstatutory stock option agreement with the Company dated</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auto"/>
              </w:rPr>
              <w:t>(the “Option Agreement”). Enclosed herewith is a payment of $</w:t>
            </w:r>
          </w:p>
        </w:tc>
        <w:tc>
          <w:tcPr>
            <w:tcW w:w="5040" w:type="dxa"/>
            <w:vAlign w:val="bottom"/>
            <w:gridSpan w:val="9"/>
          </w:tcPr>
          <w:p>
            <w:pPr>
              <w:spacing w:after="0" w:line="223" w:lineRule="exact"/>
              <w:rPr>
                <w:sz w:val="20"/>
                <w:szCs w:val="20"/>
                <w:color w:val="auto"/>
              </w:rPr>
            </w:pPr>
            <w:r>
              <w:rPr>
                <w:rFonts w:ascii="Times New Roman" w:cs="Times New Roman" w:eastAsia="Times New Roman" w:hAnsi="Times New Roman"/>
                <w:sz w:val="22"/>
                <w:szCs w:val="22"/>
                <w:color w:val="auto"/>
              </w:rPr>
              <w:t>, the aggregate purchase price for the Shares. The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20"/>
        <w:spacing w:after="0" w:line="258" w:lineRule="auto"/>
        <w:rPr>
          <w:sz w:val="20"/>
          <w:szCs w:val="20"/>
          <w:color w:val="auto"/>
        </w:rPr>
      </w:pPr>
      <w:r>
        <w:rPr>
          <w:rFonts w:ascii="Times New Roman" w:cs="Times New Roman" w:eastAsia="Times New Roman" w:hAnsi="Times New Roman"/>
          <w:sz w:val="22"/>
          <w:szCs w:val="22"/>
          <w:color w:val="auto"/>
        </w:rPr>
        <w:t>certificate for the Shares should be registered in my name as it appears below or, if so indicated below, jointly in my name and the name of the person designated below, with right of survivorship.</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w:t>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Print Name:</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and address of persons in whose name the Shares are to be jointly registered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8" w:right="31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8"/>
          <w:szCs w:val="18"/>
          <w:b w:val="1"/>
          <w:bCs w:val="1"/>
          <w:color w:val="auto"/>
        </w:rPr>
        <w:t>Exhibit 10.51</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Granted under 2024 Inducement Stock Incentive Plan</w:t>
      </w:r>
    </w:p>
    <w:p>
      <w:pPr>
        <w:spacing w:after="0" w:line="206" w:lineRule="exact"/>
        <w:rPr>
          <w:sz w:val="20"/>
          <w:szCs w:val="20"/>
          <w:color w:val="auto"/>
        </w:rPr>
      </w:pPr>
    </w:p>
    <w:p>
      <w:pPr>
        <w:ind w:right="760" w:firstLine="849"/>
        <w:spacing w:after="0" w:line="258" w:lineRule="auto"/>
        <w:rPr>
          <w:sz w:val="20"/>
          <w:szCs w:val="20"/>
          <w:color w:val="auto"/>
        </w:rPr>
      </w:pPr>
      <w:r>
        <w:rPr>
          <w:rFonts w:ascii="Times New Roman" w:cs="Times New Roman" w:eastAsia="Times New Roman" w:hAnsi="Times New Roman"/>
          <w:sz w:val="22"/>
          <w:szCs w:val="22"/>
          <w:color w:val="auto"/>
        </w:rPr>
        <w:t>Solid Biosciences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restricted stock units pursuant to its 2024 Inducement Stock Incentive Plan. The terms and conditions attached hereto are also a part hereof.</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146050</wp:posOffset>
            </wp:positionV>
            <wp:extent cx="6705600" cy="7308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6">
                      <a:extLst>
                        <a:ext uri="{28A0092B-C50C-407E-A947-70E740481C1C}"/>
                      </a:extLst>
                    </a:blip>
                    <a:srcRect/>
                    <a:stretch>
                      <a:fillRect/>
                    </a:stretch>
                  </pic:blipFill>
                  <pic:spPr bwMode="auto">
                    <a:xfrm>
                      <a:off x="0" y="0"/>
                      <a:ext cx="6705600" cy="730885"/>
                    </a:xfrm>
                    <a:prstGeom prst="rect">
                      <a:avLst/>
                    </a:prstGeom>
                    <a:noFill/>
                  </pic:spPr>
                </pic:pic>
              </a:graphicData>
            </a:graphic>
          </wp:anchor>
        </w:drawing>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Name of recipient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Grant Date:</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Number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77470</wp:posOffset>
            </wp:positionV>
            <wp:extent cx="6705600" cy="7308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7">
                      <a:extLst>
                        <a:ext uri="{28A0092B-C50C-407E-A947-70E740481C1C}"/>
                      </a:extLst>
                    </a:blip>
                    <a:srcRect/>
                    <a:stretch>
                      <a:fillRect/>
                    </a:stretch>
                  </pic:blipFill>
                  <pic:spPr bwMode="auto">
                    <a:xfrm>
                      <a:off x="0" y="0"/>
                      <a:ext cx="6705600" cy="73088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u w:val="single" w:color="auto"/>
          <w:color w:val="auto"/>
        </w:rPr>
        <w:t>Vesting Date: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Number of RSUs that Vest:</w:t>
      </w:r>
    </w:p>
    <w:p>
      <w:pPr>
        <w:spacing w:after="0" w:line="200" w:lineRule="exact"/>
        <w:rPr>
          <w:sz w:val="20"/>
          <w:szCs w:val="20"/>
          <w:color w:val="auto"/>
        </w:rPr>
      </w:pPr>
    </w:p>
    <w:p>
      <w:pPr>
        <w:sectPr>
          <w:pgSz w:w="11900" w:h="16838" w:orient="portrait"/>
          <w:cols w:equalWidth="0" w:num="2">
            <w:col w:w="4940" w:space="720"/>
            <w:col w:w="5480"/>
          </w:cols>
          <w:pgMar w:left="320" w:top="765" w:right="4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All vesting is dependent on the Participant remaining an Eligible Participant,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1360170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type w:val="continuous"/>
        </w:sectPr>
      </w:pPr>
    </w:p>
    <w:bookmarkStart w:id="277" w:name="page278"/>
    <w:bookmarkEnd w:id="277"/>
    <w:p>
      <w:pPr>
        <w:ind w:firstLine="849"/>
        <w:spacing w:after="0" w:line="258" w:lineRule="auto"/>
        <w:rPr>
          <w:sz w:val="20"/>
          <w:szCs w:val="20"/>
          <w:color w:val="auto"/>
        </w:rPr>
      </w:pPr>
      <w:r>
        <w:rPr>
          <w:rFonts w:ascii="Times New Roman" w:cs="Times New Roman" w:eastAsia="Times New Roman" w:hAnsi="Times New Roman"/>
          <w:sz w:val="22"/>
          <w:szCs w:val="22"/>
          <w:color w:val="auto"/>
        </w:rPr>
        <w:t>This grant of RSUs satisfies in full all commitments that the Company has to the Participant with respect to the issuance of stock, stock options or other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324040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1408" w:right="111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Street Address</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24040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Name of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2708910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40" w:space="720"/>
            <w:col w:w="4500"/>
          </w:cols>
          <w:pgMar w:left="320" w:top="1408" w:right="1119" w:bottom="1440" w:gutter="0" w:footer="0" w:header="0"/>
          <w:type w:val="continuous"/>
        </w:sectPr>
      </w:pPr>
    </w:p>
    <w:bookmarkStart w:id="278" w:name="page279"/>
    <w:bookmarkEnd w:id="278"/>
    <w:p>
      <w:pPr>
        <w:jc w:val="center"/>
        <w:ind w:right="-19"/>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Restricted Stock Unit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Granted under 2024 Inducement Stock Incentive Plan</w:t>
      </w: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82" w:lineRule="exact"/>
        <w:rPr>
          <w:sz w:val="20"/>
          <w:szCs w:val="20"/>
          <w:color w:val="auto"/>
        </w:rPr>
      </w:pPr>
    </w:p>
    <w:p>
      <w:pPr>
        <w:ind w:left="1300" w:hanging="439"/>
        <w:spacing w:after="0"/>
        <w:tabs>
          <w:tab w:leader="none" w:pos="130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Restricted Stock Units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853"/>
        <w:spacing w:after="0" w:line="236" w:lineRule="auto"/>
        <w:rPr>
          <w:sz w:val="20"/>
          <w:szCs w:val="20"/>
          <w:color w:val="auto"/>
        </w:rPr>
      </w:pPr>
      <w:r>
        <w:rPr>
          <w:rFonts w:ascii="Times New Roman" w:cs="Times New Roman" w:eastAsia="Times New Roman" w:hAnsi="Times New Roman"/>
          <w:sz w:val="22"/>
          <w:szCs w:val="22"/>
          <w:color w:val="auto"/>
        </w:rPr>
        <w:t>In connection with the commencement of the Participant’s employment with the Company, the Company has granted to the Participant, subject to the terms and conditions set forth in this Restricted Stock Unit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in the Company’s 2024 Inducement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 award with respect to the number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set forth in the Notice of Grant that forms part of this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Each RSU represents the right to receive one share of common stock, $0.001 par value per share, of the Company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upon vesting of the RSU, subject to the terms and conditions set forth herein.</w:t>
      </w:r>
    </w:p>
    <w:p>
      <w:pPr>
        <w:spacing w:after="0" w:line="181" w:lineRule="exact"/>
        <w:rPr>
          <w:sz w:val="20"/>
          <w:szCs w:val="20"/>
          <w:color w:val="auto"/>
        </w:rPr>
      </w:pPr>
    </w:p>
    <w:p>
      <w:pPr>
        <w:ind w:right="400" w:firstLine="853"/>
        <w:spacing w:after="0" w:line="244" w:lineRule="auto"/>
        <w:rPr>
          <w:sz w:val="20"/>
          <w:szCs w:val="20"/>
          <w:color w:val="auto"/>
        </w:rPr>
      </w:pPr>
      <w:r>
        <w:rPr>
          <w:rFonts w:ascii="Times New Roman" w:cs="Times New Roman" w:eastAsia="Times New Roman" w:hAnsi="Times New Roman"/>
          <w:sz w:val="22"/>
          <w:szCs w:val="22"/>
          <w:color w:val="auto"/>
        </w:rPr>
        <w:t>The RSUs evidenced by this Agreement were granted to the Participant pursuant to the inducement grant exception under Nasdaq Stock Market Rule 5635(c)(4), as an inducement that is material to the Participant’s employment with the Company.</w:t>
      </w:r>
    </w:p>
    <w:p>
      <w:pPr>
        <w:spacing w:after="0" w:line="173" w:lineRule="exact"/>
        <w:rPr>
          <w:sz w:val="20"/>
          <w:szCs w:val="20"/>
          <w:color w:val="auto"/>
        </w:rPr>
      </w:pPr>
    </w:p>
    <w:p>
      <w:pPr>
        <w:ind w:left="1280" w:hanging="423"/>
        <w:spacing w:after="0"/>
        <w:tabs>
          <w:tab w:leader="none" w:pos="128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849"/>
        <w:spacing w:after="0" w:line="236" w:lineRule="auto"/>
        <w:rPr>
          <w:sz w:val="20"/>
          <w:szCs w:val="20"/>
          <w:color w:val="auto"/>
        </w:rPr>
      </w:pPr>
      <w:r>
        <w:rPr>
          <w:rFonts w:ascii="Times New Roman" w:cs="Times New Roman" w:eastAsia="Times New Roman" w:hAnsi="Times New Roman"/>
          <w:sz w:val="22"/>
          <w:szCs w:val="22"/>
          <w:color w:val="auto"/>
        </w:rPr>
        <w:t>The RSUs shall vest in accordance with the Vesting Schedule set forth in the Notice of Grant (the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Any fractional shares resulting from the application of any percentages used in the Vesting Schedule shall be rounded down to the nearest whole number of RSUs. Upon the vesting of the RSU, the Company will deliver to the Participant, for each RSU that becomes vested, one share of Common Stock, subject to the payment of any taxes pursuant to Section 7. The Common Stock will be delivered to the Participant as soon as practicable following each vesting date, but in any event within 30 days of such date.</w:t>
      </w:r>
    </w:p>
    <w:p>
      <w:pPr>
        <w:spacing w:after="0" w:line="181" w:lineRule="exact"/>
        <w:rPr>
          <w:sz w:val="20"/>
          <w:szCs w:val="20"/>
          <w:color w:val="auto"/>
        </w:rPr>
      </w:pPr>
    </w:p>
    <w:p>
      <w:pPr>
        <w:ind w:left="1280" w:hanging="423"/>
        <w:spacing w:after="0"/>
        <w:tabs>
          <w:tab w:leader="none" w:pos="128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Unvested RSUs Upon Cessation of Service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80" w:firstLine="432"/>
        <w:spacing w:after="0" w:line="236" w:lineRule="auto"/>
        <w:rPr>
          <w:sz w:val="20"/>
          <w:szCs w:val="20"/>
          <w:color w:val="auto"/>
        </w:rPr>
      </w:pPr>
      <w:r>
        <w:rPr>
          <w:rFonts w:ascii="Times New Roman" w:cs="Times New Roman" w:eastAsia="Times New Roman" w:hAnsi="Times New Roman"/>
          <w:sz w:val="22"/>
          <w:szCs w:val="22"/>
          <w:color w:val="auto"/>
        </w:rPr>
        <w:t>In the event that the Participant ceases to be an employee, director or officer of, or consultant or advisor to, the Company or any other entity the employees, officers, directors, consultants, or advisors of which are eligible to receive awards under the Plan (an “</w:t>
      </w:r>
      <w:r>
        <w:rPr>
          <w:rFonts w:ascii="Times New Roman" w:cs="Times New Roman" w:eastAsia="Times New Roman" w:hAnsi="Times New Roman"/>
          <w:sz w:val="22"/>
          <w:szCs w:val="22"/>
          <w:u w:val="single" w:color="auto"/>
          <w:color w:val="auto"/>
        </w:rPr>
        <w:t>Eligible Participant</w:t>
      </w:r>
      <w:r>
        <w:rPr>
          <w:rFonts w:ascii="Times New Roman" w:cs="Times New Roman" w:eastAsia="Times New Roman" w:hAnsi="Times New Roman"/>
          <w:sz w:val="22"/>
          <w:szCs w:val="22"/>
          <w:color w:val="auto"/>
        </w:rPr>
        <w:t>”) for any reason or no reason, with or without cause, all of the RSUs that are unvested as of the time of such cessation shall be forfeited immediately and automatically to the Company, without the payment of any consideration to the Participant, effective as of such cessation. The Participant shall have no further rights with respect to the unvested RSUs or any Common Stock that may have been issuable with respect thereto.</w:t>
      </w:r>
    </w:p>
    <w:p>
      <w:pPr>
        <w:spacing w:after="0" w:line="181" w:lineRule="exact"/>
        <w:rPr>
          <w:sz w:val="20"/>
          <w:szCs w:val="20"/>
          <w:color w:val="auto"/>
        </w:rPr>
      </w:pPr>
    </w:p>
    <w:p>
      <w:pPr>
        <w:ind w:left="1280" w:hanging="423"/>
        <w:spacing w:after="0"/>
        <w:tabs>
          <w:tab w:leader="none" w:pos="12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ind w:right="120" w:firstLine="849"/>
        <w:spacing w:after="0" w:line="239" w:lineRule="auto"/>
        <w:rPr>
          <w:sz w:val="20"/>
          <w:szCs w:val="20"/>
          <w:color w:val="auto"/>
        </w:rPr>
      </w:pPr>
      <w:r>
        <w:rPr>
          <w:rFonts w:ascii="Times New Roman" w:cs="Times New Roman" w:eastAsia="Times New Roman" w:hAnsi="Times New Roman"/>
          <w:sz w:val="22"/>
          <w:szCs w:val="22"/>
          <w:color w:val="auto"/>
        </w:rPr>
        <w:t>The Participant shall not sell, assign, transfer, pledge, hypothecate, encumber or otherwise dispose of, by operation of law or otherwise (collectively “transfer”) any RSUs, or any interest therein. The Company shall not be required to treat as the owner of any RSUs or issue any Common Stock to any transferee to whom such RSUs have been transferred in violation of any of the provisions of this Agreement.</w:t>
      </w:r>
    </w:p>
    <w:p>
      <w:pPr>
        <w:spacing w:after="0" w:line="180" w:lineRule="exact"/>
        <w:rPr>
          <w:sz w:val="20"/>
          <w:szCs w:val="20"/>
          <w:color w:val="auto"/>
        </w:rPr>
      </w:pPr>
    </w:p>
    <w:p>
      <w:pPr>
        <w:ind w:left="1280" w:hanging="423"/>
        <w:spacing w:after="0"/>
        <w:tabs>
          <w:tab w:leader="none" w:pos="128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849"/>
        <w:spacing w:after="0" w:line="244"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Company with respect to any shares of Common Stock that may be issuable with respect to the RSUs until the issuance of the shares of Common Stock to the Participant following the vesting of the RSUs.</w:t>
      </w:r>
    </w:p>
    <w:p>
      <w:pPr>
        <w:spacing w:after="0" w:line="173" w:lineRule="exact"/>
        <w:rPr>
          <w:sz w:val="20"/>
          <w:szCs w:val="20"/>
          <w:color w:val="auto"/>
        </w:rPr>
      </w:pPr>
    </w:p>
    <w:p>
      <w:pPr>
        <w:ind w:left="1280" w:hanging="423"/>
        <w:spacing w:after="0"/>
        <w:tabs>
          <w:tab w:leader="none" w:pos="128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700" w:firstLine="849"/>
        <w:spacing w:after="0" w:line="258" w:lineRule="auto"/>
        <w:rPr>
          <w:sz w:val="20"/>
          <w:szCs w:val="20"/>
          <w:color w:val="auto"/>
        </w:rPr>
      </w:pPr>
      <w:r>
        <w:rPr>
          <w:rFonts w:ascii="Times New Roman" w:cs="Times New Roman" w:eastAsia="Times New Roman" w:hAnsi="Times New Roman"/>
          <w:sz w:val="22"/>
          <w:szCs w:val="22"/>
          <w:color w:val="auto"/>
        </w:rPr>
        <w:t>This Agreement is subject to the provisions of the Plan, a copy of which is furnished to the Participant with this Agreement.</w:t>
      </w:r>
    </w:p>
    <w:p>
      <w:pPr>
        <w:spacing w:after="0" w:line="158" w:lineRule="exact"/>
        <w:rPr>
          <w:sz w:val="20"/>
          <w:szCs w:val="20"/>
          <w:color w:val="auto"/>
        </w:rPr>
      </w:pPr>
    </w:p>
    <w:p>
      <w:pPr>
        <w:ind w:left="1280" w:hanging="423"/>
        <w:spacing w:after="0"/>
        <w:tabs>
          <w:tab w:leader="none" w:pos="12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firstLine="1705"/>
        <w:spacing w:after="0" w:line="235" w:lineRule="auto"/>
        <w:tabs>
          <w:tab w:leader="none" w:pos="2561"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No Section 83(b) Election</w:t>
      </w:r>
      <w:r>
        <w:rPr>
          <w:rFonts w:ascii="Times New Roman" w:cs="Times New Roman" w:eastAsia="Times New Roman" w:hAnsi="Times New Roman"/>
          <w:sz w:val="22"/>
          <w:szCs w:val="22"/>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is available with respect to RSUs.</w:t>
      </w:r>
    </w:p>
    <w:p>
      <w:pPr>
        <w:spacing w:after="0" w:line="183" w:lineRule="exact"/>
        <w:rPr>
          <w:rFonts w:ascii="Times New Roman" w:cs="Times New Roman" w:eastAsia="Times New Roman" w:hAnsi="Times New Roman"/>
          <w:sz w:val="22"/>
          <w:szCs w:val="22"/>
          <w:color w:val="auto"/>
        </w:rPr>
      </w:pPr>
    </w:p>
    <w:p>
      <w:pPr>
        <w:ind w:firstLine="1705"/>
        <w:spacing w:after="0" w:line="233" w:lineRule="auto"/>
        <w:tabs>
          <w:tab w:leader="none" w:pos="2561"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The Participant acknowledges and agrees that the Company has the right to deduct from payments of any kind otherwise due to the Participant any federal, state, local or other taxes of any kind required by law to be withheld with respect to the vesting of the RSUs. To the extent the Participant has not previously executed and delivered to the Company effective durable sell-to-cover instructions that by their terms would cover any taxes required by law to be withheld with respect to the vesting of the RSUs,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Durable Automatic Sell-to-Cover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Instruction</w:t>
      </w:r>
      <w:r>
        <w:rPr>
          <w:rFonts w:ascii="Times New Roman" w:cs="Times New Roman" w:eastAsia="Times New Roman" w:hAnsi="Times New Roman"/>
          <w:sz w:val="22"/>
          <w:szCs w:val="22"/>
          <w:color w:val="auto"/>
        </w:rPr>
        <w:t>”) as the means of satisfying such tax obligation. If the Participant is required to but does not execute the Durable Automatic Sell-to-Cover Instruction prior to an applicable vesting date, then the Participant agrees that if under applicable law the Participant will owe taxes at such vesting date of RSUs issued hereunder on the portion of the award then vested, the Company shall be entitled to immediate payment from the Participant of the amount of any tax required to be withheld by the Company.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21"/>
          <w:szCs w:val="21"/>
          <w:color w:val="auto"/>
        </w:rPr>
        <w:t>shall not deliver any shares of Common Stock to the Participant until it is satisfied that all required withholdings have been made.</w:t>
      </w:r>
    </w:p>
    <w:p>
      <w:pPr>
        <w:spacing w:after="0" w:line="218" w:lineRule="exact"/>
        <w:rPr>
          <w:sz w:val="20"/>
          <w:szCs w:val="20"/>
          <w:color w:val="auto"/>
        </w:rPr>
      </w:pPr>
    </w:p>
    <w:p>
      <w:pPr>
        <w:ind w:left="1280" w:hanging="423"/>
        <w:spacing w:after="0"/>
        <w:tabs>
          <w:tab w:leader="none" w:pos="12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40" w:firstLine="1700"/>
        <w:spacing w:after="0" w:line="239" w:lineRule="auto"/>
        <w:tabs>
          <w:tab w:leader="none" w:pos="25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The Participant acknowledges and agrees that, notwithstanding the fact that the vesting of the RSUs is contingent upon his or her continued service to the Company, this Agreement does not constitute an express or implied promise of continued service relationship with the Participant or confer upon the Participant any rights with respect to a continued service relationship with the Company or any affiliate of the Company.</w:t>
      </w:r>
    </w:p>
    <w:p>
      <w:pPr>
        <w:spacing w:after="0" w:line="180" w:lineRule="exact"/>
        <w:rPr>
          <w:rFonts w:ascii="Times New Roman" w:cs="Times New Roman" w:eastAsia="Times New Roman" w:hAnsi="Times New Roman"/>
          <w:sz w:val="22"/>
          <w:szCs w:val="22"/>
          <w:color w:val="auto"/>
        </w:rPr>
      </w:pPr>
    </w:p>
    <w:p>
      <w:pPr>
        <w:ind w:right="240" w:firstLine="1705"/>
        <w:spacing w:after="0" w:line="239" w:lineRule="auto"/>
        <w:tabs>
          <w:tab w:leader="none" w:pos="2561"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RSUs awarded pursuant to this Agreement are intended to be exempt from or comply with the requirements of Section 409A of the Code and the Treasury Regulations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delivery of shares of Common Stock on the vesting of the RSUs may not be accelerated or deferred unless permitted or required by Section 409A.</w:t>
      </w:r>
    </w:p>
    <w:p>
      <w:pPr>
        <w:spacing w:after="0" w:line="180" w:lineRule="exact"/>
        <w:rPr>
          <w:rFonts w:ascii="Times New Roman" w:cs="Times New Roman" w:eastAsia="Times New Roman" w:hAnsi="Times New Roman"/>
          <w:sz w:val="22"/>
          <w:szCs w:val="22"/>
          <w:color w:val="auto"/>
        </w:rPr>
      </w:pPr>
    </w:p>
    <w:p>
      <w:pPr>
        <w:ind w:right="180" w:firstLine="1705"/>
        <w:spacing w:after="0" w:line="238" w:lineRule="auto"/>
        <w:tabs>
          <w:tab w:leader="none" w:pos="2561"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Acknowledgments</w:t>
      </w:r>
      <w:r>
        <w:rPr>
          <w:rFonts w:ascii="Times New Roman" w:cs="Times New Roman" w:eastAsia="Times New Roman" w:hAnsi="Times New Roman"/>
          <w:sz w:val="22"/>
          <w:szCs w:val="22"/>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agreeing, in accepting this award, to be bound by any clawback policy that the Company has in place or may adopt in the future; and (iv) is fully aware of the legal and binding effect of this Agreement.</w:t>
      </w:r>
    </w:p>
    <w:p>
      <w:pPr>
        <w:spacing w:after="0" w:line="203" w:lineRule="exact"/>
        <w:rPr>
          <w:rFonts w:ascii="Times New Roman" w:cs="Times New Roman" w:eastAsia="Times New Roman" w:hAnsi="Times New Roman"/>
          <w:sz w:val="22"/>
          <w:szCs w:val="22"/>
          <w:color w:val="auto"/>
        </w:rPr>
      </w:pPr>
    </w:p>
    <w:p>
      <w:pPr>
        <w:ind w:right="220" w:firstLine="1700"/>
        <w:spacing w:after="0" w:line="258" w:lineRule="auto"/>
        <w:tabs>
          <w:tab w:leader="none" w:pos="2556" w:val="left"/>
        </w:tabs>
        <w:numPr>
          <w:ilvl w:val="1"/>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interpreted and enforced in accordance with the internal laws of the State of Delaware without regard to any applicable conflicts of laws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1425575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81" w:name="page282"/>
    <w:bookmarkEnd w:id="28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DURABLE AUTOMATIC SELL-TO-COVER INSTRUCTION</w:t>
      </w:r>
    </w:p>
    <w:p>
      <w:pPr>
        <w:spacing w:after="0" w:line="237"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This Durable Automatic Sell-to-Cover Instruction (this “</w:t>
      </w:r>
      <w:r>
        <w:rPr>
          <w:rFonts w:ascii="Times New Roman" w:cs="Times New Roman" w:eastAsia="Times New Roman" w:hAnsi="Times New Roman"/>
          <w:sz w:val="22"/>
          <w:szCs w:val="22"/>
          <w:u w:val="single" w:color="auto"/>
          <w:color w:val="auto"/>
        </w:rPr>
        <w:t>Instruction</w:t>
      </w:r>
      <w:r>
        <w:rPr>
          <w:rFonts w:ascii="Times New Roman" w:cs="Times New Roman" w:eastAsia="Times New Roman" w:hAnsi="Times New Roman"/>
          <w:sz w:val="22"/>
          <w:szCs w:val="22"/>
          <w:color w:val="auto"/>
        </w:rPr>
        <w:t>”), which is being delivered to Solid Biosciences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by the undersigned on the date set forth below (the “</w:t>
      </w:r>
      <w:r>
        <w:rPr>
          <w:rFonts w:ascii="Times New Roman" w:cs="Times New Roman" w:eastAsia="Times New Roman" w:hAnsi="Times New Roman"/>
          <w:sz w:val="22"/>
          <w:szCs w:val="22"/>
          <w:u w:val="single" w:color="auto"/>
          <w:color w:val="auto"/>
        </w:rPr>
        <w:t>Adoption Date</w:t>
      </w:r>
      <w:r>
        <w:rPr>
          <w:rFonts w:ascii="Times New Roman" w:cs="Times New Roman" w:eastAsia="Times New Roman" w:hAnsi="Times New Roman"/>
          <w:sz w:val="22"/>
          <w:szCs w:val="22"/>
          <w:color w:val="auto"/>
        </w:rPr>
        <w:t>”), relates to any restricted stock units that may be granted to me from time to time by the Company under the Company’s equity compensation programs, other than any restricted stock units which by the terms of the applicable award agreement require the Company to withhold shares for tax withholding obligations in connection with the vesting and settlement of such restricted stock units and therefore do not permit sell-to-cover transactions (the restricted stock units subject to this Instruction are referred to as “</w:t>
      </w:r>
      <w:r>
        <w:rPr>
          <w:rFonts w:ascii="Times New Roman" w:cs="Times New Roman" w:eastAsia="Times New Roman" w:hAnsi="Times New Roman"/>
          <w:sz w:val="22"/>
          <w:szCs w:val="22"/>
          <w:u w:val="single" w:color="auto"/>
          <w:color w:val="auto"/>
        </w:rPr>
        <w:t>Covered RSUs</w:t>
      </w:r>
      <w:r>
        <w:rPr>
          <w:rFonts w:ascii="Times New Roman" w:cs="Times New Roman" w:eastAsia="Times New Roman" w:hAnsi="Times New Roman"/>
          <w:sz w:val="22"/>
          <w:szCs w:val="22"/>
          <w:color w:val="auto"/>
        </w:rPr>
        <w:t>”). This Instruction provides for “eligible sell-to-cover transactions” (as described in Rule 10b5-1(c)(1)(ii)(D)(3) under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with respect to Covered RSUs and is intended to satisfy the affirmative defense conditions of Rule 10b5-1(c)(1) under the Exchange Act.</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I acknowledge that upon vesting and settlement of any Covered RSUs in accordance with the applicable RSU’s terms, whether vesting is based on the passage of time or the achievement of performance goals, I will have compensation income equal to the fair market value of the shares of the Company’s common stock subject to the RSUs that are settled on such settlement date and that the Company is required to withhold income and employment taxes in respect of that compensation income.</w:t>
      </w:r>
    </w:p>
    <w:p>
      <w:pPr>
        <w:spacing w:after="0" w:line="162"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I desire to establish a plan and process to satisfy such withholding obligation in respect of all Covered RSUs through an automatic sale of the number of the shares of the Company’s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spacing w:after="0" w:line="18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I understand that the Company has arranged for the administration and execution of its equity incentive programs and the sale of securities by participants thereunder pursuant to a platform administered by a third party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and the Administrator’s designated brokerage partner.</w:t>
      </w:r>
    </w:p>
    <w:p>
      <w:pPr>
        <w:spacing w:after="0" w:line="187" w:lineRule="exact"/>
        <w:rPr>
          <w:sz w:val="20"/>
          <w:szCs w:val="20"/>
          <w:color w:val="auto"/>
        </w:rPr>
      </w:pPr>
    </w:p>
    <w:p>
      <w:pPr>
        <w:ind w:right="120" w:firstLine="749"/>
        <w:spacing w:after="0" w:line="221" w:lineRule="auto"/>
        <w:rPr>
          <w:sz w:val="20"/>
          <w:szCs w:val="20"/>
          <w:color w:val="auto"/>
        </w:rPr>
      </w:pPr>
      <w:r>
        <w:rPr>
          <w:rFonts w:ascii="Times New Roman" w:cs="Times New Roman" w:eastAsia="Times New Roman" w:hAnsi="Times New Roman"/>
          <w:sz w:val="22"/>
          <w:szCs w:val="22"/>
          <w:color w:val="auto"/>
        </w:rPr>
        <w:t>Upon the settlement of any of my Covered RSUs after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Adoption Date (or if I am an officer of the Company on the Adoption Date, after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Adoption Date]) (the “</w:t>
      </w:r>
      <w:r>
        <w:rPr>
          <w:rFonts w:ascii="Times New Roman" w:cs="Times New Roman" w:eastAsia="Times New Roman" w:hAnsi="Times New Roman"/>
          <w:sz w:val="22"/>
          <w:szCs w:val="22"/>
          <w:u w:val="single" w:color="auto"/>
          <w:color w:val="auto"/>
        </w:rPr>
        <w:t>Cooling-Off Period</w:t>
      </w:r>
      <w:r>
        <w:rPr>
          <w:rFonts w:ascii="Times New Roman" w:cs="Times New Roman" w:eastAsia="Times New Roman" w:hAnsi="Times New Roman"/>
          <w:sz w:val="22"/>
          <w:szCs w:val="22"/>
          <w:color w:val="auto"/>
        </w:rPr>
        <w:t>”), I hereby appoint the Administrator (or any successor administrator) to automatically sell such number of shares of the Company’s common stock issuable with respect to such RSUs that vested and settled as is sufficient to generate net proceeds sufficient to satisfy the Company’s minimum statutory withholding obligations with respect to the income recognized by me in connection with the vesting and settlement of such RSUs (based on minimum statutory withholding rates for all tax purposes, including payroll and social security taxes, that are applicable to such income), and the Company shall receive such net proceeds in satisfaction of such tax withholding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2" w:name="page283"/>
    <w:bookmarkEnd w:id="282"/>
    <w:p>
      <w:pPr>
        <w:ind w:firstLine="749"/>
        <w:spacing w:after="0" w:line="238" w:lineRule="auto"/>
        <w:rPr>
          <w:sz w:val="20"/>
          <w:szCs w:val="20"/>
          <w:color w:val="auto"/>
        </w:rPr>
      </w:pPr>
      <w:r>
        <w:rPr>
          <w:rFonts w:ascii="Times New Roman" w:cs="Times New Roman" w:eastAsia="Times New Roman" w:hAnsi="Times New Roman"/>
          <w:sz w:val="22"/>
          <w:szCs w:val="22"/>
          <w:color w:val="auto"/>
        </w:rPr>
        <w:t>I hereby appoint the Chief Executive Officer, the Chief Financial Officer and the General Counsel (or, if none, the Chief Operating Officer), and any of them acting alone and with full power of substitution, to serve as my attorneys-in-fact to arrange for the sale of shares of the Company’s common stock in accordance with this Instruction. I agree to execute and deliver such documents, instruments and certificates as may reasonably be required in connection with the sale of the shares of common stock pursuant to this Instruction.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 hereby certify that, as of the Adoption Date:</w:t>
      </w:r>
    </w:p>
    <w:p>
      <w:pPr>
        <w:spacing w:after="0" w:line="206" w:lineRule="exact"/>
        <w:rPr>
          <w:sz w:val="20"/>
          <w:szCs w:val="20"/>
          <w:color w:val="auto"/>
        </w:rPr>
      </w:pPr>
    </w:p>
    <w:p>
      <w:pPr>
        <w:ind w:left="1060" w:hanging="303"/>
        <w:spacing w:after="0"/>
        <w:tabs>
          <w:tab w:leader="none" w:pos="1060" w:val="left"/>
        </w:tabs>
        <w:numPr>
          <w:ilvl w:val="0"/>
          <w:numId w:val="2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 am not prohibited from entering into this Instruction by the Company’s insider trading policy or otherwise;</w:t>
      </w:r>
    </w:p>
    <w:p>
      <w:pPr>
        <w:spacing w:after="0" w:line="217" w:lineRule="exact"/>
        <w:rPr>
          <w:rFonts w:ascii="Times New Roman" w:cs="Times New Roman" w:eastAsia="Times New Roman" w:hAnsi="Times New Roman"/>
          <w:sz w:val="21"/>
          <w:szCs w:val="21"/>
          <w:b w:val="1"/>
          <w:bCs w:val="1"/>
          <w:color w:val="auto"/>
        </w:rPr>
      </w:pPr>
    </w:p>
    <w:p>
      <w:pPr>
        <w:ind w:left="1120" w:hanging="309"/>
        <w:spacing w:after="0"/>
        <w:tabs>
          <w:tab w:leader="none" w:pos="1120" w:val="left"/>
        </w:tabs>
        <w:numPr>
          <w:ilvl w:val="1"/>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am not aware of any material nonpublic information about the Company or its common stock; and</w:t>
      </w:r>
    </w:p>
    <w:p>
      <w:pPr>
        <w:spacing w:after="0" w:line="206" w:lineRule="exact"/>
        <w:rPr>
          <w:rFonts w:ascii="Times New Roman" w:cs="Times New Roman" w:eastAsia="Times New Roman" w:hAnsi="Times New Roman"/>
          <w:sz w:val="22"/>
          <w:szCs w:val="22"/>
          <w:b w:val="1"/>
          <w:bCs w:val="1"/>
          <w:color w:val="auto"/>
        </w:rPr>
      </w:pPr>
    </w:p>
    <w:p>
      <w:pPr>
        <w:ind w:right="140" w:firstLine="811"/>
        <w:spacing w:after="0" w:line="262" w:lineRule="auto"/>
        <w:tabs>
          <w:tab w:leader="none" w:pos="1181" w:val="left"/>
        </w:tabs>
        <w:numPr>
          <w:ilvl w:val="1"/>
          <w:numId w:val="2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am adopting this Instruction in good faith and not as part of a plan or scheme to evade the prohibitions of Rule 10b-5 under the Exchange Act.</w:t>
      </w:r>
    </w:p>
    <w:p>
      <w:pPr>
        <w:spacing w:after="0" w:line="39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Print Name: _____________________</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Date: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1318260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283" w:name="page284"/>
    <w:bookmarkEnd w:id="283"/>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Exhibit 10.52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RESTRICTED STOCK UNIT AGREEMENT</w:t>
      </w:r>
    </w:p>
    <w:p>
      <w:pPr>
        <w:spacing w:after="0" w:line="182" w:lineRule="exact"/>
        <w:rPr>
          <w:sz w:val="20"/>
          <w:szCs w:val="20"/>
          <w:color w:val="auto"/>
        </w:rPr>
      </w:pPr>
    </w:p>
    <w:p>
      <w:pPr>
        <w:ind w:right="100" w:firstLine="978"/>
        <w:spacing w:after="0" w:line="258" w:lineRule="auto"/>
        <w:rPr>
          <w:sz w:val="20"/>
          <w:szCs w:val="20"/>
          <w:color w:val="auto"/>
        </w:rPr>
      </w:pPr>
      <w:r>
        <w:rPr>
          <w:rFonts w:ascii="Times New Roman" w:cs="Times New Roman" w:eastAsia="Times New Roman" w:hAnsi="Times New Roman"/>
          <w:sz w:val="22"/>
          <w:szCs w:val="22"/>
          <w:color w:val="auto"/>
        </w:rPr>
        <w:t>Solid Biosciences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grants the following restricted stock units pursuant to its 2020 Equity Incentive Plan. The terms and conditions attached hereto are also a part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146050</wp:posOffset>
            </wp:positionV>
            <wp:extent cx="7057390" cy="7308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8">
                      <a:extLst>
                        <a:ext uri="{28A0092B-C50C-407E-A947-70E740481C1C}"/>
                      </a:extLst>
                    </a:blip>
                    <a:srcRect/>
                    <a:stretch>
                      <a:fillRect/>
                    </a:stretch>
                  </pic:blipFill>
                  <pic:spPr bwMode="auto">
                    <a:xfrm>
                      <a:off x="0" y="0"/>
                      <a:ext cx="7057390" cy="730885"/>
                    </a:xfrm>
                    <a:prstGeom prst="rect">
                      <a:avLst/>
                    </a:prstGeom>
                    <a:noFill/>
                  </pic:spPr>
                </pic:pic>
              </a:graphicData>
            </a:graphic>
          </wp:anchor>
        </w:drawing>
      </w:r>
    </w:p>
    <w:p>
      <w:pPr>
        <w:spacing w:after="0" w:line="2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Name of recipient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Grant Date:</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Number of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Vesting Start Date: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Vesting Schedule:</w:t>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80" w:type="dxa"/>
            <w:vAlign w:val="bottom"/>
            <w:tcBorders>
              <w:top w:val="single" w:sz="8" w:color="auto"/>
              <w:left w:val="single" w:sz="8" w:color="auto"/>
            </w:tcBorders>
          </w:tcPr>
          <w:p>
            <w:pPr>
              <w:spacing w:after="0"/>
              <w:rPr>
                <w:sz w:val="20"/>
                <w:szCs w:val="20"/>
                <w:color w:val="auto"/>
              </w:rPr>
            </w:pPr>
          </w:p>
        </w:tc>
        <w:tc>
          <w:tcPr>
            <w:tcW w:w="5540" w:type="dxa"/>
            <w:vAlign w:val="bottom"/>
            <w:tcBorders>
              <w:top w:val="single" w:sz="8" w:color="auto"/>
              <w:right w:val="single" w:sz="8" w:color="auto"/>
            </w:tcBorders>
            <w:gridSpan w:val="2"/>
          </w:tcPr>
          <w:p>
            <w:pPr>
              <w:spacing w:after="0" w:line="232" w:lineRule="exact"/>
              <w:rPr>
                <w:sz w:val="20"/>
                <w:szCs w:val="20"/>
                <w:color w:val="auto"/>
              </w:rPr>
            </w:pPr>
            <w:r>
              <w:rPr>
                <w:rFonts w:ascii="Times New Roman" w:cs="Times New Roman" w:eastAsia="Times New Roman" w:hAnsi="Times New Roman"/>
                <w:sz w:val="22"/>
                <w:szCs w:val="22"/>
                <w:color w:val="auto"/>
              </w:rPr>
              <w:t>Vesting Date:</w:t>
            </w:r>
          </w:p>
        </w:tc>
        <w:tc>
          <w:tcPr>
            <w:tcW w:w="5620" w:type="dxa"/>
            <w:vAlign w:val="bottom"/>
            <w:tcBorders>
              <w:top w:val="single" w:sz="8" w:color="auto"/>
            </w:tcBorders>
            <w:gridSpan w:val="3"/>
          </w:tcPr>
          <w:p>
            <w:pPr>
              <w:ind w:left="80"/>
              <w:spacing w:after="0" w:line="232" w:lineRule="exact"/>
              <w:rPr>
                <w:sz w:val="20"/>
                <w:szCs w:val="20"/>
                <w:color w:val="auto"/>
              </w:rPr>
            </w:pPr>
            <w:r>
              <w:rPr>
                <w:rFonts w:ascii="Times New Roman" w:cs="Times New Roman" w:eastAsia="Times New Roman" w:hAnsi="Times New Roman"/>
                <w:sz w:val="22"/>
                <w:szCs w:val="22"/>
                <w:color w:val="auto"/>
              </w:rPr>
              <w:t>Number of RSUs that Vest:</w:t>
            </w:r>
          </w:p>
        </w:tc>
      </w:tr>
      <w:tr>
        <w:trPr>
          <w:trHeight w:val="112"/>
        </w:trPr>
        <w:tc>
          <w:tcPr>
            <w:tcW w:w="80" w:type="dxa"/>
            <w:vAlign w:val="bottom"/>
            <w:tcBorders>
              <w:left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spacing w:after="0"/>
              <w:rPr>
                <w:sz w:val="9"/>
                <w:szCs w:val="9"/>
                <w:color w:val="auto"/>
              </w:rPr>
            </w:pPr>
          </w:p>
        </w:tc>
        <w:tc>
          <w:tcPr>
            <w:tcW w:w="442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60" w:type="dxa"/>
            <w:vAlign w:val="bottom"/>
            <w:tcBorders>
              <w:top w:val="single" w:sz="8" w:color="auto"/>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r>
      <w:tr>
        <w:trPr>
          <w:trHeight w:val="307"/>
        </w:trPr>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r>
        <w:trPr>
          <w:trHeight w:val="291"/>
        </w:trPr>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8915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9">
                      <a:extLst>
                        <a:ext uri="{28A0092B-C50C-407E-A947-70E740481C1C}"/>
                      </a:extLst>
                    </a:blip>
                    <a:srcRect/>
                    <a:stretch>
                      <a:fillRect/>
                    </a:stretch>
                  </pic:blipFill>
                  <pic:spPr bwMode="auto">
                    <a:xfrm>
                      <a:off x="0" y="0"/>
                      <a:ext cx="7132320" cy="89154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22"/>
          <w:szCs w:val="22"/>
          <w:color w:val="auto"/>
        </w:rPr>
        <w:t>All vesting is dependent on the Participant remaining an Eligible Participant,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1241425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4" w:name="page285"/>
    <w:bookmarkEnd w:id="284"/>
    <w:p>
      <w:pPr>
        <w:ind w:firstLine="978"/>
        <w:spacing w:after="0" w:line="258" w:lineRule="auto"/>
        <w:rPr>
          <w:sz w:val="20"/>
          <w:szCs w:val="20"/>
          <w:color w:val="auto"/>
        </w:rPr>
      </w:pPr>
      <w:r>
        <w:rPr>
          <w:rFonts w:ascii="Times New Roman" w:cs="Times New Roman" w:eastAsia="Times New Roman" w:hAnsi="Times New Roman"/>
          <w:sz w:val="22"/>
          <w:szCs w:val="22"/>
          <w:color w:val="auto"/>
        </w:rPr>
        <w:t>This grant of RSUs satisfies in full all commitments that the Company has to the Participant with respect to the issuance of stock, stock options or other equity securities.</w:t>
      </w:r>
    </w:p>
    <w:p>
      <w:pPr>
        <w:spacing w:after="0" w:line="200" w:lineRule="exact"/>
        <w:rPr>
          <w:sz w:val="20"/>
          <w:szCs w:val="20"/>
          <w:color w:val="auto"/>
        </w:rPr>
      </w:pPr>
    </w:p>
    <w:p>
      <w:pPr>
        <w:spacing w:after="0" w:line="21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63" w:lineRule="exact"/>
        <w:rPr>
          <w:sz w:val="20"/>
          <w:szCs w:val="20"/>
          <w:color w:val="auto"/>
        </w:rPr>
      </w:pPr>
    </w:p>
    <w:p>
      <w:pPr>
        <w:ind w:left="80"/>
        <w:spacing w:after="0"/>
        <w:tabs>
          <w:tab w:leader="none" w:pos="5740" w:val="left"/>
        </w:tabs>
        <w:rPr>
          <w:sz w:val="20"/>
          <w:szCs w:val="20"/>
          <w:color w:val="auto"/>
        </w:rPr>
      </w:pPr>
      <w:r>
        <w:rPr>
          <w:rFonts w:ascii="Times New Roman" w:cs="Times New Roman" w:eastAsia="Times New Roman" w:hAnsi="Times New Roman"/>
          <w:sz w:val="22"/>
          <w:szCs w:val="22"/>
          <w:color w:val="auto"/>
        </w:rPr>
        <w:t>Signature of Participant</w:t>
      </w:r>
      <w:r>
        <w:rPr>
          <w:sz w:val="20"/>
          <w:szCs w:val="20"/>
          <w:color w:val="auto"/>
        </w:rPr>
        <w:tab/>
      </w: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-160020</wp:posOffset>
            </wp:positionV>
            <wp:extent cx="34544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3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22"/>
          <w:szCs w:val="22"/>
          <w:color w:val="auto"/>
        </w:rPr>
        <w:t>Name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-160020</wp:posOffset>
            </wp:positionV>
            <wp:extent cx="31546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2">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4" w:lineRule="exact"/>
        <w:rPr>
          <w:sz w:val="20"/>
          <w:szCs w:val="20"/>
          <w:color w:val="auto"/>
        </w:rPr>
      </w:pPr>
    </w:p>
    <w:p>
      <w:pPr>
        <w:ind w:left="80"/>
        <w:spacing w:after="0"/>
        <w:tabs>
          <w:tab w:leader="none" w:pos="6200" w:val="left"/>
        </w:tabs>
        <w:rPr>
          <w:sz w:val="20"/>
          <w:szCs w:val="20"/>
          <w:color w:val="auto"/>
        </w:rPr>
      </w:pPr>
      <w:r>
        <w:rPr>
          <w:rFonts w:ascii="Times New Roman" w:cs="Times New Roman" w:eastAsia="Times New Roman" w:hAnsi="Times New Roman"/>
          <w:sz w:val="22"/>
          <w:szCs w:val="22"/>
          <w:color w:val="auto"/>
        </w:rPr>
        <w:t>Street Address</w:t>
      </w:r>
      <w:r>
        <w:rPr>
          <w:sz w:val="20"/>
          <w:szCs w:val="20"/>
          <w:color w:val="auto"/>
        </w:rPr>
        <w:tab/>
      </w: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-160020</wp:posOffset>
            </wp:positionV>
            <wp:extent cx="34544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-160020</wp:posOffset>
            </wp:positionV>
            <wp:extent cx="345440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54">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1335405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08" w:right="979" w:bottom="1440" w:gutter="0" w:footer="0" w:header="0"/>
        </w:sectPr>
      </w:pPr>
    </w:p>
    <w:bookmarkStart w:id="285" w:name="page286"/>
    <w:bookmarkEnd w:id="285"/>
    <w:p>
      <w:pPr>
        <w:ind w:left="466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Restricted Stock Unit Agreement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Incorporated Terms and Conditions</w:t>
      </w:r>
    </w:p>
    <w:p>
      <w:pPr>
        <w:spacing w:after="0" w:line="182" w:lineRule="exact"/>
        <w:rPr>
          <w:sz w:val="20"/>
          <w:szCs w:val="20"/>
          <w:color w:val="auto"/>
        </w:rPr>
      </w:pPr>
    </w:p>
    <w:p>
      <w:pPr>
        <w:ind w:left="980" w:hanging="223"/>
        <w:spacing w:after="0"/>
        <w:tabs>
          <w:tab w:leader="none" w:pos="98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Restricted Stock Units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consideration of services rendered and to be rendered to the Company, by the Participant, the Company has granted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Participant, subject to the terms and conditions set forth in this Restricted Stock Unit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in</w:t>
      </w:r>
    </w:p>
    <w:p>
      <w:pPr>
        <w:spacing w:after="0" w:line="230" w:lineRule="auto"/>
        <w:rPr>
          <w:sz w:val="20"/>
          <w:szCs w:val="20"/>
          <w:color w:val="auto"/>
        </w:rPr>
      </w:pPr>
      <w:r>
        <w:rPr>
          <w:rFonts w:ascii="Times New Roman" w:cs="Times New Roman" w:eastAsia="Times New Roman" w:hAnsi="Times New Roman"/>
          <w:sz w:val="22"/>
          <w:szCs w:val="22"/>
          <w:color w:val="auto"/>
        </w:rPr>
        <w:t>the Company’s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 award with respect to the number of restricted stock units (the</w:t>
      </w:r>
    </w:p>
    <w:p>
      <w:pPr>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set forth in the Notice of Grant that forms part of this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Each RSU represents the</w:t>
      </w:r>
    </w:p>
    <w:p>
      <w:pPr>
        <w:spacing w:after="0"/>
        <w:rPr>
          <w:sz w:val="20"/>
          <w:szCs w:val="20"/>
          <w:color w:val="auto"/>
        </w:rPr>
      </w:pPr>
      <w:r>
        <w:rPr>
          <w:rFonts w:ascii="Times New Roman" w:cs="Times New Roman" w:eastAsia="Times New Roman" w:hAnsi="Times New Roman"/>
          <w:sz w:val="21"/>
          <w:szCs w:val="21"/>
          <w:color w:val="auto"/>
        </w:rPr>
        <w:t>right to receive one share of common stock, $0.001 par value per share, of the Company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upon vesting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RSU, subject to the terms and conditions set forth herein.</w:t>
      </w:r>
    </w:p>
    <w:p>
      <w:pPr>
        <w:spacing w:after="0" w:line="182" w:lineRule="exact"/>
        <w:rPr>
          <w:sz w:val="20"/>
          <w:szCs w:val="20"/>
          <w:color w:val="auto"/>
        </w:rPr>
      </w:pPr>
    </w:p>
    <w:p>
      <w:pPr>
        <w:ind w:left="980" w:hanging="223"/>
        <w:spacing w:after="0"/>
        <w:tabs>
          <w:tab w:leader="none" w:pos="980"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The RSUs shall vest in accordance with the Vesting Schedule set forth in the Notice of Grant (the “</w:t>
      </w: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Any fractional shares resulting from the application of any percentages used in the Vesting Schedule shall be rounded down to the nearest whole number of RSUs. Upon the vesting of the RSU, the Company will deliver to the Participant, for each RSU that becomes vested, one share of Common Stock, subject to the payment of any taxes pursuant to Section 7. The Common Stock will be delivered to the Participant as soon as practicable following each vesting date, but in any event within 30 days of such date.</w:t>
      </w:r>
    </w:p>
    <w:p>
      <w:pPr>
        <w:spacing w:after="0" w:line="181" w:lineRule="exact"/>
        <w:rPr>
          <w:sz w:val="20"/>
          <w:szCs w:val="20"/>
          <w:color w:val="auto"/>
        </w:rPr>
      </w:pPr>
    </w:p>
    <w:p>
      <w:pPr>
        <w:ind w:left="980" w:hanging="223"/>
        <w:spacing w:after="0"/>
        <w:tabs>
          <w:tab w:leader="none" w:pos="98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Unvested RSUs Upon Cessation of Service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749"/>
        <w:spacing w:after="0" w:line="235" w:lineRule="auto"/>
        <w:rPr>
          <w:sz w:val="20"/>
          <w:szCs w:val="20"/>
          <w:color w:val="auto"/>
        </w:rPr>
      </w:pPr>
      <w:r>
        <w:rPr>
          <w:rFonts w:ascii="Times New Roman" w:cs="Times New Roman" w:eastAsia="Times New Roman" w:hAnsi="Times New Roman"/>
          <w:sz w:val="22"/>
          <w:szCs w:val="22"/>
          <w:color w:val="auto"/>
        </w:rPr>
        <w:t>In the event that the Participant ceases to be an Eligible Participant (as defined below) for any reason or no reason, with or without cause, all of the RSUs that are unvested as of the time of such cessation shall be forfeited immediately and automatically to the Company, without the payment of any consideration to the Participant, effective as of such cessation. The Participant shall have no further rights with respect to the unvested RSUs or any Common Stock that may have been issuable with respect thereto. The Participant shall be an “</w:t>
      </w:r>
      <w:r>
        <w:rPr>
          <w:rFonts w:ascii="Times New Roman" w:cs="Times New Roman" w:eastAsia="Times New Roman" w:hAnsi="Times New Roman"/>
          <w:sz w:val="22"/>
          <w:szCs w:val="22"/>
          <w:u w:val="single" w:color="auto"/>
          <w:color w:val="auto"/>
        </w:rPr>
        <w:t>Eligible Participant</w:t>
      </w:r>
      <w:r>
        <w:rPr>
          <w:rFonts w:ascii="Times New Roman" w:cs="Times New Roman" w:eastAsia="Times New Roman" w:hAnsi="Times New Roman"/>
          <w:sz w:val="22"/>
          <w:szCs w:val="22"/>
          <w:color w:val="auto"/>
        </w:rPr>
        <w:t>” if he or she is an employee, director or officer of, or consultant or advisor to, the Company or any other entity the employees, officers, directors, consultants or advisors of which are eligible to receive awards of RSUs under the Plan.</w:t>
      </w:r>
    </w:p>
    <w:p>
      <w:pPr>
        <w:spacing w:after="0" w:line="183" w:lineRule="exact"/>
        <w:rPr>
          <w:sz w:val="20"/>
          <w:szCs w:val="20"/>
          <w:color w:val="auto"/>
        </w:rPr>
      </w:pPr>
    </w:p>
    <w:p>
      <w:pPr>
        <w:ind w:left="980" w:hanging="223"/>
        <w:spacing w:after="0"/>
        <w:tabs>
          <w:tab w:leader="none" w:pos="98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The Participant shall not sell, assign, transfer, pledge, hypothecate, encumber or otherwise dispose of, by operation of law or otherwise (collectively “transfer”) any RSUs, or any interest therein. The Company shall not be required to treat as the owner of any RSUs or issue any Common Stock to any transferee to whom such RSUs have been transferred in violation of any of the provisions of this Agreement.</w:t>
      </w:r>
    </w:p>
    <w:p>
      <w:pPr>
        <w:spacing w:after="0" w:line="180" w:lineRule="exact"/>
        <w:rPr>
          <w:sz w:val="20"/>
          <w:szCs w:val="20"/>
          <w:color w:val="auto"/>
        </w:rPr>
      </w:pPr>
    </w:p>
    <w:p>
      <w:pPr>
        <w:ind w:left="980" w:hanging="223"/>
        <w:spacing w:after="0"/>
        <w:tabs>
          <w:tab w:leader="none" w:pos="9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spacing w:after="0" w:line="185"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22"/>
          <w:szCs w:val="22"/>
          <w:color w:val="auto"/>
        </w:rPr>
        <w:t>The Participant shall have no rights as a stockholder of the Company with respect to any shares of Common Stock that may be issuable with respect to the RSUs until the issuance of the shares of Common Stock to the Participant following the vesting of the RSUs.</w:t>
      </w:r>
    </w:p>
    <w:p>
      <w:pPr>
        <w:spacing w:after="0" w:line="173" w:lineRule="exact"/>
        <w:rPr>
          <w:sz w:val="20"/>
          <w:szCs w:val="20"/>
          <w:color w:val="auto"/>
        </w:rPr>
      </w:pPr>
    </w:p>
    <w:p>
      <w:pPr>
        <w:ind w:left="980" w:hanging="223"/>
        <w:spacing w:after="0"/>
        <w:tabs>
          <w:tab w:leader="none" w:pos="98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40" w:firstLine="749"/>
        <w:spacing w:after="0" w:line="258" w:lineRule="auto"/>
        <w:rPr>
          <w:sz w:val="20"/>
          <w:szCs w:val="20"/>
          <w:color w:val="auto"/>
        </w:rPr>
      </w:pPr>
      <w:r>
        <w:rPr>
          <w:rFonts w:ascii="Times New Roman" w:cs="Times New Roman" w:eastAsia="Times New Roman" w:hAnsi="Times New Roman"/>
          <w:sz w:val="22"/>
          <w:szCs w:val="22"/>
          <w:color w:val="auto"/>
        </w:rPr>
        <w:t>This Agreement is subject to the provisions of the Plan, a copy of which is furnished to the Participant with this Agreement.</w:t>
      </w:r>
    </w:p>
    <w:p>
      <w:pPr>
        <w:spacing w:after="0" w:line="158" w:lineRule="exact"/>
        <w:rPr>
          <w:sz w:val="20"/>
          <w:szCs w:val="20"/>
          <w:color w:val="auto"/>
        </w:rPr>
      </w:pPr>
    </w:p>
    <w:p>
      <w:pPr>
        <w:ind w:left="980" w:hanging="223"/>
        <w:spacing w:after="0"/>
        <w:tabs>
          <w:tab w:leader="none" w:pos="9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firstLine="757"/>
        <w:spacing w:after="0" w:line="235" w:lineRule="auto"/>
        <w:tabs>
          <w:tab w:leader="none" w:pos="1042"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 No Section 83(b) Election</w:t>
      </w:r>
      <w:r>
        <w:rPr>
          <w:rFonts w:ascii="Times New Roman" w:cs="Times New Roman" w:eastAsia="Times New Roman" w:hAnsi="Times New Roman"/>
          <w:sz w:val="22"/>
          <w:szCs w:val="22"/>
          <w:color w:val="auto"/>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of 1986, as amended, (the “Code”) is available with respect to RSUs.</w:t>
      </w:r>
    </w:p>
    <w:p>
      <w:pPr>
        <w:spacing w:after="0" w:line="183" w:lineRule="exact"/>
        <w:rPr>
          <w:rFonts w:ascii="Times New Roman" w:cs="Times New Roman" w:eastAsia="Times New Roman" w:hAnsi="Times New Roman"/>
          <w:sz w:val="22"/>
          <w:szCs w:val="22"/>
          <w:color w:val="auto"/>
        </w:rPr>
      </w:pPr>
    </w:p>
    <w:p>
      <w:pPr>
        <w:ind w:right="20" w:firstLine="757"/>
        <w:spacing w:after="0" w:line="232" w:lineRule="auto"/>
        <w:tabs>
          <w:tab w:leader="none" w:pos="1055"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Responsibility for Taxes; Withholding</w:t>
      </w:r>
      <w:r>
        <w:rPr>
          <w:rFonts w:ascii="Times New Roman" w:cs="Times New Roman" w:eastAsia="Times New Roman" w:hAnsi="Times New Roman"/>
          <w:sz w:val="22"/>
          <w:szCs w:val="22"/>
          <w:color w:val="auto"/>
        </w:rPr>
        <w:t xml:space="preserve">. The Participant acknowledges that, regardless of any action taken by the Company, the ultimate liability for all federal, state, local or other taxes of any kind related to the Participant’s participation in the Plan and legally applicable to the Participant is and remains the Participant’s responsibility and may exceed the amount, if any, actually withheld by the Company. The Participant acknowledges and agrees that the Company has the right to deduct from payments of any kind otherwise due to the Participant any federal, state, local or other taxes of any kind required by law to be withheld with respect to the vesting of the RSUs. To the extent the Participant has not previously executed and delivered to the Company effective durable sell-to-cover instructions that by their terms would cover any taxes required by law to be withheld with respect to the vesting of the RSUs, at such time as the Participant is not aware of any material nonpublic information about the Company or the Common Stock and is not prohibited from doing so by the Company’s insider trading policy or otherwise, the Participant shall execute the instructions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u w:val="single" w:color="auto"/>
          <w:color w:val="auto"/>
        </w:rPr>
        <w:t>Durable Automatic Sell-to-Cover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Instruction</w:t>
      </w:r>
      <w:r>
        <w:rPr>
          <w:rFonts w:ascii="Times New Roman" w:cs="Times New Roman" w:eastAsia="Times New Roman" w:hAnsi="Times New Roman"/>
          <w:sz w:val="22"/>
          <w:szCs w:val="22"/>
          <w:color w:val="auto"/>
        </w:rPr>
        <w:t>”) as the means of satisfying such tax obligation. If the Participant is required to but does not execute the Durable Automatic Sell-to-Cover Instruction prior to an applicable vesting date, then the Participant agrees that if under applicable law the Participant will owe taxes at such vesting date of RSUs issued hereunder on the portion of the award then vested, the Company shall be entitled to immediate payment from the Participant of the amount of any tax required to be withheld by the Company. The Company shall not deliver any shares of Common Stock to the Participant until it is satisfied that all required withholdings have been made.</w:t>
      </w:r>
    </w:p>
    <w:p>
      <w:pPr>
        <w:spacing w:after="0" w:line="191" w:lineRule="exact"/>
        <w:rPr>
          <w:sz w:val="20"/>
          <w:szCs w:val="20"/>
          <w:color w:val="auto"/>
        </w:rPr>
      </w:pPr>
    </w:p>
    <w:p>
      <w:pPr>
        <w:ind w:left="980" w:hanging="223"/>
        <w:spacing w:after="0"/>
        <w:tabs>
          <w:tab w:leader="none" w:pos="98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20" w:firstLine="757"/>
        <w:spacing w:after="0" w:line="258" w:lineRule="auto"/>
        <w:tabs>
          <w:tab w:leader="none" w:pos="104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RSUs awarded pursuant to this Agreement are intended to be exempt from or comply with the requirements of Section 409A of the Code and the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859790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Regulations issued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delivery of shares of Common Stock on the vesting of the RSUs may not be accelerated or deferred unless permitted or required by Section 409A.</w:t>
      </w:r>
    </w:p>
    <w:p>
      <w:pPr>
        <w:spacing w:after="0" w:line="158" w:lineRule="exact"/>
        <w:rPr>
          <w:sz w:val="20"/>
          <w:szCs w:val="20"/>
          <w:color w:val="auto"/>
        </w:rPr>
      </w:pPr>
    </w:p>
    <w:p>
      <w:pPr>
        <w:ind w:firstLine="757"/>
        <w:spacing w:after="0" w:line="238" w:lineRule="auto"/>
        <w:tabs>
          <w:tab w:leader="none" w:pos="105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Acknowledgements</w:t>
      </w:r>
      <w:r>
        <w:rPr>
          <w:rFonts w:ascii="Times New Roman" w:cs="Times New Roman" w:eastAsia="Times New Roman" w:hAnsi="Times New Roman"/>
          <w:sz w:val="22"/>
          <w:szCs w:val="22"/>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agrees that in accepting this award, he or she will be bound by any clawback policy that the Company may adopt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1282700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88" w:name="page289"/>
    <w:bookmarkEnd w:id="28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DURABLE AUTOMATIC SELL-TO-COVER INSTRUCTION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40" w:firstLine="749"/>
        <w:spacing w:after="0" w:line="249" w:lineRule="auto"/>
        <w:rPr>
          <w:sz w:val="20"/>
          <w:szCs w:val="20"/>
          <w:color w:val="auto"/>
        </w:rPr>
      </w:pPr>
      <w:r>
        <w:rPr>
          <w:rFonts w:ascii="Times New Roman" w:cs="Times New Roman" w:eastAsia="Times New Roman" w:hAnsi="Times New Roman"/>
          <w:sz w:val="21"/>
          <w:szCs w:val="21"/>
          <w:color w:val="auto"/>
        </w:rPr>
        <w:t>This Durable Automatic Sell-to-Cover Instruction (this “</w:t>
      </w:r>
      <w:r>
        <w:rPr>
          <w:rFonts w:ascii="Times New Roman" w:cs="Times New Roman" w:eastAsia="Times New Roman" w:hAnsi="Times New Roman"/>
          <w:sz w:val="21"/>
          <w:szCs w:val="21"/>
          <w:u w:val="single" w:color="auto"/>
          <w:color w:val="auto"/>
        </w:rPr>
        <w:t>Instruction</w:t>
      </w:r>
      <w:r>
        <w:rPr>
          <w:rFonts w:ascii="Times New Roman" w:cs="Times New Roman" w:eastAsia="Times New Roman" w:hAnsi="Times New Roman"/>
          <w:sz w:val="21"/>
          <w:szCs w:val="21"/>
          <w:color w:val="auto"/>
        </w:rPr>
        <w:t>”), which is being delivered to Solid Biosciences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by the undersigned on the date set forth below (the “</w:t>
      </w:r>
      <w:r>
        <w:rPr>
          <w:rFonts w:ascii="Times New Roman" w:cs="Times New Roman" w:eastAsia="Times New Roman" w:hAnsi="Times New Roman"/>
          <w:sz w:val="21"/>
          <w:szCs w:val="21"/>
          <w:u w:val="single" w:color="auto"/>
          <w:color w:val="auto"/>
        </w:rPr>
        <w:t>Adoption Date</w:t>
      </w:r>
      <w:r>
        <w:rPr>
          <w:rFonts w:ascii="Times New Roman" w:cs="Times New Roman" w:eastAsia="Times New Roman" w:hAnsi="Times New Roman"/>
          <w:sz w:val="21"/>
          <w:szCs w:val="21"/>
          <w:color w:val="auto"/>
        </w:rPr>
        <w:t>”), relates to the Covered RSUs (as defined following my signature below). This Instruction provides for “eligible sell-to-cover transactions” (as described in Rule 10b5-1(c)</w:t>
      </w:r>
    </w:p>
    <w:p>
      <w:pPr>
        <w:spacing w:after="0" w:line="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(1)(ii)(D)(3) under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is intended to satisfy the affirmative defense conditions of Rule 10b5-1(c)(1) under the Exchange Act.</w:t>
      </w:r>
    </w:p>
    <w:p>
      <w:pPr>
        <w:spacing w:after="0" w:line="7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1"/>
          <w:szCs w:val="21"/>
          <w:color w:val="auto"/>
        </w:rPr>
        <w:t>I acknowledge that upon vesting and settlement of any Covered RSUs in accordance with the applicable RSU’s terms, whether vesting is based on the passage of time or the achievement of performance goals, I will have compensation income equal to the fair market value of the shares of the Company’s common stock subject to the RSUs that are settled on such settlement date and that the Company is required to withhold income and employment taxes in respect of that compensation income.</w:t>
      </w:r>
    </w:p>
    <w:p>
      <w:pPr>
        <w:spacing w:after="0" w:line="54"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I desire to establish a plan and process to satisfy such withholding obligation in respect of all Covered RSUs through an automatic sale of the number of the shares of the Company’s common stock that would otherwise be issuable to me on each applicable settlement date, in an amount sufficient to satisfy the applicable withholding obligation, with the proceeds of the sale delivered to the Company in satisfaction of the applicable withholding obligation.</w:t>
      </w:r>
    </w:p>
    <w:p>
      <w:pPr>
        <w:spacing w:after="0" w:line="72"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I understand that the Company has arranged for the administration and execution of its equity incentive programs and the sale of securities by participants thereunder pursuant to a platform administered by a third party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and the Administrator’s designated brokerage partner.</w:t>
      </w:r>
    </w:p>
    <w:p>
      <w:pPr>
        <w:spacing w:after="0" w:line="65" w:lineRule="exact"/>
        <w:rPr>
          <w:sz w:val="20"/>
          <w:szCs w:val="20"/>
          <w:color w:val="auto"/>
        </w:rPr>
      </w:pPr>
    </w:p>
    <w:p>
      <w:pPr>
        <w:ind w:right="60" w:firstLine="749"/>
        <w:spacing w:after="0" w:line="229" w:lineRule="auto"/>
        <w:rPr>
          <w:sz w:val="20"/>
          <w:szCs w:val="20"/>
          <w:color w:val="auto"/>
        </w:rPr>
      </w:pPr>
      <w:r>
        <w:rPr>
          <w:rFonts w:ascii="Times New Roman" w:cs="Times New Roman" w:eastAsia="Times New Roman" w:hAnsi="Times New Roman"/>
          <w:sz w:val="22"/>
          <w:szCs w:val="22"/>
          <w:color w:val="auto"/>
        </w:rPr>
        <w:t>Upon the settlement of any of my Covered RSUs after the 30th day following the Adoption Date (or if I am an officer of the Company on the Adoption Date, after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the Adoption Date]) (the “</w:t>
      </w:r>
      <w:r>
        <w:rPr>
          <w:rFonts w:ascii="Times New Roman" w:cs="Times New Roman" w:eastAsia="Times New Roman" w:hAnsi="Times New Roman"/>
          <w:sz w:val="22"/>
          <w:szCs w:val="22"/>
          <w:u w:val="single" w:color="auto"/>
          <w:color w:val="auto"/>
        </w:rPr>
        <w:t>Cooling-Off Period</w:t>
      </w:r>
      <w:r>
        <w:rPr>
          <w:rFonts w:ascii="Times New Roman" w:cs="Times New Roman" w:eastAsia="Times New Roman" w:hAnsi="Times New Roman"/>
          <w:sz w:val="22"/>
          <w:szCs w:val="22"/>
          <w:color w:val="auto"/>
        </w:rPr>
        <w:t>”), I hereby appoint the Administrator (or any successor administrator) to automatically sell such number of shares of the Company’s common stock issuable with respect to such RSUs that vested and settled as is sufficient to generate net proceeds sufficient to satisfy the Company’s minimum statutory withholding obligations with respect to the income recognized by me in connection with the vesting and settlement of such RSUs (based on minimum statutory withholding rates for all tax purposes, including payroll and social security taxes, that are applicable to such income), and the Company shall receive such net proceeds in satisfaction of such tax withholding obligation.</w:t>
      </w:r>
    </w:p>
    <w:p>
      <w:pPr>
        <w:spacing w:after="0" w:line="69"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I hereby appoint the Chief Executive Officer, the Chief Financial Officer and the General Counsel (or, if none, the Chief Operating Officer), and any of them acting alone and with full power of substitution, to serve as my attorneys-in-fact to arrange for the sale of shares of the Company’s common stock in accordance with this Instruction. I agree to execute and deliver such documents, instruments and certificates as may reasonably be required in connection with the sale of the shares of common stock pursuant to this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9" w:name="page290"/>
    <w:bookmarkEnd w:id="289"/>
    <w:p>
      <w:pPr>
        <w:spacing w:after="0" w:line="7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 xml:space="preserve">Unless the last box in the definition of Covered RSUs below is checked, if I have previously adopted an automatic sale or sell-to-cover instruction relating to Covered RSUs, this Instruction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I hereby certify that, as of the Adoption Date:</w:t>
      </w:r>
    </w:p>
    <w:p>
      <w:pPr>
        <w:spacing w:after="0" w:line="98" w:lineRule="exact"/>
        <w:rPr>
          <w:sz w:val="20"/>
          <w:szCs w:val="20"/>
          <w:color w:val="auto"/>
        </w:rPr>
      </w:pPr>
    </w:p>
    <w:p>
      <w:pPr>
        <w:ind w:left="1060" w:hanging="303"/>
        <w:spacing w:after="0"/>
        <w:tabs>
          <w:tab w:leader="none" w:pos="1060" w:val="left"/>
        </w:tabs>
        <w:numPr>
          <w:ilvl w:val="0"/>
          <w:numId w:val="2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 am not prohibited from entering into this Instruction by the Company’s insider trading policy or otherwise;</w:t>
      </w:r>
    </w:p>
    <w:p>
      <w:pPr>
        <w:spacing w:after="0" w:line="109" w:lineRule="exact"/>
        <w:rPr>
          <w:rFonts w:ascii="Times New Roman" w:cs="Times New Roman" w:eastAsia="Times New Roman" w:hAnsi="Times New Roman"/>
          <w:sz w:val="21"/>
          <w:szCs w:val="21"/>
          <w:b w:val="1"/>
          <w:bCs w:val="1"/>
          <w:color w:val="auto"/>
        </w:rPr>
      </w:pPr>
    </w:p>
    <w:p>
      <w:pPr>
        <w:ind w:left="1080" w:hanging="323"/>
        <w:spacing w:after="0"/>
        <w:tabs>
          <w:tab w:leader="none" w:pos="1080"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am not aware of any material nonpublic information about the Company or its common stock; and</w:t>
      </w:r>
    </w:p>
    <w:p>
      <w:pPr>
        <w:spacing w:after="0" w:line="98" w:lineRule="exact"/>
        <w:rPr>
          <w:rFonts w:ascii="Times New Roman" w:cs="Times New Roman" w:eastAsia="Times New Roman" w:hAnsi="Times New Roman"/>
          <w:sz w:val="22"/>
          <w:szCs w:val="22"/>
          <w:b w:val="1"/>
          <w:bCs w:val="1"/>
          <w:color w:val="auto"/>
        </w:rPr>
      </w:pPr>
    </w:p>
    <w:p>
      <w:pPr>
        <w:ind w:right="200" w:firstLine="757"/>
        <w:spacing w:after="0" w:line="262" w:lineRule="auto"/>
        <w:tabs>
          <w:tab w:leader="none" w:pos="1127" w:val="left"/>
        </w:tabs>
        <w:numPr>
          <w:ilvl w:val="0"/>
          <w:numId w:val="2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 am adopting this Instruction in good faith and not as part of a plan or scheme to evade the prohibitions of Rule 10b-5 under the Exchange Act.</w:t>
      </w:r>
    </w:p>
    <w:p>
      <w:pPr>
        <w:spacing w:after="0" w:line="39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9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Print Name: _____________________</w:t>
      </w:r>
    </w:p>
    <w:p>
      <w:pPr>
        <w:spacing w:after="0" w:line="9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Adoption Date: __________________</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Covered RSUs: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are covered by this Instruction:</w:t>
      </w:r>
    </w:p>
    <w:p>
      <w:pPr>
        <w:spacing w:after="0" w:line="182" w:lineRule="exact"/>
        <w:rPr>
          <w:sz w:val="20"/>
          <w:szCs w:val="20"/>
          <w:color w:val="auto"/>
        </w:rPr>
      </w:pPr>
    </w:p>
    <w:p>
      <w:pPr>
        <w:ind w:left="760"/>
        <w:spacing w:after="0" w:line="238" w:lineRule="auto"/>
        <w:rPr>
          <w:sz w:val="20"/>
          <w:szCs w:val="20"/>
          <w:color w:val="auto"/>
        </w:rPr>
      </w:pPr>
      <w:r>
        <w:rPr>
          <w:rFonts w:ascii="Times New Roman" w:cs="Times New Roman" w:eastAsia="Times New Roman" w:hAnsi="Times New Roman"/>
          <w:sz w:val="22"/>
          <w:szCs w:val="22"/>
          <w:color w:val="auto"/>
        </w:rPr>
        <w:t>Any RSUs granted to me by the Company prior to, on or after the Adoption Date that, in each case, (1) are not subject to any prior automatic sale or sell-to-cover instruction and (2) for which the next vesting date is after the Cooling-Off Period referred to above, other than any future granted RSUs which by the terms of the applicable award agreement require the Company to withhold shares for tax withholding obligations in connection with the vesting and settlement of such RSUs, and therefore do not permit sell-to-cover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following RSUs are covered by this Instruction </w:t>
      </w:r>
      <w:r>
        <w:rPr>
          <w:rFonts w:ascii="Times New Roman" w:cs="Times New Roman" w:eastAsia="Times New Roman" w:hAnsi="Times New Roman"/>
          <w:sz w:val="22"/>
          <w:szCs w:val="22"/>
          <w:i w:val="1"/>
          <w:iCs w:val="1"/>
          <w:color w:val="auto"/>
        </w:rPr>
        <w:t>only if</w:t>
      </w:r>
      <w:r>
        <w:rPr>
          <w:rFonts w:ascii="Times New Roman" w:cs="Times New Roman" w:eastAsia="Times New Roman" w:hAnsi="Times New Roman"/>
          <w:sz w:val="22"/>
          <w:szCs w:val="22"/>
          <w:color w:val="auto"/>
        </w:rPr>
        <w:t xml:space="preserve"> the box below is checked:</w:t>
      </w:r>
    </w:p>
    <w:p>
      <w:pPr>
        <w:spacing w:after="0" w:line="224" w:lineRule="exact"/>
        <w:rPr>
          <w:sz w:val="20"/>
          <w:szCs w:val="20"/>
          <w:color w:val="auto"/>
        </w:rPr>
      </w:pPr>
    </w:p>
    <w:p>
      <w:pPr>
        <w:ind w:left="880" w:right="160" w:hanging="432"/>
        <w:spacing w:after="0" w:line="238" w:lineRule="auto"/>
        <w:tabs>
          <w:tab w:leader="none" w:pos="898" w:val="left"/>
        </w:tabs>
        <w:numPr>
          <w:ilvl w:val="0"/>
          <w:numId w:val="24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With respect to any RSUs, whether or not granted to me by the Company prior to the Adoption Date, that already are subject to an automatic sale or sell-to-cover instruction (a “</w:t>
      </w:r>
      <w:r>
        <w:rPr>
          <w:rFonts w:ascii="Times New Roman" w:cs="Times New Roman" w:eastAsia="Times New Roman" w:hAnsi="Times New Roman"/>
          <w:sz w:val="22"/>
          <w:szCs w:val="22"/>
          <w:u w:val="single" w:color="auto"/>
          <w:color w:val="auto"/>
        </w:rPr>
        <w:t>Prior Instruction</w:t>
      </w:r>
      <w:r>
        <w:rPr>
          <w:rFonts w:ascii="Times New Roman" w:cs="Times New Roman" w:eastAsia="Times New Roman" w:hAnsi="Times New Roman"/>
          <w:sz w:val="22"/>
          <w:szCs w:val="22"/>
          <w:color w:val="auto"/>
        </w:rPr>
        <w:t>”), I elect to have such sales effected pursuant to this Instruction and confirm that doing so does not modify or change the amount, price, or timing of such sales from those provided by the Prior Instruction (and, as a result the Cooling-Off Period referred to above is not applicable to sales pursuant to this Instruction that were previously subject to the Prior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1076960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90" w:name="page291"/>
    <w:bookmarkEnd w:id="290"/>
    <w:p>
      <w:pPr>
        <w:ind w:left="10020"/>
        <w:spacing w:after="0"/>
        <w:rPr>
          <w:sz w:val="20"/>
          <w:szCs w:val="20"/>
          <w:color w:val="auto"/>
        </w:rPr>
      </w:pPr>
      <w:r>
        <w:rPr>
          <w:rFonts w:ascii="Times New Roman" w:cs="Times New Roman" w:eastAsia="Times New Roman" w:hAnsi="Times New Roman"/>
          <w:sz w:val="21"/>
          <w:szCs w:val="21"/>
          <w:b w:val="1"/>
          <w:bCs w:val="1"/>
          <w:color w:val="auto"/>
        </w:rPr>
        <w:t>Exhibit 10.53</w:t>
      </w:r>
    </w:p>
    <w:p>
      <w:pPr>
        <w:spacing w:after="0" w:line="24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PATENT LICENSE AGREEMENT</w:t>
      </w:r>
    </w:p>
    <w:p>
      <w:pPr>
        <w:spacing w:after="0" w:line="2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1"/>
          <w:szCs w:val="21"/>
          <w:color w:val="auto"/>
        </w:rPr>
        <w:t>This Agreement is effective as of March 10, 2016 (the “EFFECTIVE DATE”), between Solid GT, LLC (“LICENSEE”) having the address in Article 12 below, and the Regents of the University of Michigan, a constitutional corporation of the state of Michigan (“MICHIGAN”) having the address in Article 12 below. LICENSEE and MICHIGAN hereby agree as follows: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-13970</wp:posOffset>
            </wp:positionV>
            <wp:extent cx="9906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61">
                      <a:extLst>
                        <a:ext uri="{28A0092B-C50C-407E-A947-70E740481C1C}"/>
                      </a:extLst>
                    </a:blip>
                    <a:srcRect/>
                    <a:stretch>
                      <a:fillRect/>
                    </a:stretch>
                  </pic:blipFill>
                  <pic:spPr bwMode="auto">
                    <a:xfrm>
                      <a:off x="0" y="0"/>
                      <a:ext cx="990600" cy="8255"/>
                    </a:xfrm>
                    <a:prstGeom prst="rect">
                      <a:avLst/>
                    </a:prstGeom>
                    <a:noFill/>
                  </pic:spPr>
                </pic:pic>
              </a:graphicData>
            </a:graphic>
          </wp:anchor>
        </w:drawing>
      </w:r>
    </w:p>
    <w:p>
      <w:pPr>
        <w:spacing w:after="0" w:line="18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“AFFILIATE” means any corporation, partnership, joint venture or other entity of which a majority of the voting stock or other equity ownership thereof is owned or controlled by, or under common control with, LICENSEE, or which owns or controls a majority of the voting stock or other equity ownership of LICENSEE.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“FIELD OF USE” means all uses.</w:t>
      </w:r>
    </w:p>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“FIRST COMMERCIAL SALE” means the first SALE through a bona fide arms length transaction of any LICENSED PRODUCT or first commercial use of any LICENSED PROCESS by LICENSEE or a SUBLICENSEE, excluding the SALE of a LICENSED PRODUCT or use of a LICENSED PROCESS for use in trials, as a sample or that is of temporary availability.</w:t>
      </w:r>
    </w:p>
    <w:p>
      <w:pPr>
        <w:spacing w:after="0" w:line="15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“LICENSED PROCESS(ES)” means any process or method that, but for this Agreement, would comprises an infringement of (including contributory or inducement) a VALID CLAIM in the country in which any such process or method is used or performed, or (b) employs a LICENSED PRODUCT.</w:t>
      </w:r>
    </w:p>
    <w:p>
      <w:pPr>
        <w:spacing w:after="0" w:line="17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“LICENSED PRODUCT(S)” means any product that: (a) but for this Agreement, comprises an infringement of (including contributory or inducement) a VALID CLAIM in the country in which any such product or product part is made, used, imported, offered for SALE or sold; or (b) is manufactured by using a LICENSED PROCESS or is employed to practice a LICENSED PROCESS.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“MICHIGAN,” as used in Articles 9 and 10, shall include its Regents, officers, employees, students, and agents.</w:t>
      </w:r>
    </w:p>
    <w:p>
      <w:pPr>
        <w:spacing w:after="0" w:line="206" w:lineRule="exact"/>
        <w:rPr>
          <w:sz w:val="20"/>
          <w:szCs w:val="20"/>
          <w:color w:val="auto"/>
        </w:rPr>
      </w:pPr>
    </w:p>
    <w:p>
      <w:pPr>
        <w:jc w:val="both"/>
        <w:ind w:right="180"/>
        <w:spacing w:after="0" w:line="239" w:lineRule="auto"/>
        <w:rPr>
          <w:sz w:val="20"/>
          <w:szCs w:val="20"/>
          <w:color w:val="auto"/>
        </w:rPr>
      </w:pPr>
      <w:r>
        <w:rPr>
          <w:rFonts w:ascii="Times New Roman" w:cs="Times New Roman" w:eastAsia="Times New Roman" w:hAnsi="Times New Roman"/>
          <w:sz w:val="22"/>
          <w:szCs w:val="22"/>
          <w:color w:val="auto"/>
        </w:rPr>
        <w:t>“NET SALES” means the amount billed or invoiced, and if any amount is not billed or invoiced, the amounts actually received, on Sales, however characterized, by LICENSEE and/or SUBLICENSEES of LICENSED PRODUCTS and uses of LICENSED PROCESSES, less the following deductions (but only to the extent such deductions are otherwise included in NET SALES and are not obtained in view of other consideration received by LICENSEE):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1" w:name="page292"/>
    <w:bookmarkEnd w:id="291"/>
    <w:p>
      <w:pPr>
        <w:ind w:right="100" w:firstLine="1505"/>
        <w:spacing w:after="0" w:line="258" w:lineRule="auto"/>
        <w:tabs>
          <w:tab w:leader="none" w:pos="203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discounts actually granted to customers in such invoices for SALE of LICENSED PRODUCTS, but only in amounts customary in the trade;</w:t>
      </w:r>
    </w:p>
    <w:p>
      <w:pPr>
        <w:spacing w:after="0" w:line="158" w:lineRule="exact"/>
        <w:rPr>
          <w:rFonts w:ascii="Times New Roman" w:cs="Times New Roman" w:eastAsia="Times New Roman" w:hAnsi="Times New Roman"/>
          <w:sz w:val="22"/>
          <w:szCs w:val="22"/>
          <w:color w:val="auto"/>
        </w:rPr>
      </w:pPr>
    </w:p>
    <w:p>
      <w:pPr>
        <w:ind w:right="620" w:firstLine="1505"/>
        <w:spacing w:after="0" w:line="258" w:lineRule="auto"/>
        <w:tabs>
          <w:tab w:leader="none" w:pos="203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taxes, tariff duties and/or use taxes separately stated in such bills or invoices with reference to particular SALES and actually paid by LICENSEE or SUBLICENSEE to a governmental unit;</w:t>
      </w:r>
    </w:p>
    <w:p>
      <w:pPr>
        <w:spacing w:after="0" w:line="158" w:lineRule="exact"/>
        <w:rPr>
          <w:rFonts w:ascii="Times New Roman" w:cs="Times New Roman" w:eastAsia="Times New Roman" w:hAnsi="Times New Roman"/>
          <w:sz w:val="22"/>
          <w:szCs w:val="22"/>
          <w:color w:val="auto"/>
        </w:rPr>
      </w:pPr>
    </w:p>
    <w:p>
      <w:pPr>
        <w:ind w:right="720" w:firstLine="1505"/>
        <w:spacing w:after="0" w:line="258" w:lineRule="auto"/>
        <w:tabs>
          <w:tab w:leader="none" w:pos="203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freight expenses between LICENSEE or SUBLICENSEE and customers, to the extent such expenses are not charged to or reimbursed by customers;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actually refunded or credited on returns.</w:t>
      </w:r>
    </w:p>
    <w:p>
      <w:pPr>
        <w:spacing w:after="0" w:line="20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Where LICENSEE or SUBLICENSEE receives any consideration other than cash for such transactions, fair market cash value for such consideration, to be agreed upon by the parties hereto, shall be included in NET SALES. Where a product or activity is a LICENSED PRODUCT or LICENSED PROCESS hereunder due to contributory infringement or inducement of infringement, NET SALES shall include SALES of the product or process that constitutes a direct infringement of the PATENT RIGHTS. NET SALES shall not include LICENSED PRODUCT used for pre-clinical or clinical trials, post-marketing trials, samples and indigent patient programs or any other uses of LICENSED PRODUCT not ordinarily included as part of NET SALES for royalty determination purposes.</w:t>
      </w:r>
    </w:p>
    <w:p>
      <w:pPr>
        <w:spacing w:after="0" w:line="18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A sale or transfer to an AFFILIATE or SUBLICENSEE for re-sale by such AFFILIATE or SUBLICENSEE shall not be considered a sale for the purpose of this provision but the resale by such AFFILIATE or SUBLICENSEE shall be a sale for such purposes. Any amounts received LICENSEE, an AFFILIATE or SUBLICENSEE in exchange for LICENSED PRODUCTS or LICENSED PROCESSES transferred or provided to any person or entity for use in testing, clinical trials, or as marketing samples to develop or promote the LICENSED PRODUCTS are not included in the definition of NET SALES.</w:t>
      </w:r>
    </w:p>
    <w:p>
      <w:pPr>
        <w:spacing w:after="0" w:line="17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“PATENT RIGHTS” means MICHIGAN’S legal rights under the patent laws of the United States or relevant foreign countries for all of the following:</w:t>
      </w:r>
    </w:p>
    <w:p>
      <w:pPr>
        <w:spacing w:after="0" w:line="158" w:lineRule="exact"/>
        <w:rPr>
          <w:sz w:val="20"/>
          <w:szCs w:val="20"/>
          <w:color w:val="auto"/>
        </w:rPr>
      </w:pPr>
    </w:p>
    <w:p>
      <w:pPr>
        <w:ind w:right="400" w:firstLine="1505"/>
        <w:spacing w:after="0" w:line="244" w:lineRule="auto"/>
        <w:tabs>
          <w:tab w:leader="none" w:pos="2036"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United States and foreign patent(s) and/or patent application(s), and divisionals, continuations, continuations-in-part (only to the extent that such claims are fully supported under U.S. patent laws by another patent or application in the PATENT RIGHTS), and foreign counterparts of the same: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ind w:right="240" w:firstLine="1505"/>
        <w:spacing w:after="0" w:line="258" w:lineRule="auto"/>
        <w:tabs>
          <w:tab w:leader="none" w:pos="2036"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renewals, reexaminations, substitutes, supplementary protection certificates and extensions of these patents, and any corresponding foreign counterparts of the same.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“ROYALTY PERIOD(S)” means the six-month periods ending on the last days of June and December each year.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22"/>
          <w:szCs w:val="22"/>
          <w:color w:val="auto"/>
        </w:rPr>
        <w:t>“SALE” means sale, rental, or lease, however characterized, and SOLD means the past tense of SALE.</w:t>
      </w:r>
    </w:p>
    <w:p>
      <w:pPr>
        <w:spacing w:after="0" w:line="2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“SUBLICENSEE(S)” means any person or entity in writing sublicensed, or granted an option for a sublicense, by LICENSEE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“TERRITORY” means all of the countries of the world.</w:t>
      </w:r>
    </w:p>
    <w:p>
      <w:pPr>
        <w:spacing w:after="0" w:line="2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“VALID CLAIM” means (i) a claim in an issued and unexpired patent included in the PATENT RIGHTS that: (a) has not been held unenforceable, unpatentable or invalid by a decision of a court or other governmental agency of competent jurisdiction, and not subject to appeal, (b) has not been admitted to be invalid or unenforceable through reissue or disclaimer or otherwise, (c) has not been lost through an interference, reexamination, or reissue proceeding; or (ii) a pending claim of a pending patent application included in the PATENT RIGHTS that has not been abandoned or finally rejected without the possibility of appeal or refiling and that has been pending for less than seven years from its priority date.</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color w:val="auto"/>
        </w:rPr>
        <w:t xml:space="preserve"> – GRANT OF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-13970</wp:posOffset>
            </wp:positionV>
            <wp:extent cx="141732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6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86" w:lineRule="exact"/>
        <w:rPr>
          <w:sz w:val="20"/>
          <w:szCs w:val="20"/>
          <w:color w:val="auto"/>
        </w:rPr>
      </w:pPr>
    </w:p>
    <w:p>
      <w:pPr>
        <w:jc w:val="both"/>
        <w:ind w:right="180" w:firstLine="749"/>
        <w:spacing w:after="0" w:line="261" w:lineRule="auto"/>
        <w:rPr>
          <w:sz w:val="20"/>
          <w:szCs w:val="20"/>
          <w:color w:val="auto"/>
        </w:rPr>
      </w:pPr>
      <w:r>
        <w:rPr>
          <w:rFonts w:ascii="Times New Roman" w:cs="Times New Roman" w:eastAsia="Times New Roman" w:hAnsi="Times New Roman"/>
          <w:sz w:val="21"/>
          <w:szCs w:val="21"/>
          <w:color w:val="auto"/>
        </w:rPr>
        <w:t>2.1MICHIGAN hereby grants to LICENSEE an exclusive license under the PATENT RIGHTS, with the right to grant sublicenses, both subject to the terms and conditions of this Agreement, in the FIELD OF USE and the TERRITORY to make, have made, import, use, market, offer for sale and sell LICENSED PRODUCTS and to practice LICENSED PROCESSES.</w:t>
      </w:r>
    </w:p>
    <w:p>
      <w:pPr>
        <w:spacing w:after="0" w:line="157"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21"/>
          <w:szCs w:val="21"/>
          <w:color w:val="auto"/>
        </w:rPr>
        <w:t>2.2Without limiting any other rights it may have, MICHIGAN specifically reserves the right for it and its affiliates to practice and have practiced the PATENT RIGHTS for non-commercial research, public service, internal (including clinical) and/or educational purposes, and the right to grant the same limited non-commercial rights to other non-profit research institutions. For avoidance of doubt, sponsored research on behalf of for-profit entities shall be deemed to be commercial.</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2.3This Agreement shall extend until expiration of the last to expire of the PATENT RIGHTS, unless sooner terminated as provided in another specific provision of this Agreement.</w:t>
      </w:r>
    </w:p>
    <w:p>
      <w:pPr>
        <w:spacing w:after="0" w:line="158"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2.4LICENSEE agrees that LICENSED PRODUCTS used, leased or sold in the United States shall be manufactured substantially in the United States.</w:t>
      </w:r>
    </w:p>
    <w:p>
      <w:pPr>
        <w:spacing w:after="0" w:line="158"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2.5The licenses granted in this Agreement are subject to any rights required to be granted under prior research or sponsorship agreements, or retained by the U.S. government, for example in accordance with Chapter 18 of Title 35 of U.S.C. 200-212 and the regulations thereunder (37 CFR Part 401), when applicable. LICENSEE agrees to comply in all respects, and shall provide MICHIGAN with all reasonably requested information and cooperation for MICHIGAN to comply with applicable provisions of the same and any requirements of any agreements between MICHIGAN and any agency of the U.S. government that provided funding for the subject matter covered by the PATENT RIGHTS.</w:t>
      </w:r>
    </w:p>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CONSIDERATION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293" w:name="page294"/>
    <w:bookmarkEnd w:id="293"/>
    <w:p>
      <w:pPr>
        <w:ind w:left="760"/>
        <w:spacing w:after="0"/>
        <w:rPr>
          <w:sz w:val="20"/>
          <w:szCs w:val="20"/>
          <w:color w:val="auto"/>
        </w:rPr>
      </w:pPr>
      <w:r>
        <w:rPr>
          <w:rFonts w:ascii="Times New Roman" w:cs="Times New Roman" w:eastAsia="Times New Roman" w:hAnsi="Times New Roman"/>
          <w:sz w:val="22"/>
          <w:szCs w:val="22"/>
          <w:color w:val="auto"/>
        </w:rPr>
        <w:t>3.1LICENSEE shall pay the following to MICHIGAN:</w:t>
      </w:r>
    </w:p>
    <w:p>
      <w:pPr>
        <w:spacing w:after="0" w:line="206" w:lineRule="exact"/>
        <w:rPr>
          <w:sz w:val="20"/>
          <w:szCs w:val="20"/>
          <w:color w:val="auto"/>
        </w:rPr>
      </w:pPr>
    </w:p>
    <w:p>
      <w:pPr>
        <w:ind w:right="300" w:firstLine="1505"/>
        <w:spacing w:after="0" w:line="258" w:lineRule="auto"/>
        <w:tabs>
          <w:tab w:leader="none" w:pos="20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 Issue Fee</w:t>
      </w:r>
      <w:r>
        <w:rPr>
          <w:rFonts w:ascii="Times New Roman" w:cs="Times New Roman" w:eastAsia="Times New Roman" w:hAnsi="Times New Roman"/>
          <w:sz w:val="22"/>
          <w:szCs w:val="22"/>
          <w:color w:val="auto"/>
        </w:rPr>
        <w:t>. A License Issue Fee equal to [**], due within fourteen (14) days from the complete execution of this Agreement.</w:t>
      </w:r>
    </w:p>
    <w:p>
      <w:pPr>
        <w:spacing w:after="0" w:line="158" w:lineRule="exact"/>
        <w:rPr>
          <w:rFonts w:ascii="Times New Roman" w:cs="Times New Roman" w:eastAsia="Times New Roman" w:hAnsi="Times New Roman"/>
          <w:sz w:val="22"/>
          <w:szCs w:val="22"/>
          <w:color w:val="auto"/>
        </w:rPr>
      </w:pPr>
    </w:p>
    <w:p>
      <w:pPr>
        <w:ind w:firstLine="1505"/>
        <w:spacing w:after="0" w:line="238" w:lineRule="auto"/>
        <w:tabs>
          <w:tab w:leader="none" w:pos="20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Maintenance Fee</w:t>
      </w:r>
      <w:r>
        <w:rPr>
          <w:rFonts w:ascii="Times New Roman" w:cs="Times New Roman" w:eastAsia="Times New Roman" w:hAnsi="Times New Roman"/>
          <w:sz w:val="22"/>
          <w:szCs w:val="22"/>
          <w:color w:val="auto"/>
        </w:rPr>
        <w:t>. An Annual Maintenance Fee equal to [**], due within fourteen (14) days of the second (2nd) anniversary of the EFFECTIVE DATE, and within fourteen (14) days of each subsequent anniversary of the EFFECTIVE DATE. The Annual Maintenance Fee shall not be due in any calendar year that the LICENSEE pays Minimum Annual Royalties as described in Section 3.1 (e) or Running Royalties as described in Section 3.1 (b) in an amount equal to or greater than Minimum Annual Royalties.</w:t>
      </w:r>
    </w:p>
    <w:p>
      <w:pPr>
        <w:spacing w:after="0" w:line="176" w:lineRule="exact"/>
        <w:rPr>
          <w:rFonts w:ascii="Times New Roman" w:cs="Times New Roman" w:eastAsia="Times New Roman" w:hAnsi="Times New Roman"/>
          <w:sz w:val="22"/>
          <w:szCs w:val="22"/>
          <w:color w:val="auto"/>
        </w:rPr>
      </w:pPr>
    </w:p>
    <w:p>
      <w:pPr>
        <w:jc w:val="both"/>
        <w:ind w:right="160" w:firstLine="1505"/>
        <w:spacing w:after="0" w:line="244" w:lineRule="auto"/>
        <w:tabs>
          <w:tab w:leader="none" w:pos="20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Running Royalties</w:t>
      </w:r>
      <w:r>
        <w:rPr>
          <w:rFonts w:ascii="Times New Roman" w:cs="Times New Roman" w:eastAsia="Times New Roman" w:hAnsi="Times New Roman"/>
          <w:sz w:val="22"/>
          <w:szCs w:val="22"/>
          <w:color w:val="auto"/>
        </w:rPr>
        <w:t>. Running Royalties equal to [**] of NET SALES. If LICENSEE makes any SALES to any AFFILIATE at a price less than the regular price charged to other parties, the Running Royalties payable to MICHIGAN shall be computed on the basis of the regular price charged to other parties.</w:t>
      </w:r>
    </w:p>
    <w:p>
      <w:pPr>
        <w:spacing w:after="0" w:line="173" w:lineRule="exact"/>
        <w:rPr>
          <w:rFonts w:ascii="Times New Roman" w:cs="Times New Roman" w:eastAsia="Times New Roman" w:hAnsi="Times New Roman"/>
          <w:sz w:val="22"/>
          <w:szCs w:val="22"/>
          <w:color w:val="auto"/>
        </w:rPr>
      </w:pPr>
    </w:p>
    <w:p>
      <w:pPr>
        <w:ind w:right="40" w:firstLine="1505"/>
        <w:spacing w:after="0" w:line="235" w:lineRule="auto"/>
        <w:tabs>
          <w:tab w:leader="none" w:pos="20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Sublicensing Fees</w:t>
      </w:r>
      <w:r>
        <w:rPr>
          <w:rFonts w:ascii="Times New Roman" w:cs="Times New Roman" w:eastAsia="Times New Roman" w:hAnsi="Times New Roman"/>
          <w:sz w:val="22"/>
          <w:szCs w:val="22"/>
          <w:color w:val="auto"/>
        </w:rPr>
        <w:t>. Sublicensing Fees equal to a percentage of any revenue not based on product sales that LICENSEE or SUBLICENSEES (or a designee) is due from or receives from SUBLICENSEES or assignees in consideration for rights under or relating to the PATENT RIGHTS (e.g., license issue fees, maintenance or annual minimum fees, milestone payments, other royalties), but excluding, (a) amounts received for the purchase of securities; (b) payments of loans or other debt obligations, (c) payments made as a reimbursement of costs incurred, such as for patent prosecution costs, (d) amounts received to cover research and development activities related to actual or potential LICENSED PRODUCTS or LICENSED PROCESSES after the effective date of the sublicense agreement, and (e) amounts attributable to intellectual property other than the LICENSED PATENTS, as follows:</w:t>
      </w:r>
    </w:p>
    <w:p>
      <w:pPr>
        <w:spacing w:after="0" w:line="17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if the sublicense is entered into </w:t>
      </w:r>
      <w:r>
        <w:rPr>
          <w:rFonts w:ascii="Times New Roman" w:cs="Times New Roman" w:eastAsia="Times New Roman" w:hAnsi="Times New Roman"/>
          <w:sz w:val="22"/>
          <w:szCs w:val="22"/>
          <w:u w:val="single" w:color="auto"/>
          <w:color w:val="auto"/>
        </w:rPr>
        <w:t>on or after</w:t>
      </w:r>
      <w:r>
        <w:rPr>
          <w:rFonts w:ascii="Times New Roman" w:cs="Times New Roman" w:eastAsia="Times New Roman" w:hAnsi="Times New Roman"/>
          <w:sz w:val="22"/>
          <w:szCs w:val="22"/>
          <w:color w:val="auto"/>
        </w:rPr>
        <w:t xml:space="preserve"> the EFFECTIVE DATE and </w:t>
      </w:r>
      <w:r>
        <w:rPr>
          <w:rFonts w:ascii="Times New Roman" w:cs="Times New Roman" w:eastAsia="Times New Roman" w:hAnsi="Times New Roman"/>
          <w:sz w:val="22"/>
          <w:szCs w:val="22"/>
          <w:u w:val="single" w:color="auto"/>
          <w:color w:val="auto"/>
        </w:rPr>
        <w:t>before</w:t>
      </w:r>
      <w:r>
        <w:rPr>
          <w:rFonts w:ascii="Times New Roman" w:cs="Times New Roman" w:eastAsia="Times New Roman" w:hAnsi="Times New Roman"/>
          <w:sz w:val="22"/>
          <w:szCs w:val="22"/>
          <w:color w:val="auto"/>
        </w:rPr>
        <w:t xml:space="preserve"> [**];</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if the sublicense is entered into </w:t>
      </w:r>
      <w:r>
        <w:rPr>
          <w:rFonts w:ascii="Times New Roman" w:cs="Times New Roman" w:eastAsia="Times New Roman" w:hAnsi="Times New Roman"/>
          <w:sz w:val="22"/>
          <w:szCs w:val="22"/>
          <w:u w:val="single" w:color="auto"/>
          <w:color w:val="auto"/>
        </w:rPr>
        <w:t>at or after</w:t>
      </w:r>
      <w:r>
        <w:rPr>
          <w:rFonts w:ascii="Times New Roman" w:cs="Times New Roman" w:eastAsia="Times New Roman" w:hAnsi="Times New Roman"/>
          <w:sz w:val="22"/>
          <w:szCs w:val="22"/>
          <w:color w:val="auto"/>
        </w:rPr>
        <w:t xml:space="preserve"> [**] and before [**]; and</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if [**] into </w:t>
      </w:r>
      <w:r>
        <w:rPr>
          <w:rFonts w:ascii="Times New Roman" w:cs="Times New Roman" w:eastAsia="Times New Roman" w:hAnsi="Times New Roman"/>
          <w:sz w:val="22"/>
          <w:szCs w:val="22"/>
          <w:u w:val="single" w:color="auto"/>
          <w:color w:val="auto"/>
        </w:rPr>
        <w:t>at or after</w:t>
      </w:r>
      <w:r>
        <w:rPr>
          <w:rFonts w:ascii="Times New Roman" w:cs="Times New Roman" w:eastAsia="Times New Roman" w:hAnsi="Times New Roman"/>
          <w:sz w:val="22"/>
          <w:szCs w:val="22"/>
          <w:color w:val="auto"/>
        </w:rPr>
        <w:t xml:space="preserve"> [**].</w:t>
      </w:r>
    </w:p>
    <w:p>
      <w:pPr>
        <w:spacing w:after="0" w:line="206" w:lineRule="exact"/>
        <w:rPr>
          <w:rFonts w:ascii="Times New Roman" w:cs="Times New Roman" w:eastAsia="Times New Roman" w:hAnsi="Times New Roman"/>
          <w:sz w:val="22"/>
          <w:szCs w:val="22"/>
          <w:color w:val="auto"/>
        </w:rPr>
      </w:pPr>
    </w:p>
    <w:p>
      <w:pPr>
        <w:ind w:right="280" w:firstLine="1505"/>
        <w:spacing w:after="0" w:line="258" w:lineRule="auto"/>
        <w:tabs>
          <w:tab w:leader="none" w:pos="20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 Patent Costs</w:t>
      </w:r>
      <w:r>
        <w:rPr>
          <w:rFonts w:ascii="Times New Roman" w:cs="Times New Roman" w:eastAsia="Times New Roman" w:hAnsi="Times New Roman"/>
          <w:sz w:val="22"/>
          <w:szCs w:val="22"/>
          <w:color w:val="auto"/>
        </w:rPr>
        <w:t>. Within fourteen (14) days from complete execution of this Agreement, LICENSEE shall pay MICHIGAN all of the Back Patent Costs which are [**] as of March 10, 2016.</w:t>
      </w:r>
    </w:p>
    <w:p>
      <w:pPr>
        <w:spacing w:after="0" w:line="158" w:lineRule="exact"/>
        <w:rPr>
          <w:rFonts w:ascii="Times New Roman" w:cs="Times New Roman" w:eastAsia="Times New Roman" w:hAnsi="Times New Roman"/>
          <w:sz w:val="22"/>
          <w:szCs w:val="22"/>
          <w:color w:val="auto"/>
        </w:rPr>
      </w:pPr>
    </w:p>
    <w:p>
      <w:pPr>
        <w:ind w:firstLine="1505"/>
        <w:spacing w:after="0" w:line="236" w:lineRule="auto"/>
        <w:tabs>
          <w:tab w:leader="none" w:pos="2036"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Annual Royalties</w:t>
      </w:r>
      <w:r>
        <w:rPr>
          <w:rFonts w:ascii="Times New Roman" w:cs="Times New Roman" w:eastAsia="Times New Roman" w:hAnsi="Times New Roman"/>
          <w:sz w:val="22"/>
          <w:szCs w:val="22"/>
          <w:color w:val="auto"/>
        </w:rPr>
        <w:t>. Beginning with the FIRST COMMERCIAL SALE, Minimum Annual Royalties are due for each calendar year within sixty (60) days following the end thereof. Minimum Annual Royalties shall be credited against Running Royalties (and, if paid first, Running Royalties shall be credited against Minimum Annual Royalties) due on NET SALES made during the calendar year for which the Minimum Annual Royalties apply. Minimum Annual Royalties paid in excess of Running Royalties shall not be creditable to amounts due for future years. The Minimum Annual Royalty is [**].</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ind w:right="360" w:firstLine="1505"/>
        <w:spacing w:after="0" w:line="258" w:lineRule="auto"/>
        <w:tabs>
          <w:tab w:leader="none" w:pos="2036"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Milestone Payments for LICENSED PRODUCT</w:t>
      </w:r>
      <w:r>
        <w:rPr>
          <w:rFonts w:ascii="Times New Roman" w:cs="Times New Roman" w:eastAsia="Times New Roman" w:hAnsi="Times New Roman"/>
          <w:sz w:val="22"/>
          <w:szCs w:val="22"/>
          <w:color w:val="auto"/>
        </w:rPr>
        <w:t xml:space="preserve"> as follows (for the avoidance of doubt, none of these Milestone Payments shall be required to be paid more than once):</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Milestone payments are non refundable and non-creditable against royalties.</w:t>
      </w:r>
    </w:p>
    <w:p>
      <w:pPr>
        <w:spacing w:after="0" w:line="206" w:lineRule="exact"/>
        <w:rPr>
          <w:sz w:val="20"/>
          <w:szCs w:val="20"/>
          <w:color w:val="auto"/>
        </w:rPr>
      </w:pPr>
    </w:p>
    <w:p>
      <w:pPr>
        <w:ind w:right="80" w:firstLine="1505"/>
        <w:spacing w:after="0" w:line="235" w:lineRule="auto"/>
        <w:tabs>
          <w:tab w:leader="none" w:pos="203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Within thirty (30) days after any CHANGE OF CONTROL, LICENSEE shall pay to MICHIGAN a two million dollar ($2,000,000.00) fee (“CHANGE OF CONTROL FEE”). As used herein, “CHANGE OF CONTROL” shall mean: (a) any consolidation, merger, combination, reorganization or other transaction in which LICENSEE is not the surviving entity, irrespective of whether LICENSEE is maintained as an AFFILIATE or subsidiary of the new controlling entity, or dissolved and absorbed into the new controlling entity; or (b) any transaction or series of related transactions in which the shares of stock or other equity interests of LICENSEE constituting in excess of fifty percent (50%) of the voting power of LICENSEE are exchanged for or converted into other stock or securities, cash and/or any other property; or (c) a sale or other disposition of all or substantially all of the assets of the LICENSEE.</w:t>
      </w:r>
    </w:p>
    <w:p>
      <w:pPr>
        <w:spacing w:after="0" w:line="17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3.2LICENSEE is not obligated to pay multiple royalties if any LICENSED PRODUCT or LICENSED PROCESS is covered by more than one VALID CLAIM or the same LICENSED PRODUCT is covered by VALID CLAIMS in two or more countries. If LICENSEE or its AFFILIATES or SUBLICENSEE enters into a license agreement with a third party that LICENSEE reasonably determines is necessary and procured for the commercialization of a LICENSED PRODUCT or LICENSED PROCESS and according to such license agreement a royalty must be paid to the third party by LICENSEE or its AFFILIATE or SUBLICENSEE based upon commercialization of a LICENSED PRODUCT or LICENSED PROCESS, then the royalty otherwise payable to MICHIGAN pursuant to Section 3.1 may be reduced by [**] of the applicable third party royalty; provided that, in no instance shall the royalty payable to MICHIGAN by LICENSEE ever be reduced below [**] of the otherwise applicable royalty.</w:t>
      </w:r>
    </w:p>
    <w:p>
      <w:pPr>
        <w:spacing w:after="0" w:line="18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3.3Royalty payments shall be made to “The Regents of the University of Michigan” in United States dollars. Payments drawn directly on a U.S. bank may be made by either check to the address in Article 12 or by wire transfer. Any payment drawn on a foreign bank or foreign branch of a U.S. bank shall be made only by wire transfer. Wire transfers shall be made in accordance with the following or any other instructions as may be specified by MICHIGAN. In computing royalties, LICENSEE shall convert any revenues it receives in foreign currency into its equivalent in United States dollars at the most recent exchange rate published in the Wall Street Journal on the last business day of the ROYALTY PERIOD during which such payments are received by LICENSEE, or at such other exchange rate as the parties may agree to in writing.</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95" w:name="page296"/>
    <w:bookmarkEnd w:id="295"/>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3.4Royalty payments shall be made on a semi-annual basis with submission of the reports required by Article 4. All amounts due under this Agreement, including amounts due for the payment of patent expenses, shall, if overdue, be subject to a charge of interest [**] until payment, [**] above the prime rate in effect at the JP Morgan Chase Bank, N.A. or its successor bank on the due date (or at the highest allowed rate if a lower rate is required by law) or [**], whichever is greater. The payment of such interest shall not foreclose MICHIGAN from exercising any other rights it may have resulting from any late payment. LICENSEE shall reimburse MICHIGAN for the costs, including reasonable attorney fees, for expenses paid in order to collect any amounts overdue more than 120 days.</w:t>
      </w:r>
    </w:p>
    <w:p>
      <w:pPr>
        <w:spacing w:after="0" w:line="183"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3.5All payments made under this Agreement are and shall be non-refundable. MICHIGAN shall have no obligation whatsoever to pay, return, credit, or refund any amounts paid hereunder, except as may be specifically provided herein. By way of example only, notwithstanding the deductions permitted to NET SALES, MICHIGAN shall have no obligation to pay any amounts to LICENSEE even if such deductions should result in a negative amount for NET SALES in any given ROYALTY PERIOD.</w:t>
      </w:r>
    </w:p>
    <w:p>
      <w:pPr>
        <w:spacing w:after="0" w:line="177"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3.6The payments required to be paid by LICENSEE to MICHIGAN pursuant to this agreement may be paid with deduction for taxes withheld under the LICENSEE’s or, if applicable, its SUBLICENSEE’s applicable domestic law. LICENSEE will reasonably assist MICHIGAN to obtain full benefit of any applicable tax treaty to reduce the amount of such withheld taxes. MICHIGAN shall be responsible for the payment of all taxes, duties, levies, and other charges imposed by any taxing authority with respect to the royalties payable to MICHIGAN under this agreement. LICENSEE may withhold or deduct any portion of the payments due to MICHIGAN required under applicable law or regulation of any government entity or authority. LICENSEE shall cooperate reasonably with MICHIGAN in the event MICHIGAN elects to assert, at its own expense, any exemption from any such tax or deduction.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xml:space="preserve"> –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-13970</wp:posOffset>
            </wp:positionV>
            <wp:extent cx="73088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8">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186"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4.1Until the FIRST COMMERCIAL SALE, by July 31 of each year LICENSEE shall provide to MICHIGAN a written annual report that includes reports on progress since the prior annual report and general future plans regarding: research and development, regulatory approvals, manufacturing, sublicensing, marketing and SALES. Further, LICENSEE shall specifically report to MICHIGAN the FIRST COMMERCIAL SALE within sixty (60) days thereafter, and provide a brief description of the products or services subject of the FIRST COMMERCIAL SALE, and terms thereof.</w:t>
      </w:r>
    </w:p>
    <w:p>
      <w:pPr>
        <w:spacing w:after="0" w:line="177"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4.2After the FIRST COMMERCIAL SALE, LICENSEE shall provide semi-annual reports to MICHIGAN. Specifically, as of the end of each ROYALTY PERIOD (and delivered within sixty (60) days after such ROYALTY PERIOD closes, including the close of the ROYALTY PERIOD immediately following any termination of this Agreement), LICENSEE shall report to MICHIGAN for the applicable ROYALTY PERIOD:</w:t>
      </w:r>
    </w:p>
    <w:p>
      <w:pPr>
        <w:spacing w:after="0" w:line="180" w:lineRule="exact"/>
        <w:rPr>
          <w:sz w:val="20"/>
          <w:szCs w:val="20"/>
          <w:color w:val="auto"/>
        </w:rPr>
      </w:pPr>
    </w:p>
    <w:p>
      <w:pPr>
        <w:ind w:right="240" w:firstLine="1505"/>
        <w:spacing w:after="0" w:line="258" w:lineRule="auto"/>
        <w:tabs>
          <w:tab w:leader="none" w:pos="203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LICENSED PRODUCTS sold, leased, or distributed, however characterized, by LICENSEE and each SUBLICENSEE.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ind w:right="780" w:firstLine="1505"/>
        <w:spacing w:after="0" w:line="258" w:lineRule="auto"/>
        <w:tabs>
          <w:tab w:leader="none" w:pos="203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SALES, excluding the deductions provided therefor, of LICENSED PRODUCTS SOLD by LICENSEE and all SUBLICENSEES.</w:t>
      </w:r>
    </w:p>
    <w:p>
      <w:pPr>
        <w:spacing w:after="0" w:line="158" w:lineRule="exact"/>
        <w:rPr>
          <w:rFonts w:ascii="Times New Roman" w:cs="Times New Roman" w:eastAsia="Times New Roman" w:hAnsi="Times New Roman"/>
          <w:sz w:val="22"/>
          <w:szCs w:val="22"/>
          <w:color w:val="auto"/>
        </w:rPr>
      </w:pPr>
    </w:p>
    <w:p>
      <w:pPr>
        <w:ind w:right="1140" w:firstLine="1505"/>
        <w:spacing w:after="0" w:line="258" w:lineRule="auto"/>
        <w:tabs>
          <w:tab w:leader="none" w:pos="203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and accounting for all LICENSED PROCESSES SOLD, by LICENSEE and all SUBLICENSEES included in NET SALES, excluding the deductions therefor.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deductions applicable as provided in the definition for NET SALES above, and an explanation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rationale(s) therefor.</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Sublicense Fees due on payments from SUBLICENSEES under Paragraph 3.1 above, including</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supporting figures.</w:t>
      </w:r>
    </w:p>
    <w:p>
      <w:pPr>
        <w:spacing w:after="0" w:line="18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conversion rate and calculations (if applicable) and total royalties due.</w:t>
      </w:r>
    </w:p>
    <w:p>
      <w:pPr>
        <w:spacing w:after="0" w:line="206" w:lineRule="exact"/>
        <w:rPr>
          <w:rFonts w:ascii="Times New Roman" w:cs="Times New Roman" w:eastAsia="Times New Roman" w:hAnsi="Times New Roman"/>
          <w:sz w:val="22"/>
          <w:szCs w:val="22"/>
          <w:color w:val="auto"/>
        </w:rPr>
      </w:pPr>
    </w:p>
    <w:p>
      <w:pPr>
        <w:ind w:right="540" w:firstLine="1505"/>
        <w:spacing w:after="0" w:line="258" w:lineRule="auto"/>
        <w:tabs>
          <w:tab w:leader="none" w:pos="203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milestone under Article 3 or Article 5 having a deadline during the ROYALTY PERIOD, and a specific identification of whether or not it was achieved.</w:t>
      </w:r>
    </w:p>
    <w:p>
      <w:pPr>
        <w:spacing w:after="0" w:line="158" w:lineRule="exact"/>
        <w:rPr>
          <w:rFonts w:ascii="Times New Roman" w:cs="Times New Roman" w:eastAsia="Times New Roman" w:hAnsi="Times New Roman"/>
          <w:sz w:val="22"/>
          <w:szCs w:val="22"/>
          <w:color w:val="auto"/>
        </w:rPr>
      </w:pPr>
    </w:p>
    <w:p>
      <w:pPr>
        <w:ind w:firstLine="1505"/>
        <w:spacing w:after="0" w:line="238" w:lineRule="auto"/>
        <w:tabs>
          <w:tab w:leader="none" w:pos="203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sublicense or amendment thereto completed in the particular ROYALTY PERIOD (including agreements under which LICENSEE will have LICENSED PRODUCTS made by a third party): names, addresses, and U.S.P.T.O. Entity Status (as discussed in Paragraph 4.5) of such SUBLICENSEE; the date of each agreement and amendment; the territory of the sublicense; the scope of the sublicense; and the nature, timing and amounts of all fees, royalties to be paid thereunder.</w:t>
      </w:r>
    </w:p>
    <w:p>
      <w:pPr>
        <w:spacing w:after="0" w:line="176" w:lineRule="exact"/>
        <w:rPr>
          <w:rFonts w:ascii="Times New Roman" w:cs="Times New Roman" w:eastAsia="Times New Roman" w:hAnsi="Times New Roman"/>
          <w:sz w:val="22"/>
          <w:szCs w:val="22"/>
          <w:color w:val="auto"/>
        </w:rPr>
      </w:pPr>
    </w:p>
    <w:p>
      <w:pPr>
        <w:ind w:right="80" w:firstLine="1505"/>
        <w:spacing w:after="0" w:line="258" w:lineRule="auto"/>
        <w:tabs>
          <w:tab w:leader="none" w:pos="203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on research and development, regulatory approvals, manufacturing, sublicensing, marketing and SALES, and general plans for the future.</w:t>
      </w:r>
    </w:p>
    <w:p>
      <w:pPr>
        <w:spacing w:after="0" w:line="158" w:lineRule="exact"/>
        <w:rPr>
          <w:rFonts w:ascii="Times New Roman" w:cs="Times New Roman" w:eastAsia="Times New Roman" w:hAnsi="Times New Roman"/>
          <w:sz w:val="22"/>
          <w:szCs w:val="22"/>
          <w:color w:val="auto"/>
        </w:rPr>
      </w:pPr>
    </w:p>
    <w:p>
      <w:pPr>
        <w:ind w:right="540" w:firstLine="1505"/>
        <w:spacing w:after="0" w:line="258" w:lineRule="auto"/>
        <w:tabs>
          <w:tab w:leader="none" w:pos="2036"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first SALE of LICENSED PRODUCTS (or results of LICENSED PROCESSES) in each country and the circumstances thereof.</w:t>
      </w:r>
    </w:p>
    <w:p>
      <w:pPr>
        <w:spacing w:after="0" w:line="15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LICENSEE shall include the amount of all payments due, and the various calculations used to arrive at those amounts, including the quantity, description (nomenclature and type designation as described in Paragraph 4.3 below), country of manufacture and country of SALE or use of LICENSED PRODUCTS and LICENSED PROCESSES.</w:t>
      </w:r>
    </w:p>
    <w:p>
      <w:pPr>
        <w:spacing w:after="0" w:line="17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If no payment is due, LICENSEE shall so report to MICHIGAN that no payment is due. Failure to provide reports as required under this Article 4 shall be a material breach of this Agreement. LICENSEE agrees to reasonably cooperate with MICHIGAN regarding any questions it may have relating to compliance with this Agreement, for example to discuss the information in reports.</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4.3LICENSEE shall promptly establish and consistently employ a system of specific nomenclature and type designations for LICENSED PRODUCTS and LICENSED PROCESSES to permit identification and segregation of various types where necessary, and shall require the same of SUBLICENSEES.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4.4LICENSEE shall keep, and shall require SUBLICENSEES to keep, true and accurate records containing data reasonably required for the computation and verification of payments due under this Agreement. LICENSEE shall and it shall require all SUBLICENSEES and those making LICENSED PRODUCTS to: (a) open such records for inspection upon reasonable notice during business hours, and no more than once per year, at MICHIGAN’s sole expense, by either MICHIGAN auditor(s) or an independent certified accountant selected by MICHIGAN and reasonably acceptable to LICENSEE, for the purpose of verifying the amount of payments due, and shall provide information to MICHIGAN to facilitate such inspection; and (b) retain such records for six (6) years from date of origination.</w:t>
      </w:r>
    </w:p>
    <w:p>
      <w:pPr>
        <w:spacing w:after="0" w:line="183"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22"/>
          <w:szCs w:val="22"/>
          <w:color w:val="auto"/>
        </w:rPr>
        <w:t>The terms of this Article shall survive any termination of this Agreement. MICHIGAN is responsible for all expenses of such inspection, except that if any inspection reveals an underpayment greater than [**] of royalties due MICHIGAN, then LICENSEE shall pay all expenses of that inspection and the amount of the underpayment and interest to MICHIGAN within thirty (30) days of written notice thereof. LICENSEE shall also reimburse MICHIGAN for reasonable expenses required to collect the amount underpaid.</w:t>
      </w:r>
    </w:p>
    <w:p>
      <w:pPr>
        <w:spacing w:after="0" w:line="177"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4.5So that MICHIGAN may pay the proper U.S. Patent and Trademark Office fees relating to the PATENT RIGHTS, if LICENSEE, any AFFILIATE, or any SUBLICENSEE (including optionees) does not quality as a “Small Entity” under U.S. patent laws, LICENSEE shall notify MICHIGAN immediately. The parties understand that the changes to LICENSEE’s, AFFILIATE’s, SUBLICENSEE’s, or optionees’ businesses that might affect entity status include: acquisitions, mergers, hiring of a total of more than 500 total employees, sublicense agreements, and sublicense options.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-13970</wp:posOffset>
            </wp:positionV>
            <wp:extent cx="8686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7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8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5.1LICENSEE shall use commercially reasonable efforts to bring one or more LICENSED PRODUCTS to market, and/or one or more LICENSED PROCESSES to commercial use, through a diligent program for utilizing the PATENT RIGHTS and to continue diligent marketing efforts throughout the life of this Agreement, in each case consistent with prudent business practices and judgment. LICENSEE has the responsibility to do all that is legally required and commercially reasonable to obtain and retain any governmental approvals to manufacture and/or sell LICENSED PRODUCTS and/or use LICENSED PROCESSES for all relevant activities of LICENSEE and SUBLICENSEES. If the commercialization of multiple LICENSED PRODUCTS or LICENSED PROCESSES is commercially reasonable, then the requirement of this paragraph shall apply to all such LICENSED PRODUCTS and/or LICENSED PROCESSES. Further, for the sake of clarity, LICENSEE must make commercially reasonable amounts or levels of LICENSED PRODUCTS and/or LICENSED PROCESSES available.</w:t>
      </w:r>
    </w:p>
    <w:p>
      <w:pPr>
        <w:spacing w:after="0" w:line="175"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5.2Without limiting Paragraph 5.1, LICENSEE agrees to reach the following commercialization and research and development milestones for the LICENSED PRODUCTS and LICENSED PROCESSES (together the “MILESTONES”) by the following dates:</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ind w:left="2560" w:hanging="306"/>
        <w:spacing w:after="0"/>
        <w:tabs>
          <w:tab w:leader="none" w:pos="25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For the purposes of this Agreement, initiation of a clinical trial shall mean that date upon which the first patient or subject is treated with a LICENSED PRODUCT under a protocol approved by an appropriate drug regulatory agency with a therapeutic agent or process that has been manufactured according to Good Manufacturing Practices (GMP) guidelines provided by the relevant regulatory agency.</w:t>
      </w:r>
    </w:p>
    <w:p>
      <w:pPr>
        <w:spacing w:after="0" w:line="18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5.3LICENSEE must achieve each MILESTONE on or before the deadline dates indicated above. LICENSEE shall notify MICHIGAN within thirty (30) days after each such deadline as to whether or not such MILESTONE was met. If LICENSEE fails to meet any MILESTONE under this Article by the date of any MILESTONE deadline, LICENSEE will be deemed to be in material breach of this Agreement, and MICHIGAN may terminate the Agreement effective on ninety (90) days’ written notice, unless LICENSEE achieves the MILESTONE within this ninety (90) day period.</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SUBLICENSING</w:t>
      </w:r>
    </w:p>
    <w:p>
      <w:pPr>
        <w:spacing w:after="0" w:line="206"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auto"/>
        </w:rPr>
        <w:t>6.1LICENSEE shall notify MICHIGAN in writing of every sublicense agreement and each amendment thereto within thirty (30) days after their execution, and indicate the name of the SUBLICENSEE, the territory of the sublicense, the scope of the sublicense, and the nature, timing and amounts of all fees and royalties to be paid thereunder, and whether or not the SUBLICENSEE has greater or fewer than 500 employees. Upon request, LICENSEE shall provide MICHIGAN with a copy of sublicense agreements.</w:t>
      </w:r>
    </w:p>
    <w:p>
      <w:pPr>
        <w:spacing w:after="0" w:line="17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6.2LICENSEE shall not receive from SUBLICENSEES anything of value other than cash payments in consideration for any sublicense under this Agreement, without the express prior written permission of MICHIGAN.</w:t>
      </w:r>
    </w:p>
    <w:p>
      <w:pPr>
        <w:spacing w:after="0" w:line="15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21"/>
          <w:szCs w:val="21"/>
          <w:color w:val="auto"/>
        </w:rPr>
        <w:t>6.3Each sublicense granted by LICENSEE under this Agreement shall provide for its termination upon termination of this Agreement. Each sublicense shall terminate upon termination of this Agreement unless LICENSEE has previously assigned its rights under the sublicense to MICHIGAN and MICHIGAN has agreed at its sole discretion in writing to such assignment.</w:t>
      </w:r>
    </w:p>
    <w:p>
      <w:pPr>
        <w:spacing w:after="0" w:line="157" w:lineRule="exact"/>
        <w:rPr>
          <w:sz w:val="20"/>
          <w:szCs w:val="20"/>
          <w:color w:val="auto"/>
        </w:rPr>
      </w:pPr>
    </w:p>
    <w:p>
      <w:pPr>
        <w:ind w:right="220" w:firstLine="749"/>
        <w:spacing w:after="0" w:line="236" w:lineRule="auto"/>
        <w:rPr>
          <w:sz w:val="20"/>
          <w:szCs w:val="20"/>
          <w:color w:val="auto"/>
        </w:rPr>
      </w:pPr>
      <w:r>
        <w:rPr>
          <w:rFonts w:ascii="Times New Roman" w:cs="Times New Roman" w:eastAsia="Times New Roman" w:hAnsi="Times New Roman"/>
          <w:sz w:val="22"/>
          <w:szCs w:val="22"/>
          <w:color w:val="auto"/>
        </w:rPr>
        <w:t>6.4LICENSEE shall require that all sublicenses: (a) be consistent with the terms and conditions of this Agreement; (b) contain the SUBLICENSEE’S acknowledgment of the disclaimer of warranty and limitation on MICHIGAN’s liability, as provided by Article 9 below; and (c) contain provisions under which the SUBLICENSEE accepts duties at least equivalent to those accepted by the LICENSEE in the following Paragraphs: 4.4 (duty to keep records), 10.1 (duty to defend, hold harmless, and indemnify MICHIGAN), 10.3 (duty to maintain insurance), 13.4 (duty to properly mark LICENSED PRODUCTS with patent notices), and 13.6 (duty to restrict the use of MICHIGAN’s name).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 PATENT APPLICATIONS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-13970</wp:posOffset>
            </wp:positionV>
            <wp:extent cx="300101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74">
                      <a:extLst>
                        <a:ext uri="{28A0092B-C50C-407E-A947-70E740481C1C}"/>
                      </a:extLst>
                    </a:blip>
                    <a:srcRect/>
                    <a:stretch>
                      <a:fillRect/>
                    </a:stretch>
                  </pic:blipFill>
                  <pic:spPr bwMode="auto">
                    <a:xfrm>
                      <a:off x="0" y="0"/>
                      <a:ext cx="3001010" cy="8255"/>
                    </a:xfrm>
                    <a:prstGeom prst="rect">
                      <a:avLst/>
                    </a:prstGeom>
                    <a:noFill/>
                  </pic:spPr>
                </pic:pic>
              </a:graphicData>
            </a:graphic>
          </wp:anchor>
        </w:drawing>
      </w:r>
    </w:p>
    <w:p>
      <w:pPr>
        <w:spacing w:after="0" w:line="186"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7.1MICHIGAN shall have the right to control all aspects maintaining the patents that form the basis for the PATENT RIGHTS, including administrative reexaminations and reviews, disputes (including litigation) regarding inventorship and derivation, and interferences. LICENSEE shall fully cooperate with MICHIGAN in activities relating to the PATENT RIGHTS, including said activities. Upon MICHIGAN’s request, to the extent permitted by law, LICENSEE shall cooperate with MICHIGAN in applying for patent term extension for any and all patents included in the PATENT RIGHTS. LICENSEE and MICHIGAN will mutually agree on the jurisdictions in which to seek such patent protection.</w:t>
      </w:r>
    </w:p>
    <w:p>
      <w:pPr>
        <w:spacing w:after="0" w:line="181"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7.2MICHIGAN shall notify LICENSEE of all information received by MICHIGAN relating to maintenance of the PATENT RIGHTS, and shall make reasonable efforts to allow LICENSEE to review, comment, and advise upon such information. LICENSEE shall hold such information confidential and to use the information only for the purpose of advancing MICHIGAN’s PATENT RIGHTS.</w:t>
      </w:r>
    </w:p>
    <w:p>
      <w:pPr>
        <w:spacing w:after="0" w:line="180" w:lineRule="exact"/>
        <w:rPr>
          <w:sz w:val="20"/>
          <w:szCs w:val="20"/>
          <w:color w:val="auto"/>
        </w:rPr>
      </w:pPr>
    </w:p>
    <w:p>
      <w:pPr>
        <w:jc w:val="both"/>
        <w:ind w:right="440" w:firstLine="749"/>
        <w:spacing w:after="0" w:line="255" w:lineRule="auto"/>
        <w:rPr>
          <w:sz w:val="20"/>
          <w:szCs w:val="20"/>
          <w:color w:val="auto"/>
        </w:rPr>
      </w:pPr>
      <w:r>
        <w:rPr>
          <w:rFonts w:ascii="Times New Roman" w:cs="Times New Roman" w:eastAsia="Times New Roman" w:hAnsi="Times New Roman"/>
          <w:sz w:val="21"/>
          <w:szCs w:val="21"/>
          <w:color w:val="auto"/>
        </w:rPr>
        <w:t>7.3LICENSEE shall reimburse MICHIGAN for all fees and costs relating to the activities described in this Article; provided, however, that LICENSEE shall not be responsible to reimburse such fees and cost relating to any country in which LICENSEE has not agreed to seek patent protection. Such reimbursement shall be made within thirty (30) days of receipt of MICHIGAN’s invoice and shall be subject to the interest and other requirements specified in Article 4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8</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ENFORCEMENT</w:t>
      </w:r>
    </w:p>
    <w:p>
      <w:pPr>
        <w:spacing w:after="0" w:line="206"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8.1Each party shall promptly advise the other in writing of any known acts of potential infringement of the PATENT RIGHTS by another party. LICENSEE has the first option to police the PATENT RIGHTS against infringement by other parties within the TERRITORY and the FIELD OF USE, including those prior to the EFFECTIVE DATE. LICENSEE shall not file any suit without (a) first performing a thorough, diligent investigation of the merits of such suit, including with respect to the validity and enforceability of the PATENT RIGHTS; (b) there being reasonable legal and economic bases for doing so; and (c) notifying MICHIGAN twenty days before any such filing. This right to police includes filing, prosecuting, and settling all infringement actions at its expense, except that LICENSEE shall make any such settlement only with the advice and consent of MICHIGAN. LICENSEE has the right to file suit using counsel of its choosing, subject to MICHIGAN’s approval, which shall not be unreasonably withheld or delayed. LICENSEE may grant to third parties the right to enforce hereunder, but only with the express written permission of MICHIGAN.</w:t>
      </w:r>
    </w:p>
    <w:p>
      <w:pPr>
        <w:spacing w:after="0" w:line="179"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8.2If LICENSEE has complied with Paragraph 8.1, MICHIGAN shall provide reasonable assistance to LICENSEE with respect to such actions, but only if LICENSEE promptly reimburses MICHIGAN for out-of-pocket expenses incurred in connection with any such assistance rendered at LICENSEE’s request or reasonably required by MICHIGAN, including but not limited to expenses incurred in complying with discovery duties. MICHIGAN retains the right to participate, with counsel of its own choosing and at its own expense, in any action under this Article. LICENSEE shall defend, indemnify and hold harmless MICHIGAN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ind w:right="60"/>
        <w:spacing w:after="0" w:line="258" w:lineRule="auto"/>
        <w:rPr>
          <w:sz w:val="20"/>
          <w:szCs w:val="20"/>
          <w:color w:val="auto"/>
        </w:rPr>
      </w:pPr>
      <w:r>
        <w:rPr>
          <w:rFonts w:ascii="Times New Roman" w:cs="Times New Roman" w:eastAsia="Times New Roman" w:hAnsi="Times New Roman"/>
          <w:sz w:val="22"/>
          <w:szCs w:val="22"/>
          <w:color w:val="auto"/>
        </w:rPr>
        <w:t>with respect to any claims asserted by an alleged infringer reasonably related to the enforcement of the PATENT RIGHTS under this Article, including but not limited to antitrust counterclaims and claims for recovery of attorney fees.</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8.3MICHIGAN and its employees have a vital interest in lawsuits relating to the validity and enforceability of the PATENT RIGHTS. If a third party files a suit, including as a counterclaim, alleging that any of the PATENT RIGHTS is invalid or unenforceable, then the parties shall jointly control the defense of such claim. Each party shall consult with the other with respect to the defense of such claim, and shall reasonably consider the other party’s input. In furtherance of such joint control, at the onset of such claim and as reasonable during the pendency of any such claim, the parties shall meet and confer in good faith to set a plan for handling the defense thereof. The parties expect that in general (a) LICENSEE will have the right to lead daily activities, including but not limited to discovery, relating to the defense and (b) the parties would make joint filings. Notwithstanding, in the event that the parties cannot agree on how to proceed with respect to such claim, MICHIGAN shall have the right to control the defense thereof on either a temporary or permanent basis. LICENSEE shall be responsible for the reasonable costs and fees associated with the activities under this Paragraph 8.3. The parties shall consider reasonable controls on costs and fees as part of an aforementioned meet and confer with respect to the handling of the defense. Notwithstanding, if a third party asserts jurisdiction for any such action solely as the result of acts of MICHIGAN, then MICHIGAN shall be responsible for such reasonable costs and fees. LICENSEE shall have the right to offset [**] of any fees it is responsible for under this Section 8.3 from payments it is required to make to MICHIGAN under Section 3.1 hereof.</w:t>
      </w:r>
    </w:p>
    <w:p>
      <w:pPr>
        <w:spacing w:after="0" w:line="18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8.4If LICENSEE or MICHIGAN recovers damages in patent litigation or settlement thereof, the award shall be applied first to satisfy LICENSEE’s (to the extent not offset in accordance with Section 8.3) and MICHIGAN’s reasonable expenses and legal fees for the litigation. The remaining balance shall be divided equally between LICENSEE and MICHIGAN. This provision shall control the division of revenues where a sublicense, covenant not to sue, or assignment of rights is granted as part of a settlement of such lawsuit (including prospective rights).</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 NO WARRANTIES; LIMITATION ON MICHIGAN’S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-13970</wp:posOffset>
            </wp:positionV>
            <wp:extent cx="390906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6">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186"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color w:val="auto"/>
        </w:rPr>
        <w:t>9.1MICHIGAN makes no representations or warranties that any claim within the PATENT RIGHTS is or will be held valid, patentable, or enforceable, or that the manufacture, importation, use, offer for SALE, SALE or other distribution of any LICENSED PRODUCTS or LICENSED PROCESSES will not infringe upon any patent or other rights.</w:t>
      </w:r>
    </w:p>
    <w:p>
      <w:pPr>
        <w:spacing w:after="0" w:line="169"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b w:val="1"/>
          <w:bCs w:val="1"/>
          <w:color w:val="auto"/>
        </w:rPr>
        <w:t>MICHIGAN</w:t>
      </w:r>
      <w:r>
        <w:rPr>
          <w:rFonts w:ascii="Times New Roman" w:cs="Times New Roman" w:eastAsia="Times New Roman" w:hAnsi="Times New Roman"/>
          <w:sz w:val="22"/>
          <w:szCs w:val="22"/>
          <w:color w:val="auto"/>
        </w:rPr>
        <w:t xml:space="preserve"> MAKES NO REPRESENTATIONS, EXTENDS NO WARRANTIES OF ANY KIND, EITHER EXPRESS OR IMPLIED, INCLUDING BUT NOT LIMITED TO THE IMPLIED WARRANTIES OF MERCHANTABILITY OR FITNESS FOR A PARTICULAR PURPOSE, AND ASSUMES NO RESPONSIBILITIES WHATEVER WITH RESPECT TO DESIGN, DEVELOPMENT, MANUFACTURE, USE, </w:t>
      </w:r>
      <w:r>
        <w:rPr>
          <w:rFonts w:ascii="Times New Roman" w:cs="Times New Roman" w:eastAsia="Times New Roman" w:hAnsi="Times New Roman"/>
          <w:sz w:val="22"/>
          <w:szCs w:val="22"/>
          <w:b w:val="1"/>
          <w:bCs w:val="1"/>
          <w:color w:val="auto"/>
        </w:rPr>
        <w:t>SALE</w:t>
      </w:r>
      <w:r>
        <w:rPr>
          <w:rFonts w:ascii="Times New Roman" w:cs="Times New Roman" w:eastAsia="Times New Roman" w:hAnsi="Times New Roman"/>
          <w:sz w:val="22"/>
          <w:szCs w:val="22"/>
          <w:color w:val="auto"/>
        </w:rPr>
        <w:t xml:space="preserve"> OR OTHER DISPOSITION BY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 xml:space="preserve">SUBLICENSEES </w:t>
      </w:r>
      <w:r>
        <w:rPr>
          <w:rFonts w:ascii="Times New Roman" w:cs="Times New Roman" w:eastAsia="Times New Roman" w:hAnsi="Times New Roman"/>
          <w:sz w:val="22"/>
          <w:szCs w:val="22"/>
          <w:color w:val="auto"/>
        </w:rPr>
        <w:t>OF</w:t>
      </w:r>
      <w:r>
        <w:rPr>
          <w:rFonts w:ascii="Times New Roman" w:cs="Times New Roman" w:eastAsia="Times New Roman" w:hAnsi="Times New Roman"/>
          <w:sz w:val="22"/>
          <w:szCs w:val="22"/>
          <w:b w:val="1"/>
          <w:bCs w:val="1"/>
          <w:color w:val="auto"/>
        </w:rPr>
        <w:t xml:space="preserve"> LICENSED PRODUCTS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LICENSED PROCESSES. LICENSEE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SUBLICENSEES </w:t>
      </w:r>
      <w:r>
        <w:rPr>
          <w:rFonts w:ascii="Times New Roman" w:cs="Times New Roman" w:eastAsia="Times New Roman" w:hAnsi="Times New Roman"/>
          <w:sz w:val="22"/>
          <w:szCs w:val="22"/>
          <w:color w:val="auto"/>
        </w:rPr>
        <w:t>ASSUME THE ENTIRE</w:t>
      </w: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22"/>
          <w:szCs w:val="22"/>
          <w:color w:val="auto"/>
        </w:rPr>
        <w:t xml:space="preserve">RISK AS TO PERFORMANCE OF </w:t>
      </w:r>
      <w:r>
        <w:rPr>
          <w:rFonts w:ascii="Times New Roman" w:cs="Times New Roman" w:eastAsia="Times New Roman" w:hAnsi="Times New Roman"/>
          <w:sz w:val="22"/>
          <w:szCs w:val="22"/>
          <w:b w:val="1"/>
          <w:bCs w:val="1"/>
          <w:color w:val="auto"/>
        </w:rPr>
        <w:t>LICENSED PRODUCTS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LICENSED PROCESSES.</w:t>
      </w:r>
    </w:p>
    <w:p>
      <w:pPr>
        <w:spacing w:after="0" w:line="21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1"/>
          <w:szCs w:val="21"/>
          <w:color w:val="auto"/>
        </w:rPr>
        <w:t>9.3In no event shall MICHIGAN be responsible or liable for any direct, indirect, special, incidental, or consequential damages or lost profits or other economic loss or damage with respect to LICENSED PRODUCTS LICENSED PROCESSES, or the PATENT RIGHTS to LICENSEE, SUBLICENSEES or any other individual or entity regardless of legal or equitable theory. The above limitations on liability apply even though MICHIGAN may have been advised of the possibility of such damage.</w:t>
      </w:r>
    </w:p>
    <w:p>
      <w:pPr>
        <w:spacing w:after="0" w:line="16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9.4LICENSEE shall not make any statements, representations or warranties whatsoever to any person or entity, or accept any liabilities or responsibilities whatsoever from any person or entity that are inconsistent with any disclaimer or limitation included in this Article 9.</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 INDEMNITY;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-13970</wp:posOffset>
            </wp:positionV>
            <wp:extent cx="175895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8">
                      <a:extLst>
                        <a:ext uri="{28A0092B-C50C-407E-A947-70E740481C1C}"/>
                      </a:extLst>
                    </a:blip>
                    <a:srcRect/>
                    <a:stretch>
                      <a:fillRect/>
                    </a:stretch>
                  </pic:blipFill>
                  <pic:spPr bwMode="auto">
                    <a:xfrm>
                      <a:off x="0" y="0"/>
                      <a:ext cx="1758950" cy="8255"/>
                    </a:xfrm>
                    <a:prstGeom prst="rect">
                      <a:avLst/>
                    </a:prstGeom>
                    <a:noFill/>
                  </pic:spPr>
                </pic:pic>
              </a:graphicData>
            </a:graphic>
          </wp:anchor>
        </w:drawing>
      </w:r>
    </w:p>
    <w:p>
      <w:pPr>
        <w:spacing w:after="0" w:line="18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10.1LICENSEE shall defend, indemnify and hold harmless and shall require SUBLICENSEES to defend, indemnify and hold harmless MICHIGAN for and against any and all claims, demands, damages, losses, and expenses of any nature (including attorneys’ fees and other litigation expenses), resulting from, but not limited to, death, personal injury, illness, property damage, economic loss or products liability, including errors and omissions, arising from or in connection with, any of the following: (1) Any manufacture, use, SALE or other disposition by LICENSEE, SUBLICENSEES or transferees of LICENSED PRODUCTS or LICENSED PROCESSES; (2) The use by any person of LICENSED PRODUCTS made, used, sold or otherwise distributed by LICENSEE or SUBLICENSEES; and (3) The use or practice by LICENSEE or SUBLICENSEES of any invention or computer software related to the PATENT RIGHTS.</w:t>
      </w:r>
    </w:p>
    <w:p>
      <w:pPr>
        <w:spacing w:after="0" w:line="17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21"/>
          <w:szCs w:val="21"/>
          <w:color w:val="auto"/>
        </w:rPr>
        <w:t>10.2MICHIGAN is entitled to participate at its option and expense through counsel of its own selection, and may join in any legal actions related to any such claims, demands, damages, losses and expenses under Paragraph 10.1 above. LICENSEE shall not settle any such legal action with an admission of liability of MICHIGAN without MICHIGAN’s written approval.</w:t>
      </w:r>
    </w:p>
    <w:p>
      <w:pPr>
        <w:spacing w:after="0" w:line="157"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10.3Prior to any distribution or commercial use of any LICENSED PRODUCT or use of any LICENSED PROCESS by LICENSEE, LICENSEE shall purchase and maintain in effect commercial general liability insurance, product liability insurance, and errors and omissions insurance which shall protect LICENSEE and MICHIGAN with respect to the events covered by Paragraph 10.1, and LICENSEE shall require the same of any SUBLICENSEE. Each such insurance policy must provide reasonable coverage for all claims with respect to any LICENSED PROCESS used and any LICENSED PRODUCTS manufactured, used, sold, licensed or otherwise distributed by LICENSEE — or, in the case of a SUBLICENSEE’s policy, by said SUBLICENSEE — and must specify MICHIGAN as an additional insured. LICENSEE shall furnish certificate(s) of such insurance to MICHIGAN, upon request.</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02" w:name="page303"/>
    <w:bookmarkEnd w:id="302"/>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10.4In no event shall either party hereunder be liable to the other for any special, indirect, or consequential damages of any kind whatsoever resulting from any breach or default of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 TERM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-13970</wp:posOffset>
            </wp:positionV>
            <wp:extent cx="18211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80">
                      <a:extLst>
                        <a:ext uri="{28A0092B-C50C-407E-A947-70E740481C1C}"/>
                      </a:extLst>
                    </a:blip>
                    <a:srcRect/>
                    <a:stretch>
                      <a:fillRect/>
                    </a:stretch>
                  </pic:blipFill>
                  <pic:spPr bwMode="auto">
                    <a:xfrm>
                      <a:off x="0" y="0"/>
                      <a:ext cx="1821180" cy="8890"/>
                    </a:xfrm>
                    <a:prstGeom prst="rect">
                      <a:avLst/>
                    </a:prstGeom>
                    <a:noFill/>
                  </pic:spPr>
                </pic:pic>
              </a:graphicData>
            </a:graphic>
          </wp:anchor>
        </w:drawing>
      </w:r>
    </w:p>
    <w:p>
      <w:pPr>
        <w:spacing w:after="0" w:line="18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11.1If LICENSEE ceases to operate its business, or if it files a petition in bankruptcy, has an involuntary petition in bankruptcy filed against LICENSEE that is not dismissed within sixty days after the filing thereof, make a general assignment for the benefit of creditors or liquidates or dissolves, this Agreement shall immediately terminate upon MICHIGAN’s attempt to deliver a termination notice to the address for notices provided herein. If LICENSEE makes or attempts to make an assignment for the benefit of creditors, or if proceedings in voluntary or involuntary bankruptcy or insolvency are instituted on behalf of or against LICENSEE, or if a receiver or trustee is appointed for the property of LICENSEE, this Agreement shall automatically terminate. LICENSEE shall notify MICHIGAN of any such event mentioned in this Paragraph as soon as reasonably practicable, and in any event within five days after any such event.</w:t>
      </w:r>
    </w:p>
    <w:p>
      <w:pPr>
        <w:spacing w:after="0" w:line="178"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21"/>
          <w:szCs w:val="21"/>
          <w:color w:val="auto"/>
        </w:rPr>
        <w:t>11.2If LICENSEE fails to make any payment due to MICHIGAN, other than amounts subject to a bona fide dispute, upon thirty (30) days’ written notice by MICHIGAN, this Agreement shall automatically terminate unless MICHIGAN specifically extends such date in writing or such unpaid amount is paid to MICHIGAN within such thirty (30) day period. Such termination shall not foreclose MICHIGAN from collection of any amounts remaining unpaid or seeking other legal relief.</w:t>
      </w:r>
    </w:p>
    <w:p>
      <w:pPr>
        <w:spacing w:after="0" w:line="162"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22"/>
          <w:szCs w:val="22"/>
          <w:color w:val="auto"/>
        </w:rPr>
        <w:t>11.3Upon any material breach or default of this Agreement by LICENSEE (other than as specifically provided herein, the terms of which shall take precedence over the handling of any other material breach or default under this Paragraph), MICHIGAN has the right to terminate this Agreement effective on ninety (90) days’ written notice to LICENSEE. Such termination shall become automatically effective upon expiration of the thirty-day period unless LICENSEE cures the material breach or default before the period expires.</w:t>
      </w:r>
    </w:p>
    <w:p>
      <w:pPr>
        <w:spacing w:after="0" w:line="17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11.4LICENSEE has the right to terminate this Agreement at any time on sixty (60) days’ written notice to MICHIGAN if LICENSEE prior to the termination date:</w:t>
      </w:r>
    </w:p>
    <w:p>
      <w:pPr>
        <w:spacing w:after="0" w:line="158" w:lineRule="exact"/>
        <w:rPr>
          <w:sz w:val="20"/>
          <w:szCs w:val="20"/>
          <w:color w:val="auto"/>
        </w:rPr>
      </w:pPr>
    </w:p>
    <w:p>
      <w:pPr>
        <w:ind w:left="2040" w:hanging="535"/>
        <w:spacing w:after="0"/>
        <w:tabs>
          <w:tab w:leader="none" w:pos="20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pays all amounts due MICHIGAN through the effective date of the termination;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submits a final report of the type described in Paragraph 4.2;</w:t>
      </w:r>
    </w:p>
    <w:p>
      <w:pPr>
        <w:spacing w:after="0" w:line="206" w:lineRule="exact"/>
        <w:rPr>
          <w:rFonts w:ascii="Times New Roman" w:cs="Times New Roman" w:eastAsia="Times New Roman" w:hAnsi="Times New Roman"/>
          <w:sz w:val="22"/>
          <w:szCs w:val="22"/>
          <w:color w:val="auto"/>
        </w:rPr>
      </w:pPr>
    </w:p>
    <w:p>
      <w:pPr>
        <w:ind w:firstLine="1505"/>
        <w:spacing w:after="0" w:line="244" w:lineRule="auto"/>
        <w:tabs>
          <w:tab w:leader="none" w:pos="203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returns any patent documentation (including that exchanged under Article 7) and any other confidential or trade-secret materials provided to LICENSEE by MICHIGAN in connection with this Agreement, or, with prior approval by MICHIGAN, destroys such materials, and certifies in writing that such materials have all been returned or destroyed; and</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suspends its manufacture, use and SALE of the LICENSED PROCESS(ES) and LICENSED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03" w:name="page304"/>
    <w:bookmarkEnd w:id="303"/>
    <w:p>
      <w:pPr>
        <w:ind w:firstLine="749"/>
        <w:spacing w:after="0" w:line="245" w:lineRule="auto"/>
        <w:rPr>
          <w:sz w:val="20"/>
          <w:szCs w:val="20"/>
          <w:color w:val="auto"/>
        </w:rPr>
      </w:pPr>
      <w:r>
        <w:rPr>
          <w:rFonts w:ascii="Times New Roman" w:cs="Times New Roman" w:eastAsia="Times New Roman" w:hAnsi="Times New Roman"/>
          <w:sz w:val="21"/>
          <w:szCs w:val="21"/>
          <w:color w:val="auto"/>
        </w:rPr>
        <w:t>11.5Upon any termination of this Agreement, and except as provided herein to the contrary, all rights and obligations of the parties hereunder shall cease, except any previously accrued rights and obligations and further as follows: (a) obligations to pay royalties and other sums, or to transfer equity or other consideration, accruing hereunder up to the day of such termination, whether or not this Agreement provides for a number of days before which actual payment is due and such date is after the day of termination and whether or not a required funding event or other stock transfer trigger has yet been met; (b) MICHIGAN’s rights to inspect books and records as described in Article 4, and LICENSEE’s obligations to keep such records for the required time;</w:t>
      </w:r>
    </w:p>
    <w:p>
      <w:pPr>
        <w:spacing w:after="0" w:line="3" w:lineRule="exact"/>
        <w:rPr>
          <w:sz w:val="20"/>
          <w:szCs w:val="20"/>
          <w:color w:val="auto"/>
        </w:rPr>
      </w:pPr>
    </w:p>
    <w:p>
      <w:pPr>
        <w:ind w:right="40" w:firstLine="8"/>
        <w:spacing w:after="0" w:line="234" w:lineRule="auto"/>
        <w:tabs>
          <w:tab w:leader="none" w:pos="29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cause of action or claim of LICENSEE or MICHIGAN accrued or to accrue because of any breach or default by the other party hereunder; (d) the provisions of Articles 1, 9, 10, and 13; and (e) all other terms, provisions, representations, rights and obligations contained in this Agreement that by their sense and context are intended to survive until performance thereof by either or both parties.</w:t>
      </w:r>
    </w:p>
    <w:p>
      <w:pPr>
        <w:spacing w:after="0" w:line="17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Termination by either party hereunder shall not alter or affect any other rights or relief that either party may be entitled to under law.</w:t>
      </w:r>
    </w:p>
    <w:p>
      <w:pPr>
        <w:spacing w:after="0" w:line="158" w:lineRule="exact"/>
        <w:rPr>
          <w:sz w:val="20"/>
          <w:szCs w:val="20"/>
          <w:color w:val="auto"/>
        </w:rPr>
      </w:pPr>
    </w:p>
    <w:p>
      <w:pPr>
        <w:ind w:right="560" w:firstLine="749"/>
        <w:spacing w:after="0" w:line="238" w:lineRule="auto"/>
        <w:rPr>
          <w:sz w:val="20"/>
          <w:szCs w:val="20"/>
          <w:color w:val="auto"/>
        </w:rPr>
      </w:pPr>
      <w:r>
        <w:rPr>
          <w:rFonts w:ascii="Times New Roman" w:cs="Times New Roman" w:eastAsia="Times New Roman" w:hAnsi="Times New Roman"/>
          <w:sz w:val="22"/>
          <w:szCs w:val="22"/>
          <w:color w:val="auto"/>
        </w:rPr>
        <w:t>11.6Upon termination of this Agreement, if LICENSEE has filed patent applications or obtained patents to any modification or improvement to LICENSED PRODUCTS or LICENSED PROCESSES within the scope of the PATENT RIGHTS, LICENSEE agrees upon request to enter into good faith negotiations with MICHIGAN or MICHIGAN’s future licensee(s) for the purpose of granting licensing rights to said modifications or improvements in a timely fashion and under commercially reasonable terms.</w:t>
      </w:r>
    </w:p>
    <w:p>
      <w:pPr>
        <w:spacing w:after="0" w:line="177"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21"/>
          <w:szCs w:val="21"/>
          <w:color w:val="auto"/>
        </w:rPr>
        <w:t>11.7If LICENSEE or a SUBLICENSEE, or any affiliate thereof, asserts the invalidity or unenforceability of any claim included in the PATENT RIGHTS, including by way of litigation or administrative proceedings, either directly or through any other party, then MICHIGAN shall have the right to immediately terminate this Agreement upon written notice to LICENSEE.</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-13970</wp:posOffset>
            </wp:positionV>
            <wp:extent cx="7162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82">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186"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12.1Any notice, request, or report required or permitted to be given or made under this Agreement by either party is effective when mailed if sent by recognized overnight carrier, certified or registered mail, or electronic mail followed by confirmation by U.S. mail, to the address set forth below or such other address as such party specifies by written notice given in conformity herewith. Any notice, request, or report not so given is not effective until actually received by the other party.</w:t>
      </w:r>
    </w:p>
    <w:p>
      <w:pPr>
        <w:sectPr>
          <w:pgSz w:w="11900" w:h="16838" w:orient="portrait"/>
          <w:cols w:equalWidth="0" w:num="1">
            <w:col w:w="11220"/>
          </w:cols>
          <w:pgMar w:left="320" w:top="1408" w:right="359" w:bottom="1440" w:gutter="0" w:footer="0" w:header="0"/>
        </w:sectPr>
      </w:pPr>
    </w:p>
    <w:p>
      <w:pPr>
        <w:spacing w:after="0" w:line="1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To MICHIGAN: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4140"/>
        <w:spacing w:after="0"/>
        <w:rPr>
          <w:sz w:val="20"/>
          <w:szCs w:val="20"/>
          <w:color w:val="auto"/>
        </w:rPr>
      </w:pPr>
      <w:r>
        <w:rPr>
          <w:rFonts w:ascii="Times New Roman" w:cs="Times New Roman" w:eastAsia="Times New Roman" w:hAnsi="Times New Roman"/>
          <w:sz w:val="21"/>
          <w:szCs w:val="21"/>
          <w:color w:val="auto"/>
        </w:rPr>
        <w:t>To LICENSEE:</w:t>
      </w:r>
    </w:p>
    <w:p>
      <w:pPr>
        <w:spacing w:after="0" w:line="41" w:lineRule="exact"/>
        <w:rPr>
          <w:sz w:val="20"/>
          <w:szCs w:val="20"/>
          <w:color w:val="auto"/>
        </w:rPr>
      </w:pPr>
    </w:p>
    <w:p>
      <w:pPr>
        <w:sectPr>
          <w:pgSz w:w="11900" w:h="16838" w:orient="portrait"/>
          <w:cols w:equalWidth="0" w:num="2">
            <w:col w:w="5000" w:space="720"/>
            <w:col w:w="5500"/>
          </w:cols>
          <w:pgMar w:left="320" w:top="1408" w:right="35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2"/>
          <w:szCs w:val="22"/>
          <w:color w:val="auto"/>
        </w:rPr>
        <w:t>Office of Technology Transfer</w:t>
      </w:r>
    </w:p>
    <w:p>
      <w:pPr>
        <w:ind w:left="100"/>
        <w:spacing w:after="0" w:line="232" w:lineRule="auto"/>
        <w:rPr>
          <w:sz w:val="20"/>
          <w:szCs w:val="20"/>
          <w:color w:val="auto"/>
        </w:rPr>
      </w:pPr>
      <w:r>
        <w:rPr>
          <w:rFonts w:ascii="Times New Roman" w:cs="Times New Roman" w:eastAsia="Times New Roman" w:hAnsi="Times New Roman"/>
          <w:sz w:val="22"/>
          <w:szCs w:val="22"/>
          <w:color w:val="auto"/>
        </w:rPr>
        <w:t>University of Michigan</w:t>
      </w:r>
    </w:p>
    <w:p>
      <w:pPr>
        <w:ind w:left="100"/>
        <w:spacing w:after="0"/>
        <w:rPr>
          <w:sz w:val="20"/>
          <w:szCs w:val="20"/>
          <w:color w:val="auto"/>
        </w:rPr>
      </w:pPr>
      <w:r>
        <w:rPr>
          <w:rFonts w:ascii="Times New Roman" w:cs="Times New Roman" w:eastAsia="Times New Roman" w:hAnsi="Times New Roman"/>
          <w:sz w:val="21"/>
          <w:szCs w:val="21"/>
          <w:color w:val="auto"/>
        </w:rPr>
        <w:t>1600 Huron Parkway, 2nd Floor</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Ann Arbor, MI 48109-2590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Solid GT, LLC</w:t>
      </w:r>
    </w:p>
    <w:p>
      <w:pPr>
        <w:spacing w:after="0" w:line="232" w:lineRule="auto"/>
        <w:rPr>
          <w:sz w:val="20"/>
          <w:szCs w:val="20"/>
          <w:color w:val="auto"/>
        </w:rPr>
      </w:pPr>
      <w:r>
        <w:rPr>
          <w:rFonts w:ascii="Times New Roman" w:cs="Times New Roman" w:eastAsia="Times New Roman" w:hAnsi="Times New Roman"/>
          <w:sz w:val="22"/>
          <w:szCs w:val="22"/>
          <w:color w:val="auto"/>
        </w:rPr>
        <w:t>One Broadway</w:t>
      </w:r>
    </w:p>
    <w:p>
      <w:pPr>
        <w:spacing w:after="0" w:line="230" w:lineRule="auto"/>
        <w:rPr>
          <w:sz w:val="20"/>
          <w:szCs w:val="20"/>
          <w:color w:val="auto"/>
        </w:rPr>
      </w:pPr>
      <w:r>
        <w:rPr>
          <w:rFonts w:ascii="Times New Roman" w:cs="Times New Roman" w:eastAsia="Times New Roman" w:hAnsi="Times New Roman"/>
          <w:sz w:val="22"/>
          <w:szCs w:val="22"/>
          <w:color w:val="auto"/>
        </w:rPr>
        <w:t>Cambridge, MA 02142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Ilan Ganot, CEO</w:t>
      </w:r>
    </w:p>
    <w:p>
      <w:pPr>
        <w:spacing w:after="0" w:line="211" w:lineRule="exact"/>
        <w:rPr>
          <w:sz w:val="20"/>
          <w:szCs w:val="20"/>
          <w:color w:val="auto"/>
        </w:rPr>
      </w:pPr>
    </w:p>
    <w:p>
      <w:pPr>
        <w:sectPr>
          <w:pgSz w:w="11900" w:h="16838" w:orient="portrait"/>
          <w:cols w:equalWidth="0" w:num="2">
            <w:col w:w="5000" w:space="720"/>
            <w:col w:w="5500"/>
          </w:cols>
          <w:pgMar w:left="320" w:top="140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type w:val="continuous"/>
        </w:sectPr>
      </w:pPr>
    </w:p>
    <w:bookmarkStart w:id="304" w:name="page305"/>
    <w:bookmarkEnd w:id="304"/>
    <w:p>
      <w:pPr>
        <w:jc w:val="center"/>
        <w:ind w:right="-79"/>
        <w:spacing w:after="0"/>
        <w:rPr>
          <w:sz w:val="20"/>
          <w:szCs w:val="20"/>
          <w:color w:val="auto"/>
        </w:rPr>
      </w:pP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MISCELLANEOUS PROVISIONS</w:t>
      </w:r>
    </w:p>
    <w:p>
      <w:pPr>
        <w:spacing w:after="0" w:line="206"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13.1This Agreement shall be governed by and construed under the laws of the state of Michigan without regard for principles of choice of law, except that questions affecting the construction and effect of any patent shall be determined by the law of the country in which the patent was granted. Any claims, demands, or actions asserted against MICHIGAN, its Regents, fellows, officers, employees or agents shall only be brought in the Michigan Court of Claims. LICENSEE, its successors, and assigns consent to the jurisdiction of a court with applicable subject matter jurisdiction sitting in the state of Michigan with respect to any claims arising under this agreement or the relationship between the parties.</w:t>
      </w:r>
    </w:p>
    <w:p>
      <w:pPr>
        <w:spacing w:after="0" w:line="181"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13.2MICHIGAN and LICENSEE agree that this Agreement sets forth their entire understanding concerning the subject matter of this Agreement. The parties may amend this Agreement from time to time, such as to add new rights, but no modification will be effective unless both MICHIGAN and LICENSEE agree to it in writing.</w:t>
      </w:r>
    </w:p>
    <w:p>
      <w:pPr>
        <w:spacing w:after="0" w:line="173"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13.3If a court of competent jurisdiction finds any term of this Agreement invalid, illegal or unenforceable, that term will be curtailed, limited or deleted, but only to the extent necessary to remove the invalidity, illegality or unenforceability, and without in any way affecting or impairing the remaining terms.</w:t>
      </w:r>
    </w:p>
    <w:p>
      <w:pPr>
        <w:spacing w:after="0" w:line="173"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13.4LICENSEE agrees to mark the LICENSED PRODUCTS sold in the United States with all applicable United States patent numbers as necessary to meet the requirements of 35 U.S.C. 287 so that the full benefits of patent enforcement may be realized. All LICENSED PRODUCTS shipped to or sold in other countries shall be marked to comply with the patent laws and practices of the countries of manufacture, use and SALE.</w:t>
      </w:r>
    </w:p>
    <w:p>
      <w:pPr>
        <w:spacing w:after="0" w:line="18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13.5No waiver by either party of any breach of this Agreement, no matter how long continuing or how often repeated, is a waiver of any subsequent breach thereof, nor is any delay or omission on the part of either party to exercise or insist on any right, power, or privilege hereunder a waiver of such right, power or privilege. In no event shall any waiver be deemed valid unless it is in writing and signed by an authorized representative of each party.</w:t>
      </w:r>
    </w:p>
    <w:p>
      <w:pPr>
        <w:spacing w:after="0" w:line="180"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13.6LICENSEE shall, and shall require its affiliates to, refrain from using and to require SUBLICENSEES to refrain from using the name of MICHIGAN or its employees in publicity or advertising without the prior written approval of MICHIGAN. Reports in scientific literature and presentations of joint research and development work are not publicity. Notwithstanding this provision, without prior written approval of MICHIGAN, LICENSEE and SUBLICENSEES may state publicly that LICENSED PRODUCTS and PROCESSES were developed by LICENSEE based upon an invention(s) developed at the University of Michigan and/or that the PATENT RIGHTS were licensed from the University of Michigan.</w:t>
      </w:r>
    </w:p>
    <w:p>
      <w:pPr>
        <w:spacing w:after="0" w:line="181"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13.7LICENSEE agrees to comply with all applicable laws and regulations, including but not limited to all United States laws and regulations controlling the export of commodities and technical data. LICENSEE shall be solely responsible for any violation of such laws and regulations involving LICENSEE or its SUBLICENSEES, and to defend, indemnify and hold harmless MICHIGAN if any legal action of any nature results from any such violation.</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05" w:name="page306"/>
    <w:bookmarkEnd w:id="305"/>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13.8The relationship between the parties is that of independent contractor and contractee. Neither party is an agent of the other in connection with the exercise of any rights hereunder, and neither has any right or authority to assume or create any obligation or responsibility on behalf of the other.</w:t>
      </w:r>
    </w:p>
    <w:p>
      <w:pPr>
        <w:spacing w:after="0" w:line="173"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13.9LICENSEE may not assign this Agreement without the prior written consent of MICHIGAN and shall not pledge any of the license rights granted in this Agreement as security for any creditor. Any attempted pledge of any of the rights under this Agreement or assignment of this Agreement without the prior consent of MICHIGAN will be void from the beginning. No assignment by LICENSEE will be effective until the intended assignee agrees in writing to accept all of the terms and conditions of this Agreement, and such writing is provided to MICHIGAN. Notwithstanding the foregoing, LICENSEE may, without MICHIGAN’s consent, assign its rights under this Agreement to a purchaser of all or substantially all of LICENSEE’s business relating to the subject matter of this Agreement, so long as (a) LICENSEE is not in breach of this Agreement and (b) such assignee provides a statement in writing to MICHIGAN that it agrees to accept all the terms and conditions of this Agreement (including obligations existing as of the time of such assignment) in the place of LICENSEE.</w:t>
      </w:r>
    </w:p>
    <w:p>
      <w:pPr>
        <w:spacing w:after="0" w:line="18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13.10If the registration, recordation, or reporting to a national or supranational agency of this Agreement, its terms, or assignment thereof is or becomes required or advisable (e.g., as a prerequisite to enforceability of the Agreement in such nation), LICENSEE shall, at its expense, promptly undertake such action. LICENSEE shall provide prompt notice thereof to MICHIGAN along with copies of relevant documentation.</w:t>
      </w:r>
    </w:p>
    <w:p>
      <w:pPr>
        <w:spacing w:after="0" w:line="180" w:lineRule="exact"/>
        <w:rPr>
          <w:sz w:val="20"/>
          <w:szCs w:val="20"/>
          <w:color w:val="auto"/>
        </w:rPr>
      </w:pPr>
    </w:p>
    <w:p>
      <w:pPr>
        <w:ind w:right="58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Agreement in duplicate originals by their duly authorized officers or representatives.</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4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FOR LICENSEE:</w:t>
            </w:r>
          </w:p>
        </w:tc>
        <w:tc>
          <w:tcPr>
            <w:tcW w:w="53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w w:val="97"/>
              </w:rPr>
              <w:t>FOR THE REGENTS OF THE UNIVERSITY OF</w:t>
            </w:r>
          </w:p>
        </w:tc>
      </w:tr>
      <w:tr>
        <w:trPr>
          <w:trHeight w:val="282"/>
        </w:trPr>
        <w:tc>
          <w:tcPr>
            <w:tcW w:w="4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SOLID GT, LLC</w:t>
            </w:r>
          </w:p>
        </w:tc>
        <w:tc>
          <w:tcPr>
            <w:tcW w:w="53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MICHIGAN</w:t>
            </w:r>
          </w:p>
        </w:tc>
      </w:tr>
      <w:tr>
        <w:trPr>
          <w:trHeight w:val="434"/>
        </w:trPr>
        <w:tc>
          <w:tcPr>
            <w:tcW w:w="49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Ilan Ganot</w:t>
            </w:r>
          </w:p>
        </w:tc>
        <w:tc>
          <w:tcPr>
            <w:tcW w:w="5340" w:type="dxa"/>
            <w:vAlign w:val="bottom"/>
            <w:gridSpan w:val="3"/>
          </w:tcPr>
          <w:p>
            <w:pPr>
              <w:ind w:left="940"/>
              <w:spacing w:after="0"/>
              <w:rPr>
                <w:sz w:val="20"/>
                <w:szCs w:val="20"/>
                <w:color w:val="auto"/>
              </w:rPr>
            </w:pPr>
            <w:r>
              <w:rPr>
                <w:rFonts w:ascii="Times New Roman" w:cs="Times New Roman" w:eastAsia="Times New Roman" w:hAnsi="Times New Roman"/>
                <w:sz w:val="22"/>
                <w:szCs w:val="22"/>
                <w:color w:val="auto"/>
              </w:rPr>
              <w:t>By  /s/ Ruth L. Rasor</w:t>
            </w:r>
          </w:p>
        </w:tc>
      </w:tr>
      <w:tr>
        <w:trPr>
          <w:trHeight w:val="236"/>
        </w:trPr>
        <w:tc>
          <w:tcPr>
            <w:tcW w:w="44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300" w:type="dxa"/>
            <w:vAlign w:val="bottom"/>
          </w:tcPr>
          <w:p>
            <w:pPr>
              <w:ind w:left="60"/>
              <w:spacing w:after="0" w:line="236" w:lineRule="exact"/>
              <w:rPr>
                <w:sz w:val="20"/>
                <w:szCs w:val="20"/>
                <w:color w:val="auto"/>
              </w:rPr>
            </w:pPr>
            <w:r>
              <w:rPr>
                <w:rFonts w:ascii="Times New Roman" w:cs="Times New Roman" w:eastAsia="Times New Roman" w:hAnsi="Times New Roman"/>
                <w:sz w:val="22"/>
                <w:szCs w:val="22"/>
                <w:color w:val="auto"/>
              </w:rPr>
              <w:t>(authorized representative)</w:t>
            </w:r>
          </w:p>
        </w:tc>
        <w:tc>
          <w:tcPr>
            <w:tcW w:w="1360" w:type="dxa"/>
            <w:vAlign w:val="bottom"/>
          </w:tcPr>
          <w:p>
            <w:pPr>
              <w:spacing w:after="0"/>
              <w:rPr>
                <w:sz w:val="20"/>
                <w:szCs w:val="20"/>
                <w:color w:val="auto"/>
              </w:rPr>
            </w:pPr>
          </w:p>
        </w:tc>
        <w:tc>
          <w:tcPr>
            <w:tcW w:w="1480" w:type="dxa"/>
            <w:vAlign w:val="bottom"/>
            <w:tcBorders>
              <w:top w:val="single" w:sz="8" w:color="auto"/>
            </w:tcBorders>
          </w:tcPr>
          <w:p>
            <w:pPr>
              <w:ind w:left="200"/>
              <w:spacing w:after="0" w:line="236" w:lineRule="exact"/>
              <w:rPr>
                <w:sz w:val="20"/>
                <w:szCs w:val="20"/>
                <w:color w:val="auto"/>
              </w:rPr>
            </w:pPr>
            <w:r>
              <w:rPr>
                <w:rFonts w:ascii="Times New Roman" w:cs="Times New Roman" w:eastAsia="Times New Roman" w:hAnsi="Times New Roman"/>
                <w:sz w:val="22"/>
                <w:szCs w:val="22"/>
                <w:color w:val="auto"/>
              </w:rPr>
              <w:t>Ruth L. Rasor</w:t>
            </w:r>
          </w:p>
        </w:tc>
        <w:tc>
          <w:tcPr>
            <w:tcW w:w="2500" w:type="dxa"/>
            <w:vAlign w:val="bottom"/>
          </w:tcPr>
          <w:p>
            <w:pPr>
              <w:spacing w:after="0"/>
              <w:rPr>
                <w:sz w:val="20"/>
                <w:szCs w:val="20"/>
                <w:color w:val="auto"/>
              </w:rPr>
            </w:pPr>
          </w:p>
        </w:tc>
      </w:tr>
      <w:tr>
        <w:trPr>
          <w:trHeight w:val="243"/>
        </w:trPr>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98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22"/>
                <w:szCs w:val="22"/>
                <w:color w:val="auto"/>
              </w:rPr>
              <w:t>Managing Director of Licensing</w:t>
            </w:r>
          </w:p>
        </w:tc>
      </w:tr>
      <w:tr>
        <w:trPr>
          <w:trHeight w:val="282"/>
        </w:trPr>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9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UM Technology Transfer</w:t>
            </w:r>
          </w:p>
        </w:tc>
      </w:tr>
    </w:tbl>
    <w:p>
      <w:pPr>
        <w:spacing w:after="0" w:line="200" w:lineRule="exact"/>
        <w:rPr>
          <w:sz w:val="20"/>
          <w:szCs w:val="20"/>
          <w:color w:val="auto"/>
        </w:rPr>
      </w:pPr>
    </w:p>
    <w:p>
      <w:pPr>
        <w:sectPr>
          <w:pgSz w:w="11900" w:h="16838" w:orient="portrait"/>
          <w:cols w:equalWidth="0" w:num="1">
            <w:col w:w="11140"/>
          </w:cols>
          <w:pgMar w:left="320" w:top="1408" w:right="439" w:bottom="1440" w:gutter="0" w:footer="0" w:header="0"/>
        </w:sectPr>
      </w:pP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 xml:space="preserve">Printed Name </w:t>
      </w:r>
      <w:r>
        <w:rPr>
          <w:rFonts w:ascii="Times New Roman" w:cs="Times New Roman" w:eastAsia="Times New Roman" w:hAnsi="Times New Roman"/>
          <w:sz w:val="21"/>
          <w:szCs w:val="21"/>
          <w:u w:val="single" w:color="auto"/>
          <w:color w:val="auto"/>
        </w:rPr>
        <w:t>Ilan Ganot</w:t>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CEO</w:t>
      </w:r>
    </w:p>
    <w:p>
      <w:pPr>
        <w:ind w:left="100"/>
        <w:spacing w:after="0"/>
        <w:tabs>
          <w:tab w:leader="none" w:pos="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u w:val="single" w:color="auto"/>
          <w:color w:val="auto"/>
        </w:rPr>
        <w:t>3/11/16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14 March 2016</w:t>
      </w:r>
    </w:p>
    <w:p>
      <w:pPr>
        <w:spacing w:after="0" w:line="235" w:lineRule="exact"/>
        <w:rPr>
          <w:sz w:val="20"/>
          <w:szCs w:val="20"/>
          <w:color w:val="auto"/>
        </w:rPr>
      </w:pPr>
    </w:p>
    <w:p>
      <w:pPr>
        <w:sectPr>
          <w:pgSz w:w="11900" w:h="16838" w:orient="portrait"/>
          <w:cols w:equalWidth="0" w:num="3">
            <w:col w:w="5240" w:space="720"/>
            <w:col w:w="400" w:space="460"/>
            <w:col w:w="4320"/>
          </w:cols>
          <w:pgMar w:left="320" w:top="140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type w:val="continuous"/>
        </w:sectPr>
      </w:pPr>
    </w:p>
    <w:bookmarkStart w:id="306" w:name="page307"/>
    <w:bookmarkEnd w:id="306"/>
    <w:p>
      <w:pPr>
        <w:ind w:left="10020"/>
        <w:spacing w:after="0"/>
        <w:rPr>
          <w:sz w:val="20"/>
          <w:szCs w:val="20"/>
          <w:color w:val="auto"/>
        </w:rPr>
      </w:pPr>
      <w:r>
        <w:rPr>
          <w:rFonts w:ascii="Times New Roman" w:cs="Times New Roman" w:eastAsia="Times New Roman" w:hAnsi="Times New Roman"/>
          <w:sz w:val="21"/>
          <w:szCs w:val="21"/>
          <w:b w:val="1"/>
          <w:bCs w:val="1"/>
          <w:color w:val="auto"/>
        </w:rPr>
        <w:t>Exhibit 10.54</w:t>
      </w:r>
    </w:p>
    <w:p>
      <w:pPr>
        <w:spacing w:after="0" w:line="24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LIFE TECHNOLOGIES CELL LINE LICENSE AGREEMENT</w:t>
      </w:r>
    </w:p>
    <w:p>
      <w:pPr>
        <w:spacing w:after="0" w:line="2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color w:val="auto"/>
        </w:rPr>
        <w:t>This CELL LINE LICENSE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LICENSE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effective as of November 20, 2016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by and between Life Technologies Corporation, a Delaware corporation having its principal place of business at 5781 Van Allen Way, Carlsbad, CA 92008 USA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LICENSOR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and Solid Biosciences, a Delaware limited liability company having its principal place of business at 161 Third Street, Third Floor, Cambridge, MA 02142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Each of LICENSOR and LICENSEE may be referred to herein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u w:val="single" w:color="auto"/>
          <w:color w:val="auto"/>
        </w:rPr>
        <w:t>BACKGROUND RECITALS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WHEREAS, LICENSOR has developed certain [**]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CELLS</w:t>
      </w:r>
      <w:r>
        <w:rPr>
          <w:rFonts w:ascii="Times New Roman" w:cs="Times New Roman" w:eastAsia="Times New Roman" w:hAnsi="Times New Roman"/>
          <w:sz w:val="22"/>
          <w:szCs w:val="22"/>
          <w:color w:val="auto"/>
        </w:rPr>
        <w:t>”, as defined below);</w:t>
      </w:r>
    </w:p>
    <w:p>
      <w:pPr>
        <w:spacing w:after="0" w:line="21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WHEREAS, LICENSEE desires to obtain a non-exclusive license to use such CELLS for producing adeno-associated virus vectors for certain purposes, including, but not limited to, research, development (including human clinical trials), manufacturing and commercial uses; and</w:t>
      </w:r>
    </w:p>
    <w:p>
      <w:pPr>
        <w:spacing w:after="0" w:line="17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WHEREAS, is willing to grant to LICENSEE a non-exclusive license to use CELLS under the terms and conditions set forth hereunder.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of the mutual covenants and agreements contained herein and for other good and valuable consideration, the receipt and sufficiency of which are hereby acknowledged, the PARTIES intending to be legally bound agree as follows:</w:t>
      </w:r>
    </w:p>
    <w:p>
      <w:pPr>
        <w:spacing w:after="0" w:line="169" w:lineRule="exact"/>
        <w:rPr>
          <w:sz w:val="20"/>
          <w:szCs w:val="20"/>
          <w:color w:val="auto"/>
        </w:rPr>
      </w:pPr>
    </w:p>
    <w:p>
      <w:pPr>
        <w:ind w:left="520" w:hanging="512"/>
        <w:spacing w:after="0"/>
        <w:tabs>
          <w:tab w:leader="none" w:pos="520" w:val="left"/>
        </w:tabs>
        <w:numPr>
          <w:ilvl w:val="0"/>
          <w:numId w:val="2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purposes of this AGREEMENT, the terms set forth hereinafter are defined as follows:</w:t>
      </w:r>
    </w:p>
    <w:p>
      <w:pPr>
        <w:spacing w:after="0" w:line="206"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LICENSEE, any entity Controlled by LICENSEE, so long as such Control exists and with respect to LICENSOR, any entity Controlling, Controlled by, or under common Control with LICENSOR, for only so long as such control exists. For the purposes of this definition, the word “CONTROL”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63"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Saturday, Sunday or any other day on which commercial banks located in the U.S. are authorized or obligated by LAWS to close.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07" w:name="page308"/>
    <w:bookmarkEnd w:id="307"/>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has the meaning set forth in Section 11.1.</w:t>
      </w:r>
    </w:p>
    <w:p>
      <w:pPr>
        <w:spacing w:after="0" w:line="20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and all activities directed to the preparation for sale of, offering for sale of, or sale of, a LICENSEE PRODUCT, including activities related to making (or having made by SERVICE PROVIDERS), manufacturing, marketing, promoting, distributing and importing such LICENSEE PRODUCT, and interacting with REGULATORY AUTHORITIES regarding any of the foregoing.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means to engage in COMMERCIALIZATION.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has the meaning set forth in Section 5.1.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has the meaning set forth in Section 7.3.</w:t>
      </w:r>
    </w:p>
    <w:p>
      <w:pPr>
        <w:spacing w:after="0" w:line="20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DISTRIBUTOR</w:t>
      </w:r>
      <w:r>
        <w:rPr>
          <w:rFonts w:ascii="Times New Roman" w:cs="Times New Roman" w:eastAsia="Times New Roman" w:hAnsi="Times New Roman"/>
          <w:sz w:val="22"/>
          <w:szCs w:val="22"/>
          <w:color w:val="auto"/>
        </w:rPr>
        <w:t>” means a THIRD PARTY to whom, pursuant to a written agreement with such THIRD PARTY, LICENSEE sells LICENSEE PRODUCTS under LICENSEE’S label for resale to customers. In no event shall any THIRD PARTY have the rights to make modifications to any LICENSEE PRODUCTS or part thereof, including relabeling such LICENSEE PRODUCTS or part thereof, except for placement of the DISTRIBUTOR’S name on such LICENSEE PRODUCT to comply with any country-specific regulatory requirements.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U.S. Food and Drug Administration or any successor agency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has the meaning set forth in Section 3.</w:t>
      </w:r>
    </w:p>
    <w:p>
      <w:pPr>
        <w:spacing w:after="0" w:line="206" w:lineRule="exact"/>
        <w:rPr>
          <w:sz w:val="20"/>
          <w:szCs w:val="20"/>
          <w:color w:val="auto"/>
        </w:rPr>
      </w:pPr>
    </w:p>
    <w:p>
      <w:pPr>
        <w:ind w:right="540" w:firstLine="749"/>
        <w:spacing w:after="0" w:line="246" w:lineRule="auto"/>
        <w:rPr>
          <w:sz w:val="20"/>
          <w:szCs w:val="20"/>
          <w:color w:val="auto"/>
        </w:rPr>
      </w:pPr>
      <w:r>
        <w:rPr>
          <w:rFonts w:ascii="Times New Roman" w:cs="Times New Roman" w:eastAsia="Times New Roman" w:hAnsi="Times New Roman"/>
          <w:sz w:val="22"/>
          <w:szCs w:val="22"/>
          <w:color w:val="auto"/>
        </w:rPr>
        <w:t>1.10“</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67"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applicable laws, statutes, rules, regulations, ordinances, compliance guidance in final form, and other pronouncements, all as amended from time to time, having the effect of law of any federal, national, multinational, state, provincial, county, city or other political subdivision, domestic or foreign.</w:t>
      </w:r>
    </w:p>
    <w:p>
      <w:pPr>
        <w:spacing w:after="0" w:line="167"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21"/>
          <w:szCs w:val="21"/>
          <w:color w:val="auto"/>
        </w:rPr>
        <w:t>1.12“</w:t>
      </w:r>
      <w:r>
        <w:rPr>
          <w:rFonts w:ascii="Times New Roman" w:cs="Times New Roman" w:eastAsia="Times New Roman" w:hAnsi="Times New Roman"/>
          <w:sz w:val="21"/>
          <w:szCs w:val="21"/>
          <w:b w:val="1"/>
          <w:bCs w:val="1"/>
          <w:color w:val="auto"/>
        </w:rPr>
        <w:t>LICENSEE PRODUCT(S)</w:t>
      </w:r>
      <w:r>
        <w:rPr>
          <w:rFonts w:ascii="Times New Roman" w:cs="Times New Roman" w:eastAsia="Times New Roman" w:hAnsi="Times New Roman"/>
          <w:sz w:val="21"/>
          <w:szCs w:val="21"/>
          <w:color w:val="auto"/>
        </w:rPr>
        <w:t>” means genetically engineered adeno-associated virus vectors that (i) are developed and manufactured by LICENSEE or its AFFILIATES, or on behalf of LICENSEE by SERVICE PROVIDER(S), through the use of CELLS, and (ii) are used in the treatment of or in the preparation of the treatment of Duchenne Muscular Dystrophy (DMD).</w:t>
      </w:r>
    </w:p>
    <w:p>
      <w:pPr>
        <w:spacing w:after="0" w:line="15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1.13“</w:t>
      </w:r>
      <w:r>
        <w:rPr>
          <w:rFonts w:ascii="Times New Roman" w:cs="Times New Roman" w:eastAsia="Times New Roman" w:hAnsi="Times New Roman"/>
          <w:sz w:val="22"/>
          <w:szCs w:val="22"/>
          <w:b w:val="1"/>
          <w:bCs w:val="1"/>
          <w:color w:val="auto"/>
        </w:rPr>
        <w:t>CELLS</w:t>
      </w:r>
      <w:r>
        <w:rPr>
          <w:rFonts w:ascii="Times New Roman" w:cs="Times New Roman" w:eastAsia="Times New Roman" w:hAnsi="Times New Roman"/>
          <w:sz w:val="22"/>
          <w:szCs w:val="22"/>
          <w:color w:val="auto"/>
        </w:rPr>
        <w:t>” means (i) [**] transferred by LICENSOR to LICENSEE’S designated SERVICE PROVIDER prior to the EFFECTIVE DATE; and (ii) any and all progeny thereof generated by LICENSEE or its AFFILIATES.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has the meaning set forth in Section 11.1.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8" w:name="page309"/>
    <w:bookmarkEnd w:id="308"/>
    <w:p>
      <w:pPr>
        <w:jc w:val="both"/>
        <w:ind w:right="260" w:firstLine="749"/>
        <w:spacing w:after="0" w:line="263" w:lineRule="auto"/>
        <w:rPr>
          <w:sz w:val="20"/>
          <w:szCs w:val="20"/>
          <w:color w:val="auto"/>
        </w:rPr>
      </w:pPr>
      <w:r>
        <w:rPr>
          <w:rFonts w:ascii="Times New Roman" w:cs="Times New Roman" w:eastAsia="Times New Roman" w:hAnsi="Times New Roman"/>
          <w:sz w:val="21"/>
          <w:szCs w:val="21"/>
          <w:color w:val="auto"/>
        </w:rPr>
        <w:t>1.15“</w:t>
      </w:r>
      <w:r>
        <w:rPr>
          <w:rFonts w:ascii="Times New Roman" w:cs="Times New Roman" w:eastAsia="Times New Roman" w:hAnsi="Times New Roman"/>
          <w:sz w:val="21"/>
          <w:szCs w:val="21"/>
          <w:b w:val="1"/>
          <w:bCs w:val="1"/>
          <w:color w:val="auto"/>
        </w:rPr>
        <w:t>RIGHTS</w:t>
      </w:r>
      <w:r>
        <w:rPr>
          <w:rFonts w:ascii="Times New Roman" w:cs="Times New Roman" w:eastAsia="Times New Roman" w:hAnsi="Times New Roman"/>
          <w:sz w:val="21"/>
          <w:szCs w:val="21"/>
          <w:color w:val="auto"/>
        </w:rPr>
        <w:t>” means (i) all proprietary rights of LICENSOR in and to the LICENSOR CELLS including biological materials rights; (ii) all proprietary know-how, trade secrets, data, test results, techniques, procedures, compositions, methods, formulas, protocols and information, in each case, if developed and provided by LICENSOR or its AFFILIATES.</w:t>
      </w:r>
    </w:p>
    <w:p>
      <w:pPr>
        <w:spacing w:after="0" w:line="1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1.16“</w:t>
      </w:r>
      <w:r>
        <w:rPr>
          <w:rFonts w:ascii="Times New Roman" w:cs="Times New Roman" w:eastAsia="Times New Roman" w:hAnsi="Times New Roman"/>
          <w:sz w:val="22"/>
          <w:szCs w:val="22"/>
          <w:b w:val="1"/>
          <w:bCs w:val="1"/>
          <w:color w:val="auto"/>
        </w:rPr>
        <w:t>NON-COMPLIANT ENTITY</w:t>
      </w:r>
      <w:r>
        <w:rPr>
          <w:rFonts w:ascii="Times New Roman" w:cs="Times New Roman" w:eastAsia="Times New Roman" w:hAnsi="Times New Roman"/>
          <w:sz w:val="22"/>
          <w:szCs w:val="22"/>
          <w:color w:val="auto"/>
        </w:rPr>
        <w:t>” has the meaning set forth in Section 7.3.</w:t>
      </w:r>
    </w:p>
    <w:p>
      <w:pPr>
        <w:spacing w:after="0" w:line="206"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21"/>
          <w:szCs w:val="21"/>
          <w:color w:val="auto"/>
        </w:rPr>
        <w:t>1.17“</w:t>
      </w:r>
      <w:r>
        <w:rPr>
          <w:rFonts w:ascii="Times New Roman" w:cs="Times New Roman" w:eastAsia="Times New Roman" w:hAnsi="Times New Roman"/>
          <w:sz w:val="21"/>
          <w:szCs w:val="21"/>
          <w:b w:val="1"/>
          <w:bCs w:val="1"/>
          <w:color w:val="auto"/>
        </w:rPr>
        <w:t>PHASE I CLINICAL STUDY</w:t>
      </w:r>
      <w:r>
        <w:rPr>
          <w:rFonts w:ascii="Times New Roman" w:cs="Times New Roman" w:eastAsia="Times New Roman" w:hAnsi="Times New Roman"/>
          <w:sz w:val="21"/>
          <w:szCs w:val="21"/>
          <w:color w:val="auto"/>
        </w:rPr>
        <w:t>” means a clinical study of a LICENSEE PRODUCT in human volunteers or patients with the endpoint of determining initial tolerance, toxicity, safety, or pharmacokinetic information, which will be deemed commenced when the first volunteer or patient in such study has received his or her initial dose of a LICENSEE PRODUCT.</w:t>
      </w:r>
    </w:p>
    <w:p>
      <w:pPr>
        <w:spacing w:after="0" w:line="151" w:lineRule="exact"/>
        <w:rPr>
          <w:sz w:val="20"/>
          <w:szCs w:val="20"/>
          <w:color w:val="auto"/>
        </w:rPr>
      </w:pPr>
    </w:p>
    <w:p>
      <w:pPr>
        <w:ind w:right="300" w:firstLine="749"/>
        <w:spacing w:after="0" w:line="263" w:lineRule="auto"/>
        <w:rPr>
          <w:sz w:val="20"/>
          <w:szCs w:val="20"/>
          <w:color w:val="auto"/>
        </w:rPr>
      </w:pPr>
      <w:r>
        <w:rPr>
          <w:rFonts w:ascii="Times New Roman" w:cs="Times New Roman" w:eastAsia="Times New Roman" w:hAnsi="Times New Roman"/>
          <w:sz w:val="21"/>
          <w:szCs w:val="21"/>
          <w:color w:val="auto"/>
        </w:rPr>
        <w:t>1.18“</w:t>
      </w:r>
      <w:r>
        <w:rPr>
          <w:rFonts w:ascii="Times New Roman" w:cs="Times New Roman" w:eastAsia="Times New Roman" w:hAnsi="Times New Roman"/>
          <w:sz w:val="21"/>
          <w:szCs w:val="21"/>
          <w:b w:val="1"/>
          <w:bCs w:val="1"/>
          <w:color w:val="auto"/>
        </w:rPr>
        <w:t>REGULATORY AUTHORIZATION</w:t>
      </w:r>
      <w:r>
        <w:rPr>
          <w:rFonts w:ascii="Times New Roman" w:cs="Times New Roman" w:eastAsia="Times New Roman" w:hAnsi="Times New Roman"/>
          <w:sz w:val="21"/>
          <w:szCs w:val="21"/>
          <w:color w:val="auto"/>
        </w:rPr>
        <w:t>” means any approval or authorization of any REGULATORY AUTHORITY in a particular jurisdiction that is necessary for the development (including human clinical trials), manufacture, use, storage, import, transport and/or sale of LICENSEE PRODUCTS in such jurisdiction in accordance with LAWS.</w:t>
      </w:r>
    </w:p>
    <w:p>
      <w:pPr>
        <w:spacing w:after="0" w:line="151" w:lineRule="exact"/>
        <w:rPr>
          <w:sz w:val="20"/>
          <w:szCs w:val="20"/>
          <w:color w:val="auto"/>
        </w:rPr>
      </w:pPr>
    </w:p>
    <w:p>
      <w:pPr>
        <w:ind w:right="100" w:firstLine="749"/>
        <w:spacing w:after="0" w:line="263" w:lineRule="auto"/>
        <w:rPr>
          <w:sz w:val="20"/>
          <w:szCs w:val="20"/>
          <w:color w:val="auto"/>
        </w:rPr>
      </w:pPr>
      <w:r>
        <w:rPr>
          <w:rFonts w:ascii="Times New Roman" w:cs="Times New Roman" w:eastAsia="Times New Roman" w:hAnsi="Times New Roman"/>
          <w:sz w:val="21"/>
          <w:szCs w:val="21"/>
          <w:color w:val="auto"/>
        </w:rPr>
        <w:t>1.19“</w:t>
      </w:r>
      <w:r>
        <w:rPr>
          <w:rFonts w:ascii="Times New Roman" w:cs="Times New Roman" w:eastAsia="Times New Roman" w:hAnsi="Times New Roman"/>
          <w:sz w:val="21"/>
          <w:szCs w:val="21"/>
          <w:b w:val="1"/>
          <w:bCs w:val="1"/>
          <w:color w:val="auto"/>
        </w:rPr>
        <w:t>REGULATORY AUTHORITY</w:t>
      </w:r>
      <w:r>
        <w:rPr>
          <w:rFonts w:ascii="Times New Roman" w:cs="Times New Roman" w:eastAsia="Times New Roman" w:hAnsi="Times New Roman"/>
          <w:sz w:val="21"/>
          <w:szCs w:val="21"/>
          <w:color w:val="auto"/>
        </w:rPr>
        <w:t>” means any applicable GOVERNMENTAL AUTHORITY involved in granting REGULATORY AUTHORIZATION in any country or jurisdiction, including without limitation, in the U.S., the FDA and any other applicable GOVERNMENTAL AUTHORITY having jurisdiction over the CELLS or over LICENSEE PRODUCTS.</w:t>
      </w:r>
    </w:p>
    <w:p>
      <w:pPr>
        <w:spacing w:after="0" w:line="151"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1.20“</w:t>
      </w:r>
      <w:r>
        <w:rPr>
          <w:rFonts w:ascii="Times New Roman" w:cs="Times New Roman" w:eastAsia="Times New Roman" w:hAnsi="Times New Roman"/>
          <w:sz w:val="22"/>
          <w:szCs w:val="22"/>
          <w:b w:val="1"/>
          <w:bCs w:val="1"/>
          <w:color w:val="auto"/>
        </w:rPr>
        <w:t>REGULATORY FILINGS</w:t>
      </w:r>
      <w:r>
        <w:rPr>
          <w:rFonts w:ascii="Times New Roman" w:cs="Times New Roman" w:eastAsia="Times New Roman" w:hAnsi="Times New Roman"/>
          <w:sz w:val="22"/>
          <w:szCs w:val="22"/>
          <w:color w:val="auto"/>
        </w:rPr>
        <w:t>” means regulatory applications, submissions, notifications, registrations, REGULATORY AUTHORIZATIONS, or other submissions made to or with a REGULATORY AUTHORITY that are necessary or reasonably desirable in order to research, develop (including human clinical trials), manufacture, market, sell or otherwise commercialize LICENSEE PRODUCTS in a particular country or jurisdiction.</w:t>
      </w:r>
    </w:p>
    <w:p>
      <w:pPr>
        <w:spacing w:after="0" w:line="172" w:lineRule="exact"/>
        <w:rPr>
          <w:sz w:val="20"/>
          <w:szCs w:val="20"/>
          <w:color w:val="auto"/>
        </w:rPr>
      </w:pPr>
    </w:p>
    <w:p>
      <w:pPr>
        <w:ind w:right="140" w:firstLine="749"/>
        <w:spacing w:after="0" w:line="237"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b w:val="1"/>
          <w:bCs w:val="1"/>
          <w:color w:val="auto"/>
        </w:rPr>
        <w:t>SERVICE PROVIDER</w:t>
      </w:r>
      <w:r>
        <w:rPr>
          <w:rFonts w:ascii="Times New Roman" w:cs="Times New Roman" w:eastAsia="Times New Roman" w:hAnsi="Times New Roman"/>
          <w:sz w:val="22"/>
          <w:szCs w:val="22"/>
          <w:color w:val="auto"/>
        </w:rPr>
        <w:t>” means a THIRD PARTY, including, but not limited to a contractor, subcontractor or contract service organization, that performs services for consideration on behalf of LICENSEE or its AFFILIATE and solely for the benefit of LICENSEE or such AFFILIATE of LICENSEE, and with whom LICENSEE or its AFFILIATE has entered into a written agreement for the provision of services for LICENSEE or its AFFILIATE that employs CELLS, for purposes which include, without limitation, the research, development (including human clinical trials), testing, analysis, expression, assay, manufacture, production and storage of LICENSEE PRODUCTS.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1.22“</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7.1.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worldwide.</w:t>
      </w:r>
    </w:p>
    <w:p>
      <w:pPr>
        <w:spacing w:after="0" w:line="206"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1.24“</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or entity other than LICENSOR, AFFILIATES of LICENSOR, LICENSEE, and AFFILIATES of LICENSEE.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309" w:name="page310"/>
    <w:bookmarkEnd w:id="309"/>
    <w:p>
      <w:pPr>
        <w:ind w:left="760" w:right="5500" w:hanging="752"/>
        <w:spacing w:after="0" w:line="437" w:lineRule="auto"/>
        <w:tabs>
          <w:tab w:leader="none" w:pos="520" w:val="left"/>
        </w:tabs>
        <w:numPr>
          <w:ilvl w:val="0"/>
          <w:numId w:val="2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Grant of License; Affiliates; Service Providers; Support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Grant of License</w:t>
      </w:r>
      <w:r>
        <w:rPr>
          <w:rFonts w:ascii="Times New Roman" w:cs="Times New Roman" w:eastAsia="Times New Roman" w:hAnsi="Times New Roman"/>
          <w:sz w:val="22"/>
          <w:szCs w:val="22"/>
          <w:color w:val="auto"/>
        </w:rPr>
        <w:t>.</w:t>
      </w:r>
    </w:p>
    <w:p>
      <w:pPr>
        <w:ind w:firstLine="1505"/>
        <w:spacing w:after="0" w:line="249" w:lineRule="auto"/>
        <w:tabs>
          <w:tab w:leader="none" w:pos="2036" w:val="left"/>
        </w:tabs>
        <w:numPr>
          <w:ilvl w:val="1"/>
          <w:numId w:val="2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and the payment of the applicable FEES, LICENSOR hereby grants to LICENSEE, and LICENSEE hereby accepts from LICENSOR, a worldwide, non-exclusive, royalty-free, non-transferable (except as set forth in Sections 2.1(c) and 2.1(d) hereof) license in the TERRITORY under the RIGHTS for LICENSEE to use the CELLS (i) to develop LICENSEE PRODUCTS and to have SERVICE PROVIDERS develop LICENSEE PRODUCTS for or on behalf of LICENSEE only and (ii) to make, have made by SERVICE PROVIDERS, import, sell and have sold by DISTRIBUTORS such LICENSEE PRODUCTS, all solely under LICENSEE’s brand.</w:t>
      </w:r>
    </w:p>
    <w:p>
      <w:pPr>
        <w:spacing w:after="0" w:line="170" w:lineRule="exact"/>
        <w:rPr>
          <w:rFonts w:ascii="Times New Roman" w:cs="Times New Roman" w:eastAsia="Times New Roman" w:hAnsi="Times New Roman"/>
          <w:sz w:val="21"/>
          <w:szCs w:val="21"/>
          <w:color w:val="auto"/>
        </w:rPr>
      </w:pPr>
    </w:p>
    <w:p>
      <w:pPr>
        <w:ind w:right="40" w:firstLine="1505"/>
        <w:spacing w:after="0" w:line="236" w:lineRule="auto"/>
        <w:tabs>
          <w:tab w:leader="none" w:pos="2036"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of LICENSEE under this AGREEMENT may be exercised and any obligations of LICENSEE under this AGREEMENT may be performed by any AFFILIATE of LICENSEE to the extent that the AFFILIATE remains an AFFILIATE of LICENSEE. LICENSEE hereby unconditionally guarantees the compliance with and performance by its AFFILIATES of all applicable provisions of this AGREEMENT and will be responsible and jointly and severally liable for all of its and its AFFILIATES’ obligations due pursuant to this AGREEMENT. A breach of this AGREEMENT by any of LICENSEE’s AFFILIATES will be deemed a breach by LICENSEE.</w:t>
      </w:r>
    </w:p>
    <w:p>
      <w:pPr>
        <w:spacing w:after="0" w:line="181" w:lineRule="exact"/>
        <w:rPr>
          <w:rFonts w:ascii="Times New Roman" w:cs="Times New Roman" w:eastAsia="Times New Roman" w:hAnsi="Times New Roman"/>
          <w:sz w:val="22"/>
          <w:szCs w:val="22"/>
          <w:color w:val="auto"/>
        </w:rPr>
      </w:pPr>
    </w:p>
    <w:p>
      <w:pPr>
        <w:ind w:firstLine="1505"/>
        <w:spacing w:after="0" w:line="232" w:lineRule="auto"/>
        <w:tabs>
          <w:tab w:leader="none" w:pos="2036"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clarity, nothing herein will preclude LICENSEE from entering into, or will require consent from LICENSOR with respect to, agreements with any SERVICE PROVIDERS to transfer CELLS to SERVICE PROVIDERS, for use by such SERVICE PROVIDERS for purposes which include, without limitation, the research, development (including human clinical trials), testing, analysis, expression, manufacture, production and storage of LICENSEE PRODUCTS in accordance with the rights granted hereunder,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each such SERVICE PROVIDER to which CELLS are transferred after the EFFECTIVE DATE agrees in writing (i) only to use such CELLS on behalf of LICENSEE as provided hereunder; (ii) not to transfer CELLS to, or use CELLS on behalf of, any THIRD PARTY; (iii) not to use CELLS for the benefit of such SERVICE PROVIDER other than such use on behalf of LICENSEE hereunder; and (iv) to return to LICENSEE or destroy all CELLS in its possession upon completion or termination of its activities on behalf of LICENSEE, and to certify such return or destruction in writing to LICENSEE (with a copy of such certification provided to LICENSOR upon request). LICENSEE shall promptly notify LICENSOR once it becomes aware that any SERVICE PROVIDER is using CELLS other than as permitted under this AGREEMENT. LICENSEE agrees that its continued employment of a SERVICE PROVIDER when LICENSEE and/or its AFFILIATES are aware or should be aware that such SERVICE PROVIDER is using CELLS other than as permitted hereunder, if not cured as provided under Section 7.3, shall constitute a material breach by LICENSEE under this AGREEMENT. Notwithstanding the foregoing, LICENSEE shall remain responsible for its own and its SERVICE PROVIDERS’ performance under this AGREEMENT.</w:t>
      </w:r>
    </w:p>
    <w:p>
      <w:pPr>
        <w:spacing w:after="0" w:line="191"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licenses provided under this AGREEMENT may be sublicensed, assigned, or otherwise transferred by LICENSEE except in accordance with Section 8, below.</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10" w:name="page311"/>
    <w:bookmarkEnd w:id="310"/>
    <w:p>
      <w:pPr>
        <w:ind w:right="260" w:firstLine="1505"/>
        <w:spacing w:after="0" w:line="258" w:lineRule="auto"/>
        <w:tabs>
          <w:tab w:leader="none" w:pos="2036"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Section 2.1(c) or Section 2.1(d) hereof, LICENSEE shall have no right to transfer CELLS to any THIRD PARTY under this AGREEMENT.</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other rights are conveyed to LICENSEE by LICENSOR by implication, estoppel or otherwise.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LICENSEE acknowledges and agrees that LICENSEE does not acquire any rights hereunder to:</w:t>
      </w:r>
    </w:p>
    <w:p>
      <w:pPr>
        <w:spacing w:after="0" w:line="206" w:lineRule="exact"/>
        <w:rPr>
          <w:sz w:val="20"/>
          <w:szCs w:val="20"/>
          <w:color w:val="auto"/>
        </w:rPr>
      </w:pPr>
    </w:p>
    <w:p>
      <w:pPr>
        <w:ind w:right="920" w:firstLine="1505"/>
        <w:spacing w:after="0" w:line="258" w:lineRule="auto"/>
        <w:tabs>
          <w:tab w:leader="none" w:pos="203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CELLS to any THIRD PARTY other than its SERVICE PROVIDERS or the SERVICE PROVIDERS of its AFFILIATES as specifically set forth in Section 2.1;</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or offer to sell CELLS to any THIRD PARTY;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administer the CELLS into humans or animals; or</w:t>
      </w:r>
    </w:p>
    <w:p>
      <w:pPr>
        <w:spacing w:after="0" w:line="206" w:lineRule="exact"/>
        <w:rPr>
          <w:rFonts w:ascii="Times New Roman" w:cs="Times New Roman" w:eastAsia="Times New Roman" w:hAnsi="Times New Roman"/>
          <w:sz w:val="22"/>
          <w:szCs w:val="22"/>
          <w:color w:val="auto"/>
        </w:rPr>
      </w:pPr>
    </w:p>
    <w:p>
      <w:pPr>
        <w:ind w:right="200" w:firstLine="1505"/>
        <w:spacing w:after="0" w:line="258" w:lineRule="auto"/>
        <w:tabs>
          <w:tab w:leader="none" w:pos="2036"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the replication of or the use of the CELLS for any purpose other than as set forth in Section 2.1 or as otherwise specified herein.</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No Implied License</w:t>
      </w:r>
      <w:r>
        <w:rPr>
          <w:rFonts w:ascii="Times New Roman" w:cs="Times New Roman" w:eastAsia="Times New Roman" w:hAnsi="Times New Roman"/>
          <w:sz w:val="22"/>
          <w:szCs w:val="22"/>
          <w:color w:val="auto"/>
        </w:rPr>
        <w:t>. Nothing in this AGREEMENT shall be construed as conferring explicitly or by implication, estoppel or otherwise any license, right or immunity under any rights that LICENSOR (and its successors, AFFILIATES and assigns, and successors, AFFILIATES and assigns of each of the foregoing) now owns or holds a license to, or acquires or obtains a license to in the future, other than the specifically identified RIGHTS for use in connection with LICENSEE PRODUCTS, regardless of whether such other rights are dominant or subordinate to the RIGHTS. Furthermore, LICENSEE and its AFFILIATES have not provided and will not provide, and LICENSOR and its AFFILIATES have not received and will not receive, any consideration except that which is expressly provided herein for the specific rights expressly granted herein. LICENSOR and its AFFILIATES do not represent or warrant that the RIGHTS include all rights owned, licensed or controlled by LICENSOR and/or its AFFILIATES that may pertain to (i) the full breadth and scope of RIGHTS and/or LICENSEE PRODUCTS, (ii) the full breadth and scope of compositions and/or methods LICENSEE and/or its AFFILIATES may employ related to RIGHTS and/or LICENSEE PRODUCTS, (iii) the full breadth and scope of methods and/or compositions an end user customer may employ related to RIGHTS and/or LICENSEE PRODUCTS, and/or (iv) the full breadth and scope of intellectual property that may arise related to RIGHTS and/or LICENSEE PRODUCTS</w:t>
      </w:r>
    </w:p>
    <w:p>
      <w:pPr>
        <w:spacing w:after="0" w:line="182"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21"/>
          <w:szCs w:val="21"/>
          <w:color w:val="auto"/>
        </w:rPr>
        <w:t>2.4</w:t>
      </w:r>
      <w:r>
        <w:rPr>
          <w:rFonts w:ascii="Times New Roman" w:cs="Times New Roman" w:eastAsia="Times New Roman" w:hAnsi="Times New Roman"/>
          <w:sz w:val="21"/>
          <w:szCs w:val="21"/>
          <w:u w:val="single" w:color="auto"/>
          <w:color w:val="auto"/>
        </w:rPr>
        <w:t>Regulatory Support</w:t>
      </w:r>
      <w:r>
        <w:rPr>
          <w:rFonts w:ascii="Times New Roman" w:cs="Times New Roman" w:eastAsia="Times New Roman" w:hAnsi="Times New Roman"/>
          <w:sz w:val="21"/>
          <w:szCs w:val="21"/>
          <w:color w:val="auto"/>
        </w:rPr>
        <w:t>. In the event that LICENSEE engages in clinical and regulatory activities directed towards obtaining regulatory approval of a LICENSEE PRODUCT and desires additional assistance or information from LICENSOR with respect to the cell lineage history, testing results or any other cell line documentation relating to the CELLS, then LICENSOR shall, at the expense of LICENSEE, use commercially reasonable efforts to provide such assistance or information.</w:t>
      </w:r>
    </w:p>
    <w:p>
      <w:pPr>
        <w:spacing w:after="0" w:line="158" w:lineRule="exact"/>
        <w:rPr>
          <w:sz w:val="20"/>
          <w:szCs w:val="20"/>
          <w:color w:val="auto"/>
        </w:rPr>
      </w:pPr>
    </w:p>
    <w:p>
      <w:pPr>
        <w:ind w:right="20" w:firstLine="8"/>
        <w:spacing w:after="0" w:line="246" w:lineRule="auto"/>
        <w:tabs>
          <w:tab w:leader="none" w:pos="509" w:val="left"/>
        </w:tabs>
        <w:numPr>
          <w:ilvl w:val="0"/>
          <w:numId w:val="2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consideration for the rights granted hereunder, LICENSEE agrees to pay LICENSOR a non-refundable, non-creditable license fee of [**], due upon the EFFECTIVE DATE and payable within fifteen (15) days thereof (“</w:t>
      </w:r>
      <w:r>
        <w:rPr>
          <w:rFonts w:ascii="Times New Roman" w:cs="Times New Roman" w:eastAsia="Times New Roman" w:hAnsi="Times New Roman"/>
          <w:sz w:val="22"/>
          <w:szCs w:val="22"/>
          <w:b w:val="1"/>
          <w:bCs w:val="1"/>
          <w:color w:val="auto"/>
        </w:rPr>
        <w:t>LICENSE FEE</w:t>
      </w:r>
      <w:r>
        <w:rPr>
          <w:rFonts w:ascii="Times New Roman" w:cs="Times New Roman" w:eastAsia="Times New Roman" w:hAnsi="Times New Roman"/>
          <w:sz w:val="22"/>
          <w:szCs w:val="22"/>
          <w:color w:val="auto"/>
        </w:rPr>
        <w:t>”). For clarity, termination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1" w:name="page312"/>
    <w:bookmarkEnd w:id="311"/>
    <w:p>
      <w:pPr>
        <w:ind w:right="340" w:firstLine="509"/>
        <w:spacing w:after="0" w:line="258" w:lineRule="auto"/>
        <w:rPr>
          <w:sz w:val="20"/>
          <w:szCs w:val="20"/>
          <w:color w:val="auto"/>
        </w:rPr>
      </w:pPr>
      <w:r>
        <w:rPr>
          <w:rFonts w:ascii="Times New Roman" w:cs="Times New Roman" w:eastAsia="Times New Roman" w:hAnsi="Times New Roman"/>
          <w:sz w:val="22"/>
          <w:szCs w:val="22"/>
          <w:color w:val="auto"/>
        </w:rPr>
        <w:t>of this AGREEMENT at any time after the EFFECTIVE DATE shall not relieve LICENSEE of any unfulfilled payment obligations of the LICENSE FEE.</w:t>
      </w:r>
    </w:p>
    <w:p>
      <w:pPr>
        <w:spacing w:after="0" w:line="154" w:lineRule="exact"/>
        <w:rPr>
          <w:sz w:val="20"/>
          <w:szCs w:val="20"/>
          <w:color w:val="auto"/>
        </w:rPr>
      </w:pPr>
    </w:p>
    <w:p>
      <w:pPr>
        <w:ind w:right="200" w:firstLine="8"/>
        <w:spacing w:after="0" w:line="262" w:lineRule="auto"/>
        <w:tabs>
          <w:tab w:leader="none" w:pos="509" w:val="left"/>
        </w:tabs>
        <w:numPr>
          <w:ilvl w:val="0"/>
          <w:numId w:val="2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payments due hereunder shall be payable in U.S. dollars and shall be made by check or wire transfer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appropriate account as follows: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Payment by check shall be made 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Thermo Fisher Scientific, Inc.</w:t>
      </w:r>
    </w:p>
    <w:p>
      <w:pPr>
        <w:spacing w:after="0" w:line="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Life Technologies Corporation</w:t>
      </w:r>
    </w:p>
    <w:p>
      <w:pPr>
        <w:ind w:left="760"/>
        <w:spacing w:after="0" w:line="230" w:lineRule="auto"/>
        <w:rPr>
          <w:sz w:val="20"/>
          <w:szCs w:val="20"/>
          <w:color w:val="auto"/>
        </w:rPr>
      </w:pPr>
      <w:r>
        <w:rPr>
          <w:rFonts w:ascii="Times New Roman" w:cs="Times New Roman" w:eastAsia="Times New Roman" w:hAnsi="Times New Roman"/>
          <w:sz w:val="22"/>
          <w:szCs w:val="22"/>
          <w:color w:val="auto"/>
        </w:rPr>
        <w:t>5823 Newton Drive</w:t>
      </w:r>
    </w:p>
    <w:p>
      <w:pPr>
        <w:ind w:left="760"/>
        <w:spacing w:after="0" w:line="231" w:lineRule="auto"/>
        <w:rPr>
          <w:sz w:val="20"/>
          <w:szCs w:val="20"/>
          <w:color w:val="auto"/>
        </w:rPr>
      </w:pPr>
      <w:r>
        <w:rPr>
          <w:rFonts w:ascii="Times New Roman" w:cs="Times New Roman" w:eastAsia="Times New Roman" w:hAnsi="Times New Roman"/>
          <w:sz w:val="22"/>
          <w:szCs w:val="22"/>
          <w:color w:val="auto"/>
        </w:rPr>
        <w:t>Carlsbad, CA 92008 USA</w:t>
      </w:r>
    </w:p>
    <w:p>
      <w:pPr>
        <w:ind w:left="760"/>
        <w:spacing w:after="0"/>
        <w:rPr>
          <w:sz w:val="20"/>
          <w:szCs w:val="20"/>
          <w:color w:val="auto"/>
        </w:rPr>
      </w:pPr>
      <w:r>
        <w:rPr>
          <w:rFonts w:ascii="Times New Roman" w:cs="Times New Roman" w:eastAsia="Times New Roman" w:hAnsi="Times New Roman"/>
          <w:sz w:val="22"/>
          <w:szCs w:val="22"/>
          <w:color w:val="auto"/>
        </w:rPr>
        <w:t>Attention: License Management and Contract Compliance (LMCC)</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Payment by wire transfer shall be made to:</w:t>
      </w:r>
    </w:p>
    <w:p>
      <w:pPr>
        <w:spacing w:after="0" w:line="20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LICENSEE shall be responsible for any and all bank transfer charges associated with payments required to be made by it or its AFFILIATES under this AGREEMENT.</w:t>
      </w:r>
    </w:p>
    <w:p>
      <w:pPr>
        <w:spacing w:after="0" w:line="15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Any amount not paid by LICENSEE when due will bear interest at an annual rate of [**] over the prime rate offered by Citibank N.A. on the date the payment is due until the due date the payment is made. The payment of such interest shall not prohibit LICENSOR from exercising any other rights it may have as a consequence of the lateness of the payment.</w:t>
      </w:r>
    </w:p>
    <w:p>
      <w:pPr>
        <w:spacing w:after="0" w:line="169" w:lineRule="exact"/>
        <w:rPr>
          <w:sz w:val="20"/>
          <w:szCs w:val="20"/>
          <w:color w:val="auto"/>
        </w:rPr>
      </w:pPr>
    </w:p>
    <w:p>
      <w:pPr>
        <w:ind w:left="520" w:hanging="512"/>
        <w:spacing w:after="0"/>
        <w:tabs>
          <w:tab w:leader="none" w:pos="520"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 Press Release; Use of Marks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1"/>
          <w:szCs w:val="21"/>
          <w:color w:val="auto"/>
        </w:rPr>
        <w:t>5.1</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 The term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in this AGREEMENT means all non-public or proprietary information disclosed by or on behalf of a PARTY or its AFFILIATES to the other PARTY pursuant to this AGREEMENT, 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 association with, filings with any REGULATORY AUTHORITY, data, including pharmacological, toxicological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in whatever form or medium, and whether or not designated or marked “confidential” or “proprietary.” CONFIDENTIAL INFORMATION shall include the terms and conditions of this AGREEMENT.</w:t>
      </w:r>
    </w:p>
    <w:p>
      <w:pPr>
        <w:spacing w:after="0" w:line="181"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u w:val="single" w:color="auto"/>
          <w:color w:val="auto"/>
        </w:rPr>
        <w:t>Exclusions</w:t>
      </w:r>
      <w:r>
        <w:rPr>
          <w:rFonts w:ascii="Times New Roman" w:cs="Times New Roman" w:eastAsia="Times New Roman" w:hAnsi="Times New Roman"/>
          <w:sz w:val="22"/>
          <w:szCs w:val="22"/>
          <w:color w:val="auto"/>
        </w:rPr>
        <w:t>. Notwithstanding any other provision of this AGREEMENT, CONFIDENTIAL INFORMATION shall not include any item of information that the receiving party demonstrates: (i) became generally available to the public other than as a result of disclosure by the receiving party or its AFFILIATES; (ii) was available to the receiving party and its AFFILIATES on a non-confidential basis prior to the disclosure to the receiving party by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2" w:name="page313"/>
    <w:bookmarkEnd w:id="312"/>
    <w:p>
      <w:pPr>
        <w:ind w:right="80"/>
        <w:spacing w:after="0" w:line="239" w:lineRule="auto"/>
        <w:rPr>
          <w:sz w:val="20"/>
          <w:szCs w:val="20"/>
          <w:color w:val="auto"/>
        </w:rPr>
      </w:pPr>
      <w:r>
        <w:rPr>
          <w:rFonts w:ascii="Times New Roman" w:cs="Times New Roman" w:eastAsia="Times New Roman" w:hAnsi="Times New Roman"/>
          <w:sz w:val="22"/>
          <w:szCs w:val="22"/>
          <w:color w:val="auto"/>
        </w:rPr>
        <w:t xml:space="preserve">the disclosing party; (iii) became available to the receiving party or its AFFILIATES on a non-confidential basis from a source other than the disclosing party;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source is not bound by an obligation of confidentiality to the disclosing party; or (iv) was independently developed by the receiving party without use of the CONFIDENTIAL INFORMATION as evidenced by written records.</w:t>
      </w:r>
    </w:p>
    <w:p>
      <w:pPr>
        <w:spacing w:after="0" w:line="180"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1"/>
          <w:szCs w:val="21"/>
          <w:color w:val="auto"/>
        </w:rPr>
        <w:t>5.3</w:t>
      </w:r>
      <w:r>
        <w:rPr>
          <w:rFonts w:ascii="Times New Roman" w:cs="Times New Roman" w:eastAsia="Times New Roman" w:hAnsi="Times New Roman"/>
          <w:sz w:val="21"/>
          <w:szCs w:val="21"/>
          <w:u w:val="single" w:color="auto"/>
          <w:color w:val="auto"/>
        </w:rPr>
        <w:t>Non-Use and Confidentiality</w:t>
      </w:r>
      <w:r>
        <w:rPr>
          <w:rFonts w:ascii="Times New Roman" w:cs="Times New Roman" w:eastAsia="Times New Roman" w:hAnsi="Times New Roman"/>
          <w:sz w:val="21"/>
          <w:szCs w:val="21"/>
          <w:color w:val="auto"/>
        </w:rPr>
        <w:t>. The PARTIES shall maintain the CONFIDENTIAL INFORMATION in strict confidence and the PARTIES shall use CONFIDENTIAL INFORMATION only in accordance with the terms and conditions of this AGREEMENT. Each PARTY shall (i) limit its dissemination of CONFIDENTIAL INFORMATION to only those employees and agents of such PARTY and such PARTY’s AFFILIATES, who require such CONFIDENTIAL INFORMATION in order to exercise the rights of each PARTY and such PARTY’s AFFILIATES under this AGREEMENT and such employees and agents shall be subject to obligations of confidentiality at least as restrictive as those specified herein; and (ii) not disclose, without the prior written consent of the other PARTY, CONFIDENTIAL INFORMATION to any THIRD PARTY other than to</w:t>
      </w:r>
    </w:p>
    <w:p>
      <w:pPr>
        <w:spacing w:after="0" w:line="6" w:lineRule="exact"/>
        <w:rPr>
          <w:sz w:val="20"/>
          <w:szCs w:val="20"/>
          <w:color w:val="auto"/>
        </w:rPr>
      </w:pPr>
    </w:p>
    <w:p>
      <w:pPr>
        <w:ind w:firstLine="8"/>
        <w:spacing w:after="0" w:line="232" w:lineRule="auto"/>
        <w:tabs>
          <w:tab w:leader="none" w:pos="294"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AFFILIATE or SERVICE PROVIDER to the extent required for the purposes of this AGREEMENT, (b) to a REGULATORY AUTHORITY in connection with REGULATORY FILINGS, or (c) to any GOVERNMENTAL AUTHORITY in accordance with LAWS. In the event that the receiving party or anyone to whom it transmits the CONFIDENTIAL INFORMATION pursuant to this AGREEMENT becomes legally required to disclose any such CONFIDENTIAL INFORMATION, the receiving party shall provide the disclosing party with prompt notice of such required disclosure so that the disclosing party may seek a protective order or other appropriate remedy and/or waive compliance with the provisions of this AGREEMENT. In the event that such protective order or other remedy is not obtained, the receiving party shall furnish only that portion of the CONFIDENTIAL INFORMATION which is legally required to be furnished in the written opinion of the receiving party’s counsel. The burdens of non-use and confidentiality under this Agreement will continue until terminated by mutual agreement between the PARTIES hereto.</w:t>
      </w:r>
    </w:p>
    <w:p>
      <w:pPr>
        <w:spacing w:after="0" w:line="177"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5.4</w:t>
      </w:r>
      <w:r>
        <w:rPr>
          <w:rFonts w:ascii="Times New Roman" w:cs="Times New Roman" w:eastAsia="Times New Roman" w:hAnsi="Times New Roman"/>
          <w:sz w:val="22"/>
          <w:szCs w:val="22"/>
          <w:u w:val="single" w:color="auto"/>
          <w:color w:val="auto"/>
        </w:rPr>
        <w:t>Press Release</w:t>
      </w:r>
      <w:r>
        <w:rPr>
          <w:rFonts w:ascii="Times New Roman" w:cs="Times New Roman" w:eastAsia="Times New Roman" w:hAnsi="Times New Roman"/>
          <w:sz w:val="22"/>
          <w:szCs w:val="22"/>
          <w:color w:val="auto"/>
        </w:rPr>
        <w:t>. Neither PARTY will make any public press release or similar publicity announcement or disclosure that includes the other PARTY’s names, logos, trademarks or service marks, or the physical likeness or names of its employees or investigators or other symbols of the other PARTY without the other PARTY’s prior written consent.</w:t>
      </w:r>
    </w:p>
    <w:p>
      <w:pPr>
        <w:spacing w:after="0" w:line="17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5.5</w:t>
      </w:r>
      <w:r>
        <w:rPr>
          <w:rFonts w:ascii="Times New Roman" w:cs="Times New Roman" w:eastAsia="Times New Roman" w:hAnsi="Times New Roman"/>
          <w:sz w:val="22"/>
          <w:szCs w:val="22"/>
          <w:u w:val="single" w:color="auto"/>
          <w:color w:val="auto"/>
        </w:rPr>
        <w:t>Limited Use of Marks</w:t>
      </w:r>
      <w:r>
        <w:rPr>
          <w:rFonts w:ascii="Times New Roman" w:cs="Times New Roman" w:eastAsia="Times New Roman" w:hAnsi="Times New Roman"/>
          <w:sz w:val="22"/>
          <w:szCs w:val="22"/>
          <w:color w:val="auto"/>
        </w:rPr>
        <w:t xml:space="preserve">. LICENSEE shall not, at any time, employ any of the trade names, trademarks, trade dress, slogans, designs, or the like of LICENSOR or its AFFILIATES for any advertising, promotional, or other purposes without prior written permission to do so from LICENSOR;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LICENSEE may disclose the existence of this AGREEMENT and the name of LICENSOR and its AFFILIATES to LICENSEE’s AFFILIATES, SERVICE PROVIDERS and THIRD PARTIES, and to REGULATORY AUTHORITIES in connection with REGULATORY FILINGS and in accordance with the requirements of any GOVERNMENTAL AUTHORITIES (subject to Section 5.3 above).</w:t>
      </w:r>
    </w:p>
    <w:p>
      <w:pPr>
        <w:spacing w:after="0" w:line="177" w:lineRule="exact"/>
        <w:rPr>
          <w:sz w:val="20"/>
          <w:szCs w:val="20"/>
          <w:color w:val="auto"/>
        </w:rPr>
      </w:pPr>
    </w:p>
    <w:p>
      <w:pPr>
        <w:ind w:right="220" w:firstLine="8"/>
        <w:spacing w:after="0" w:line="246" w:lineRule="auto"/>
        <w:tabs>
          <w:tab w:leader="none" w:pos="509"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Reservation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not limit the rights of LICENSOR or its AFFILIATES in any way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regarding RIGHTS. It is specifically understood that as between the PARTIES to this AGREEMENT, LICENSOR reserves the right for itself or through its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3" w:name="page314"/>
    <w:bookmarkEnd w:id="313"/>
    <w:p>
      <w:pPr>
        <w:ind w:right="120" w:firstLine="509"/>
        <w:spacing w:after="0" w:line="238" w:lineRule="auto"/>
        <w:rPr>
          <w:sz w:val="20"/>
          <w:szCs w:val="20"/>
          <w:color w:val="auto"/>
        </w:rPr>
      </w:pPr>
      <w:r>
        <w:rPr>
          <w:rFonts w:ascii="Times New Roman" w:cs="Times New Roman" w:eastAsia="Times New Roman" w:hAnsi="Times New Roman"/>
          <w:sz w:val="22"/>
          <w:szCs w:val="22"/>
          <w:color w:val="auto"/>
        </w:rPr>
        <w:t>AFFILIATES to exercise its rights in its intellectual property, and to license, sublicense, assign or otherwise transfer such rights to others for any purpose whatsoever, under any terms it so chooses, in its sole discretion or not at all, including terms and conditions that are substantially similar to or different from those in this AGREEMENT. For purposes of clarification, LICENSOR may provide THIRD PARTIES with draft contracts that are substantially similar to this AGREEMENT at its sole discretion.</w:t>
      </w:r>
    </w:p>
    <w:p>
      <w:pPr>
        <w:spacing w:after="0" w:line="177"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This AGREEMENT shall also not limit the rights of LICENSEE or its AFFILIATES to license their own intellectual property rights to any THIRD PARTY. For clarity, in order for any THIRD PARTY to use CELLS or any LICENSOR intellectual property rights thereto (including RIGHTS) for commercial purposes (including without limitation pre-IND commercial research), except as set forth in 2.1 (c), such a THIRD PARTY must obtain a separate license from LICENSOR for consideration and on terms and conditions to be determined by LICENSOR, and it is a material condition of this AGREEMENT that LICENSEE inform its clients, potential licensees and other THIRD PARTIES interested in such rights of this requirement in writing with a copy of each such notification to LICENSOR.</w:t>
      </w:r>
    </w:p>
    <w:p>
      <w:pPr>
        <w:spacing w:after="0" w:line="179" w:lineRule="exact"/>
        <w:rPr>
          <w:sz w:val="20"/>
          <w:szCs w:val="20"/>
          <w:color w:val="auto"/>
        </w:rPr>
      </w:pPr>
    </w:p>
    <w:p>
      <w:pPr>
        <w:ind w:left="520" w:hanging="512"/>
        <w:spacing w:after="0"/>
        <w:tabs>
          <w:tab w:leader="none" w:pos="520"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and Termination</w:t>
      </w:r>
    </w:p>
    <w:p>
      <w:pPr>
        <w:spacing w:after="0" w:line="210"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This license is granted to LICENSEE as of the EFFECTIVE DATE, and will continue in perpetuity unless earlier terminated in accordance with this Section 7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u w:val="single" w:color="auto"/>
          <w:color w:val="auto"/>
        </w:rPr>
        <w:t>Termination by LICENSEE</w:t>
      </w:r>
      <w:r>
        <w:rPr>
          <w:rFonts w:ascii="Times New Roman" w:cs="Times New Roman" w:eastAsia="Times New Roman" w:hAnsi="Times New Roman"/>
          <w:sz w:val="22"/>
          <w:szCs w:val="22"/>
          <w:color w:val="auto"/>
        </w:rPr>
        <w:t>. LICENSEE may terminate this AGREEMENT without specification of any reason with thirty (30) days’ prior written notice to LICENSOR. Any such termination shall become effective at the end of the thirty (30) day notice period.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7.3Termination by LICENSOR.</w:t>
      </w:r>
    </w:p>
    <w:p>
      <w:pPr>
        <w:spacing w:after="0" w:line="206" w:lineRule="exact"/>
        <w:rPr>
          <w:sz w:val="20"/>
          <w:szCs w:val="20"/>
          <w:color w:val="auto"/>
        </w:rPr>
      </w:pPr>
    </w:p>
    <w:p>
      <w:pPr>
        <w:ind w:right="40" w:firstLine="2254"/>
        <w:spacing w:after="0" w:line="238" w:lineRule="auto"/>
        <w:tabs>
          <w:tab w:leader="none" w:pos="254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material breach or default of a material term under this AGREEMENT by LICENSEE or an AFFILIATE of LICENSEE, including without limitation a failure to pay fees owed as specified in this AGREEMENT, this AGREEMENT may be terminated by LICENSOR upon sixty (60) days prior written notice to LICENSEE (the “</w:t>
      </w:r>
      <w:r>
        <w:rPr>
          <w:rFonts w:ascii="Times New Roman" w:cs="Times New Roman" w:eastAsia="Times New Roman" w:hAnsi="Times New Roman"/>
          <w:sz w:val="22"/>
          <w:szCs w:val="22"/>
          <w:b w:val="1"/>
          <w:bCs w:val="1"/>
          <w:color w:val="auto"/>
        </w:rPr>
        <w:t>CURE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PERIOD</w:t>
      </w:r>
      <w:r>
        <w:rPr>
          <w:rFonts w:ascii="Times New Roman" w:cs="Times New Roman" w:eastAsia="Times New Roman" w:hAnsi="Times New Roman"/>
          <w:sz w:val="22"/>
          <w:szCs w:val="22"/>
          <w:color w:val="auto"/>
        </w:rPr>
        <w:t>”). Any termination of this AGREEMENT pursuant to this Section 7.3 shall become effective at the end of the CURE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unless LICENSEE has cured any such material breach prior to the expiration of such CURE PERIOD.</w:t>
      </w:r>
    </w:p>
    <w:p>
      <w:pPr>
        <w:spacing w:after="0" w:line="176" w:lineRule="exact"/>
        <w:rPr>
          <w:rFonts w:ascii="Times New Roman" w:cs="Times New Roman" w:eastAsia="Times New Roman" w:hAnsi="Times New Roman"/>
          <w:sz w:val="22"/>
          <w:szCs w:val="22"/>
          <w:color w:val="auto"/>
        </w:rPr>
      </w:pPr>
    </w:p>
    <w:p>
      <w:pPr>
        <w:ind w:right="60" w:firstLine="2254"/>
        <w:spacing w:after="0" w:line="235" w:lineRule="auto"/>
        <w:tabs>
          <w:tab w:leader="none" w:pos="254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LICENSEE notifies LICENSOR, or LICENSOR becomes independently aware, that any of LICENSEE’s AFFILIATES or a particular SERVICE PROVIDER is using CELLS other than as permitted under this AGREEMENT (a “</w:t>
      </w:r>
      <w:r>
        <w:rPr>
          <w:rFonts w:ascii="Times New Roman" w:cs="Times New Roman" w:eastAsia="Times New Roman" w:hAnsi="Times New Roman"/>
          <w:sz w:val="22"/>
          <w:szCs w:val="22"/>
          <w:b w:val="1"/>
          <w:bCs w:val="1"/>
          <w:color w:val="auto"/>
        </w:rPr>
        <w:t>NON-COMPLIANT ENTITY</w:t>
      </w:r>
      <w:r>
        <w:rPr>
          <w:rFonts w:ascii="Times New Roman" w:cs="Times New Roman" w:eastAsia="Times New Roman" w:hAnsi="Times New Roman"/>
          <w:sz w:val="22"/>
          <w:szCs w:val="22"/>
          <w:color w:val="auto"/>
        </w:rPr>
        <w:t>”), the rights conveyed by LICENSEE or its AFFILIATES to such NON-COMPLIANT ENTITY under this AGREEMENT may be terminated by LICENSOR upon sixty (60) days’ written notice to LICENSEE. Said notice shall become effective at the end of the sixty (60) day period, unless during said period LICENSEE causes the NON-COMPLIANT ENTITY to cure the non-compliant activities, and LICENSEE provides clear written evidence of such cure to LICENSOR.</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4" w:name="page315"/>
    <w:bookmarkEnd w:id="314"/>
    <w:p>
      <w:pPr>
        <w:ind w:right="40" w:firstLine="2246"/>
        <w:spacing w:after="0" w:line="236" w:lineRule="auto"/>
        <w:rPr>
          <w:sz w:val="20"/>
          <w:szCs w:val="20"/>
          <w:color w:val="auto"/>
        </w:rPr>
      </w:pPr>
      <w:r>
        <w:rPr>
          <w:rFonts w:ascii="Times New Roman" w:cs="Times New Roman" w:eastAsia="Times New Roman" w:hAnsi="Times New Roman"/>
          <w:sz w:val="22"/>
          <w:szCs w:val="22"/>
          <w:color w:val="auto"/>
        </w:rPr>
        <w:t>(iii)LICENSOR shall have the right to terminate this AGREEMENT immediately at any time upon written notice to LICENSEE in the event that LICENSOR reasonably determines that continued performance under the AGREEMENT may violate any LAWS. LICENSOR shall communicate with LICENSEE regarding the circumstances giving rise to such termination and shall use commercially reasonable efforts to provide LICENSEE with advance notice of such termination. Prior to terminating the AGREEMENT as set forth herein, LICENSOR shall use commercially reasonable efforts to mitigate the potential violation of any LAWS.</w:t>
      </w:r>
    </w:p>
    <w:p>
      <w:pPr>
        <w:spacing w:after="0" w:line="181" w:lineRule="exact"/>
        <w:rPr>
          <w:sz w:val="20"/>
          <w:szCs w:val="20"/>
          <w:color w:val="auto"/>
        </w:rPr>
      </w:pPr>
    </w:p>
    <w:p>
      <w:pPr>
        <w:ind w:right="1420"/>
        <w:spacing w:after="0" w:line="258" w:lineRule="auto"/>
        <w:rPr>
          <w:sz w:val="20"/>
          <w:szCs w:val="20"/>
          <w:color w:val="auto"/>
        </w:rPr>
      </w:pPr>
      <w:r>
        <w:rPr>
          <w:rFonts w:ascii="Times New Roman" w:cs="Times New Roman" w:eastAsia="Times New Roman" w:hAnsi="Times New Roman"/>
          <w:sz w:val="22"/>
          <w:szCs w:val="22"/>
          <w:color w:val="auto"/>
        </w:rPr>
        <w:t>Termination by LICENSOR in compliance with this Section 7.3 shall not, in any event, constitute a breach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7.4</w:t>
      </w:r>
      <w:r>
        <w:rPr>
          <w:rFonts w:ascii="Times New Roman" w:cs="Times New Roman" w:eastAsia="Times New Roman" w:hAnsi="Times New Roman"/>
          <w:sz w:val="22"/>
          <w:szCs w:val="22"/>
          <w:u w:val="single" w:color="auto"/>
          <w:color w:val="auto"/>
        </w:rPr>
        <w:t>Effect of 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00" w:firstLine="1505"/>
        <w:spacing w:after="0" w:line="251" w:lineRule="auto"/>
        <w:tabs>
          <w:tab w:leader="none" w:pos="2036"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effective date of termination of this AGREEMENT, all rights and licenses granted to LICENSEE and its AFFILIATES by LICENSOR hereunder, including any rights extended by LICENSEE and/or its AFFILIATES to SERVICE PROVIDERS or DISTRIBUTORS shall automatically and immediately terminate and LICENSEE shall immediately stop, and shall cause (if applicable) its AFFILIATES, SERVICE PROVIDERS, and DISTRIBUTORS to immediately stop, exercising the license rights granted to LICENSEE in Section 2.1 of this AGREEMENT.</w:t>
      </w:r>
    </w:p>
    <w:p>
      <w:pPr>
        <w:spacing w:after="0" w:line="168" w:lineRule="exact"/>
        <w:rPr>
          <w:rFonts w:ascii="Times New Roman" w:cs="Times New Roman" w:eastAsia="Times New Roman" w:hAnsi="Times New Roman"/>
          <w:sz w:val="21"/>
          <w:szCs w:val="21"/>
          <w:color w:val="auto"/>
        </w:rPr>
      </w:pPr>
    </w:p>
    <w:p>
      <w:pPr>
        <w:ind w:firstLine="1505"/>
        <w:spacing w:after="0" w:line="239" w:lineRule="auto"/>
        <w:tabs>
          <w:tab w:leader="none" w:pos="203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shall, as soon as practicable, but in any event, within sixty (60) days following the effective date of termination of this AGREEMENT cause its AFFILIATES and SERVICE PROVIDERS to return to LICENSEE or destroy all CELLS in such AFFILIATES’ and/or SERVICE PROVIDERS’ possession, with certification of such return or destruction in writing to LICENSEE (with a copy of such certification provided to LICENSOR upon request).</w:t>
      </w:r>
    </w:p>
    <w:p>
      <w:pPr>
        <w:spacing w:after="0" w:line="180" w:lineRule="exact"/>
        <w:rPr>
          <w:rFonts w:ascii="Times New Roman" w:cs="Times New Roman" w:eastAsia="Times New Roman" w:hAnsi="Times New Roman"/>
          <w:sz w:val="22"/>
          <w:szCs w:val="22"/>
          <w:color w:val="auto"/>
        </w:rPr>
      </w:pPr>
    </w:p>
    <w:p>
      <w:pPr>
        <w:ind w:right="80" w:firstLine="1505"/>
        <w:spacing w:after="0" w:line="236" w:lineRule="auto"/>
        <w:tabs>
          <w:tab w:leader="none" w:pos="203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for any reason of rights conveyed by LICENSEE or its AFFILIATES to any AFFILIATE or SERVICE PROVIDER under this AGREEMENT, which termination does not include termination of the licenses granted to LICENSEE hereunder, LICENSEE shall, within thirty (30) days following the effective date of such termination, cause the terminated AFFILIATE or SERVICE PROVIDER to return to LICENSEE or destroy all CELLS in such AFFILIATE’s or SERVICE PROVIDER’s possession and to certify such return or destruction in writing to LICENSEE (with a copy of such certification provided to LICENSOR upon request).</w:t>
      </w:r>
    </w:p>
    <w:p>
      <w:pPr>
        <w:spacing w:after="0" w:line="181" w:lineRule="exact"/>
        <w:rPr>
          <w:rFonts w:ascii="Times New Roman" w:cs="Times New Roman" w:eastAsia="Times New Roman" w:hAnsi="Times New Roman"/>
          <w:sz w:val="22"/>
          <w:szCs w:val="22"/>
          <w:color w:val="auto"/>
        </w:rPr>
      </w:pPr>
    </w:p>
    <w:p>
      <w:pPr>
        <w:ind w:right="140" w:firstLine="1505"/>
        <w:spacing w:after="0" w:line="236" w:lineRule="auto"/>
        <w:tabs>
          <w:tab w:leader="none" w:pos="203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and obligations of the PARTIES set forth herein that expressly or by their nature survive the expiration, assignment or termination of this AGREEMENT shall continue in full force and effect subsequent to, and notwithstanding the termination of this AGREEMENT until they are satisfied or by their nature expire and shall bind the PARTIES and their legal representatives, successors, and permitted assigns, including, without limitation (i) Sections 3 and 4 (to the extent that payment obligations existing before expiration or termination of this AGREEMENT remain unmet upon expiration or termination of this AGREEMENT); and (ii) Sections 1, 5, 6, 7.4, 8, 9.5, 9.6, 10, 11 and 12.</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5" w:name="page316"/>
    <w:bookmarkEnd w:id="315"/>
    <w:p>
      <w:pPr>
        <w:ind w:left="520" w:hanging="512"/>
        <w:spacing w:after="0"/>
        <w:tabs>
          <w:tab w:leader="none" w:pos="520"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Assignment/Transferability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u w:val="single" w:color="auto"/>
          <w:color w:val="auto"/>
        </w:rPr>
        <w:t>Assignment by LICENSEE</w:t>
      </w:r>
      <w:r>
        <w:rPr>
          <w:rFonts w:ascii="Times New Roman" w:cs="Times New Roman" w:eastAsia="Times New Roman" w:hAnsi="Times New Roman"/>
          <w:sz w:val="22"/>
          <w:szCs w:val="22"/>
          <w:color w:val="auto"/>
        </w:rPr>
        <w:t xml:space="preserve">. This AGREEMENT is personal to LICENSEE and neither this AGREEMENT nor any right or obligation hereunder may be assigned or otherwise transferred (whether voluntarily, by operation of law or otherwise, including, without limitation (i) through the acquisition by any person or group, directly or indirectly, of the beneficial ownership of more than fifty percent (50%) of the total voting power of LICENSEE; (ii) through a merger of LICENSEE into another person or entity; and (iii) through the sale, lease or transfer of all or substantially all of the assets of LICENSEE to any person or entity in one or a series of related transactions with any of the foregoing referred to as a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xml:space="preserve"> by LICENSEE, without the prior express written consent of LICENSOR, which shall not be unreasonably withheld, except that, without such consent, LICENSEE may transfer this Agreement to SOLID GT, LLC.</w:t>
      </w:r>
    </w:p>
    <w:p>
      <w:pPr>
        <w:spacing w:after="0" w:line="178"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8.2</w:t>
      </w:r>
      <w:r>
        <w:rPr>
          <w:rFonts w:ascii="Times New Roman" w:cs="Times New Roman" w:eastAsia="Times New Roman" w:hAnsi="Times New Roman"/>
          <w:sz w:val="22"/>
          <w:szCs w:val="22"/>
          <w:u w:val="single" w:color="auto"/>
          <w:color w:val="auto"/>
        </w:rPr>
        <w:t>Assignment by LICENSOR</w:t>
      </w:r>
      <w:r>
        <w:rPr>
          <w:rFonts w:ascii="Times New Roman" w:cs="Times New Roman" w:eastAsia="Times New Roman" w:hAnsi="Times New Roman"/>
          <w:sz w:val="22"/>
          <w:szCs w:val="22"/>
          <w:color w:val="auto"/>
        </w:rPr>
        <w:t>. LICENSOR may assign all or any part of its rights and obligations under this AGREEMENT at any time without the consent of LICENSEE or its AFFILIATES or (if applicable) any successor or permitted transferee of LICENSEE to whom this AGREEMENT may have been assigned pursuant to Section 8.1. LICENSEE or (if applicable) any successor or permitted transferee agrees to execute such further acknowledgments or other instruments as LICENSOR may reasonably request in connection with such assignment.</w:t>
      </w:r>
    </w:p>
    <w:p>
      <w:pPr>
        <w:spacing w:after="0" w:line="177"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Any permitted assignment of this AGREEMENT shall be binding on the assignee. Any purported assignment or other transfer of this AGREEMENT other than as expressly set forth in Section 2.1 or this Section 8 shall be null and void.</w:t>
      </w:r>
    </w:p>
    <w:p>
      <w:pPr>
        <w:spacing w:after="0" w:line="169" w:lineRule="exact"/>
        <w:rPr>
          <w:sz w:val="20"/>
          <w:szCs w:val="20"/>
          <w:color w:val="auto"/>
        </w:rPr>
      </w:pPr>
    </w:p>
    <w:p>
      <w:pPr>
        <w:ind w:left="520" w:hanging="512"/>
        <w:spacing w:after="0"/>
        <w:tabs>
          <w:tab w:leader="none" w:pos="520"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Warranties and Representations; Acknowledgements; Limitation of Liability</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9.1</w:t>
      </w:r>
      <w:r>
        <w:rPr>
          <w:rFonts w:ascii="Times New Roman" w:cs="Times New Roman" w:eastAsia="Times New Roman" w:hAnsi="Times New Roman"/>
          <w:sz w:val="22"/>
          <w:szCs w:val="22"/>
          <w:u w:val="single" w:color="auto"/>
          <w:color w:val="auto"/>
        </w:rPr>
        <w:t>By LICENSOR</w:t>
      </w:r>
      <w:r>
        <w:rPr>
          <w:rFonts w:ascii="Times New Roman" w:cs="Times New Roman" w:eastAsia="Times New Roman" w:hAnsi="Times New Roman"/>
          <w:sz w:val="22"/>
          <w:szCs w:val="22"/>
          <w:color w:val="auto"/>
        </w:rPr>
        <w:t>. LICENSOR represents and warrants that, as of the EFFECTIVE DATE, it has the full right and authority to enter into this AGREEMENT and to grant to LICENSEE the rights granted in Section 2 of this AGREEMENT. For the avoidance of doubt, CELLS were provided “as is” solely for LICENSEE to generate derivatives products. Except as provided in this Section 9.1, LICENSOR makes no representations or warranties concerning the CELLS.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u w:val="single" w:color="auto"/>
          <w:color w:val="auto"/>
        </w:rPr>
        <w:t>By LICENSEE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represents, warrants and covenants to LICENSOR that:</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has the full right and authority to enter into this AGREEMENT;</w:t>
      </w:r>
    </w:p>
    <w:p>
      <w:pPr>
        <w:spacing w:after="0" w:line="206" w:lineRule="exact"/>
        <w:rPr>
          <w:rFonts w:ascii="Times New Roman" w:cs="Times New Roman" w:eastAsia="Times New Roman" w:hAnsi="Times New Roman"/>
          <w:sz w:val="22"/>
          <w:szCs w:val="22"/>
          <w:color w:val="auto"/>
        </w:rPr>
      </w:pPr>
    </w:p>
    <w:p>
      <w:pPr>
        <w:ind w:right="600" w:firstLine="2254"/>
        <w:spacing w:after="0" w:line="258" w:lineRule="auto"/>
        <w:tabs>
          <w:tab w:leader="none" w:pos="2546"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use of CELLS by LICENSEE, its AFFILIATES and SERVICE PROVIDERS prior to the EFFECTIVE DATE has been in compliance with the non-financial terms and conditions of this AGREEMENT;</w:t>
      </w:r>
    </w:p>
    <w:p>
      <w:pPr>
        <w:spacing w:after="0" w:line="158" w:lineRule="exact"/>
        <w:rPr>
          <w:sz w:val="20"/>
          <w:szCs w:val="20"/>
          <w:color w:val="auto"/>
        </w:rPr>
      </w:pPr>
    </w:p>
    <w:p>
      <w:pPr>
        <w:ind w:right="140" w:firstLine="2246"/>
        <w:spacing w:after="0" w:line="258" w:lineRule="auto"/>
        <w:rPr>
          <w:sz w:val="20"/>
          <w:szCs w:val="20"/>
          <w:color w:val="auto"/>
        </w:rPr>
      </w:pPr>
      <w:r>
        <w:rPr>
          <w:rFonts w:ascii="Times New Roman" w:cs="Times New Roman" w:eastAsia="Times New Roman" w:hAnsi="Times New Roman"/>
          <w:sz w:val="22"/>
          <w:szCs w:val="22"/>
          <w:color w:val="auto"/>
        </w:rPr>
        <w:t>(iii)LICENSEE has complied with and shall comply with and require its AFFILIATES and SERVICE PROVIDERS to comply with all (i) LAWS; and (ii)</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4" w:right="399" w:bottom="1440" w:gutter="0" w:footer="0" w:header="0"/>
        </w:sectPr>
      </w:pPr>
    </w:p>
    <w:bookmarkStart w:id="316" w:name="page317"/>
    <w:bookmarkEnd w:id="316"/>
    <w:p>
      <w:pPr>
        <w:ind w:right="780"/>
        <w:spacing w:after="0" w:line="258" w:lineRule="auto"/>
        <w:rPr>
          <w:sz w:val="20"/>
          <w:szCs w:val="20"/>
          <w:color w:val="auto"/>
        </w:rPr>
      </w:pPr>
      <w:r>
        <w:rPr>
          <w:rFonts w:ascii="Times New Roman" w:cs="Times New Roman" w:eastAsia="Times New Roman" w:hAnsi="Times New Roman"/>
          <w:sz w:val="22"/>
          <w:szCs w:val="22"/>
          <w:color w:val="auto"/>
        </w:rPr>
        <w:t>requirements of REGULATORY AUTHORITIES in connection with the exercise of the rights granted to LICENSEE by LICENSOR hereunder;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(iv)LICENSEE will not resell CELLS;</w:t>
      </w:r>
    </w:p>
    <w:p>
      <w:pPr>
        <w:spacing w:after="0" w:line="206" w:lineRule="exact"/>
        <w:rPr>
          <w:sz w:val="20"/>
          <w:szCs w:val="20"/>
          <w:color w:val="auto"/>
        </w:rPr>
      </w:pPr>
    </w:p>
    <w:p>
      <w:pPr>
        <w:ind w:right="140" w:firstLine="2254"/>
        <w:spacing w:after="0" w:line="258" w:lineRule="auto"/>
        <w:tabs>
          <w:tab w:leader="none" w:pos="254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has and will maintain the technical and other requisite competencies to determine, and is solely responsible for determining, the suitability of the CELLS purchased from LICENSOR for use by LICENSEE;</w:t>
      </w:r>
    </w:p>
    <w:p>
      <w:pPr>
        <w:spacing w:after="0" w:line="158" w:lineRule="exact"/>
        <w:rPr>
          <w:sz w:val="20"/>
          <w:szCs w:val="20"/>
          <w:color w:val="auto"/>
        </w:rPr>
      </w:pPr>
    </w:p>
    <w:p>
      <w:pPr>
        <w:ind w:firstLine="2246"/>
        <w:spacing w:after="0" w:line="238" w:lineRule="auto"/>
        <w:rPr>
          <w:sz w:val="20"/>
          <w:szCs w:val="20"/>
          <w:color w:val="auto"/>
        </w:rPr>
      </w:pPr>
      <w:r>
        <w:rPr>
          <w:rFonts w:ascii="Times New Roman" w:cs="Times New Roman" w:eastAsia="Times New Roman" w:hAnsi="Times New Roman"/>
          <w:sz w:val="22"/>
          <w:szCs w:val="22"/>
          <w:color w:val="auto"/>
        </w:rPr>
        <w:t>(vi)LICENSEE and its AFFILIATES, as applicable, will conduct all necessary tests, comply with all applicable regulatory requirements and obtain all applicable REGULATORY AUTHORIZATIONS, issue all appropriate warnings and information to users, and be responsible for obtaining any required THIRD PARTY intellectual property rights with respect to LICENSEE’S and its AFFILIATES’ (a) use of CELLS or RIGHTS and (b) COMMERCIALIZATION of LICENSEE PRODUCTS;</w:t>
      </w:r>
    </w:p>
    <w:p>
      <w:pPr>
        <w:spacing w:after="0" w:line="177" w:lineRule="exact"/>
        <w:rPr>
          <w:sz w:val="20"/>
          <w:szCs w:val="20"/>
          <w:color w:val="auto"/>
        </w:rPr>
      </w:pPr>
    </w:p>
    <w:p>
      <w:pPr>
        <w:ind w:right="300" w:firstLine="2246"/>
        <w:spacing w:after="0" w:line="244" w:lineRule="auto"/>
        <w:rPr>
          <w:sz w:val="20"/>
          <w:szCs w:val="20"/>
          <w:color w:val="auto"/>
        </w:rPr>
      </w:pPr>
      <w:r>
        <w:rPr>
          <w:rFonts w:ascii="Times New Roman" w:cs="Times New Roman" w:eastAsia="Times New Roman" w:hAnsi="Times New Roman"/>
          <w:sz w:val="22"/>
          <w:szCs w:val="22"/>
          <w:color w:val="auto"/>
        </w:rPr>
        <w:t>(vii)LICENSEE will adhere to LICENSEE’S procedures, current Good Manufacturing Practices (cGMP) process for manufacturing LICENSEE PRODUCTS, and will conduct all testing needed to ensure the safety, potency and purity of LICENSEE PRODUCTS and compliance with LAWS;</w:t>
      </w:r>
    </w:p>
    <w:p>
      <w:pPr>
        <w:spacing w:after="0" w:line="173" w:lineRule="exact"/>
        <w:rPr>
          <w:sz w:val="20"/>
          <w:szCs w:val="20"/>
          <w:color w:val="auto"/>
        </w:rPr>
      </w:pPr>
    </w:p>
    <w:p>
      <w:pPr>
        <w:jc w:val="both"/>
        <w:ind w:right="820" w:firstLine="2246"/>
        <w:spacing w:after="0" w:line="244" w:lineRule="auto"/>
        <w:rPr>
          <w:sz w:val="20"/>
          <w:szCs w:val="20"/>
          <w:color w:val="auto"/>
        </w:rPr>
      </w:pPr>
      <w:r>
        <w:rPr>
          <w:rFonts w:ascii="Times New Roman" w:cs="Times New Roman" w:eastAsia="Times New Roman" w:hAnsi="Times New Roman"/>
          <w:sz w:val="22"/>
          <w:szCs w:val="22"/>
          <w:color w:val="auto"/>
        </w:rPr>
        <w:t>(viii)LICENSEE shall diligently pursue REGULATORY AUTHORIZATION for LICENSEE PRODUCTS and shall not sell or cause to be sold, use or cause to be used such LICENSEE PRODUCTS in any manner requiring such REGULATORY AUTHORIZATION until it is finally obtained; and</w:t>
      </w:r>
    </w:p>
    <w:p>
      <w:pPr>
        <w:spacing w:after="0" w:line="173" w:lineRule="exact"/>
        <w:rPr>
          <w:sz w:val="20"/>
          <w:szCs w:val="20"/>
          <w:color w:val="auto"/>
        </w:rPr>
      </w:pPr>
    </w:p>
    <w:p>
      <w:pPr>
        <w:ind w:firstLine="2246"/>
        <w:spacing w:after="0" w:line="236" w:lineRule="auto"/>
        <w:rPr>
          <w:sz w:val="20"/>
          <w:szCs w:val="20"/>
          <w:color w:val="auto"/>
        </w:rPr>
      </w:pPr>
      <w:r>
        <w:rPr>
          <w:rFonts w:ascii="Times New Roman" w:cs="Times New Roman" w:eastAsia="Times New Roman" w:hAnsi="Times New Roman"/>
          <w:sz w:val="22"/>
          <w:szCs w:val="22"/>
          <w:color w:val="auto"/>
        </w:rPr>
        <w:t>(ix)LICENSEE will comply with all applicable anticorruption and antibribery laws and will not knowingly take any action that would cause LICENSOR or any of its AFFILIATES to be in violation of such laws. As part of such compliance, LICENSEE represents that it shall not offer or make any improper payments of money or anything of value to a non-U.S. Government Official in connection with this AGREEMENT. Licensee shall not offer or make improper payments to a THIRD PARTY knowing, or suspecting, that the THIRD PARTY will give the payment, or a portion of it, to a Government Official.</w:t>
      </w:r>
    </w:p>
    <w:p>
      <w:pPr>
        <w:spacing w:after="0" w:line="181" w:lineRule="exact"/>
        <w:rPr>
          <w:sz w:val="20"/>
          <w:szCs w:val="20"/>
          <w:color w:val="auto"/>
        </w:rPr>
      </w:pPr>
    </w:p>
    <w:p>
      <w:pPr>
        <w:ind w:left="2040" w:hanging="535"/>
        <w:spacing w:after="0"/>
        <w:tabs>
          <w:tab w:leader="none" w:pos="204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acknowledges and covenants that:</w:t>
      </w:r>
    </w:p>
    <w:p>
      <w:pPr>
        <w:spacing w:after="0" w:line="206" w:lineRule="exact"/>
        <w:rPr>
          <w:rFonts w:ascii="Times New Roman" w:cs="Times New Roman" w:eastAsia="Times New Roman" w:hAnsi="Times New Roman"/>
          <w:sz w:val="22"/>
          <w:szCs w:val="22"/>
          <w:color w:val="auto"/>
        </w:rPr>
      </w:pPr>
    </w:p>
    <w:p>
      <w:pPr>
        <w:ind w:right="160" w:firstLine="2254"/>
        <w:spacing w:after="0" w:line="244" w:lineRule="auto"/>
        <w:tabs>
          <w:tab w:leader="none" w:pos="254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CELLS were originally sold by LICENSOR and its AFFILIATES for research use only and are expressly not qualified for commercial, therapeutic or biotherapeutic purposes by LICENSOR or its AFFILIATES. LICENSEE assumes all responsibility and liability associated with LICENSEE’S use of CELLS for human use;</w:t>
      </w:r>
    </w:p>
    <w:p>
      <w:pPr>
        <w:spacing w:after="0" w:line="173" w:lineRule="exact"/>
        <w:rPr>
          <w:rFonts w:ascii="Times New Roman" w:cs="Times New Roman" w:eastAsia="Times New Roman" w:hAnsi="Times New Roman"/>
          <w:sz w:val="22"/>
          <w:szCs w:val="22"/>
          <w:color w:val="auto"/>
        </w:rPr>
      </w:pPr>
    </w:p>
    <w:p>
      <w:pPr>
        <w:ind w:right="120" w:firstLine="2254"/>
        <w:spacing w:after="0" w:line="244" w:lineRule="auto"/>
        <w:tabs>
          <w:tab w:leader="none" w:pos="254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CELLS have not been tested by or for LICENSOR for safety or efficacy or any other purpose, unless expressly stated in LICENSOR’s catalogues or on the label or other documentation accompanying the CELLS at the time the CELLS were sold to LICENSEE;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17" w:name="page318"/>
    <w:bookmarkEnd w:id="317"/>
    <w:p>
      <w:pPr>
        <w:ind w:right="600" w:firstLine="2246"/>
        <w:spacing w:after="0" w:line="258" w:lineRule="auto"/>
        <w:rPr>
          <w:sz w:val="20"/>
          <w:szCs w:val="20"/>
          <w:color w:val="auto"/>
        </w:rPr>
      </w:pPr>
      <w:r>
        <w:rPr>
          <w:rFonts w:ascii="Times New Roman" w:cs="Times New Roman" w:eastAsia="Times New Roman" w:hAnsi="Times New Roman"/>
          <w:sz w:val="22"/>
          <w:szCs w:val="22"/>
          <w:color w:val="auto"/>
        </w:rPr>
        <w:t>(iii)Except as provided in Section 2.4, LICENSOR has no obligation to develop any cell lineage history, testing results or any other cell line documentation relating to the CELLS;</w:t>
      </w:r>
    </w:p>
    <w:p>
      <w:pPr>
        <w:spacing w:after="0" w:line="158" w:lineRule="exact"/>
        <w:rPr>
          <w:sz w:val="20"/>
          <w:szCs w:val="20"/>
          <w:color w:val="auto"/>
        </w:rPr>
      </w:pPr>
    </w:p>
    <w:p>
      <w:pPr>
        <w:ind w:right="400" w:firstLine="2246"/>
        <w:spacing w:after="0" w:line="244" w:lineRule="auto"/>
        <w:rPr>
          <w:sz w:val="20"/>
          <w:szCs w:val="20"/>
          <w:color w:val="auto"/>
        </w:rPr>
      </w:pPr>
      <w:r>
        <w:rPr>
          <w:rFonts w:ascii="Times New Roman" w:cs="Times New Roman" w:eastAsia="Times New Roman" w:hAnsi="Times New Roman"/>
          <w:sz w:val="22"/>
          <w:szCs w:val="22"/>
          <w:color w:val="auto"/>
        </w:rPr>
        <w:t>(iv)Except as provided in Section 2.4, LICENSOR has not provided, nor does any term in this AGREEMENT require it to provide to LICENSEE, its AFFILIATES or any THIRD PARTY, any cell lineage history, testing results or any other cell line documentation relating to the CELLS at any time;</w:t>
      </w:r>
    </w:p>
    <w:p>
      <w:pPr>
        <w:spacing w:after="0" w:line="173" w:lineRule="exact"/>
        <w:rPr>
          <w:sz w:val="20"/>
          <w:szCs w:val="20"/>
          <w:color w:val="auto"/>
        </w:rPr>
      </w:pPr>
    </w:p>
    <w:p>
      <w:pPr>
        <w:ind w:right="160" w:firstLine="2254"/>
        <w:spacing w:after="0" w:line="248" w:lineRule="auto"/>
        <w:tabs>
          <w:tab w:leader="none" w:pos="2546"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gaps in the cell line history of CELLS. Except as provided in Section 2.4, LICENSEE agrees to assume all responsibility for addressing those gaps and documenting the steps it took to address those gaps. LICENSEE agrees to assume all responsibility for testing the CELLS, any derivatives thereof, and any products, including LICENSEE PRODUCTS that LICENSEE or its AFFILIATES offers for sale or sells or services that LICENSEE or its AFFILIATES performs that are manufactured using, derivatives of, or ever came in contact with the CELLS, for viral and/or bacterial contamination or other adventitious agents, and that it will remove any such contamination or adventitious agent from any additional processes, materials, or products that LICENSEE may create using or that came in contact with CELLS;</w:t>
      </w:r>
    </w:p>
    <w:p>
      <w:pPr>
        <w:spacing w:after="0" w:line="170" w:lineRule="exact"/>
        <w:rPr>
          <w:sz w:val="20"/>
          <w:szCs w:val="20"/>
          <w:color w:val="auto"/>
        </w:rPr>
      </w:pPr>
    </w:p>
    <w:p>
      <w:pPr>
        <w:ind w:right="540" w:firstLine="2246"/>
        <w:spacing w:after="0" w:line="258" w:lineRule="auto"/>
        <w:rPr>
          <w:sz w:val="20"/>
          <w:szCs w:val="20"/>
          <w:color w:val="auto"/>
        </w:rPr>
      </w:pPr>
      <w:r>
        <w:rPr>
          <w:rFonts w:ascii="Times New Roman" w:cs="Times New Roman" w:eastAsia="Times New Roman" w:hAnsi="Times New Roman"/>
          <w:sz w:val="22"/>
          <w:szCs w:val="22"/>
          <w:color w:val="auto"/>
        </w:rPr>
        <w:t>(vi)LICENSOR developed CELLS and provided CELLS to LICENSEE without expectation that CELLS would be used in humans;</w:t>
      </w:r>
    </w:p>
    <w:p>
      <w:pPr>
        <w:spacing w:after="0" w:line="158" w:lineRule="exact"/>
        <w:rPr>
          <w:sz w:val="20"/>
          <w:szCs w:val="20"/>
          <w:color w:val="auto"/>
        </w:rPr>
      </w:pPr>
    </w:p>
    <w:p>
      <w:pPr>
        <w:ind w:firstLine="2246"/>
        <w:spacing w:after="0" w:line="244" w:lineRule="auto"/>
        <w:rPr>
          <w:sz w:val="20"/>
          <w:szCs w:val="20"/>
          <w:color w:val="auto"/>
        </w:rPr>
      </w:pPr>
      <w:r>
        <w:rPr>
          <w:rFonts w:ascii="Times New Roman" w:cs="Times New Roman" w:eastAsia="Times New Roman" w:hAnsi="Times New Roman"/>
          <w:sz w:val="22"/>
          <w:szCs w:val="22"/>
          <w:color w:val="auto"/>
        </w:rPr>
        <w:t>(vii)LICENSEE’s use of CELLS may require authorization from or licensure of THIRD PARTY intellectual property or proprietary rights and such THIRD PARTY rights are not herein conferred by LICENSOR to LICENSEE by implication, estoppel, or otherwise; and</w:t>
      </w:r>
    </w:p>
    <w:p>
      <w:pPr>
        <w:spacing w:after="0" w:line="173" w:lineRule="exact"/>
        <w:rPr>
          <w:sz w:val="20"/>
          <w:szCs w:val="20"/>
          <w:color w:val="auto"/>
        </w:rPr>
      </w:pPr>
    </w:p>
    <w:p>
      <w:pPr>
        <w:ind w:right="120" w:firstLine="2246"/>
        <w:spacing w:after="0" w:line="244" w:lineRule="auto"/>
        <w:rPr>
          <w:sz w:val="20"/>
          <w:szCs w:val="20"/>
          <w:color w:val="auto"/>
        </w:rPr>
      </w:pPr>
      <w:r>
        <w:rPr>
          <w:rFonts w:ascii="Times New Roman" w:cs="Times New Roman" w:eastAsia="Times New Roman" w:hAnsi="Times New Roman"/>
          <w:sz w:val="22"/>
          <w:szCs w:val="22"/>
          <w:color w:val="auto"/>
        </w:rPr>
        <w:t>(viii)nothing in this AGREEMENT shall be construed as conferring the right to use in advertising, publicity or otherwise any trademarks or any contraction, abbreviation, simulation or adaptation thereof, of LICENSOR, except as expressly set forth herein.</w:t>
      </w:r>
    </w:p>
    <w:p>
      <w:pPr>
        <w:spacing w:after="0" w:line="173"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9.3</w:t>
      </w:r>
      <w:r>
        <w:rPr>
          <w:rFonts w:ascii="Times New Roman" w:cs="Times New Roman" w:eastAsia="Times New Roman" w:hAnsi="Times New Roman"/>
          <w:sz w:val="22"/>
          <w:szCs w:val="22"/>
          <w:u w:val="single" w:color="auto"/>
          <w:color w:val="auto"/>
        </w:rPr>
        <w:t>Mutual</w:t>
      </w:r>
      <w:r>
        <w:rPr>
          <w:rFonts w:ascii="Times New Roman" w:cs="Times New Roman" w:eastAsia="Times New Roman" w:hAnsi="Times New Roman"/>
          <w:sz w:val="22"/>
          <w:szCs w:val="22"/>
          <w:color w:val="auto"/>
        </w:rPr>
        <w:t>. Each PARTY represents and warrants to the other PARTY that (i) such PARTY is a company or corporation duly organized, validly existing and in good standing under the laws of the jurisdiction in which it is organized; (ii) such PARTY has the legal power and authority to execute, deliver and perform this AGREEMENT; (iii) the execution, delivery and performance by such PARTY of this AGREEMENT has been duly authorized by all necessary corporate action; (iv) this AGREEMENT constitutes the legal, valid and binding obligation of such PARTY, enforceable against such PARTY in accordance with its terms; and (v) the execution, delivery and performance of this AGREEMENT will not cause or result in a violation of any law, of such PARTY’s charter documents, or of any contract by which such PARTY is bound.</w:t>
      </w:r>
    </w:p>
    <w:p>
      <w:pPr>
        <w:spacing w:after="0" w:line="183"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9.4</w:t>
      </w:r>
      <w:r>
        <w:rPr>
          <w:rFonts w:ascii="Times New Roman" w:cs="Times New Roman" w:eastAsia="Times New Roman" w:hAnsi="Times New Roman"/>
          <w:sz w:val="22"/>
          <w:szCs w:val="22"/>
          <w:u w:val="single" w:color="auto"/>
          <w:color w:val="auto"/>
        </w:rPr>
        <w:t>Anti-Boycott</w:t>
      </w:r>
      <w:r>
        <w:rPr>
          <w:rFonts w:ascii="Times New Roman" w:cs="Times New Roman" w:eastAsia="Times New Roman" w:hAnsi="Times New Roman"/>
          <w:sz w:val="22"/>
          <w:szCs w:val="22"/>
          <w:color w:val="auto"/>
        </w:rPr>
        <w:t>. Notwithstanding any other provision of this AGREEMENT, neither LICENSEE nor LICENSOR shall be required to take or refrain from taking any action impermissible or penalized under the laws of the United States or any applicable foreign</w:t>
      </w: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2"/>
          <w:szCs w:val="22"/>
          <w:color w:val="auto"/>
        </w:rPr>
        <w:t>jurisdiction, including without limitation the anti-boycott laws administered by the U.S. Commerce and Treasury Departments.</w:t>
      </w:r>
    </w:p>
    <w:p>
      <w:pPr>
        <w:spacing w:after="0" w:line="206"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9.5</w:t>
      </w:r>
      <w:r>
        <w:rPr>
          <w:rFonts w:ascii="Times New Roman" w:cs="Times New Roman" w:eastAsia="Times New Roman" w:hAnsi="Times New Roman"/>
          <w:sz w:val="22"/>
          <w:szCs w:val="22"/>
          <w:u w:val="single" w:color="auto"/>
          <w:color w:val="auto"/>
        </w:rPr>
        <w:t>Disclaimer of Other Warranties</w:t>
      </w:r>
      <w:r>
        <w:rPr>
          <w:rFonts w:ascii="Times New Roman" w:cs="Times New Roman" w:eastAsia="Times New Roman" w:hAnsi="Times New Roman"/>
          <w:sz w:val="22"/>
          <w:szCs w:val="22"/>
          <w:color w:val="auto"/>
        </w:rPr>
        <w:t>. EXCEPT AS EXPRESSLY SET FORTH HEREIN, NEITHER LICENSOR NOR ANY OF ITS AFFILIATES MAKES ANY WARRANTIES, EXPRESS OR IMPLIED OF MERCHANTABILITY OR FITNESS FOR A PARTICULAR PURPOSE, OR THAT THE MANUFACTURE, USE, IMPORT OR SALE OF CELLS OR LICENSEE PRODUCTS WILL BE FREE FROM INFRINGEMENT OF ANY PATENT OR OTHER INTELLECTUAL OR PROPRIETARY RIGHTS OF A THIRD PARTY. LICENSOR AND ITS AFFILIATES EXPRESSLY DISCLAIM ANY AND ALL WARRANTIES THAT THE USE OF CELLS, INCLUDING WITHOUT LIMITATION, THE USE OF CELLS IN THE MANUFACTURE OF LICENSEE PRODUCTS OR COMPONENTS THEREOF, THE USE OF THE RIGHTS OR THE USE OR TRANSFER OF SUCH LICENSEE PRODUCTS OR COMPONENTS THEREOF BY OR TO ANY AFFILIATE OR THIRD PARTY (INCLUDING A SERVICE PROVIDER), AND/OR ANY RESULTS OBTAINED BY USING SUCH CELLS, RIGHTS OR LICENSEE PRODUCTS OR COMPONENTS THEREOF, ARE, OR WILL BE, FREE FROM INFRINGEMENT OF ANY PATENT OR OTHER INTELLECTUAL OR PROPRIETARY RIGHTS OF THIRD PARTIES; AND THIS ALLOCATION OF RISK BETWEEN THE PARTIES IS REFLECTED IN THE TERMS OF THE AGREEMENT AND IS AN ESSENTIAL ELEMENT OF THE BARGAIN BETWEEN THE PARTIES.</w:t>
      </w:r>
    </w:p>
    <w:p>
      <w:pPr>
        <w:spacing w:after="0" w:line="18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NEITHER LICENSOR NOR ANY OF ITS AFFILIATES MAKES ANY WARRANTIES, EXPRESS OR IMPLIED, AS TO THE SUITABILITY OF THE CELLS FOR HUMAN USE OR COMMERCIALIZATION.</w:t>
      </w:r>
    </w:p>
    <w:p>
      <w:pPr>
        <w:spacing w:after="0" w:line="158"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9.6</w:t>
      </w:r>
      <w:r>
        <w:rPr>
          <w:rFonts w:ascii="Times New Roman" w:cs="Times New Roman" w:eastAsia="Times New Roman" w:hAnsi="Times New Roman"/>
          <w:sz w:val="21"/>
          <w:szCs w:val="21"/>
          <w:u w:val="single" w:color="auto"/>
          <w:color w:val="auto"/>
        </w:rPr>
        <w:t>Indirect Damages</w:t>
      </w:r>
      <w:r>
        <w:rPr>
          <w:rFonts w:ascii="Times New Roman" w:cs="Times New Roman" w:eastAsia="Times New Roman" w:hAnsi="Times New Roman"/>
          <w:sz w:val="21"/>
          <w:szCs w:val="21"/>
          <w:color w:val="auto"/>
        </w:rPr>
        <w:t>. NEITHER LICENSOR NOR ITS AFFILIATES SHALL BE LIABLE HEREUNDER TO LICENSEE, ITS AFFILIATES OR ANY OTHER PERSON OR ENTITY FOR SPECIAL, INCIDENTAL, CONSEQUENTIAL, EXEMPLARY OR OTHER INDIRECT DAMAGES (INCLUDING, BUT NOT LIMITED TO, LOSS OF PROFITS OR LOSS OF USE DAMAGES) ARISING FROM THE MANUFACTURE OR USE OF CELLS OR LICENSEE PRODUCTS, OR THE USE OF THE RIGHTS, OR IN CONNECTION WITH THE PERFORMANCE OF THIS AGREEMENT, EVEN IF LICENSOR AND/OR ITS AFFILIATES HAVE BEEN ADVISED OF THE POSSIBILITY OF SUCH DAMAGES OR LOSSES.</w:t>
      </w:r>
    </w:p>
    <w:p>
      <w:pPr>
        <w:spacing w:after="0" w:line="171" w:lineRule="exact"/>
        <w:rPr>
          <w:sz w:val="20"/>
          <w:szCs w:val="20"/>
          <w:color w:val="auto"/>
        </w:rPr>
      </w:pPr>
    </w:p>
    <w:p>
      <w:pPr>
        <w:ind w:right="80" w:firstLine="749"/>
        <w:spacing w:after="0" w:line="251" w:lineRule="auto"/>
        <w:rPr>
          <w:sz w:val="20"/>
          <w:szCs w:val="20"/>
          <w:color w:val="auto"/>
        </w:rPr>
      </w:pPr>
      <w:r>
        <w:rPr>
          <w:rFonts w:ascii="Times New Roman" w:cs="Times New Roman" w:eastAsia="Times New Roman" w:hAnsi="Times New Roman"/>
          <w:sz w:val="21"/>
          <w:szCs w:val="21"/>
          <w:color w:val="auto"/>
        </w:rPr>
        <w:t>9.7</w:t>
      </w: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UNDER NO CIRCUMSTANCES SHALL THE TOTAL LIABILITY OF LICENSOR AND ITS AFFILIATES, ARISING OUT OF OR RELATED TO THIS AGREEMENT INCLUDING, REGARDLESS OF THE FORUM AND REGARDLESS OF WHETHER ANY ACTION OR CLAIM IS BASED ON CONTRACT, TORT, OR ANY OTHER LEGAL THEORY, EXCEED THE TOTAL AMOUNT PAID BY LICENSEE COLLECTIVELY TO LICENSOR AND ITS AFFILIATES HEREUNDER (DETERMINED AS OF THE DATE OF ANY FINAL JUDGMENT IN SUCH ACTION).</w:t>
      </w:r>
    </w:p>
    <w:p>
      <w:pPr>
        <w:spacing w:after="0" w:line="164" w:lineRule="exact"/>
        <w:rPr>
          <w:sz w:val="20"/>
          <w:szCs w:val="20"/>
          <w:color w:val="auto"/>
        </w:rPr>
      </w:pPr>
    </w:p>
    <w:p>
      <w:pPr>
        <w:ind w:right="20" w:firstLine="8"/>
        <w:spacing w:after="0" w:line="246" w:lineRule="auto"/>
        <w:tabs>
          <w:tab w:leader="none" w:pos="509" w:val="left"/>
        </w:tabs>
        <w:numPr>
          <w:ilvl w:val="0"/>
          <w:numId w:val="2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Export Regulations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 on behalf of itself and its AFFILIATES hereby agrees to comply with all applicable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export laws administered by the FDA and U.S. export control and economic sanctions laws, regulations, and orders, including without limitation those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19" w:name="page320"/>
    <w:bookmarkEnd w:id="319"/>
    <w:p>
      <w:pPr>
        <w:ind w:right="20" w:firstLine="509"/>
        <w:spacing w:after="0" w:line="234" w:lineRule="auto"/>
        <w:rPr>
          <w:sz w:val="20"/>
          <w:szCs w:val="20"/>
          <w:color w:val="auto"/>
        </w:rPr>
      </w:pPr>
      <w:r>
        <w:rPr>
          <w:rFonts w:ascii="Times New Roman" w:cs="Times New Roman" w:eastAsia="Times New Roman" w:hAnsi="Times New Roman"/>
          <w:sz w:val="22"/>
          <w:szCs w:val="22"/>
          <w:color w:val="auto"/>
        </w:rPr>
        <w:t>regulations maintained by the U.S. Treasury Department’s Office of Foreign Assets Control and the U.S. Commerce Department’s Bureau of Industry and Security. Without limiting the foregoing, LICENSEE covenants and agrees that neither it nor its AFFILIATES shall, directly or indirectly, sell, export, re-export, transfer, divert, or otherwise release or dispose of any equipment, product, commodities, services, software, samples, materials, information, technical data, or technology received under this AGREEMENT to or through any individual, entity, or destination, or for use prohibited by the laws or regulations of the U.S. or any other applicable jurisdiction without having obtained prior authorization from the competent GOVERNMENTAL AUTHORITIES as required by all such laws and regulations. LICENSEE’s or any of its AFFILIATES’ breach of this provision shall constitute cause for immediate termination of this AGREEMENT. LICENSEE agrees to indemnify and hold harmless LICENSOR and its AFFILIATES for LICENSEE’s or any of its AFFILIATES’ non-compliance with these controls in connection with a breach of this provision.</w:t>
      </w:r>
    </w:p>
    <w:p>
      <w:pPr>
        <w:spacing w:after="0" w:line="175" w:lineRule="exact"/>
        <w:rPr>
          <w:sz w:val="20"/>
          <w:szCs w:val="20"/>
          <w:color w:val="auto"/>
        </w:rPr>
      </w:pPr>
    </w:p>
    <w:p>
      <w:pPr>
        <w:ind w:left="520" w:hanging="512"/>
        <w:spacing w:after="0"/>
        <w:tabs>
          <w:tab w:leader="none" w:pos="520" w:val="left"/>
        </w:tabs>
        <w:numPr>
          <w:ilvl w:val="0"/>
          <w:numId w:val="2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Indemnity; Insurance</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u w:val="single" w:color="auto"/>
          <w:color w:val="auto"/>
        </w:rPr>
        <w:t>Indemnification by LICENSEE</w:t>
      </w:r>
      <w:r>
        <w:rPr>
          <w:rFonts w:ascii="Times New Roman" w:cs="Times New Roman" w:eastAsia="Times New Roman" w:hAnsi="Times New Roman"/>
          <w:sz w:val="22"/>
          <w:szCs w:val="22"/>
          <w:color w:val="auto"/>
        </w:rPr>
        <w:t xml:space="preserve">. LICENSEE shall defend, indemnify and hold LICENSOR, AFFILIATES, and its and their respective officers, directors, employees and agents (the </w:t>
      </w:r>
      <w:r>
        <w:rPr>
          <w:rFonts w:ascii="Times New Roman" w:cs="Times New Roman" w:eastAsia="Times New Roman" w:hAnsi="Times New Roman"/>
          <w:sz w:val="22"/>
          <w:szCs w:val="22"/>
          <w:b w:val="1"/>
          <w:bCs w:val="1"/>
          <w:color w:val="auto"/>
        </w:rPr>
        <w:t>“INDEMNITEES”),</w:t>
      </w:r>
      <w:r>
        <w:rPr>
          <w:rFonts w:ascii="Times New Roman" w:cs="Times New Roman" w:eastAsia="Times New Roman" w:hAnsi="Times New Roman"/>
          <w:sz w:val="22"/>
          <w:szCs w:val="22"/>
          <w:color w:val="auto"/>
        </w:rPr>
        <w:t xml:space="preserve"> harmless from and against all liability, damages, expenses (including reasonable attorneys’ and expert witness fees and expenses), recoveries and losses resulting from any death, personal injury, illness or property damage (collectively, </w:t>
      </w:r>
      <w:r>
        <w:rPr>
          <w:rFonts w:ascii="Times New Roman" w:cs="Times New Roman" w:eastAsia="Times New Roman" w:hAnsi="Times New Roman"/>
          <w:sz w:val="22"/>
          <w:szCs w:val="22"/>
          <w:b w:val="1"/>
          <w:bCs w:val="1"/>
          <w:color w:val="auto"/>
        </w:rPr>
        <w:t>“LOSSES”)</w:t>
      </w:r>
      <w:r>
        <w:rPr>
          <w:rFonts w:ascii="Times New Roman" w:cs="Times New Roman" w:eastAsia="Times New Roman" w:hAnsi="Times New Roman"/>
          <w:sz w:val="22"/>
          <w:szCs w:val="22"/>
          <w:color w:val="auto"/>
        </w:rPr>
        <w:t xml:space="preserve"> resulting from any claims (including any claims for infringement or misappropriation of intellectual property), demands, actions, suits or proceedings (collectively,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xml:space="preserve"> brought by a THIRD PARTY to the extent that such CLAIMS arise out of, are based on, or result from (i) the replication or use of CELLS by LICENSEE, its AFFILIATES or SERVICE PROVIDERS; (ii) the use of RIGHTS by LICENSEE, its AFFILIATES or SERVICE PROVIDERS; (iii) breach by LICENSEE or any of its AFFILIATES or SERVICE PROVIDERS of any representation, warranty or covenant made by LICENSEE in this AGREEMENT or (iv) any use, sale, or import of LICENSEE PRODUCTS, including but not limited to, use or reliance upon such LICENSEE PRODUCTS or RIGHTS, by LICENSEE, its AFFILIATES, SERVICE PROVIDERS and/or its or their DISTRIBUTORS or customers.</w:t>
      </w:r>
    </w:p>
    <w:p>
      <w:pPr>
        <w:spacing w:after="0" w:line="18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u w:val="single" w:color="auto"/>
          <w:color w:val="auto"/>
        </w:rPr>
        <w:t>Indemnification Procedures</w:t>
      </w:r>
      <w:r>
        <w:rPr>
          <w:rFonts w:ascii="Times New Roman" w:cs="Times New Roman" w:eastAsia="Times New Roman" w:hAnsi="Times New Roman"/>
          <w:sz w:val="22"/>
          <w:szCs w:val="22"/>
          <w:color w:val="auto"/>
        </w:rPr>
        <w:t xml:space="preserve">. INDEMNITEES shall give written notice to LICENSEE in a reasonably timely manner after learning of such CLAIM. INDEMNITEES shall provide LICENSEE with reasonable assistance, at LICENSEE’s expense, in connection with the defense of the CLAIM for which indemnity is being sought. INDEMNITEES may participate in and monitor such defense with counsel of its own choosing at its sole expense;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LICENSEE shall have the right to assume and conduct the defense of the CLAIM with counsel of its choice. LICENSEE shall not settle any CLAIM without the prior written consent of the INDEMNITEES, not to be unreasonably withheld or delayed, unless the settlement involves only the payment of money. INDEMNITEES shall not settle any CLAIM without the prior written consent of LICENSEE. If LICENSEE does not assume and conduct the defense of the CLAIM as provided above, (i) INDEMNITEES may defend against, and consent to the entry of any judgment or enter into any settlement with respect to, the CLAIM in any manner the INDEMNITEES may deem reasonably appropriate (and INDEMNITEES need not consult with, or obtain any consent from, LICENSEE in connection therewith); and (ii)</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2"/>
          <w:szCs w:val="22"/>
          <w:color w:val="auto"/>
        </w:rPr>
        <w:t>LICENSEE will remain responsible to indemnify the INDEMNITEES as provided in this Section 11.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LICENSEE will maintain the following insurance policies:</w:t>
      </w:r>
    </w:p>
    <w:p>
      <w:pPr>
        <w:spacing w:after="0" w:line="206" w:lineRule="exact"/>
        <w:rPr>
          <w:sz w:val="20"/>
          <w:szCs w:val="20"/>
          <w:color w:val="auto"/>
        </w:rPr>
      </w:pPr>
    </w:p>
    <w:p>
      <w:pPr>
        <w:jc w:val="both"/>
        <w:ind w:right="100" w:firstLine="1505"/>
        <w:spacing w:after="0" w:line="239" w:lineRule="auto"/>
        <w:tabs>
          <w:tab w:leader="none" w:pos="203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Research and Development</w:t>
      </w:r>
      <w:r>
        <w:rPr>
          <w:rFonts w:ascii="Times New Roman" w:cs="Times New Roman" w:eastAsia="Times New Roman" w:hAnsi="Times New Roman"/>
          <w:sz w:val="22"/>
          <w:szCs w:val="22"/>
          <w:color w:val="auto"/>
        </w:rPr>
        <w:t>. As of the EFFECTIVE DATE of this AGREEMENT and until the date on which LICENSEE obtains a REGULATORY AUTHORIZATION to COMMERCIALIZE LICENSEE PRODUCT, LICENSEE will maintain in effect commercial general liability coverage, covering LICENSEE’S obligations under this AGREEMENT with limits not less than [**].</w:t>
      </w:r>
    </w:p>
    <w:p>
      <w:pPr>
        <w:spacing w:after="0" w:line="180" w:lineRule="exact"/>
        <w:rPr>
          <w:rFonts w:ascii="Times New Roman" w:cs="Times New Roman" w:eastAsia="Times New Roman" w:hAnsi="Times New Roman"/>
          <w:sz w:val="22"/>
          <w:szCs w:val="22"/>
          <w:color w:val="auto"/>
        </w:rPr>
      </w:pPr>
    </w:p>
    <w:p>
      <w:pPr>
        <w:ind w:firstLine="1505"/>
        <w:spacing w:after="0" w:line="238" w:lineRule="auto"/>
        <w:tabs>
          <w:tab w:leader="none" w:pos="203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Clinical Trials Insurance</w:t>
      </w:r>
      <w:r>
        <w:rPr>
          <w:rFonts w:ascii="Times New Roman" w:cs="Times New Roman" w:eastAsia="Times New Roman" w:hAnsi="Times New Roman"/>
          <w:sz w:val="22"/>
          <w:szCs w:val="22"/>
          <w:color w:val="auto"/>
        </w:rPr>
        <w:t>. From the first day LICENSEE commences clinical trials using materials manufactured using CELLS (“</w:t>
      </w:r>
      <w:r>
        <w:rPr>
          <w:rFonts w:ascii="Times New Roman" w:cs="Times New Roman" w:eastAsia="Times New Roman" w:hAnsi="Times New Roman"/>
          <w:sz w:val="22"/>
          <w:szCs w:val="22"/>
          <w:b w:val="1"/>
          <w:bCs w:val="1"/>
          <w:color w:val="auto"/>
        </w:rPr>
        <w:t>LICENSEE’S CLINICAL TRIAL(S)</w:t>
      </w:r>
      <w:r>
        <w:rPr>
          <w:rFonts w:ascii="Times New Roman" w:cs="Times New Roman" w:eastAsia="Times New Roman" w:hAnsi="Times New Roman"/>
          <w:sz w:val="22"/>
          <w:szCs w:val="22"/>
          <w:color w:val="auto"/>
        </w:rPr>
        <w:t>”) and for at least five (5) years of consistent coverage (tail coverage for claims-made policy) after termination of this Agreement, LICENSEE will maintain in effect clinical trial insurance coverage with limits and policy terms required by local LAWS in the territories where the LICENSEE’S CLINICAL TRIALS are taking place and not less than:</w:t>
      </w:r>
    </w:p>
    <w:p>
      <w:pPr>
        <w:spacing w:after="0" w:line="17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upon commencement of PHASE I CLINICAL STUDY; and</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upon commencement of any LICENSEE’S CLINICAL TRIALS beyond PHASE I CLINICAL</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TRIAL.</w:t>
      </w:r>
    </w:p>
    <w:p>
      <w:pPr>
        <w:spacing w:after="0" w:line="182" w:lineRule="exact"/>
        <w:rPr>
          <w:rFonts w:ascii="Times New Roman" w:cs="Times New Roman" w:eastAsia="Times New Roman" w:hAnsi="Times New Roman"/>
          <w:sz w:val="21"/>
          <w:szCs w:val="21"/>
          <w:color w:val="auto"/>
        </w:rPr>
      </w:pPr>
    </w:p>
    <w:p>
      <w:pPr>
        <w:ind w:right="80" w:firstLine="1505"/>
        <w:spacing w:after="0" w:line="235" w:lineRule="auto"/>
        <w:tabs>
          <w:tab w:leader="none" w:pos="203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 upon COMMERCIALIZATION</w:t>
      </w:r>
      <w:r>
        <w:rPr>
          <w:rFonts w:ascii="Times New Roman" w:cs="Times New Roman" w:eastAsia="Times New Roman" w:hAnsi="Times New Roman"/>
          <w:sz w:val="22"/>
          <w:szCs w:val="22"/>
          <w:color w:val="auto"/>
        </w:rPr>
        <w:t>. Prior to or upon the grant of a REGULATORY AUTHORIZATION to COMMERCIALIZE LICENSEE PRODUCT, LICENSEE will maintain commercial general liability and product liability insurance, covering therapeutic products and LICENSEE’S obligations under the terms of this AGREEMENT, including its indemnification obligations and costs for defense, for any claims arising from bodily injury and property damage regarding the use of CELLS with limits not less than [**]. This insurance policy will be maintained until the later of: (i) the expiration of any applicable statute of limitations, (ii) five (5) years following termination of this AGREEMENT, or (iii) five (5) years following the last sale of LICENSEE PRODUCTS.</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insurance policies, or certificates issued to LICENSEE evidencing such insurance coverage shall:</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as additional insured each of LICENSOR and its AFFILIATES;</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primary and non-contributing with, and not in excess of, any other insurance available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w:t>
      </w:r>
    </w:p>
    <w:p>
      <w:pPr>
        <w:spacing w:after="0" w:line="182" w:lineRule="exact"/>
        <w:rPr>
          <w:sz w:val="20"/>
          <w:szCs w:val="20"/>
          <w:color w:val="auto"/>
        </w:rPr>
      </w:pPr>
    </w:p>
    <w:p>
      <w:pPr>
        <w:ind w:right="360" w:firstLine="2246"/>
        <w:spacing w:after="0" w:line="258" w:lineRule="auto"/>
        <w:rPr>
          <w:sz w:val="20"/>
          <w:szCs w:val="20"/>
          <w:color w:val="auto"/>
        </w:rPr>
      </w:pPr>
      <w:r>
        <w:rPr>
          <w:rFonts w:ascii="Times New Roman" w:cs="Times New Roman" w:eastAsia="Times New Roman" w:hAnsi="Times New Roman"/>
          <w:sz w:val="22"/>
          <w:szCs w:val="22"/>
          <w:color w:val="auto"/>
        </w:rPr>
        <w:t>(iii)Have reasonable and customary deductible amounts compared to other similar companies in the biotechnology and biopharmaceutical industry;</w:t>
      </w:r>
    </w:p>
    <w:p>
      <w:pPr>
        <w:spacing w:after="0" w:line="158" w:lineRule="exact"/>
        <w:rPr>
          <w:sz w:val="20"/>
          <w:szCs w:val="20"/>
          <w:color w:val="auto"/>
        </w:rPr>
      </w:pPr>
    </w:p>
    <w:p>
      <w:pPr>
        <w:ind w:right="120" w:firstLine="2246"/>
        <w:spacing w:after="0" w:line="258" w:lineRule="auto"/>
        <w:rPr>
          <w:sz w:val="20"/>
          <w:szCs w:val="20"/>
          <w:color w:val="auto"/>
        </w:rPr>
      </w:pPr>
      <w:r>
        <w:rPr>
          <w:rFonts w:ascii="Times New Roman" w:cs="Times New Roman" w:eastAsia="Times New Roman" w:hAnsi="Times New Roman"/>
          <w:sz w:val="22"/>
          <w:szCs w:val="22"/>
          <w:color w:val="auto"/>
        </w:rPr>
        <w:t>(iv)Be issued by responsible insurance carriers licensed to do business in the state in which the project is located, and with a rating of not less than A-, as rated in the most currently available “Best’s Insurance Guide;”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21" w:name="page322"/>
    <w:bookmarkEnd w:id="321"/>
    <w:p>
      <w:pPr>
        <w:ind w:right="20" w:firstLine="1505"/>
        <w:spacing w:after="0" w:line="236" w:lineRule="auto"/>
        <w:tabs>
          <w:tab w:leader="none" w:pos="203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will also maintain locally admitted commercial general liability and/or other clinical trial coverage and product liability insurance, covering therapeutic products and LICENSEE’S obligations under the terms of this AGREEMENT, in any other territories where (i) LICENSEE operates, (ii) LICENSEE’S CLINICAL TRIALS are taking place, or (iii) LICENSEE PRODUCTS are manufactured, COMMERCIALIZED, or used, as required by applicable LAWS. Such insurance policies shall name as additional insured each of LICENSOR and its AFFILIATES, if such additional insured language is customary in these territories.</w:t>
      </w:r>
    </w:p>
    <w:p>
      <w:pPr>
        <w:spacing w:after="0" w:line="181" w:lineRule="exact"/>
        <w:rPr>
          <w:rFonts w:ascii="Times New Roman" w:cs="Times New Roman" w:eastAsia="Times New Roman" w:hAnsi="Times New Roman"/>
          <w:sz w:val="22"/>
          <w:szCs w:val="22"/>
          <w:color w:val="auto"/>
        </w:rPr>
      </w:pPr>
    </w:p>
    <w:p>
      <w:pPr>
        <w:ind w:right="260" w:firstLine="1505"/>
        <w:spacing w:after="0" w:line="244" w:lineRule="auto"/>
        <w:tabs>
          <w:tab w:leader="none" w:pos="203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insurance evidencing the coverage as required by this Section 11.3 will be delivered to LICENSOR by LICENSEE upon request. LICENSEE will notify LICENSOR if the insurance policy is cancelled, suspended, non-renewed, terminated, or materially altered, within thirty (30) days from such change.</w:t>
      </w:r>
    </w:p>
    <w:p>
      <w:pPr>
        <w:spacing w:after="0" w:line="173" w:lineRule="exact"/>
        <w:rPr>
          <w:rFonts w:ascii="Times New Roman" w:cs="Times New Roman" w:eastAsia="Times New Roman" w:hAnsi="Times New Roman"/>
          <w:sz w:val="22"/>
          <w:szCs w:val="22"/>
          <w:color w:val="auto"/>
        </w:rPr>
      </w:pPr>
    </w:p>
    <w:p>
      <w:pPr>
        <w:ind w:right="40" w:firstLine="1505"/>
        <w:spacing w:after="0" w:line="239" w:lineRule="auto"/>
        <w:tabs>
          <w:tab w:leader="none" w:pos="203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is solely responsible to ensure it maintains the appropriate insurance and level of coverage as required herein. In the event of a failure to carry and maintain the levels of insurance required herein or a failure to remedy any non-conformity, LICENSOR will be entitled to treat such failure as a material breach of the Agreement, in addition to all other rights and remedies available to LICENSOR.</w:t>
      </w:r>
    </w:p>
    <w:p>
      <w:pPr>
        <w:spacing w:after="0" w:line="180" w:lineRule="exact"/>
        <w:rPr>
          <w:sz w:val="20"/>
          <w:szCs w:val="20"/>
          <w:color w:val="auto"/>
        </w:rPr>
      </w:pPr>
    </w:p>
    <w:p>
      <w:pPr>
        <w:ind w:left="520" w:hanging="512"/>
        <w:spacing w:after="0"/>
        <w:tabs>
          <w:tab w:leader="none" w:pos="520" w:val="left"/>
        </w:tabs>
        <w:numPr>
          <w:ilvl w:val="0"/>
          <w:numId w:val="2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General.</w:t>
      </w:r>
    </w:p>
    <w:p>
      <w:pPr>
        <w:spacing w:after="0" w:line="206"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LICENSOR and LICENSEE as to the subject matter hereof, and all prior negotiations, representations, agreements and understandings are merged into, extinguished by and completely expressed by this AGREEMENT. This AGREEMENT may be modified or amended only by a writing executed by authorized officers of both of the PARTIES.</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12.2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to be given by this AGREEMENT shall be given in writing in English by postpaid, first class, registered or certified mail, or by courier or facsimile, properly addressed to the other PARTY at the respective address as follows:</w:t>
      </w:r>
    </w:p>
    <w:p>
      <w:pPr>
        <w:sectPr>
          <w:pgSz w:w="11900" w:h="16838" w:orient="portrait"/>
          <w:cols w:equalWidth="0" w:num="1">
            <w:col w:w="11200"/>
          </w:cols>
          <w:pgMar w:left="320" w:top="1408" w:right="379" w:bottom="1440" w:gutter="0" w:footer="0" w:header="0"/>
        </w:sectPr>
      </w:pP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If to LICENSOR: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00" w:lineRule="exact"/>
        <w:rPr>
          <w:sz w:val="20"/>
          <w:szCs w:val="20"/>
          <w:color w:val="auto"/>
        </w:rPr>
      </w:pPr>
    </w:p>
    <w:p>
      <w:pPr>
        <w:sectPr>
          <w:pgSz w:w="11900" w:h="16838" w:orient="portrait"/>
          <w:cols w:equalWidth="0" w:num="2">
            <w:col w:w="5000" w:space="720"/>
            <w:col w:w="5480"/>
          </w:cols>
          <w:pgMar w:left="320" w:top="1408" w:right="379" w:bottom="1440" w:gutter="0" w:footer="0" w:header="0"/>
          <w:type w:val="continuous"/>
        </w:sect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Thermo Fisher Scientific, Inc.</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Life Technologies Corporation</w:t>
      </w:r>
    </w:p>
    <w:p>
      <w:pPr>
        <w:ind w:left="100"/>
        <w:spacing w:after="0" w:line="230" w:lineRule="auto"/>
        <w:rPr>
          <w:sz w:val="20"/>
          <w:szCs w:val="20"/>
          <w:color w:val="auto"/>
        </w:rPr>
      </w:pPr>
      <w:r>
        <w:rPr>
          <w:rFonts w:ascii="Times New Roman" w:cs="Times New Roman" w:eastAsia="Times New Roman" w:hAnsi="Times New Roman"/>
          <w:sz w:val="22"/>
          <w:szCs w:val="22"/>
          <w:color w:val="auto"/>
        </w:rPr>
        <w:t>5823 Newton Drive</w:t>
      </w:r>
    </w:p>
    <w:p>
      <w:pPr>
        <w:ind w:left="100"/>
        <w:spacing w:after="0" w:line="231" w:lineRule="auto"/>
        <w:rPr>
          <w:sz w:val="20"/>
          <w:szCs w:val="20"/>
          <w:color w:val="auto"/>
        </w:rPr>
      </w:pPr>
      <w:r>
        <w:rPr>
          <w:rFonts w:ascii="Times New Roman" w:cs="Times New Roman" w:eastAsia="Times New Roman" w:hAnsi="Times New Roman"/>
          <w:sz w:val="22"/>
          <w:szCs w:val="22"/>
          <w:color w:val="auto"/>
        </w:rPr>
        <w:t>Carlsbad, CA 92008 USA</w:t>
      </w:r>
    </w:p>
    <w:p>
      <w:pPr>
        <w:ind w:left="100"/>
        <w:spacing w:after="0"/>
        <w:rPr>
          <w:sz w:val="20"/>
          <w:szCs w:val="20"/>
          <w:color w:val="auto"/>
        </w:rPr>
      </w:pPr>
      <w:r>
        <w:rPr>
          <w:rFonts w:ascii="Times New Roman" w:cs="Times New Roman" w:eastAsia="Times New Roman" w:hAnsi="Times New Roman"/>
          <w:sz w:val="21"/>
          <w:szCs w:val="21"/>
          <w:color w:val="auto"/>
        </w:rPr>
        <w:t>Attention: License Management &amp; Contract Compliance</w:t>
      </w:r>
    </w:p>
    <w:p>
      <w:pPr>
        <w:spacing w:after="0" w:line="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(LMCC)</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Thermo Fisher Scientific,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 Technologies Corporation</w:t>
      </w:r>
    </w:p>
    <w:p>
      <w:pPr>
        <w:spacing w:after="0" w:line="230" w:lineRule="auto"/>
        <w:rPr>
          <w:sz w:val="20"/>
          <w:szCs w:val="20"/>
          <w:color w:val="auto"/>
        </w:rPr>
      </w:pPr>
      <w:r>
        <w:rPr>
          <w:rFonts w:ascii="Times New Roman" w:cs="Times New Roman" w:eastAsia="Times New Roman" w:hAnsi="Times New Roman"/>
          <w:sz w:val="22"/>
          <w:szCs w:val="22"/>
          <w:color w:val="auto"/>
        </w:rPr>
        <w:t>5823 Newton Drive</w:t>
      </w:r>
    </w:p>
    <w:p>
      <w:pPr>
        <w:spacing w:after="0" w:line="231" w:lineRule="auto"/>
        <w:rPr>
          <w:sz w:val="20"/>
          <w:szCs w:val="20"/>
          <w:color w:val="auto"/>
        </w:rPr>
      </w:pPr>
      <w:r>
        <w:rPr>
          <w:rFonts w:ascii="Times New Roman" w:cs="Times New Roman" w:eastAsia="Times New Roman" w:hAnsi="Times New Roman"/>
          <w:sz w:val="22"/>
          <w:szCs w:val="22"/>
          <w:color w:val="auto"/>
        </w:rPr>
        <w:t>Carlsbad, CA 92008 USA</w:t>
      </w:r>
    </w:p>
    <w:p>
      <w:pPr>
        <w:spacing w:after="0"/>
        <w:rPr>
          <w:sz w:val="20"/>
          <w:szCs w:val="20"/>
          <w:color w:val="auto"/>
        </w:rPr>
      </w:pPr>
      <w:r>
        <w:rPr>
          <w:rFonts w:ascii="Times New Roman" w:cs="Times New Roman" w:eastAsia="Times New Roman" w:hAnsi="Times New Roman"/>
          <w:sz w:val="21"/>
          <w:szCs w:val="21"/>
          <w:color w:val="auto"/>
        </w:rPr>
        <w:t>Attention: Contracts Department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Number: 750-476-6326</w:t>
      </w:r>
    </w:p>
    <w:p>
      <w:pPr>
        <w:spacing w:after="0" w:line="442" w:lineRule="exact"/>
        <w:rPr>
          <w:sz w:val="20"/>
          <w:szCs w:val="20"/>
          <w:color w:val="auto"/>
        </w:rPr>
      </w:pPr>
    </w:p>
    <w:p>
      <w:pPr>
        <w:sectPr>
          <w:pgSz w:w="11900" w:h="16838" w:orient="portrait"/>
          <w:cols w:equalWidth="0" w:num="2">
            <w:col w:w="5000" w:space="720"/>
            <w:col w:w="5480"/>
          </w:cols>
          <w:pgMar w:left="320" w:top="1408" w:right="379" w:bottom="1440" w:gutter="0" w:footer="0" w:header="0"/>
          <w:type w:val="continuous"/>
        </w:sectPr>
      </w:pP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If to LICENSEE:</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Solid Biosciences</w:t>
      </w:r>
    </w:p>
    <w:p>
      <w:pPr>
        <w:ind w:left="100"/>
        <w:spacing w:after="0" w:line="230" w:lineRule="auto"/>
        <w:rPr>
          <w:sz w:val="20"/>
          <w:szCs w:val="20"/>
          <w:color w:val="auto"/>
        </w:rPr>
      </w:pPr>
      <w:r>
        <w:rPr>
          <w:rFonts w:ascii="Times New Roman" w:cs="Times New Roman" w:eastAsia="Times New Roman" w:hAnsi="Times New Roman"/>
          <w:sz w:val="22"/>
          <w:szCs w:val="22"/>
          <w:color w:val="auto"/>
        </w:rPr>
        <w:t>161 First St. 3</w:t>
      </w:r>
      <w:r>
        <w:rPr>
          <w:rFonts w:ascii="Times New Roman" w:cs="Times New Roman" w:eastAsia="Times New Roman" w:hAnsi="Times New Roman"/>
          <w:sz w:val="14"/>
          <w:szCs w:val="14"/>
          <w:color w:val="auto"/>
        </w:rPr>
        <w:t>rd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08" w:right="37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type w:val="continuous"/>
        </w:sectPr>
      </w:pPr>
    </w:p>
    <w:bookmarkStart w:id="322" w:name="page323"/>
    <w:bookmarkEnd w:id="322"/>
    <w:p>
      <w:pPr>
        <w:spacing w:after="0" w:line="200" w:lineRule="exact"/>
        <w:rPr>
          <w:sz w:val="20"/>
          <w:szCs w:val="20"/>
          <w:color w:val="auto"/>
        </w:rPr>
      </w:pPr>
    </w:p>
    <w:p>
      <w:pPr>
        <w:spacing w:after="0" w:line="22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Either PARTY may change its address by providing notice to the other PARTY. Unless otherwise specified herein, any notice given in accordance with the foregoing shall be deemed given within four (4) BUSINESS DAYS after the day of mailing, or one (1) BUSINESS DAY after the date of delivery to the courier, as the case may be.</w:t>
      </w:r>
    </w:p>
    <w:p>
      <w:pPr>
        <w:spacing w:after="0" w:line="173"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interpreted and enforced in accordance with laws of the State of California in the United States of America, without regard to its conflicts of laws rules, provided, that those matters pertaining to the validity or enforceability of patent rights shall be interpreted and enforced in accordance with the laws of the territory in which such patent rights exist. The parties expressly agree that the application of the United Nations Convention on Contracts for the International Sale of Goods (1980) is specifically excluded and shall NOT apply to this Agreement.</w:t>
      </w:r>
    </w:p>
    <w:p>
      <w:pPr>
        <w:spacing w:after="0" w:line="177"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12.4</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Each PARTY agrees to comply with LAWS in exercising its rights and performing its obligations under this AGREEMENT. Nothing in this AGREEMENT shall be construed so as to require the commission of any act contrary to law, and wherever there is any conflict between any provision of this AGREEMENT or concerning the legal right of the PARTIES to enter into this AGREEMENT and any statute, law, ordinance or treaty, the latter shall prevail, but in such event the affected provisions of this AGREEMENT shall be curtailed and limited only to the extent necessary to bring it within the applicable legal requirements.</w:t>
      </w:r>
    </w:p>
    <w:p>
      <w:pPr>
        <w:spacing w:after="0" w:line="181"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Notwithstanding anything herein seemingly to the contrary, either PARTY may seek injunctive relief from a court of competent jurisdiction to prevent or limit damage to that PARTY’s CONFIDENTIAL INFORMATION or otherwise preserve the status quo pending the proceeding.</w:t>
      </w:r>
    </w:p>
    <w:p>
      <w:pPr>
        <w:spacing w:after="0" w:line="17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12.6</w:t>
      </w:r>
      <w:r>
        <w:rPr>
          <w:rFonts w:ascii="Times New Roman" w:cs="Times New Roman" w:eastAsia="Times New Roman" w:hAnsi="Times New Roman"/>
          <w:sz w:val="22"/>
          <w:szCs w:val="22"/>
          <w:u w:val="single" w:color="auto"/>
          <w:color w:val="auto"/>
        </w:rPr>
        <w:t>Relationship of Parties</w:t>
      </w:r>
      <w:r>
        <w:rPr>
          <w:rFonts w:ascii="Times New Roman" w:cs="Times New Roman" w:eastAsia="Times New Roman" w:hAnsi="Times New Roman"/>
          <w:sz w:val="22"/>
          <w:szCs w:val="22"/>
          <w:color w:val="auto"/>
        </w:rPr>
        <w:t>. The relationship of the PARTIES is that of independent contractors, and nothing herein shall be construed as establishing one PARTY or its AFFILIATES as the agent, legal representative, joint venturer, partner, employee, or servant of the other PARTY or its AFFILIATES. Except as set forth herein, neither PARTY shall have any right, power or authority to assume, create or incur any expense, liability or obligation, express or implied, on behalf of the other PARTY or its AFFILIATES. No PARTY shall hold itself out as being the agent, legal representative, joint venturer, partner, employee, or servant of the other PARTY or its AFFILIATES or as having authority to represent or act for the other PARTY or its AFFILIATES in any capacity whatsoever, except as authorized herein.</w:t>
      </w:r>
    </w:p>
    <w:p>
      <w:pPr>
        <w:spacing w:after="0" w:line="183"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auto"/>
        </w:rPr>
        <w:t>12.7</w:t>
      </w:r>
      <w:r>
        <w:rPr>
          <w:rFonts w:ascii="Times New Roman" w:cs="Times New Roman" w:eastAsia="Times New Roman" w:hAnsi="Times New Roman"/>
          <w:sz w:val="21"/>
          <w:szCs w:val="21"/>
          <w:u w:val="single" w:color="auto"/>
          <w:color w:val="auto"/>
        </w:rPr>
        <w:t>Force Majeure</w:t>
      </w:r>
      <w:r>
        <w:rPr>
          <w:rFonts w:ascii="Times New Roman" w:cs="Times New Roman" w:eastAsia="Times New Roman" w:hAnsi="Times New Roman"/>
          <w:sz w:val="21"/>
          <w:szCs w:val="21"/>
          <w:color w:val="auto"/>
        </w:rPr>
        <w:t>. If the performance of this AGREEMENT or any obligation hereunder (except for the payment of money) is prevented, restricted or interfered with by reason of fire or other casualty or accident, strikes or labor disputes, inability to procure raw materials, power or supplies, war, invasion, civil commotion or other violence, compliance with any order of any governmental authorities or any other act or conditions whatsoever beyond the reasonable control of either PARTY hereto, the PARTY so affected upon giving a prompt notice to the other PARTY shall be excused from such performance to the extent of such prevention, restriction or interference; provided, however, that the PARTY so affected shall use commercially reasonable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3" w:name="page324"/>
    <w:bookmarkEnd w:id="323"/>
    <w:p>
      <w:pPr>
        <w:ind w:right="280"/>
        <w:spacing w:after="0" w:line="258" w:lineRule="auto"/>
        <w:rPr>
          <w:sz w:val="20"/>
          <w:szCs w:val="20"/>
          <w:color w:val="auto"/>
        </w:rPr>
      </w:pPr>
      <w:r>
        <w:rPr>
          <w:rFonts w:ascii="Times New Roman" w:cs="Times New Roman" w:eastAsia="Times New Roman" w:hAnsi="Times New Roman"/>
          <w:sz w:val="22"/>
          <w:szCs w:val="22"/>
          <w:color w:val="auto"/>
        </w:rPr>
        <w:t>efforts to avoid or remove such causes of non-performance and shall continue performance hereunder with the utmost dispatch whenever such causes are removed, to the extent commercially reasonable.</w:t>
      </w:r>
    </w:p>
    <w:p>
      <w:pPr>
        <w:spacing w:after="0" w:line="158" w:lineRule="exact"/>
        <w:rPr>
          <w:sz w:val="20"/>
          <w:szCs w:val="20"/>
          <w:color w:val="auto"/>
        </w:rPr>
      </w:pPr>
    </w:p>
    <w:p>
      <w:pPr>
        <w:jc w:val="both"/>
        <w:ind w:right="420" w:firstLine="749"/>
        <w:spacing w:after="0" w:line="244" w:lineRule="auto"/>
        <w:rPr>
          <w:sz w:val="20"/>
          <w:szCs w:val="20"/>
          <w:color w:val="auto"/>
        </w:rPr>
      </w:pPr>
      <w:r>
        <w:rPr>
          <w:rFonts w:ascii="Times New Roman" w:cs="Times New Roman" w:eastAsia="Times New Roman" w:hAnsi="Times New Roman"/>
          <w:sz w:val="22"/>
          <w:szCs w:val="22"/>
          <w:color w:val="auto"/>
        </w:rPr>
        <w:t>12.8</w:t>
      </w:r>
      <w:r>
        <w:rPr>
          <w:rFonts w:ascii="Times New Roman" w:cs="Times New Roman" w:eastAsia="Times New Roman" w:hAnsi="Times New Roman"/>
          <w:sz w:val="22"/>
          <w:szCs w:val="22"/>
          <w:u w:val="single" w:color="auto"/>
          <w:color w:val="auto"/>
        </w:rPr>
        <w:t>Unenforceabilitv</w:t>
      </w:r>
      <w:r>
        <w:rPr>
          <w:rFonts w:ascii="Times New Roman" w:cs="Times New Roman" w:eastAsia="Times New Roman" w:hAnsi="Times New Roman"/>
          <w:sz w:val="22"/>
          <w:szCs w:val="22"/>
          <w:color w:val="auto"/>
        </w:rPr>
        <w:t>. 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spacing w:after="0" w:line="173"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12.9</w:t>
      </w:r>
      <w:r>
        <w:rPr>
          <w:rFonts w:ascii="Times New Roman" w:cs="Times New Roman" w:eastAsia="Times New Roman" w:hAnsi="Times New Roman"/>
          <w:sz w:val="22"/>
          <w:szCs w:val="22"/>
          <w:u w:val="single" w:color="auto"/>
          <w:color w:val="auto"/>
        </w:rPr>
        <w:t>Waiver, Modifications and Amendments</w:t>
      </w:r>
      <w:r>
        <w:rPr>
          <w:rFonts w:ascii="Times New Roman" w:cs="Times New Roman" w:eastAsia="Times New Roman" w:hAnsi="Times New Roman"/>
          <w:sz w:val="22"/>
          <w:szCs w:val="22"/>
          <w:color w:val="auto"/>
        </w:rPr>
        <w:t>. The failure of any PARTY to insist on the performance of any obligation hereunder shall not be deemed to be a waiver of such obligation. Waiver of any breach of any provision hereof shall not be deemed a waiver of any other breach of such provision or any other provision on such occasion or any succeeding occasion. No waiver, modification, release or amendment of any obligation under or provision of this AGREEMENT shall be valid or effective unless in writing and signed by the PARTIES.</w:t>
      </w:r>
    </w:p>
    <w:p>
      <w:pPr>
        <w:spacing w:after="0" w:line="17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12.10</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Headings used herein are for descriptive purposes only and shall not control or alter the meaning of this AGREEMENT as set forth in the text.</w:t>
      </w:r>
    </w:p>
    <w:p>
      <w:pPr>
        <w:spacing w:after="0" w:line="158"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12.11</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Should one or more of the provisions contained in this AGREEMENT be held invalid, illegal or unenforceable by a court or tribunal with jurisdiction to do so, then the validity, legality and enforceability of the remaining provisions contained herein shall not be affected or impaired thereby, unless the absence of the invalidated provision(s) adversely affect the PARTIES’ substantive rights. In such instance, the PARTIES shall use their best efforts to replace the invalid, illegal or unenforceable provision(s) with valid, legal and enforceable provision(s) which, insofar as practical, implement the purposes of this AGREEMENT.</w:t>
      </w:r>
    </w:p>
    <w:p>
      <w:pPr>
        <w:spacing w:after="0" w:line="181"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12.12</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one or more counterparts, all of which together shall constitute one and the same AGREEMENT, binding on the PARTIES as if such PARTIES had signed the same document. The execution and delivery of this Agreement by either Party hereto by facsimile transmission or e-mail delivery of a “.pdf’ or similarly formatted data file will constitute valid execution and delivery of this Agreement.</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have caused this AGREEMENT to be executed by their respective duly authorized representatives as of the EFFECTIVE DATE.</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For LICENSOR:</w:t>
            </w:r>
          </w:p>
        </w:tc>
        <w:tc>
          <w:tcPr>
            <w:tcW w:w="21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For LICENSEE:</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Life Technologies Corporation</w:t>
            </w:r>
          </w:p>
        </w:tc>
        <w:tc>
          <w:tcPr>
            <w:tcW w:w="21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Solid Biosciences</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/s/ Deborah Day Barbara</w:t>
            </w:r>
          </w:p>
        </w:tc>
        <w:tc>
          <w:tcPr>
            <w:tcW w:w="2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By:</w:t>
            </w:r>
          </w:p>
        </w:tc>
        <w:tc>
          <w:tcPr>
            <w:tcW w:w="4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Ilan Ganot</w:t>
            </w:r>
          </w:p>
        </w:tc>
        <w:tc>
          <w:tcPr>
            <w:tcW w:w="0" w:type="dxa"/>
            <w:vAlign w:val="bottom"/>
          </w:tcPr>
          <w:p>
            <w:pPr>
              <w:spacing w:after="0"/>
              <w:rPr>
                <w:sz w:val="1"/>
                <w:szCs w:val="1"/>
                <w:color w:val="auto"/>
              </w:rPr>
            </w:pPr>
          </w:p>
        </w:tc>
      </w:tr>
      <w:tr>
        <w:trPr>
          <w:trHeight w:val="262"/>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77"/>
              </w:rPr>
              <w:t>(signature)</w:t>
            </w:r>
          </w:p>
        </w:tc>
        <w:tc>
          <w:tcPr>
            <w:tcW w:w="4200" w:type="dxa"/>
            <w:vAlign w:val="bottom"/>
          </w:tcPr>
          <w:p>
            <w:pPr>
              <w:spacing w:after="0"/>
              <w:rPr>
                <w:sz w:val="22"/>
                <w:szCs w:val="22"/>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(signature)</w:t>
            </w:r>
          </w:p>
        </w:tc>
        <w:tc>
          <w:tcPr>
            <w:tcW w:w="4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4200" w:type="dxa"/>
            <w:vAlign w:val="bottom"/>
          </w:tcPr>
          <w:p>
            <w:pPr>
              <w:spacing w:after="0"/>
              <w:rPr>
                <w:sz w:val="24"/>
                <w:szCs w:val="24"/>
                <w:color w:val="auto"/>
              </w:rPr>
            </w:pPr>
          </w:p>
        </w:tc>
        <w:tc>
          <w:tcPr>
            <w:tcW w:w="21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18</w:t>
            </w: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80" w:type="dxa"/>
            <w:vAlign w:val="bottom"/>
            <w:vMerge w:val="continue"/>
          </w:tcPr>
          <w:p>
            <w:pPr>
              <w:spacing w:after="0"/>
              <w:rPr>
                <w:sz w:val="16"/>
                <w:szCs w:val="16"/>
                <w:color w:val="auto"/>
              </w:rPr>
            </w:pPr>
          </w:p>
        </w:tc>
        <w:tc>
          <w:tcPr>
            <w:tcW w:w="4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9"/>
        </w:trPr>
        <w:tc>
          <w:tcPr>
            <w:tcW w:w="7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84"/>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Deborah Day Barbara</w:t>
            </w:r>
          </w:p>
        </w:tc>
        <w:tc>
          <w:tcPr>
            <w:tcW w:w="6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Name: llan Ganot</w:t>
            </w:r>
          </w:p>
        </w:tc>
        <w:tc>
          <w:tcPr>
            <w:tcW w:w="0" w:type="dxa"/>
            <w:vAlign w:val="bottom"/>
          </w:tcPr>
          <w:p>
            <w:pPr>
              <w:spacing w:after="0"/>
              <w:rPr>
                <w:sz w:val="1"/>
                <w:szCs w:val="1"/>
                <w:color w:val="auto"/>
              </w:rPr>
            </w:pPr>
          </w:p>
        </w:tc>
      </w:tr>
      <w:tr>
        <w:trPr>
          <w:trHeight w:val="276"/>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(please</w:t>
            </w:r>
          </w:p>
        </w:tc>
        <w:tc>
          <w:tcPr>
            <w:tcW w:w="4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print)</w:t>
            </w:r>
          </w:p>
        </w:tc>
        <w:tc>
          <w:tcPr>
            <w:tcW w:w="2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(please print)</w:t>
            </w:r>
          </w:p>
        </w:tc>
        <w:tc>
          <w:tcPr>
            <w:tcW w:w="4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28"/>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Leader, Therapeutic Licensing</w:t>
            </w:r>
          </w:p>
        </w:tc>
        <w:tc>
          <w:tcPr>
            <w:tcW w:w="21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Title: CEO</w:t>
            </w: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42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12/01/16</w:t>
            </w:r>
          </w:p>
        </w:tc>
        <w:tc>
          <w:tcPr>
            <w:tcW w:w="62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Date:</w:t>
            </w:r>
          </w:p>
        </w:tc>
        <w:tc>
          <w:tcPr>
            <w:tcW w:w="0" w:type="dxa"/>
            <w:vAlign w:val="bottom"/>
          </w:tcPr>
          <w:p>
            <w:pPr>
              <w:spacing w:after="0"/>
              <w:rPr>
                <w:sz w:val="1"/>
                <w:szCs w:val="1"/>
                <w:color w:val="auto"/>
              </w:rPr>
            </w:pPr>
          </w:p>
        </w:tc>
      </w:tr>
      <w:tr>
        <w:trPr>
          <w:trHeight w:val="451"/>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4200" w:type="dxa"/>
            <w:vAlign w:val="bottom"/>
            <w:tcBorders>
              <w:top w:val="single" w:sz="8" w:color="auto"/>
            </w:tcBorders>
          </w:tcPr>
          <w:p>
            <w:pPr>
              <w:spacing w:after="0"/>
              <w:rPr>
                <w:sz w:val="24"/>
                <w:szCs w:val="24"/>
                <w:color w:val="auto"/>
              </w:rPr>
            </w:pPr>
          </w:p>
        </w:tc>
        <w:tc>
          <w:tcPr>
            <w:tcW w:w="21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19</w:t>
            </w:r>
          </w:p>
        </w:tc>
        <w:tc>
          <w:tcPr>
            <w:tcW w:w="4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80" w:type="dxa"/>
            <w:vAlign w:val="bottom"/>
            <w:vMerge w:val="continue"/>
          </w:tcPr>
          <w:p>
            <w:pPr>
              <w:spacing w:after="0"/>
              <w:rPr>
                <w:sz w:val="16"/>
                <w:szCs w:val="16"/>
                <w:color w:val="auto"/>
              </w:rPr>
            </w:pPr>
          </w:p>
        </w:tc>
        <w:tc>
          <w:tcPr>
            <w:tcW w:w="4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9"/>
        </w:trPr>
        <w:tc>
          <w:tcPr>
            <w:tcW w:w="7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25" w:name="page326"/>
    <w:bookmarkEnd w:id="325"/>
    <w:p>
      <w:pPr>
        <w:ind w:left="10020"/>
        <w:spacing w:after="0"/>
        <w:rPr>
          <w:sz w:val="20"/>
          <w:szCs w:val="20"/>
          <w:color w:val="auto"/>
        </w:rPr>
      </w:pPr>
      <w:r>
        <w:rPr>
          <w:rFonts w:ascii="Times New Roman" w:cs="Times New Roman" w:eastAsia="Times New Roman" w:hAnsi="Times New Roman"/>
          <w:sz w:val="21"/>
          <w:szCs w:val="21"/>
          <w:b w:val="1"/>
          <w:bCs w:val="1"/>
          <w:color w:val="auto"/>
        </w:rPr>
        <w:t>Exhibit 10.55</w:t>
      </w:r>
    </w:p>
    <w:p>
      <w:pPr>
        <w:spacing w:after="0" w:line="24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20"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1"/>
          <w:szCs w:val="21"/>
          <w:color w:val="auto"/>
        </w:rPr>
        <w:t>This License Agreement is entered into as of this 23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day of June, 2016 (the “Effective Date”), by and between </w:t>
      </w:r>
      <w:r>
        <w:rPr>
          <w:rFonts w:ascii="Times New Roman" w:cs="Times New Roman" w:eastAsia="Times New Roman" w:hAnsi="Times New Roman"/>
          <w:sz w:val="21"/>
          <w:szCs w:val="21"/>
          <w:b w:val="1"/>
          <w:bCs w:val="1"/>
          <w:color w:val="auto"/>
        </w:rPr>
        <w:t>Solid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GT, LLC, </w:t>
      </w:r>
      <w:r>
        <w:rPr>
          <w:rFonts w:ascii="Times New Roman" w:cs="Times New Roman" w:eastAsia="Times New Roman" w:hAnsi="Times New Roman"/>
          <w:sz w:val="21"/>
          <w:szCs w:val="21"/>
          <w:color w:val="auto"/>
        </w:rPr>
        <w:t>a company organized under the laws of Delaware and having an address at 161 First Street, Suite #300, Cambridge,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 02142 (“Licensee”) and </w:t>
      </w:r>
      <w:r>
        <w:rPr>
          <w:rFonts w:ascii="Times New Roman" w:cs="Times New Roman" w:eastAsia="Times New Roman" w:hAnsi="Times New Roman"/>
          <w:sz w:val="21"/>
          <w:szCs w:val="21"/>
          <w:b w:val="1"/>
          <w:bCs w:val="1"/>
          <w:color w:val="auto"/>
        </w:rPr>
        <w:t>President and Fellows of Harvard College,</w:t>
      </w:r>
      <w:r>
        <w:rPr>
          <w:rFonts w:ascii="Times New Roman" w:cs="Times New Roman" w:eastAsia="Times New Roman" w:hAnsi="Times New Roman"/>
          <w:sz w:val="21"/>
          <w:szCs w:val="21"/>
          <w:color w:val="auto"/>
        </w:rPr>
        <w:t xml:space="preserve"> an educational and charitable corporation existing under the laws and the constitution of the Commonwealth of Massachusetts, having a place of business at Richard A. and Susan F. Smith Campus Center, Suite 727, 1350 Massachusetts Avenue, Cambridge, Massachusetts 02138 (“Harvard”).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certain Biological Material (as defined below) was developed in research conducted by Harvard researcher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Harvard is committed to the policy that ideas or creative works produced at Harvard should be used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greatest possible public benefit, and believes that every reasonable incentive should be provided for the prompt introduction of such ideas into public use, all in a manner consistent with the public interest;</w:t>
      </w:r>
    </w:p>
    <w:p>
      <w:pPr>
        <w:spacing w:after="0" w:line="167" w:lineRule="exact"/>
        <w:rPr>
          <w:sz w:val="20"/>
          <w:szCs w:val="20"/>
          <w:color w:val="auto"/>
        </w:rPr>
      </w:pPr>
    </w:p>
    <w:p>
      <w:pPr>
        <w:ind w:right="6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Licensee desires to obtain a non-exclusive license to use the Biological Material and associated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Transfer Material (as defined below) to produce Viruses (as defined below) and to use Viruses to manufacture Products for sale; and</w:t>
      </w:r>
    </w:p>
    <w:p>
      <w:pPr>
        <w:spacing w:after="0" w:line="167" w:lineRule="exact"/>
        <w:rPr>
          <w:sz w:val="20"/>
          <w:szCs w:val="20"/>
          <w:color w:val="auto"/>
        </w:rPr>
      </w:pPr>
    </w:p>
    <w:p>
      <w:pPr>
        <w:ind w:right="4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Harvard desires to grant such a license to Licensee in accordance with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intending to be legally bound, hereby agree as follows: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 Definitions.</w:t>
      </w:r>
    </w:p>
    <w:p>
      <w:pPr>
        <w:spacing w:after="0" w:line="21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Whenever used in this Agreement with an initial capital letter, the terms defined in this Article 1, whether used in the singular or the plural, will have the meanings specified below.</w:t>
      </w:r>
    </w:p>
    <w:p>
      <w:pPr>
        <w:spacing w:after="0" w:line="154" w:lineRule="exact"/>
        <w:rPr>
          <w:sz w:val="20"/>
          <w:szCs w:val="20"/>
          <w:color w:val="auto"/>
        </w:rPr>
      </w:pPr>
    </w:p>
    <w:p>
      <w:pPr>
        <w:ind w:right="14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1.1. “Affiliate” </w:t>
      </w:r>
      <w:r>
        <w:rPr>
          <w:rFonts w:ascii="Times New Roman" w:cs="Times New Roman" w:eastAsia="Times New Roman" w:hAnsi="Times New Roman"/>
          <w:sz w:val="22"/>
          <w:szCs w:val="22"/>
          <w:color w:val="auto"/>
        </w:rPr>
        <w:t>means, with respect to a person, organization or entity, any person, organization or entity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controlling, controlled by or under common control with, such person, organization or 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6" w:name="page327"/>
    <w:bookmarkEnd w:id="326"/>
    <w:p>
      <w:pPr>
        <w:ind w:right="20"/>
        <w:spacing w:after="0" w:line="239" w:lineRule="auto"/>
        <w:rPr>
          <w:sz w:val="20"/>
          <w:szCs w:val="20"/>
          <w:color w:val="auto"/>
        </w:rPr>
      </w:pPr>
      <w:r>
        <w:rPr>
          <w:rFonts w:ascii="Times New Roman" w:cs="Times New Roman" w:eastAsia="Times New Roman" w:hAnsi="Times New Roman"/>
          <w:sz w:val="22"/>
          <w:szCs w:val="22"/>
          <w:color w:val="auto"/>
        </w:rPr>
        <w:t>power to elect or appoint fifty percent (50%) or more of the members of the governing body of the other organization or entity. The parties acknowledge that in the case of certain entities organized under the laws of certain countries outside of the United States, the maximum percentage ownership permitted by law for a foreign investor may be less than fifty percent (50%), and that in such cases such lower percentage will be substituted in the preceding sentence.</w:t>
      </w:r>
    </w:p>
    <w:p>
      <w:pPr>
        <w:spacing w:after="0" w:line="17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 xml:space="preserve">“Aggregate Consideration” </w:t>
      </w:r>
      <w:r>
        <w:rPr>
          <w:rFonts w:ascii="Times New Roman" w:cs="Times New Roman" w:eastAsia="Times New Roman" w:hAnsi="Times New Roman"/>
          <w:sz w:val="21"/>
          <w:szCs w:val="21"/>
          <w:color w:val="auto"/>
        </w:rPr>
        <w:t>means the amount equal to:</w:t>
      </w:r>
    </w:p>
    <w:p>
      <w:pPr>
        <w:spacing w:after="0" w:line="206" w:lineRule="exact"/>
        <w:rPr>
          <w:sz w:val="20"/>
          <w:szCs w:val="20"/>
          <w:color w:val="auto"/>
        </w:rPr>
      </w:pPr>
    </w:p>
    <w:p>
      <w:pPr>
        <w:ind w:right="300"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1.2.1.</w:t>
      </w:r>
      <w:r>
        <w:rPr>
          <w:rFonts w:ascii="Times New Roman" w:cs="Times New Roman" w:eastAsia="Times New Roman" w:hAnsi="Times New Roman"/>
          <w:sz w:val="21"/>
          <w:szCs w:val="21"/>
          <w:color w:val="auto"/>
        </w:rPr>
        <w:t>in the case of an Asset Sale, the sum of (a) all cash and the fair market value of all securities or other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to Licensee or Licensee’s direct or indirect parent company at the time of the transaction, less all current and long-term liabilities (but not contingent liabilities) of Licensee that are not discharged or assumed by the buyer (or its affiliates) in connection with the Asset Sale and (b) all cash and the fair market value of all securities and other property for Trailing Consideration payable to Licensee or Licensee’s direct or indirect parent company, when and if, actually paid; or</w:t>
      </w:r>
    </w:p>
    <w:p>
      <w:pPr>
        <w:spacing w:after="0" w:line="163" w:lineRule="exact"/>
        <w:rPr>
          <w:sz w:val="20"/>
          <w:szCs w:val="20"/>
          <w:color w:val="auto"/>
        </w:rPr>
      </w:pPr>
    </w:p>
    <w:p>
      <w:pPr>
        <w:ind w:right="4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1.2.2.</w:t>
      </w:r>
      <w:r>
        <w:rPr>
          <w:rFonts w:ascii="Times New Roman" w:cs="Times New Roman" w:eastAsia="Times New Roman" w:hAnsi="Times New Roman"/>
          <w:sz w:val="22"/>
          <w:szCs w:val="22"/>
          <w:color w:val="auto"/>
        </w:rPr>
        <w:t>in the case of a Merger or Stock Sale, the sum of (a) all cash and the fair market value of all securities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transferred to the stockholders of Licensee or Licensee’s direct or indirect parent company (and any option holders or warrant holders) in return for their stock (or options or warrants) in Licensee or Licensee’s direct or indirect parent company at the time of the transaction and (b) all cash and the fair market value of all securities and other property transferred to the stockholders of Licensee or Licensee’s direct or indirect parent company (and any option holders or warrant holders) for Trailing Consideration payable to the holders of Licensee’s or Licensee’s direct or indirect parent company’s securities, when and if actually paid.</w:t>
      </w:r>
    </w:p>
    <w:p>
      <w:pPr>
        <w:spacing w:after="0" w:line="180"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21"/>
          <w:szCs w:val="21"/>
          <w:color w:val="auto"/>
        </w:rPr>
        <w:t>The valuation of any securities or other property shall be determined by reference to the operative transaction agreement for a respective Merger, Stock Sale or Asset Sale; provided that, if no such valuation is readily determinable from such operative transaction agreement, then for securities for which there is an active public market:</w:t>
      </w:r>
    </w:p>
    <w:p>
      <w:pPr>
        <w:spacing w:after="0" w:line="157" w:lineRule="exact"/>
        <w:rPr>
          <w:sz w:val="20"/>
          <w:szCs w:val="20"/>
          <w:color w:val="auto"/>
        </w:rPr>
      </w:pPr>
    </w:p>
    <w:p>
      <w:pPr>
        <w:ind w:right="380" w:firstLine="1505"/>
        <w:spacing w:after="0" w:line="244" w:lineRule="auto"/>
        <w:tabs>
          <w:tab w:leader="none" w:pos="203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traded on a securities exchange or the NASDAQ Stock Market, the value shall be deemed to be the average of the closing prices of the securities on such exchange or market over the 30-period ending three days prior to the closing of such transaction; or</w:t>
      </w:r>
    </w:p>
    <w:p>
      <w:pPr>
        <w:spacing w:after="0" w:line="173" w:lineRule="exact"/>
        <w:rPr>
          <w:rFonts w:ascii="Times New Roman" w:cs="Times New Roman" w:eastAsia="Times New Roman" w:hAnsi="Times New Roman"/>
          <w:sz w:val="22"/>
          <w:szCs w:val="22"/>
          <w:color w:val="auto"/>
        </w:rPr>
      </w:pPr>
    </w:p>
    <w:p>
      <w:pPr>
        <w:ind w:right="200" w:firstLine="1505"/>
        <w:spacing w:after="0" w:line="258" w:lineRule="auto"/>
        <w:tabs>
          <w:tab w:leader="none" w:pos="203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actively traded over-the-counter, the value shall be deemed to be the average of the closing bid prices over the 30-day period ending three days prior to the closing of such transaction.</w:t>
      </w:r>
    </w:p>
    <w:p>
      <w:pPr>
        <w:spacing w:after="0" w:line="158"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The method of valuation of securities subject to investment letters or other similar restrictions on free marketability shall take into account an appropriate discount from the market value as determined pursuant to clause (a) or (b) immediately above so as to reflect the approximate fair market value thereof.</w:t>
      </w:r>
    </w:p>
    <w:p>
      <w:pPr>
        <w:spacing w:after="0" w:line="173" w:lineRule="exact"/>
        <w:rPr>
          <w:sz w:val="20"/>
          <w:szCs w:val="20"/>
          <w:color w:val="auto"/>
        </w:rPr>
      </w:pPr>
    </w:p>
    <w:p>
      <w:pPr>
        <w:jc w:val="both"/>
        <w:ind w:left="760" w:right="340"/>
        <w:spacing w:after="0" w:line="244" w:lineRule="auto"/>
        <w:rPr>
          <w:sz w:val="20"/>
          <w:szCs w:val="20"/>
          <w:color w:val="auto"/>
        </w:rPr>
      </w:pPr>
      <w:r>
        <w:rPr>
          <w:rFonts w:ascii="Times New Roman" w:cs="Times New Roman" w:eastAsia="Times New Roman" w:hAnsi="Times New Roman"/>
          <w:sz w:val="22"/>
          <w:szCs w:val="22"/>
          <w:color w:val="auto"/>
        </w:rPr>
        <w:t>For securities for which there is no active public market, the value shall be the fair market value thereof as either (a) determined in good faith by the board of directors of Licensee or Licensee’s direct or indirect parent company, as the case may be, (b) approved by</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327" w:name="page328"/>
    <w:bookmarkEnd w:id="327"/>
    <w:p>
      <w:pPr>
        <w:ind w:left="760" w:right="160"/>
        <w:spacing w:after="0" w:line="258" w:lineRule="auto"/>
        <w:rPr>
          <w:sz w:val="20"/>
          <w:szCs w:val="20"/>
          <w:color w:val="auto"/>
        </w:rPr>
      </w:pPr>
      <w:r>
        <w:rPr>
          <w:rFonts w:ascii="Times New Roman" w:cs="Times New Roman" w:eastAsia="Times New Roman" w:hAnsi="Times New Roman"/>
          <w:sz w:val="22"/>
          <w:szCs w:val="22"/>
          <w:color w:val="auto"/>
        </w:rPr>
        <w:t>Harvard, such approval not to be unreasonably withheld or (c) determined by a third party appraiser appointed and paid for by Licensee.</w:t>
      </w:r>
    </w:p>
    <w:p>
      <w:pPr>
        <w:spacing w:after="0" w:line="154"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 “Biological Material” </w:t>
      </w:r>
      <w:r>
        <w:rPr>
          <w:rFonts w:ascii="Times New Roman" w:cs="Times New Roman" w:eastAsia="Times New Roman" w:hAnsi="Times New Roman"/>
          <w:sz w:val="22"/>
          <w:szCs w:val="22"/>
          <w:color w:val="auto"/>
        </w:rPr>
        <w:t>means any material listed in Exhibit 1.3 to this Agreement, together with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progeny, mutants, replicates and derivatives (modified or unmodified)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a Virus or a Product be deemed Biological Material.</w:t>
      </w:r>
    </w:p>
    <w:p>
      <w:pPr>
        <w:spacing w:after="0" w:line="167" w:lineRule="exact"/>
        <w:rPr>
          <w:sz w:val="20"/>
          <w:szCs w:val="20"/>
          <w:color w:val="auto"/>
        </w:rPr>
      </w:pPr>
    </w:p>
    <w:p>
      <w:pPr>
        <w:ind w:right="5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 “Calendar Quarter” </w:t>
      </w:r>
      <w:r>
        <w:rPr>
          <w:rFonts w:ascii="Times New Roman" w:cs="Times New Roman" w:eastAsia="Times New Roman" w:hAnsi="Times New Roman"/>
          <w:sz w:val="22"/>
          <w:szCs w:val="22"/>
          <w:color w:val="auto"/>
        </w:rPr>
        <w:t>means each of the periods of three (3) consecutive calendar months ending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March 31, June 30, September 30 and December 31 during the Term.</w:t>
      </w:r>
    </w:p>
    <w:p>
      <w:pPr>
        <w:spacing w:after="0" w:line="150"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1.5. “Change of Control” </w:t>
      </w:r>
      <w:r>
        <w:rPr>
          <w:rFonts w:ascii="Times New Roman" w:cs="Times New Roman" w:eastAsia="Times New Roman" w:hAnsi="Times New Roman"/>
          <w:sz w:val="22"/>
          <w:szCs w:val="22"/>
          <w:color w:val="auto"/>
        </w:rPr>
        <w:t>means (a) a merger, share exchange or other reorganization in which Licensee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successor) is a constituent party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xml:space="preserve"> (b) the acquisition, in a single transaction or series of related transactions, by a person or entity or a group of related persons or entities, of a majority of the voting power of Licensee (or such successor) from persons holding (either directly or indirectly) securities of Licensee (or such successor) (</w:t>
      </w:r>
      <w:r>
        <w:rPr>
          <w:rFonts w:ascii="Times New Roman" w:cs="Times New Roman" w:eastAsia="Times New Roman" w:hAnsi="Times New Roman"/>
          <w:sz w:val="22"/>
          <w:szCs w:val="22"/>
          <w:b w:val="1"/>
          <w:bCs w:val="1"/>
          <w:color w:val="auto"/>
        </w:rPr>
        <w:t>“Stock Sale”</w:t>
      </w:r>
      <w:r>
        <w:rPr>
          <w:rFonts w:ascii="Times New Roman" w:cs="Times New Roman" w:eastAsia="Times New Roman" w:hAnsi="Times New Roman"/>
          <w:sz w:val="22"/>
          <w:szCs w:val="22"/>
          <w:color w:val="auto"/>
        </w:rPr>
        <w:t>), or (c) the sale, lease, transfer, or other disposition, in a single transaction or series of related transactions of all or substantially all of the assets of Licensee (or such successor) (or that portion of its assets related to the subject matter of this Agreement)(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in which, for each of (a), (b) and (c), the security holders of Licensee (or such successor) that control a majority of the voting power of Licensee (or such successor) prior to such transaction do not control, directly or indirectly, a majority of the voting power of the acquiring, surviving or successor entity, as the case may be; provided however, that (1) a transaction in which working capital is raised through the non-public issuance of equity in Licensee to investors shall not constitute a “Change of Control” and (2) Licensee’s merger, combination or other transaction with its direct or indirect parent company or other Affiliate of Licensee shall not constitute a “Change of Control”.</w:t>
      </w:r>
    </w:p>
    <w:p>
      <w:pPr>
        <w:spacing w:after="0" w:line="18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 xml:space="preserve">“FDA” </w:t>
      </w:r>
      <w:r>
        <w:rPr>
          <w:rFonts w:ascii="Times New Roman" w:cs="Times New Roman" w:eastAsia="Times New Roman" w:hAnsi="Times New Roman"/>
          <w:sz w:val="21"/>
          <w:szCs w:val="21"/>
          <w:color w:val="auto"/>
        </w:rPr>
        <w:t>means the United States Food and Drug Administration.</w:t>
      </w:r>
    </w:p>
    <w:p>
      <w:pPr>
        <w:spacing w:after="0" w:line="20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1.7.</w:t>
      </w:r>
      <w:r>
        <w:rPr>
          <w:sz w:val="20"/>
          <w:szCs w:val="20"/>
          <w:color w:val="auto"/>
        </w:rPr>
        <w:tab/>
      </w:r>
      <w:r>
        <w:rPr>
          <w:rFonts w:ascii="Times New Roman" w:cs="Times New Roman" w:eastAsia="Times New Roman" w:hAnsi="Times New Roman"/>
          <w:sz w:val="21"/>
          <w:szCs w:val="21"/>
          <w:b w:val="1"/>
          <w:bCs w:val="1"/>
          <w:color w:val="auto"/>
        </w:rPr>
        <w:t xml:space="preserve">“Field” </w:t>
      </w:r>
      <w:r>
        <w:rPr>
          <w:rFonts w:ascii="Times New Roman" w:cs="Times New Roman" w:eastAsia="Times New Roman" w:hAnsi="Times New Roman"/>
          <w:sz w:val="21"/>
          <w:szCs w:val="21"/>
          <w:color w:val="auto"/>
        </w:rPr>
        <w:t>means the treatment of Duchenne Muscular Dystrophy.</w:t>
      </w:r>
    </w:p>
    <w:p>
      <w:pPr>
        <w:spacing w:after="0" w:line="206" w:lineRule="exact"/>
        <w:rPr>
          <w:sz w:val="20"/>
          <w:szCs w:val="20"/>
          <w:color w:val="auto"/>
        </w:rPr>
      </w:pPr>
    </w:p>
    <w:p>
      <w:pPr>
        <w:ind w:right="8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 “Major Country” </w:t>
      </w:r>
      <w:r>
        <w:rPr>
          <w:rFonts w:ascii="Times New Roman" w:cs="Times New Roman" w:eastAsia="Times New Roman" w:hAnsi="Times New Roman"/>
          <w:sz w:val="22"/>
          <w:szCs w:val="22"/>
          <w:color w:val="auto"/>
        </w:rPr>
        <w:t>means the United States, Japan, Germany, Italy, Spain, France and the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Kingdom, or the European Union, as a whole.</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b w:val="1"/>
          <w:bCs w:val="1"/>
          <w:color w:val="auto"/>
        </w:rPr>
        <w:t xml:space="preserve">“Market Countries” </w:t>
      </w:r>
      <w:r>
        <w:rPr>
          <w:rFonts w:ascii="Times New Roman" w:cs="Times New Roman" w:eastAsia="Times New Roman" w:hAnsi="Times New Roman"/>
          <w:sz w:val="21"/>
          <w:szCs w:val="21"/>
          <w:color w:val="auto"/>
        </w:rPr>
        <w:t>means:</w:t>
      </w:r>
    </w:p>
    <w:p>
      <w:pPr>
        <w:spacing w:after="0" w:line="210" w:lineRule="exact"/>
        <w:rPr>
          <w:sz w:val="20"/>
          <w:szCs w:val="20"/>
          <w:color w:val="auto"/>
        </w:rPr>
      </w:pPr>
    </w:p>
    <w:p>
      <w:pPr>
        <w:jc w:val="both"/>
        <w:ind w:right="520" w:firstLine="1505"/>
        <w:spacing w:after="0" w:line="239" w:lineRule="auto"/>
        <w:tabs>
          <w:tab w:leader="none" w:pos="2036"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and future Organization for Economic Cooperation and Development (OECD) countries, presently consisting of Australia, Austria, Belgium, Canada, Czech Republic, Denmark, Finland, France, Germany, Greece, Hungary, Iceland, Ireland, Italy, Republic of Korea, Japan, Luxembourg, Mexico, the Netherlands, New Zealand, Norway, Poland, Portugal, Spain, Sweden, Switzerland, Turkey, the UK, and the United States; and</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and future members of the European Union not otherwise members of the OECD; and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People’s Republic of China, India, Malaysia, Russian Federation, Singapore, and Taiwan.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8" w:name="page329"/>
    <w:bookmarkEnd w:id="328"/>
    <w:p>
      <w:pPr>
        <w:ind w:right="1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1.10. “Marketing Approval” </w:t>
      </w:r>
      <w:r>
        <w:rPr>
          <w:rFonts w:ascii="Times New Roman" w:cs="Times New Roman" w:eastAsia="Times New Roman" w:hAnsi="Times New Roman"/>
          <w:sz w:val="22"/>
          <w:szCs w:val="22"/>
          <w:color w:val="auto"/>
        </w:rPr>
        <w:t>means all approvals from the relevant Regulatory Authority of a Major Country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market and sell a Product in such country or territory.</w:t>
      </w:r>
    </w:p>
    <w:p>
      <w:pPr>
        <w:spacing w:after="0" w:line="150" w:lineRule="exact"/>
        <w:rPr>
          <w:sz w:val="20"/>
          <w:szCs w:val="20"/>
          <w:color w:val="auto"/>
        </w:rPr>
      </w:pPr>
    </w:p>
    <w:p>
      <w:pPr>
        <w:ind w:right="20" w:firstLine="1497"/>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1.11. “Net Sales” </w:t>
      </w:r>
      <w:r>
        <w:rPr>
          <w:rFonts w:ascii="Times New Roman" w:cs="Times New Roman" w:eastAsia="Times New Roman" w:hAnsi="Times New Roman"/>
          <w:sz w:val="21"/>
          <w:szCs w:val="21"/>
          <w:color w:val="auto"/>
        </w:rPr>
        <w:t>means the gross amount billed or invoiced by or on behalf of Licensee or its Sublicensees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case, the “Invoicing Entity”) on sales, leases or other transfers of Products, less the following to the extent applicable with respect to such sales, leases or other transfers and not previously deducted from the gross invoice price: (a) customary trade, quantity or cash discounts to the extent actually allowed and taken; (b) amounts actually repaid or credited by reason of rejection or return of any previously sold, leased or otherwise transferred Products; (c) customer freight, shipping, transportation, delivery, packaging and/or cost of insurance prepaid charges that are paid or actually allowed by or on behalf of the Invoicing Entity; and</w:t>
      </w:r>
    </w:p>
    <w:p>
      <w:pPr>
        <w:spacing w:after="0" w:line="1" w:lineRule="exact"/>
        <w:rPr>
          <w:sz w:val="20"/>
          <w:szCs w:val="20"/>
          <w:color w:val="auto"/>
        </w:rPr>
      </w:pPr>
    </w:p>
    <w:p>
      <w:pPr>
        <w:ind w:right="60" w:firstLine="8"/>
        <w:spacing w:after="0" w:line="234" w:lineRule="auto"/>
        <w:tabs>
          <w:tab w:leader="none" w:pos="306"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separately stated on purchase orders, invoices or other documents of sale, any sales, use, value added or similar taxes, tariffs, custom duties or other similar governmental charges levied directly on the production, sale, transportation, delivery or use of a Product that are paid by or on behalf of the Invoicing Entity, but not including any tax levied with respect to income; provided that:</w:t>
      </w:r>
    </w:p>
    <w:p>
      <w:pPr>
        <w:spacing w:after="0" w:line="173"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1.11.1.</w:t>
      </w:r>
      <w:r>
        <w:rPr>
          <w:rFonts w:ascii="Times New Roman" w:cs="Times New Roman" w:eastAsia="Times New Roman" w:hAnsi="Times New Roman"/>
          <w:sz w:val="22"/>
          <w:szCs w:val="22"/>
          <w:color w:val="auto"/>
        </w:rPr>
        <w:t>in any transfers of Products between an Invoicing Entity and an Affiliate of such Invoicing Entity not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 of resale by such Affiliate, Net Sales will be equal to the fair market value of the Products so transferred, assuming an arm’s length transaction made in the ordinary course of business, and</w:t>
      </w:r>
    </w:p>
    <w:p>
      <w:pPr>
        <w:spacing w:after="0" w:line="167"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1.11.2.</w:t>
      </w:r>
      <w:r>
        <w:rPr>
          <w:rFonts w:ascii="Times New Roman" w:cs="Times New Roman" w:eastAsia="Times New Roman" w:hAnsi="Times New Roman"/>
          <w:sz w:val="21"/>
          <w:szCs w:val="21"/>
          <w:color w:val="auto"/>
        </w:rPr>
        <w:t>in the event that an Invoicing Entity receives non-cash consideration for any Products or in the case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not at arm’s length with a non-Affiliate of an Invoicing Entity, Net Sales will be calculated based on the fair market value of such consideration or transaction, assuming an arm’s length transaction made in the ordinary course of business;</w:t>
      </w:r>
    </w:p>
    <w:p>
      <w:pPr>
        <w:spacing w:after="0" w:line="151"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1.11.3.</w:t>
      </w:r>
      <w:r>
        <w:rPr>
          <w:rFonts w:ascii="Times New Roman" w:cs="Times New Roman" w:eastAsia="Times New Roman" w:hAnsi="Times New Roman"/>
          <w:sz w:val="22"/>
          <w:szCs w:val="22"/>
          <w:color w:val="auto"/>
        </w:rPr>
        <w:t>sales of Products to Public Sector entities in Non-Suit Countries for end use solely in Non-Suit Countries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Net Sales; and</w:t>
      </w:r>
    </w:p>
    <w:p>
      <w:pPr>
        <w:spacing w:after="0" w:line="15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1.11.4.</w:t>
      </w:r>
      <w:r>
        <w:rPr>
          <w:rFonts w:ascii="Times New Roman" w:cs="Times New Roman" w:eastAsia="Times New Roman" w:hAnsi="Times New Roman"/>
          <w:sz w:val="22"/>
          <w:szCs w:val="22"/>
          <w:color w:val="auto"/>
        </w:rPr>
        <w:t>sales of Products by an Invoicing Entity to its Affiliate or a Sublicensee for resale by such Affiliate or Sublicensee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be deemed Net Sales. Instead, Net Sales will be determined based on the gross amount billed or invoiced by such Affiliate or Sublicensee upon resale of such Products to a third party purchaser.</w:t>
      </w:r>
    </w:p>
    <w:p>
      <w:pPr>
        <w:spacing w:after="0" w:line="167" w:lineRule="exact"/>
        <w:rPr>
          <w:sz w:val="20"/>
          <w:szCs w:val="20"/>
          <w:color w:val="auto"/>
        </w:rPr>
      </w:pPr>
    </w:p>
    <w:p>
      <w:pPr>
        <w:ind w:right="8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1.12. “Non-Royalty Income” </w:t>
      </w:r>
      <w:r>
        <w:rPr>
          <w:rFonts w:ascii="Times New Roman" w:cs="Times New Roman" w:eastAsia="Times New Roman" w:hAnsi="Times New Roman"/>
          <w:sz w:val="22"/>
          <w:szCs w:val="22"/>
          <w:color w:val="auto"/>
        </w:rPr>
        <w:t>means any payments or other consideration that Licensee or any of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receives in connection with a Sublicense or Strategic Partnership, including without limitation, fees, milestone payments, agreement maintenance fees, and other payments, but specifically excluding (a) royalties based on Net Sales, (b) amounts received from a Sublicensee or Strategic Partner to cover reasonable, fully-burdened costs incurred or to be incurred by Licensee in the performance of research or development activities after the Effective Date, (c) amounts received from a Sublicensee or Strategic Partner as reimbursement for out-of- pocket costs incurred by Licensee in the preparation, filing, prosecution and maintenance of the Patent Rights, or (d) consideration for the issuance of equity interests in Licensee to the extent the amount paid for such equity does not exceed its fair market value. If Licensee or its Affiliate receives non-cash consideration in connection with a Sublicense or Strategic Partnership, or in the case of transactions not at arm’s length,</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29" w:name="page330"/>
    <w:bookmarkEnd w:id="329"/>
    <w:p>
      <w:pPr>
        <w:ind w:right="20"/>
        <w:spacing w:after="0" w:line="246" w:lineRule="auto"/>
        <w:rPr>
          <w:sz w:val="20"/>
          <w:szCs w:val="20"/>
          <w:color w:val="auto"/>
        </w:rPr>
      </w:pPr>
      <w:r>
        <w:rPr>
          <w:rFonts w:ascii="Times New Roman" w:cs="Times New Roman" w:eastAsia="Times New Roman" w:hAnsi="Times New Roman"/>
          <w:sz w:val="21"/>
          <w:szCs w:val="21"/>
          <w:color w:val="auto"/>
        </w:rPr>
        <w:t>Non-Royalty Income will be calculated based on the fair market value of such consideration or transaction, at the time of the transaction, assuming an arm’s length transaction made in the ordinary course of business. To the extent Licensee receives compensation for both a grant of a Sublicense of rights to the Biological Material and/or the Technology Transfer Material under Section 2.1 and the grant of other rights or licenses to intellectual property other than a Sublicense of rights granted under Section 2.1, such compensation will be reasonably apportioned between that amount attributable to the Sublicense of rights under Section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2.1, which shall be deemed Non-Royalty Income, and that amount attributable to the grant of other rights or licenses in such other intellectual property, which shall be excluded from Non-Royalty Income, such apportionment to be reasonably agreed upon by the Parties.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1.13. “Non-Suit Countries” </w:t>
      </w:r>
      <w:r>
        <w:rPr>
          <w:rFonts w:ascii="Times New Roman" w:cs="Times New Roman" w:eastAsia="Times New Roman" w:hAnsi="Times New Roman"/>
          <w:sz w:val="22"/>
          <w:szCs w:val="22"/>
          <w:color w:val="auto"/>
        </w:rPr>
        <w:t>means all countries other than Market Countries.</w:t>
      </w:r>
    </w:p>
    <w:p>
      <w:pPr>
        <w:spacing w:after="0" w:line="206" w:lineRule="exact"/>
        <w:rPr>
          <w:sz w:val="20"/>
          <w:szCs w:val="20"/>
          <w:color w:val="auto"/>
        </w:rPr>
      </w:pPr>
    </w:p>
    <w:p>
      <w:pPr>
        <w:ind w:right="6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1.14. “Product” </w:t>
      </w:r>
      <w:r>
        <w:rPr>
          <w:rFonts w:ascii="Times New Roman" w:cs="Times New Roman" w:eastAsia="Times New Roman" w:hAnsi="Times New Roman"/>
          <w:sz w:val="22"/>
          <w:szCs w:val="22"/>
          <w:color w:val="auto"/>
        </w:rPr>
        <w:t>means any product produced by a Virus or through the use of the Biological Material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Transfer Material.</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1.15. “Public Sector” </w:t>
      </w:r>
      <w:r>
        <w:rPr>
          <w:rFonts w:ascii="Times New Roman" w:cs="Times New Roman" w:eastAsia="Times New Roman" w:hAnsi="Times New Roman"/>
          <w:sz w:val="22"/>
          <w:szCs w:val="22"/>
          <w:color w:val="auto"/>
        </w:rPr>
        <w:t>will include:</w:t>
      </w:r>
    </w:p>
    <w:p>
      <w:pPr>
        <w:spacing w:after="0" w:line="210" w:lineRule="exact"/>
        <w:rPr>
          <w:sz w:val="20"/>
          <w:szCs w:val="20"/>
          <w:color w:val="auto"/>
        </w:rPr>
      </w:pPr>
    </w:p>
    <w:p>
      <w:pPr>
        <w:ind w:left="2040" w:hanging="535"/>
        <w:spacing w:after="0"/>
        <w:tabs>
          <w:tab w:leader="none" w:pos="204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sovereign government of a country;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agencies of the United Nations and the World Health Organization;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non-profit organizations which are members of the International Committee of the Red Cross and 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Crescent;</w:t>
      </w:r>
    </w:p>
    <w:p>
      <w:pPr>
        <w:spacing w:after="0" w:line="182" w:lineRule="exact"/>
        <w:rPr>
          <w:sz w:val="20"/>
          <w:szCs w:val="20"/>
          <w:color w:val="auto"/>
        </w:rPr>
      </w:pPr>
    </w:p>
    <w:p>
      <w:pPr>
        <w:ind w:right="200" w:firstLine="1505"/>
        <w:spacing w:after="0" w:line="258" w:lineRule="auto"/>
        <w:tabs>
          <w:tab w:leader="none" w:pos="203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charitable agencies (also known as Non-Governmental Agencies) including but not limited to Oxfam, Medecins Sans Frontieres, and so forth;</w:t>
      </w:r>
    </w:p>
    <w:p>
      <w:pPr>
        <w:spacing w:after="0" w:line="158" w:lineRule="exact"/>
        <w:rPr>
          <w:rFonts w:ascii="Times New Roman" w:cs="Times New Roman" w:eastAsia="Times New Roman" w:hAnsi="Times New Roman"/>
          <w:sz w:val="22"/>
          <w:szCs w:val="22"/>
          <w:color w:val="auto"/>
        </w:rPr>
      </w:pPr>
    </w:p>
    <w:p>
      <w:pPr>
        <w:ind w:right="160" w:firstLine="1505"/>
        <w:spacing w:after="0" w:line="244" w:lineRule="auto"/>
        <w:tabs>
          <w:tab w:leader="none" w:pos="203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non-profit organizations substantially supported by philanthropic organizations including but not limited to the Bill and Melinda Gates Foundation, the Rockefeller Foundation and so forth, specifically including global product development and distribution public-private partnerships.</w:t>
      </w:r>
    </w:p>
    <w:p>
      <w:pPr>
        <w:spacing w:after="0" w:line="169" w:lineRule="exact"/>
        <w:rPr>
          <w:sz w:val="20"/>
          <w:szCs w:val="20"/>
          <w:color w:val="auto"/>
        </w:rPr>
      </w:pPr>
    </w:p>
    <w:p>
      <w:pPr>
        <w:ind w:right="4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1.16. “Regulatory Authority” </w:t>
      </w:r>
      <w:r>
        <w:rPr>
          <w:rFonts w:ascii="Times New Roman" w:cs="Times New Roman" w:eastAsia="Times New Roman" w:hAnsi="Times New Roman"/>
          <w:sz w:val="22"/>
          <w:szCs w:val="22"/>
          <w:color w:val="auto"/>
        </w:rPr>
        <w:t>means any applicable government regulatory authority involved in granting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approvals for the manufacturing and marketing of a Product, including, in the United States, the FDA.</w:t>
      </w:r>
    </w:p>
    <w:p>
      <w:pPr>
        <w:spacing w:after="0" w:line="150" w:lineRule="exact"/>
        <w:rPr>
          <w:sz w:val="20"/>
          <w:szCs w:val="20"/>
          <w:color w:val="auto"/>
        </w:rPr>
      </w:pPr>
    </w:p>
    <w:p>
      <w:pPr>
        <w:ind w:right="2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 “Strategic Partner” </w:t>
      </w:r>
      <w:r>
        <w:rPr>
          <w:rFonts w:ascii="Times New Roman" w:cs="Times New Roman" w:eastAsia="Times New Roman" w:hAnsi="Times New Roman"/>
          <w:sz w:val="22"/>
          <w:szCs w:val="22"/>
          <w:color w:val="auto"/>
        </w:rPr>
        <w:t>means any entity that agrees to compensate Licensee or its Affiliate in exchange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Licensee’s or its Affiliate’s practice of the Patent Rights and/or development of Products, on behalf of or in collaboration with such entity, including without limitation, for commercialization and development activities for Products. Any entity which meets the foregoing criteria, that also receives a Sublicense shall be considered a Sublicensee, and not a Strategic Partner, for the purposes of this Agreement.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1.18. “Strategic Partnership” </w:t>
      </w:r>
      <w:r>
        <w:rPr>
          <w:rFonts w:ascii="Times New Roman" w:cs="Times New Roman" w:eastAsia="Times New Roman" w:hAnsi="Times New Roman"/>
          <w:sz w:val="22"/>
          <w:szCs w:val="22"/>
          <w:color w:val="auto"/>
        </w:rPr>
        <w:t>means any agreement with a Strategic Partner.</w:t>
      </w:r>
    </w:p>
    <w:p>
      <w:pPr>
        <w:spacing w:after="0" w:line="206"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1.19. “Sublicense” </w:t>
      </w:r>
      <w:r>
        <w:rPr>
          <w:rFonts w:ascii="Times New Roman" w:cs="Times New Roman" w:eastAsia="Times New Roman" w:hAnsi="Times New Roman"/>
          <w:sz w:val="22"/>
          <w:szCs w:val="22"/>
          <w:color w:val="auto"/>
        </w:rPr>
        <w:t>shall mean (a) any right granted, license given or agreement entered into by Licensee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other person or entity (including strategic or development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0" w:name="page331"/>
    <w:bookmarkEnd w:id="330"/>
    <w:p>
      <w:pPr>
        <w:ind w:right="60"/>
        <w:spacing w:after="0" w:line="235" w:lineRule="auto"/>
        <w:rPr>
          <w:sz w:val="20"/>
          <w:szCs w:val="20"/>
          <w:color w:val="auto"/>
        </w:rPr>
      </w:pPr>
      <w:r>
        <w:rPr>
          <w:rFonts w:ascii="Times New Roman" w:cs="Times New Roman" w:eastAsia="Times New Roman" w:hAnsi="Times New Roman"/>
          <w:sz w:val="22"/>
          <w:szCs w:val="22"/>
          <w:color w:val="auto"/>
        </w:rPr>
        <w:t>partnerships), under or with respect to or permitting any use or exploitation of the Biological Material and/or the Technology Transfer Material for the purpose of producing Viruses to be used in the production of Products, or otherwise permitting the development, manufacture, marketing, distribution, use and/or sale of Products; (b) any option or other right granted by Licensee to any other person or entity to negotiate for or receive any of the rights described under clause (a); or (c) any standstill or similar obligation undertaken by Licensee toward any other person or entity not to grant any of the rights described in clause (a) or (b) to any third party; in each case regardless of whether such grant of rights, license given or agreement entered into is referred to or is described as a sublicense.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1.20. “Sublicensee” </w:t>
      </w:r>
      <w:r>
        <w:rPr>
          <w:rFonts w:ascii="Times New Roman" w:cs="Times New Roman" w:eastAsia="Times New Roman" w:hAnsi="Times New Roman"/>
          <w:sz w:val="22"/>
          <w:szCs w:val="22"/>
          <w:color w:val="auto"/>
        </w:rPr>
        <w:t>shall mean any person or entity granted a Sublicense.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1.21. “Technology Transfer Material” </w:t>
      </w:r>
      <w:r>
        <w:rPr>
          <w:rFonts w:ascii="Times New Roman" w:cs="Times New Roman" w:eastAsia="Times New Roman" w:hAnsi="Times New Roman"/>
          <w:sz w:val="22"/>
          <w:szCs w:val="22"/>
          <w:color w:val="auto"/>
        </w:rPr>
        <w:t>means the methods, protocols and other information listed in Exhibit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 hereto.</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1.22. “Term” </w:t>
      </w:r>
      <w:r>
        <w:rPr>
          <w:rFonts w:ascii="Times New Roman" w:cs="Times New Roman" w:eastAsia="Times New Roman" w:hAnsi="Times New Roman"/>
          <w:sz w:val="22"/>
          <w:szCs w:val="22"/>
          <w:color w:val="auto"/>
        </w:rPr>
        <w:t>means the term of this Agreement as set forth in Section 6.1.</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1.23. “Third Party” </w:t>
      </w:r>
      <w:r>
        <w:rPr>
          <w:rFonts w:ascii="Times New Roman" w:cs="Times New Roman" w:eastAsia="Times New Roman" w:hAnsi="Times New Roman"/>
          <w:sz w:val="22"/>
          <w:szCs w:val="22"/>
          <w:color w:val="auto"/>
        </w:rPr>
        <w:t>means any person or entity other than Harvard, Licensee and Licensee’s Affiliates.</w:t>
      </w:r>
    </w:p>
    <w:p>
      <w:pPr>
        <w:spacing w:after="0" w:line="206"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1.24. “Trailing Consideration” </w:t>
      </w:r>
      <w:r>
        <w:rPr>
          <w:rFonts w:ascii="Times New Roman" w:cs="Times New Roman" w:eastAsia="Times New Roman" w:hAnsi="Times New Roman"/>
          <w:sz w:val="22"/>
          <w:szCs w:val="22"/>
          <w:color w:val="auto"/>
        </w:rPr>
        <w:t>means any payments due for any deferred or contingent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payable to Licensee, its direct or indirect parent company, or its security holders, as the case may be, with respect to an Asset Sale, Merger or Stock Sale, including, without limitation, any post-closing milestone payment, escrow or holdback of consideration.</w:t>
      </w:r>
    </w:p>
    <w:p>
      <w:pPr>
        <w:spacing w:after="0" w:line="172" w:lineRule="exact"/>
        <w:rPr>
          <w:sz w:val="20"/>
          <w:szCs w:val="20"/>
          <w:color w:val="auto"/>
        </w:rPr>
      </w:pPr>
    </w:p>
    <w:p>
      <w:pPr>
        <w:ind w:right="24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1.25. “Virus” </w:t>
      </w:r>
      <w:r>
        <w:rPr>
          <w:rFonts w:ascii="Times New Roman" w:cs="Times New Roman" w:eastAsia="Times New Roman" w:hAnsi="Times New Roman"/>
          <w:sz w:val="22"/>
          <w:szCs w:val="22"/>
          <w:color w:val="auto"/>
        </w:rPr>
        <w:t>means any virus produced by Licensee or a Sublicensee through use of the Biological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does not contain any Biological Material or any functional portion or functional fragment thereof.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 License.</w:t>
      </w:r>
    </w:p>
    <w:p>
      <w:pPr>
        <w:spacing w:after="0" w:line="206" w:lineRule="exact"/>
        <w:rPr>
          <w:sz w:val="20"/>
          <w:szCs w:val="20"/>
          <w:color w:val="auto"/>
        </w:rPr>
      </w:pPr>
    </w:p>
    <w:p>
      <w:pPr>
        <w:ind w:right="4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2.1. License Grant. </w:t>
      </w:r>
      <w:r>
        <w:rPr>
          <w:rFonts w:ascii="Times New Roman" w:cs="Times New Roman" w:eastAsia="Times New Roman" w:hAnsi="Times New Roman"/>
          <w:sz w:val="22"/>
          <w:szCs w:val="22"/>
          <w:color w:val="auto"/>
        </w:rPr>
        <w:t>Subject to the terms and conditions set forth in this Agreement, Harvard hereby grants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 a non-exclusive, royalty-bearing, worldwide license, sublicensable solely in accordance with Section 2.2, to use the Biological Material and the Technology Transfer Material solely to produce Viruses solely to make and sell Products for use in the Field.</w:t>
      </w:r>
    </w:p>
    <w:p>
      <w:pPr>
        <w:spacing w:after="0" w:line="17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Sublicenses.</w:t>
      </w:r>
    </w:p>
    <w:p>
      <w:pPr>
        <w:spacing w:after="0" w:line="206" w:lineRule="exact"/>
        <w:rPr>
          <w:sz w:val="20"/>
          <w:szCs w:val="20"/>
          <w:color w:val="auto"/>
        </w:rPr>
      </w:pPr>
    </w:p>
    <w:p>
      <w:pPr>
        <w:ind w:right="20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2.2.1.Sublicense Grant. </w:t>
      </w:r>
      <w:r>
        <w:rPr>
          <w:rFonts w:ascii="Times New Roman" w:cs="Times New Roman" w:eastAsia="Times New Roman" w:hAnsi="Times New Roman"/>
          <w:sz w:val="22"/>
          <w:szCs w:val="22"/>
          <w:color w:val="auto"/>
        </w:rPr>
        <w:t>Licensee will be entitled to grant Sublicenses to Third Parties under the license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Section 2.1 subject to the terms of this Section 2.2;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such grant is made (a) in conjunction with a license to technology owned or controlled by Licensee (other than the Biological Material and the Technology Transfer Material) that is included in or useful for the making of Products, and (b) solely for the manufacture of Viruses solely to make and sell Products for use in the Field. Affiliates of Licensee shall be permitted to exercise such right as a Sublicensee only with Harvard’s prior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1" w:name="page332"/>
    <w:bookmarkEnd w:id="331"/>
    <w:p>
      <w:pPr>
        <w:ind w:right="580"/>
        <w:spacing w:after="0" w:line="258" w:lineRule="auto"/>
        <w:rPr>
          <w:sz w:val="20"/>
          <w:szCs w:val="20"/>
          <w:color w:val="auto"/>
        </w:rPr>
      </w:pPr>
      <w:r>
        <w:rPr>
          <w:rFonts w:ascii="Times New Roman" w:cs="Times New Roman" w:eastAsia="Times New Roman" w:hAnsi="Times New Roman"/>
          <w:sz w:val="22"/>
          <w:szCs w:val="22"/>
          <w:color w:val="auto"/>
        </w:rPr>
        <w:t xml:space="preserve">written consent, not to be unreasonably withheld or delayed;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Licensee shall ensure that any such Affiliate complies with the terms of this Section 2.2.</w:t>
      </w:r>
    </w:p>
    <w:p>
      <w:pPr>
        <w:spacing w:after="0" w:line="154"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2.2.2.Sublicense Agreements. </w:t>
      </w:r>
      <w:r>
        <w:rPr>
          <w:rFonts w:ascii="Times New Roman" w:cs="Times New Roman" w:eastAsia="Times New Roman" w:hAnsi="Times New Roman"/>
          <w:sz w:val="22"/>
          <w:szCs w:val="22"/>
          <w:color w:val="auto"/>
        </w:rPr>
        <w:t>Sublicenses shall be granted pursuant to written agreements, which will be subject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subordinate to the terms and conditions of this Agreement. Such Sublicense agreements will contain, among other things, the following:</w:t>
      </w:r>
    </w:p>
    <w:p>
      <w:pPr>
        <w:spacing w:after="0" w:line="16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b w:val="1"/>
          <w:bCs w:val="1"/>
          <w:color w:val="auto"/>
        </w:rPr>
        <w:t>2.2.2.1.</w:t>
      </w:r>
      <w:r>
        <w:rPr>
          <w:rFonts w:ascii="Times New Roman" w:cs="Times New Roman" w:eastAsia="Times New Roman" w:hAnsi="Times New Roman"/>
          <w:sz w:val="22"/>
          <w:szCs w:val="22"/>
          <w:color w:val="auto"/>
        </w:rPr>
        <w:t>all provisions necessary to ensure Licensee’s ability to perform its obligations under this Agreement;</w:t>
      </w:r>
    </w:p>
    <w:p>
      <w:pPr>
        <w:spacing w:after="0" w:line="206" w:lineRule="exact"/>
        <w:rPr>
          <w:sz w:val="20"/>
          <w:szCs w:val="20"/>
          <w:color w:val="auto"/>
        </w:rPr>
      </w:pPr>
    </w:p>
    <w:p>
      <w:pPr>
        <w:ind w:right="380" w:firstLine="1587"/>
        <w:spacing w:after="0" w:line="246" w:lineRule="auto"/>
        <w:rPr>
          <w:sz w:val="20"/>
          <w:szCs w:val="20"/>
          <w:color w:val="auto"/>
        </w:rPr>
      </w:pPr>
      <w:r>
        <w:rPr>
          <w:rFonts w:ascii="Times New Roman" w:cs="Times New Roman" w:eastAsia="Times New Roman" w:hAnsi="Times New Roman"/>
          <w:sz w:val="22"/>
          <w:szCs w:val="22"/>
          <w:b w:val="1"/>
          <w:bCs w:val="1"/>
          <w:color w:val="auto"/>
        </w:rPr>
        <w:t>2.2.2.2.</w:t>
      </w:r>
      <w:r>
        <w:rPr>
          <w:rFonts w:ascii="Times New Roman" w:cs="Times New Roman" w:eastAsia="Times New Roman" w:hAnsi="Times New Roman"/>
          <w:sz w:val="22"/>
          <w:szCs w:val="22"/>
          <w:color w:val="auto"/>
        </w:rPr>
        <w:t>a section substantially the same as Article 5 of this Agreement, which also will state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Indemnitees (as defined in Section 5.1) are intended third party beneficiaries of such Sublicense agreement for the purpose of enforcing such indemnification;</w:t>
      </w:r>
    </w:p>
    <w:p>
      <w:pPr>
        <w:spacing w:after="0" w:line="167" w:lineRule="exact"/>
        <w:rPr>
          <w:sz w:val="20"/>
          <w:szCs w:val="20"/>
          <w:color w:val="auto"/>
        </w:rPr>
      </w:pPr>
    </w:p>
    <w:p>
      <w:pPr>
        <w:ind w:firstLine="1587"/>
        <w:spacing w:after="0" w:line="237" w:lineRule="auto"/>
        <w:rPr>
          <w:sz w:val="20"/>
          <w:szCs w:val="20"/>
          <w:color w:val="auto"/>
        </w:rPr>
      </w:pPr>
      <w:r>
        <w:rPr>
          <w:rFonts w:ascii="Times New Roman" w:cs="Times New Roman" w:eastAsia="Times New Roman" w:hAnsi="Times New Roman"/>
          <w:sz w:val="22"/>
          <w:szCs w:val="22"/>
          <w:b w:val="1"/>
          <w:bCs w:val="1"/>
          <w:color w:val="auto"/>
        </w:rPr>
        <w:t>2.2.2.3.</w:t>
      </w:r>
      <w:r>
        <w:rPr>
          <w:rFonts w:ascii="Times New Roman" w:cs="Times New Roman" w:eastAsia="Times New Roman" w:hAnsi="Times New Roman"/>
          <w:sz w:val="22"/>
          <w:szCs w:val="22"/>
          <w:color w:val="auto"/>
        </w:rPr>
        <w:t>a provision clarifying that, in the event of termination of the license set forth in Section 2.1 (in whole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part), any existing Sublicense agreement shall terminate to the extent of such terminated license;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direct license shall not impose any representations, warranties, obligations or liabilities on Harvard that are not included in this Agreement;</w:t>
      </w:r>
    </w:p>
    <w:p>
      <w:pPr>
        <w:spacing w:after="0" w:line="175" w:lineRule="exact"/>
        <w:rPr>
          <w:sz w:val="20"/>
          <w:szCs w:val="20"/>
          <w:color w:val="auto"/>
        </w:rPr>
      </w:pPr>
    </w:p>
    <w:p>
      <w:pPr>
        <w:ind w:right="500" w:firstLine="1587"/>
        <w:spacing w:after="0" w:line="262" w:lineRule="auto"/>
        <w:rPr>
          <w:sz w:val="20"/>
          <w:szCs w:val="20"/>
          <w:color w:val="auto"/>
        </w:rPr>
      </w:pPr>
      <w:r>
        <w:rPr>
          <w:rFonts w:ascii="Times New Roman" w:cs="Times New Roman" w:eastAsia="Times New Roman" w:hAnsi="Times New Roman"/>
          <w:sz w:val="22"/>
          <w:szCs w:val="22"/>
          <w:b w:val="1"/>
          <w:bCs w:val="1"/>
          <w:color w:val="auto"/>
        </w:rPr>
        <w:t>2.2.2.4.</w:t>
      </w:r>
      <w:r>
        <w:rPr>
          <w:rFonts w:ascii="Times New Roman" w:cs="Times New Roman" w:eastAsia="Times New Roman" w:hAnsi="Times New Roman"/>
          <w:sz w:val="22"/>
          <w:szCs w:val="22"/>
          <w:color w:val="auto"/>
        </w:rPr>
        <w:t>a provision clarifying that the Sublicensee shall only be entitled to sublicense its rights under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 agreement on the terms set forth in this Section 2.2; and</w:t>
      </w:r>
    </w:p>
    <w:p>
      <w:pPr>
        <w:spacing w:after="0" w:line="150" w:lineRule="exact"/>
        <w:rPr>
          <w:sz w:val="20"/>
          <w:szCs w:val="20"/>
          <w:color w:val="auto"/>
        </w:rPr>
      </w:pPr>
    </w:p>
    <w:p>
      <w:pPr>
        <w:ind w:right="120" w:firstLine="1587"/>
        <w:spacing w:after="0" w:line="238" w:lineRule="auto"/>
        <w:rPr>
          <w:sz w:val="20"/>
          <w:szCs w:val="20"/>
          <w:color w:val="auto"/>
        </w:rPr>
      </w:pPr>
      <w:r>
        <w:rPr>
          <w:rFonts w:ascii="Times New Roman" w:cs="Times New Roman" w:eastAsia="Times New Roman" w:hAnsi="Times New Roman"/>
          <w:sz w:val="22"/>
          <w:szCs w:val="22"/>
          <w:b w:val="1"/>
          <w:bCs w:val="1"/>
          <w:color w:val="auto"/>
        </w:rPr>
        <w:t>2.2.2.5.</w:t>
      </w:r>
      <w:r>
        <w:rPr>
          <w:rFonts w:ascii="Times New Roman" w:cs="Times New Roman" w:eastAsia="Times New Roman" w:hAnsi="Times New Roman"/>
          <w:sz w:val="22"/>
          <w:szCs w:val="22"/>
          <w:color w:val="auto"/>
        </w:rPr>
        <w:t>a provision prohibiting the Sublicensee from assigning the Sublicense agreement without the prior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consent of Harvard, except that Sublicensee may assign the Sublicense agreement to a successor in connection with the merger, consolidation or other reorganization of the Sublicensee, or the sale of all or substantially all of its assets or that portion of its business to which the Sublicense agreement relates; provided, however, that any permitted assignee agrees in writing to be bound by the terms of such Sublicense agreement.</w:t>
      </w:r>
    </w:p>
    <w:p>
      <w:pPr>
        <w:spacing w:after="0" w:line="177"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2.2.3.Delivery of Sublicense Agreement. </w:t>
      </w:r>
      <w:r>
        <w:rPr>
          <w:rFonts w:ascii="Times New Roman" w:cs="Times New Roman" w:eastAsia="Times New Roman" w:hAnsi="Times New Roman"/>
          <w:sz w:val="22"/>
          <w:szCs w:val="22"/>
          <w:color w:val="auto"/>
        </w:rPr>
        <w:t>Licensee shall furnish Harvard with a fully executed copy of any Sublicense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redacted with respect to matters not relevant to Harvard’s interest, promptly after its execution (or promptly after the Effective Date with respect to Sublicense agreements entered into prior to the Effective Date). Harvard shall keep all such agreements and their terms confidential and shall use them solely for the purpose of monitoring Licensee’s and Sublicensees’ compliance with their obligations hereunder and enforcing Harvard’s rights under this Agreement.</w:t>
      </w:r>
    </w:p>
    <w:p>
      <w:pPr>
        <w:spacing w:after="0" w:line="177" w:lineRule="exact"/>
        <w:rPr>
          <w:sz w:val="20"/>
          <w:szCs w:val="20"/>
          <w:color w:val="auto"/>
        </w:rPr>
      </w:pPr>
    </w:p>
    <w:p>
      <w:pPr>
        <w:ind w:right="16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2.2.4.Breach by Sublicensee. </w:t>
      </w:r>
      <w:r>
        <w:rPr>
          <w:rFonts w:ascii="Times New Roman" w:cs="Times New Roman" w:eastAsia="Times New Roman" w:hAnsi="Times New Roman"/>
          <w:sz w:val="22"/>
          <w:szCs w:val="22"/>
          <w:color w:val="auto"/>
        </w:rPr>
        <w:t>During the term of this Agreement, Licensee shall be responsible for any breach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 agreement by a Sublicensee that results in a material breach of this Agreement. Licensee may elect (a) to cure such breach in accordance with Section 6.2.2 of this Agreement or (b) to enforce its rights by terminating such Sublicense agreement in accordance with the terms thereof.</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2" w:name="page333"/>
    <w:bookmarkEnd w:id="332"/>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Biological Material.</w:t>
      </w:r>
    </w:p>
    <w:p>
      <w:pPr>
        <w:spacing w:after="0" w:line="206" w:lineRule="exact"/>
        <w:rPr>
          <w:sz w:val="20"/>
          <w:szCs w:val="20"/>
          <w:color w:val="auto"/>
        </w:rPr>
      </w:pPr>
    </w:p>
    <w:p>
      <w:pPr>
        <w:ind w:right="10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2.3.1.</w:t>
      </w:r>
      <w:r>
        <w:rPr>
          <w:rFonts w:ascii="Times New Roman" w:cs="Times New Roman" w:eastAsia="Times New Roman" w:hAnsi="Times New Roman"/>
          <w:sz w:val="22"/>
          <w:szCs w:val="22"/>
          <w:color w:val="auto"/>
        </w:rPr>
        <w:t>As between the parties hereto, subject to the the terms herein, including without limitation, the license granted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 pursuant to Section 2.1 and any Sublicenses granted to Sublicensees pursuant to Section 2.2, all rights, title and interest in and to all Biological Material, and any intellectual property applying thereto, shall be owned solely and exclusively by Harvard.</w:t>
      </w:r>
    </w:p>
    <w:p>
      <w:pPr>
        <w:spacing w:after="0" w:line="172"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2.3.2.</w:t>
      </w:r>
      <w:r>
        <w:rPr>
          <w:rFonts w:ascii="Times New Roman" w:cs="Times New Roman" w:eastAsia="Times New Roman" w:hAnsi="Times New Roman"/>
          <w:sz w:val="22"/>
          <w:szCs w:val="22"/>
          <w:color w:val="auto"/>
        </w:rPr>
        <w:t>Licensee shall not use Biological Material other than in accordance with the rights expressly granted to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Except in connection with Sublicenses granted pursuant to Section 2.2, Licensee shall not sell or otherwise transfer any Biological Material to any third party.</w:t>
      </w:r>
    </w:p>
    <w:p>
      <w:pPr>
        <w:spacing w:after="0" w:line="167"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2.3.3.</w:t>
      </w:r>
      <w:r>
        <w:rPr>
          <w:rFonts w:ascii="Times New Roman" w:cs="Times New Roman" w:eastAsia="Times New Roman" w:hAnsi="Times New Roman"/>
          <w:sz w:val="22"/>
          <w:szCs w:val="22"/>
          <w:color w:val="auto"/>
        </w:rPr>
        <w:t>The Biological Material is provided only for use in animals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BIOLOGICAL MATERIAL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USED IN HUMANS.</w:t>
      </w:r>
    </w:p>
    <w:p>
      <w:pPr>
        <w:spacing w:after="0" w:line="150"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2.3.4.</w:t>
      </w:r>
      <w:r>
        <w:rPr>
          <w:rFonts w:ascii="Times New Roman" w:cs="Times New Roman" w:eastAsia="Times New Roman" w:hAnsi="Times New Roman"/>
          <w:sz w:val="22"/>
          <w:szCs w:val="22"/>
          <w:color w:val="auto"/>
        </w:rPr>
        <w:t>Licensee shall inform Harvard’s Office of Technology Development (at 1350 Massachusetts Avenue, Richard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Susan F. Smith Campus Center, Suite 727, Cambridge, MA 02138, (617) 495-3067, Attn: Chief Technology Development Officer) of any Biological Material created by Licensee that is different from, and a modification to, the Biological Material listed in Exhibit 1.3, and upon Harvard’s request, shall provide samples of such material to Harvard.</w:t>
      </w:r>
    </w:p>
    <w:p>
      <w:pPr>
        <w:spacing w:after="0" w:line="172"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2.3.5.</w:t>
      </w:r>
      <w:r>
        <w:rPr>
          <w:rFonts w:ascii="Times New Roman" w:cs="Times New Roman" w:eastAsia="Times New Roman" w:hAnsi="Times New Roman"/>
          <w:sz w:val="22"/>
          <w:szCs w:val="22"/>
          <w:color w:val="auto"/>
        </w:rPr>
        <w:t>Licensee shall deliver to Harvard between [**] and [**] of the product of Licensee’s expansion of the Biological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at Licensee’s expense, no later than August 15, 2016.</w:t>
      </w:r>
    </w:p>
    <w:p>
      <w:pPr>
        <w:spacing w:after="0" w:line="150" w:lineRule="exact"/>
        <w:rPr>
          <w:sz w:val="20"/>
          <w:szCs w:val="20"/>
          <w:color w:val="auto"/>
        </w:rPr>
      </w:pPr>
    </w:p>
    <w:p>
      <w:pPr>
        <w:ind w:right="2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2.3.6.</w:t>
      </w:r>
      <w:r>
        <w:rPr>
          <w:rFonts w:ascii="Times New Roman" w:cs="Times New Roman" w:eastAsia="Times New Roman" w:hAnsi="Times New Roman"/>
          <w:sz w:val="22"/>
          <w:szCs w:val="22"/>
          <w:color w:val="auto"/>
        </w:rPr>
        <w:t>As between the parties hereto, all right, title and interest in and to all Viruses, Products, and any intellectual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applying thereto or to the production thereof, shall be owned solely and exclusively by Licensee. For the avoidance of doubt, nothing herein prohibits or is intended to prohibit the use of Products in humans.</w:t>
      </w:r>
    </w:p>
    <w:p>
      <w:pPr>
        <w:spacing w:after="0" w:line="167" w:lineRule="exact"/>
        <w:rPr>
          <w:sz w:val="20"/>
          <w:szCs w:val="20"/>
          <w:color w:val="auto"/>
        </w:rPr>
      </w:pPr>
    </w:p>
    <w:p>
      <w:pPr>
        <w:ind w:right="18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2.4. No Other Grant of Rights. </w:t>
      </w:r>
      <w:r>
        <w:rPr>
          <w:rFonts w:ascii="Times New Roman" w:cs="Times New Roman" w:eastAsia="Times New Roman" w:hAnsi="Times New Roman"/>
          <w:sz w:val="22"/>
          <w:szCs w:val="22"/>
          <w:color w:val="auto"/>
        </w:rPr>
        <w:t>Except as expressly provided herein, nothing in this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to confer any ownership interest, license or other rights upon Licensee by implication, estoppel or otherwise as to any technology, intellectual property rights, products or biological materials of Harvard, or any other entity, regardless of whether such technology, intellectual property rights, products or biological materials are dominant, subordinate or otherwise related to any Biological Material or Technology Transfer Material.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 Consideration for Grant of License.</w:t>
      </w:r>
    </w:p>
    <w:p>
      <w:pPr>
        <w:spacing w:after="0" w:line="206"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 License Issuance Fee. </w:t>
      </w:r>
      <w:r>
        <w:rPr>
          <w:rFonts w:ascii="Times New Roman" w:cs="Times New Roman" w:eastAsia="Times New Roman" w:hAnsi="Times New Roman"/>
          <w:sz w:val="22"/>
          <w:szCs w:val="22"/>
          <w:color w:val="auto"/>
        </w:rPr>
        <w:t>Within thirty (30) days after the Effective Date, Licensee shall pay Harvard a non-refundable license issuance fee in the amount of [**]. Such license issuance fee shall be creditable against any royalty amounts payable under Section 3.3 below with respect to Products sold in calendar year 2016.</w:t>
      </w:r>
    </w:p>
    <w:p>
      <w:pPr>
        <w:spacing w:after="0" w:line="16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 xml:space="preserve">License Maintenance Fee. </w:t>
      </w:r>
      <w:r>
        <w:rPr>
          <w:rFonts w:ascii="Times New Roman" w:cs="Times New Roman" w:eastAsia="Times New Roman" w:hAnsi="Times New Roman"/>
          <w:sz w:val="21"/>
          <w:szCs w:val="21"/>
          <w:color w:val="auto"/>
        </w:rPr>
        <w:t>Licensee shall pay Harvard a non-refundable annual license maintenance fee</w:t>
      </w:r>
    </w:p>
    <w:p>
      <w:pPr>
        <w:spacing w:after="0" w:line="18"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22"/>
          <w:szCs w:val="22"/>
          <w:color w:val="auto"/>
        </w:rPr>
        <w:t>as follows: [**] for each (full or partial) calendar year prior to Marketing Approval; [**] for the first full calendar year after Marketing Approval; [**] for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3" w:name="page334"/>
    <w:bookmarkEnd w:id="333"/>
    <w:p>
      <w:pPr>
        <w:ind w:right="60"/>
        <w:spacing w:after="0" w:line="236" w:lineRule="auto"/>
        <w:rPr>
          <w:sz w:val="20"/>
          <w:szCs w:val="20"/>
          <w:color w:val="auto"/>
        </w:rPr>
      </w:pPr>
      <w:r>
        <w:rPr>
          <w:rFonts w:ascii="Times New Roman" w:cs="Times New Roman" w:eastAsia="Times New Roman" w:hAnsi="Times New Roman"/>
          <w:sz w:val="22"/>
          <w:szCs w:val="22"/>
          <w:color w:val="auto"/>
        </w:rPr>
        <w:t xml:space="preserve">second full calendar year after Marketing Approval; and [**] for the third full calendar year after Marketing Approval and each calendar year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Licensee grants rights to the Biological Material and/or the Technology Transfer Material to a Sublicensee or a Strategic Partner, the annual maintenance fee payable to Harvard as set forth above shall thereafter be [**]. Each such annual maintenance fee shall be due and payable on January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of the calendar year to which such fee applies. Each annual license maintenance fee shall be creditable against any royalty amounts payable under Section 3.3 below with respect to Products sold in the same calendar year that such annual license maintenance fee applies.</w:t>
      </w:r>
    </w:p>
    <w:p>
      <w:pPr>
        <w:spacing w:after="0" w:line="177" w:lineRule="exact"/>
        <w:rPr>
          <w:sz w:val="20"/>
          <w:szCs w:val="20"/>
          <w:color w:val="auto"/>
        </w:rPr>
      </w:pPr>
    </w:p>
    <w:p>
      <w:pPr>
        <w:ind w:right="16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3.3. Royalty on Net Sales. </w:t>
      </w:r>
      <w:r>
        <w:rPr>
          <w:rFonts w:ascii="Times New Roman" w:cs="Times New Roman" w:eastAsia="Times New Roman" w:hAnsi="Times New Roman"/>
          <w:sz w:val="22"/>
          <w:szCs w:val="22"/>
          <w:color w:val="auto"/>
        </w:rPr>
        <w:t>Licensee shall pay Harvard an amount equal to (i) [**] of Net Sales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first [**] of cumulative Net Sales, and (ii) [**] of Net Sales with respect to cumulative Net Sales in excess of [**].</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 xml:space="preserve">Non-Royalty Income Fee. </w:t>
      </w:r>
      <w:r>
        <w:rPr>
          <w:rFonts w:ascii="Times New Roman" w:cs="Times New Roman" w:eastAsia="Times New Roman" w:hAnsi="Times New Roman"/>
          <w:sz w:val="21"/>
          <w:szCs w:val="21"/>
          <w:color w:val="auto"/>
        </w:rPr>
        <w:t>Licensee will pay Harvard an amount equal to [**] of all Non-Royalty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Income.</w:t>
      </w:r>
    </w:p>
    <w:p>
      <w:pPr>
        <w:spacing w:after="0" w:line="178"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3.5. Milestone Payments. </w:t>
      </w:r>
      <w:r>
        <w:rPr>
          <w:rFonts w:ascii="Times New Roman" w:cs="Times New Roman" w:eastAsia="Times New Roman" w:hAnsi="Times New Roman"/>
          <w:sz w:val="22"/>
          <w:szCs w:val="22"/>
          <w:color w:val="auto"/>
        </w:rPr>
        <w:t>With respect to each Product, Licensee will pay Harvard [**] within [**] after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of such Product.</w:t>
      </w:r>
    </w:p>
    <w:p>
      <w:pPr>
        <w:spacing w:after="0" w:line="15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2"/>
          <w:szCs w:val="22"/>
          <w:color w:val="auto"/>
        </w:rPr>
        <w:t>Change of Control Payment. [**]</w:t>
      </w:r>
    </w:p>
    <w:p>
      <w:pPr>
        <w:spacing w:after="0" w:line="206" w:lineRule="exact"/>
        <w:rPr>
          <w:sz w:val="20"/>
          <w:szCs w:val="20"/>
          <w:color w:val="auto"/>
        </w:rPr>
      </w:pPr>
    </w:p>
    <w:p>
      <w:pPr>
        <w:ind w:right="30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3.7. Late Payment. </w:t>
      </w:r>
      <w:r>
        <w:rPr>
          <w:rFonts w:ascii="Times New Roman" w:cs="Times New Roman" w:eastAsia="Times New Roman" w:hAnsi="Times New Roman"/>
          <w:sz w:val="22"/>
          <w:szCs w:val="22"/>
          <w:color w:val="auto"/>
        </w:rPr>
        <w:t>Any payment by Licensee that is not paid on or before the date such payment is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will bear interest at the lower of (a) [**] and (b) the maximum rate allowed by law. Interest will accrue beginning on the first day following the due date for payment and will be compounded quarterly. Payment of such interest by Licensee shall not limit, in any way, Harvard’s right to exercise any other remedies Harvard may have as a consequence of the lateness of any payment.</w:t>
      </w:r>
    </w:p>
    <w:p>
      <w:pPr>
        <w:spacing w:after="0" w:line="177" w:lineRule="exact"/>
        <w:rPr>
          <w:sz w:val="20"/>
          <w:szCs w:val="20"/>
          <w:color w:val="auto"/>
        </w:rPr>
      </w:pPr>
    </w:p>
    <w:p>
      <w:pPr>
        <w:jc w:val="both"/>
        <w:ind w:right="280" w:firstLine="1497"/>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3.8. Payment Method. </w:t>
      </w:r>
      <w:r>
        <w:rPr>
          <w:rFonts w:ascii="Times New Roman" w:cs="Times New Roman" w:eastAsia="Times New Roman" w:hAnsi="Times New Roman"/>
          <w:sz w:val="21"/>
          <w:szCs w:val="21"/>
          <w:color w:val="auto"/>
        </w:rPr>
        <w:t>Each payment due to Harvard under this Agreement shall be paid by check or wire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 of funds to Harvard’s account in accordance with written instructions provided by Harvard. If made by wire transfer, such payments shall be marked so as to refer to this Agreement. All payments due under this Agreement will be paid in U.S.</w:t>
      </w:r>
    </w:p>
    <w:p>
      <w:pPr>
        <w:spacing w:after="0" w:line="2"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 xml:space="preserve">Dollars. Conversion of foreign currency to U.S. Dollars will be made at the conversion rate existing in the United States (as reported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on the last working day of the applicable Calendar Quarter. Such payments will be without deduction of exchange, collection or other charges.</w:t>
      </w:r>
    </w:p>
    <w:p>
      <w:pPr>
        <w:spacing w:after="0" w:line="174" w:lineRule="exact"/>
        <w:rPr>
          <w:sz w:val="20"/>
          <w:szCs w:val="20"/>
          <w:color w:val="auto"/>
        </w:rPr>
      </w:pPr>
    </w:p>
    <w:p>
      <w:pPr>
        <w:jc w:val="both"/>
        <w:ind w:right="18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3.9. Reporting. </w:t>
      </w:r>
      <w:r>
        <w:rPr>
          <w:rFonts w:ascii="Times New Roman" w:cs="Times New Roman" w:eastAsia="Times New Roman" w:hAnsi="Times New Roman"/>
          <w:sz w:val="22"/>
          <w:szCs w:val="22"/>
          <w:color w:val="auto"/>
        </w:rPr>
        <w:t>Within thirty (30) days after the conclusion of each Calendar Quarter commencing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Calendar Quarter in which Net Sales are generated or Non-Royalty Income is received, Licensee shall deliver to Harvard a report containing the following information (in each instance, with a Product-by-Product breakdown):</w:t>
      </w:r>
    </w:p>
    <w:p>
      <w:pPr>
        <w:spacing w:after="0" w:line="167" w:lineRule="exact"/>
        <w:rPr>
          <w:sz w:val="20"/>
          <w:szCs w:val="20"/>
          <w:color w:val="auto"/>
        </w:rPr>
      </w:pPr>
    </w:p>
    <w:p>
      <w:pPr>
        <w:ind w:right="6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3.9.1.</w:t>
      </w:r>
      <w:r>
        <w:rPr>
          <w:rFonts w:ascii="Times New Roman" w:cs="Times New Roman" w:eastAsia="Times New Roman" w:hAnsi="Times New Roman"/>
          <w:sz w:val="22"/>
          <w:szCs w:val="22"/>
          <w:color w:val="auto"/>
        </w:rPr>
        <w:t>the number of units of Products sold, leased or otherwise transferred by Invoicing Entities for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Quarter (with a Product-by-Product breakdown);</w:t>
      </w:r>
    </w:p>
    <w:p>
      <w:pPr>
        <w:spacing w:after="0" w:line="150" w:lineRule="exact"/>
        <w:rPr>
          <w:sz w:val="20"/>
          <w:szCs w:val="20"/>
          <w:color w:val="auto"/>
        </w:rPr>
      </w:pPr>
    </w:p>
    <w:p>
      <w:pPr>
        <w:ind w:right="1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3.9.2.</w:t>
      </w:r>
      <w:r>
        <w:rPr>
          <w:rFonts w:ascii="Times New Roman" w:cs="Times New Roman" w:eastAsia="Times New Roman" w:hAnsi="Times New Roman"/>
          <w:sz w:val="22"/>
          <w:szCs w:val="22"/>
          <w:color w:val="auto"/>
        </w:rPr>
        <w:t>the gross amount billed or invoiced for Products sold, leased or otherwise transferred by Invoicing Entities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Calendar Quarter;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4" w:name="page335"/>
    <w:bookmarkEnd w:id="334"/>
    <w:p>
      <w:pPr>
        <w:ind w:right="9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3.9.3.</w:t>
      </w:r>
      <w:r>
        <w:rPr>
          <w:rFonts w:ascii="Times New Roman" w:cs="Times New Roman" w:eastAsia="Times New Roman" w:hAnsi="Times New Roman"/>
          <w:sz w:val="22"/>
          <w:szCs w:val="22"/>
          <w:color w:val="auto"/>
        </w:rPr>
        <w:t>a calculation of Net Sales for the applicable Calendar Quarter, including an itemized listing of allowable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deductions;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3.9.4.</w:t>
      </w:r>
      <w:r>
        <w:rPr>
          <w:rFonts w:ascii="Times New Roman" w:cs="Times New Roman" w:eastAsia="Times New Roman" w:hAnsi="Times New Roman"/>
          <w:sz w:val="22"/>
          <w:szCs w:val="22"/>
          <w:color w:val="auto"/>
        </w:rPr>
        <w:t>a detailed accounting of all Non-Royalty Income received during the applicable Calendar Quarter; and</w:t>
      </w:r>
    </w:p>
    <w:p>
      <w:pPr>
        <w:spacing w:after="0" w:line="206" w:lineRule="exact"/>
        <w:rPr>
          <w:sz w:val="20"/>
          <w:szCs w:val="20"/>
          <w:color w:val="auto"/>
        </w:rPr>
      </w:pPr>
    </w:p>
    <w:p>
      <w:pPr>
        <w:ind w:right="5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3.9.5.</w:t>
      </w:r>
      <w:r>
        <w:rPr>
          <w:rFonts w:ascii="Times New Roman" w:cs="Times New Roman" w:eastAsia="Times New Roman" w:hAnsi="Times New Roman"/>
          <w:sz w:val="22"/>
          <w:szCs w:val="22"/>
          <w:color w:val="auto"/>
        </w:rPr>
        <w:t>the total amount payable to Harvard in U.S. Dollars on Net Sales and Non- Royalty Income for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Quarter, together with the exchange rates used for conversion.</w:t>
      </w:r>
    </w:p>
    <w:p>
      <w:pPr>
        <w:spacing w:after="0" w:line="154" w:lineRule="exact"/>
        <w:rPr>
          <w:sz w:val="20"/>
          <w:szCs w:val="20"/>
          <w:color w:val="auto"/>
        </w:rPr>
      </w:pPr>
    </w:p>
    <w:p>
      <w:pPr>
        <w:ind w:right="500" w:firstLine="749"/>
        <w:spacing w:after="0" w:line="258" w:lineRule="auto"/>
        <w:rPr>
          <w:sz w:val="20"/>
          <w:szCs w:val="20"/>
          <w:color w:val="auto"/>
        </w:rPr>
      </w:pPr>
      <w:r>
        <w:rPr>
          <w:rFonts w:ascii="Times New Roman" w:cs="Times New Roman" w:eastAsia="Times New Roman" w:hAnsi="Times New Roman"/>
          <w:sz w:val="22"/>
          <w:szCs w:val="22"/>
          <w:color w:val="auto"/>
        </w:rPr>
        <w:t>Each such report shall be certified on behalf of Licensee as true, correct and complete in all material respects. If no amounts are due to Harvard for a particular Calendar Quarter, the report shall so state.</w:t>
      </w:r>
    </w:p>
    <w:p>
      <w:pPr>
        <w:spacing w:after="0" w:line="154"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3.10. Records. </w:t>
      </w:r>
      <w:r>
        <w:rPr>
          <w:rFonts w:ascii="Times New Roman" w:cs="Times New Roman" w:eastAsia="Times New Roman" w:hAnsi="Times New Roman"/>
          <w:sz w:val="22"/>
          <w:szCs w:val="22"/>
          <w:color w:val="auto"/>
        </w:rPr>
        <w:t>Licensee shall maintain, and shall cause its Affiliates and Sublicensees to maintain,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accurate records of Products that are made, used, sold, leased or transferred under this Agreement, any amounts payable to Harvard in relation to such Products, and all Non-Royalty Income received by Licensee and its Affiliates, which records shall contain sufficient information to permit Harvard to confirm the accuracy of any reports or notifications delivered to Harvard under Section 3.9. Licensee, its Affiliates and/or its Sublicensees, as applicable, shall retain such records relating to a given Calendar Quarter for at least five (5) years after the conclusion of that Calendar Quarter, during which time Harvard will have the right, at its expense, to cause an independent, certified public accountant (or, in the event of a non-financial audit, other appropriate auditor) to inspect such records during normal business hours for the purposes of verifying the accuracy of any reports and payments delivered under this Agreement and Licensee’s compliance with the terms hereof. Such accountant or other auditor, as applicable, shall not disclose to Harvard any information other than information relating to the accuracy of reports and payments delivered under this Agreement. The parties shall reconcile any underpayment or overpayment within thirty (30) days after the accountant delivers the results of the audit. If any audit performed under this Section 3.10 reveals an underpayment in excess of [**] in any calendar year, Licensee shall reimburse Harvard for all amounts incurred in connection with such audit. Harvard may exercise its rights under this Section 3.10 only once every year per audited entity and only with reasonable prior notice to the audited entity.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 Warranties; Limitation of Liability.</w:t>
      </w:r>
    </w:p>
    <w:p>
      <w:pPr>
        <w:spacing w:after="0" w:line="206" w:lineRule="exact"/>
        <w:rPr>
          <w:sz w:val="20"/>
          <w:szCs w:val="20"/>
          <w:color w:val="auto"/>
        </w:rPr>
      </w:pPr>
    </w:p>
    <w:p>
      <w:pPr>
        <w:ind w:right="16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 Compliance with Law. </w:t>
      </w:r>
      <w:r>
        <w:rPr>
          <w:rFonts w:ascii="Times New Roman" w:cs="Times New Roman" w:eastAsia="Times New Roman" w:hAnsi="Times New Roman"/>
          <w:sz w:val="22"/>
          <w:szCs w:val="22"/>
          <w:color w:val="auto"/>
        </w:rPr>
        <w:t>Licensee represents and warrants that it will comply, and that it will ensure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its Affiliates comply, with all local, state and international laws and regulations relating to the Biological Material and to the development, manufacture, use, sale and importation of Viruses and Products. Without limiting the foregoing, Licensee represents and warrants that it will comply with all United States export control laws and regulations with respect to Biological Material and any Viruses and Products developed or made through the use thereof.</w:t>
      </w:r>
    </w:p>
    <w:p>
      <w:pPr>
        <w:spacing w:after="0" w:line="177" w:lineRule="exact"/>
        <w:rPr>
          <w:sz w:val="20"/>
          <w:szCs w:val="20"/>
          <w:color w:val="auto"/>
        </w:rPr>
      </w:pPr>
    </w:p>
    <w:p>
      <w:pPr>
        <w:ind w:right="3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4.2. Harvard Representations and Warranties. </w:t>
      </w:r>
      <w:r>
        <w:rPr>
          <w:rFonts w:ascii="Times New Roman" w:cs="Times New Roman" w:eastAsia="Times New Roman" w:hAnsi="Times New Roman"/>
          <w:sz w:val="22"/>
          <w:szCs w:val="22"/>
          <w:color w:val="auto"/>
        </w:rPr>
        <w:t>Harvard hereby represents and warrants to Licensee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Harvard has the authority to grant the license herein to the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5" w:name="page336"/>
    <w:bookmarkEnd w:id="335"/>
    <w:p>
      <w:pPr>
        <w:ind w:right="100"/>
        <w:spacing w:after="0" w:line="258" w:lineRule="auto"/>
        <w:rPr>
          <w:sz w:val="20"/>
          <w:szCs w:val="20"/>
          <w:color w:val="auto"/>
        </w:rPr>
      </w:pPr>
      <w:r>
        <w:rPr>
          <w:rFonts w:ascii="Times New Roman" w:cs="Times New Roman" w:eastAsia="Times New Roman" w:hAnsi="Times New Roman"/>
          <w:sz w:val="22"/>
          <w:szCs w:val="22"/>
          <w:color w:val="auto"/>
        </w:rPr>
        <w:t>Biological Material and the Technology Transfer Material and Harvard has not granted to any Third Party any rights that would conflict with this Agreement.</w:t>
      </w:r>
    </w:p>
    <w:p>
      <w:pPr>
        <w:spacing w:after="0" w:line="15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No Warranty.</w:t>
      </w:r>
    </w:p>
    <w:p>
      <w:pPr>
        <w:spacing w:after="0" w:line="206"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4.3.1.</w:t>
      </w:r>
      <w:r>
        <w:rPr>
          <w:rFonts w:ascii="Times New Roman" w:cs="Times New Roman" w:eastAsia="Times New Roman" w:hAnsi="Times New Roman"/>
          <w:sz w:val="22"/>
          <w:szCs w:val="22"/>
          <w:color w:val="auto"/>
        </w:rPr>
        <w:t>HARVARD MAKES NO REPRESENTATIONS OR WARRANTIES WHATSOEVER AS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OR SCIENTIFIC VALUE OF THE BIOLOGICAL MATERIAL. HARVARD MAKES NO REPRESENTATION OR WARRANTY THAT THE USE OF THE BIOLOGICAL MATERIAL, TECHNOLOGY TRANSFER MATERIAL, OR THE DEVELOPMENT, MANUFACTURE, USE, SALE OR IMPORTATION OF ANY VIRUS OR PRODUCT, OR ANY ELEMENT THEREOF, WILL NOT INFRINGE THE PATENT OR PROPRIETARY RIGHTS OF ANY THIRD PARTY.</w:t>
      </w:r>
    </w:p>
    <w:p>
      <w:pPr>
        <w:spacing w:after="0" w:line="175"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4.3.2.</w:t>
      </w:r>
      <w:r>
        <w:rPr>
          <w:rFonts w:ascii="Times New Roman" w:cs="Times New Roman" w:eastAsia="Times New Roman" w:hAnsi="Times New Roman"/>
          <w:sz w:val="22"/>
          <w:szCs w:val="22"/>
          <w:color w:val="auto"/>
        </w:rPr>
        <w:t>EXCEPT AS OTHERWISE EXPRESSLY PROVIDED IN THIS AGREEMENT, NEITHER PARTY MAKES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WARRANTY WITH RESPECT TO ANY TECHNOLOGY, PATENTS, MATERIALS (INCLUDING BIOLOGICAL MATERIAL), GOODS, SERVICES, RIGHTS, TECHNOLOGY TRANSFER MATERIAL OR OTHER SUBJECT MATTER OF THIS AGREEMENT AND EACH PARTY HEREBY DISCLAIMS WARRANTIES OF MERCHANTABILITY, FITNESS FOR A PARTICULAR PURPOSE AND NONINFRINGEMENT WITH RESPECT TO ANY AND ALL OF THE FOREGOING.</w:t>
      </w:r>
    </w:p>
    <w:p>
      <w:pPr>
        <w:spacing w:after="0" w:line="175" w:lineRule="exact"/>
        <w:rPr>
          <w:sz w:val="20"/>
          <w:szCs w:val="20"/>
          <w:color w:val="auto"/>
        </w:rPr>
      </w:pPr>
    </w:p>
    <w:p>
      <w:pPr>
        <w:ind w:right="820"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4.3.3.</w:t>
      </w:r>
      <w:r>
        <w:rPr>
          <w:rFonts w:ascii="Times New Roman" w:cs="Times New Roman" w:eastAsia="Times New Roman" w:hAnsi="Times New Roman"/>
          <w:sz w:val="21"/>
          <w:szCs w:val="21"/>
          <w:color w:val="auto"/>
        </w:rPr>
        <w:t>ALL BIOLOGICAL MATERIAL IS EXPERIMENTAL IN NATURE AND SHALL BE USED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PRUDENCE AND APPROPRIATE CAUTION SINCE NOT ALL OF THEIR CHARACTERISTICS ARE KNOWN.</w:t>
      </w:r>
    </w:p>
    <w:p>
      <w:pPr>
        <w:spacing w:after="0" w:line="12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4.4.</w:t>
      </w:r>
      <w:r>
        <w:rPr>
          <w:sz w:val="20"/>
          <w:szCs w:val="20"/>
          <w:color w:val="auto"/>
        </w:rPr>
        <w:tab/>
      </w:r>
      <w:r>
        <w:rPr>
          <w:rFonts w:ascii="Times New Roman" w:cs="Times New Roman" w:eastAsia="Times New Roman" w:hAnsi="Times New Roman"/>
          <w:sz w:val="21"/>
          <w:szCs w:val="21"/>
          <w:b w:val="1"/>
          <w:bCs w:val="1"/>
          <w:color w:val="auto"/>
        </w:rPr>
        <w:t>Limitation of Liability.</w:t>
      </w:r>
    </w:p>
    <w:p>
      <w:pPr>
        <w:spacing w:after="0" w:line="20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4.4.1.</w:t>
      </w:r>
      <w:r>
        <w:rPr>
          <w:rFonts w:ascii="Times New Roman" w:cs="Times New Roman" w:eastAsia="Times New Roman" w:hAnsi="Times New Roman"/>
          <w:sz w:val="22"/>
          <w:szCs w:val="22"/>
          <w:color w:val="auto"/>
        </w:rPr>
        <w:t>Except with respect to matters for which Licensee is obligated to indemnify Harvard under Article 5, neither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liable to the other with respect to any subject matter of this Agreement under any contract, negligence, strict liability or other legal or equitable theory for (a) any indirect, incidental, consequential or punitive damages or lost profits or (b) cost of procurement of substitute goods, technology or services.</w:t>
      </w:r>
    </w:p>
    <w:p>
      <w:pPr>
        <w:spacing w:after="0" w:line="172"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4.4.2.</w:t>
      </w:r>
      <w:r>
        <w:rPr>
          <w:rFonts w:ascii="Times New Roman" w:cs="Times New Roman" w:eastAsia="Times New Roman" w:hAnsi="Times New Roman"/>
          <w:sz w:val="22"/>
          <w:szCs w:val="22"/>
          <w:color w:val="auto"/>
        </w:rPr>
        <w:t>Harvard’s aggregate liability for all damages of any kind arising out of or relating to this Agreement or its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matter under any contract, negligence, strict liability or other legal or equitable theory shall not exceed the amounts paid to Harvard under this Agreement.</w:t>
      </w:r>
    </w:p>
    <w:p>
      <w:pPr>
        <w:spacing w:after="0" w:line="167" w:lineRule="exact"/>
        <w:rPr>
          <w:sz w:val="20"/>
          <w:szCs w:val="20"/>
          <w:color w:val="auto"/>
        </w:rPr>
      </w:pPr>
    </w:p>
    <w:p>
      <w:pPr>
        <w:ind w:left="1500" w:right="7180" w:hanging="743"/>
        <w:spacing w:after="0" w:line="456" w:lineRule="auto"/>
        <w:tabs>
          <w:tab w:leader="none" w:pos="1021" w:val="left"/>
        </w:tabs>
        <w:numPr>
          <w:ilvl w:val="0"/>
          <w:numId w:val="2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Indemnification and Insurance. 5.1. Indemnity.</w:t>
      </w:r>
    </w:p>
    <w:p>
      <w:pPr>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5.1.1.</w:t>
      </w:r>
      <w:r>
        <w:rPr>
          <w:rFonts w:ascii="Times New Roman" w:cs="Times New Roman" w:eastAsia="Times New Roman" w:hAnsi="Times New Roman"/>
          <w:sz w:val="22"/>
          <w:szCs w:val="22"/>
          <w:color w:val="auto"/>
        </w:rPr>
        <w:t>Licensee shall indemnify, defend and hold harmless Harvard and its current and former directors, governing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trustees, officers, faculty, medical and professional staff, employees, students, and agents and their respective successors, heirs and assigns (collectively, the “Indemnitees”) from and against any claim, liability, cost, expense, damage, deficiency, loss or obligation of any kind or nature (including reasonable attorneys’ fees and other costs and expenses of litigation) by or owed to a third party, based upon, arising out of, or otherwise relating to the activities of Licensee and Sublicensees under this Agreement, including</w:t>
      </w:r>
    </w:p>
    <w:p>
      <w:pPr>
        <w:spacing w:after="0" w:line="200" w:lineRule="exact"/>
        <w:rPr>
          <w:sz w:val="20"/>
          <w:szCs w:val="20"/>
          <w:color w:val="auto"/>
        </w:rPr>
      </w:pPr>
    </w:p>
    <w:p>
      <w:pPr>
        <w:spacing w:after="0" w:line="3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336" w:name="page337"/>
    <w:bookmarkEnd w:id="336"/>
    <w:p>
      <w:pPr>
        <w:ind w:right="260"/>
        <w:spacing w:after="0" w:line="239" w:lineRule="auto"/>
        <w:rPr>
          <w:sz w:val="20"/>
          <w:szCs w:val="20"/>
          <w:color w:val="auto"/>
        </w:rPr>
      </w:pPr>
      <w:r>
        <w:rPr>
          <w:rFonts w:ascii="Times New Roman" w:cs="Times New Roman" w:eastAsia="Times New Roman" w:hAnsi="Times New Roman"/>
          <w:sz w:val="22"/>
          <w:szCs w:val="22"/>
          <w:color w:val="auto"/>
        </w:rPr>
        <w:t xml:space="preserve">any cause of action relating to product liability concerning any product, process, or service made, used, sold or performed pursuant to any right or license granted under this Agreement (collectively, the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Licensee’s indemnification obligations hereunder shall not apply to any Claim to the extent that it is attributable to the gross negligence or willful misconduct of any Indemnitee.</w:t>
      </w:r>
    </w:p>
    <w:p>
      <w:pPr>
        <w:spacing w:after="0" w:line="17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5.1.2.</w:t>
      </w:r>
      <w:r>
        <w:rPr>
          <w:rFonts w:ascii="Times New Roman" w:cs="Times New Roman" w:eastAsia="Times New Roman" w:hAnsi="Times New Roman"/>
          <w:sz w:val="22"/>
          <w:szCs w:val="22"/>
          <w:color w:val="auto"/>
        </w:rPr>
        <w:t>Licensee shall, at its own expense, provide attorneys reasonably acceptable to Harvard to defend against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actions brought or filed against any Indemnitee hereunder with respect to the subject of indemnity contained herein, whether or not such actions are rightfully brought. Any Indemnitee seeking indemnification hereunder shall promptly notify Licensee of such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any failure of or delay in such notification shall not affect Licensee’s indemnification obligation unless and to the extent such failure or delay is materially prejudicial to Licensee. The Indemnitees shall provide Licensee, at Licensee’s expense, with reasonable assistance and full information with respect to such Claim and give Licensee sole control of the defense of any Claim. Neither Licensee nor Harvard shall settle any Claim without the prior written consent of the other, which consent shall not be unreasonably withheld.</w:t>
      </w:r>
    </w:p>
    <w:p>
      <w:pPr>
        <w:spacing w:after="0" w:line="17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206" w:lineRule="exact"/>
        <w:rPr>
          <w:sz w:val="20"/>
          <w:szCs w:val="20"/>
          <w:color w:val="auto"/>
        </w:rPr>
      </w:pPr>
    </w:p>
    <w:p>
      <w:pPr>
        <w:ind w:right="40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5.2.1.</w:t>
      </w:r>
      <w:r>
        <w:rPr>
          <w:rFonts w:ascii="Times New Roman" w:cs="Times New Roman" w:eastAsia="Times New Roman" w:hAnsi="Times New Roman"/>
          <w:sz w:val="22"/>
          <w:szCs w:val="22"/>
          <w:color w:val="auto"/>
        </w:rPr>
        <w:t>Beginning at the time any Product is being commercially distributed or sold by Licensee, or by an Affiliate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of Licensee, Licensee shall, at its sole cost and expense, procure and maintain commercial general liability insurance in amounts not less than [**] per incident and [**] annual aggregate and naming the Indemnitees as additional insureds. Such commercial general liability insurance shall provide: (a) product liability coverage and (b) broad form contractual liability coverage for Licensee’s indemnification obligations under this Agreement.</w:t>
      </w:r>
    </w:p>
    <w:p>
      <w:pPr>
        <w:spacing w:after="0" w:line="177" w:lineRule="exact"/>
        <w:rPr>
          <w:sz w:val="20"/>
          <w:szCs w:val="20"/>
          <w:color w:val="auto"/>
        </w:rPr>
      </w:pPr>
    </w:p>
    <w:p>
      <w:pPr>
        <w:ind w:right="24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5.2.2.</w:t>
      </w:r>
      <w:r>
        <w:rPr>
          <w:rFonts w:ascii="Times New Roman" w:cs="Times New Roman" w:eastAsia="Times New Roman" w:hAnsi="Times New Roman"/>
          <w:sz w:val="22"/>
          <w:szCs w:val="22"/>
          <w:color w:val="auto"/>
        </w:rPr>
        <w:t>If Licensee elects to self-insure all or part of the limits described above in Section 5.2.1 (including deductibles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retentions that are in excess of [**] annual aggregate) such self-insurance program must be acceptable to Harvard and CRICO/RMF (Harvard’s insurer) in their sole discretion. The minimum amounts of insurance coverage required shall not be construed to create a limit of Licensee’s liability with respect to its indemnification obligations under this Agreement.</w:t>
      </w:r>
    </w:p>
    <w:p>
      <w:pPr>
        <w:spacing w:after="0" w:line="172"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5.2.3.</w:t>
      </w:r>
      <w:r>
        <w:rPr>
          <w:rFonts w:ascii="Times New Roman" w:cs="Times New Roman" w:eastAsia="Times New Roman" w:hAnsi="Times New Roman"/>
          <w:sz w:val="22"/>
          <w:szCs w:val="22"/>
          <w:color w:val="auto"/>
        </w:rPr>
        <w:t>Licensee shall provide Harvard with written evidence of such insurance upon request of Harvard. Licensee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Harvard with written notice at least fifteen (15) days prior to the cancellation, non-renewal or material change in such insurance. If Licensee does not obtain replacement insurance providing comparable coverage within thirty (30) days after such notice, Harvard shall have the right to terminate this Agreement effective at the end of such thirty (30) day period without notice or any additional waiting periods.</w:t>
      </w:r>
    </w:p>
    <w:p>
      <w:pPr>
        <w:spacing w:after="0" w:line="177" w:lineRule="exact"/>
        <w:rPr>
          <w:sz w:val="20"/>
          <w:szCs w:val="20"/>
          <w:color w:val="auto"/>
        </w:rPr>
      </w:pPr>
    </w:p>
    <w:p>
      <w:pPr>
        <w:ind w:right="14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5.2.4.</w:t>
      </w:r>
      <w:r>
        <w:rPr>
          <w:rFonts w:ascii="Times New Roman" w:cs="Times New Roman" w:eastAsia="Times New Roman" w:hAnsi="Times New Roman"/>
          <w:sz w:val="21"/>
          <w:szCs w:val="21"/>
          <w:color w:val="auto"/>
        </w:rPr>
        <w:t>Licensee shall maintain such commercial general liability insurance beyond the expiration or termination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during: (a) the period that any Product is being commercially distributed or sold by Licensee, or an Affiliate or agent of Licensee; and (b) a reasonable period after the period referred to in (a) above which in no event shall be less than [**].</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7" w:name="page338"/>
    <w:bookmarkEnd w:id="337"/>
    <w:p>
      <w:pPr>
        <w:ind w:left="760"/>
        <w:spacing w:after="0"/>
        <w:rPr>
          <w:sz w:val="20"/>
          <w:szCs w:val="20"/>
          <w:color w:val="auto"/>
        </w:rPr>
      </w:pPr>
      <w:r>
        <w:rPr>
          <w:rFonts w:ascii="Times New Roman" w:cs="Times New Roman" w:eastAsia="Times New Roman" w:hAnsi="Times New Roman"/>
          <w:sz w:val="22"/>
          <w:szCs w:val="22"/>
          <w:b w:val="1"/>
          <w:bCs w:val="1"/>
          <w:color w:val="auto"/>
        </w:rPr>
        <w:t>6. Term and Termination.</w:t>
      </w:r>
    </w:p>
    <w:p>
      <w:pPr>
        <w:spacing w:after="0" w:line="206" w:lineRule="exact"/>
        <w:rPr>
          <w:sz w:val="20"/>
          <w:szCs w:val="20"/>
          <w:color w:val="auto"/>
        </w:rPr>
      </w:pPr>
    </w:p>
    <w:p>
      <w:pPr>
        <w:jc w:val="both"/>
        <w:ind w:right="14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6.1. Term. </w:t>
      </w:r>
      <w:r>
        <w:rPr>
          <w:rFonts w:ascii="Times New Roman" w:cs="Times New Roman" w:eastAsia="Times New Roman" w:hAnsi="Times New Roman"/>
          <w:sz w:val="22"/>
          <w:szCs w:val="22"/>
          <w:color w:val="auto"/>
        </w:rPr>
        <w:t>The term of this Agreement shall commence on the Effective Date and, unless earlier terminated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provided in this Article 6, shall continue in full force and effect for fifteen (15) years thereafter (the “Initial Term”). After the Initial Term, this Agreement shall renew for successive three-year periods (the Initial Term and such period, the “Term”) unless either Party gives the other Party written notice of its desire to terminate the Agreement no less than sixty (60) days prior to the expiration of the Initial Term or any applicable successive period during the Term.</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Termination.</w:t>
      </w:r>
    </w:p>
    <w:p>
      <w:pPr>
        <w:spacing w:after="0" w:line="206"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6.2.1.Termination Without Cause. </w:t>
      </w:r>
      <w:r>
        <w:rPr>
          <w:rFonts w:ascii="Times New Roman" w:cs="Times New Roman" w:eastAsia="Times New Roman" w:hAnsi="Times New Roman"/>
          <w:sz w:val="22"/>
          <w:szCs w:val="22"/>
          <w:color w:val="auto"/>
        </w:rPr>
        <w:t>Licensee may terminate this Agreement upon sixty (60) days prior written notice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Harvard.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6.2.2.Termination for Default.</w:t>
      </w:r>
    </w:p>
    <w:p>
      <w:pPr>
        <w:spacing w:after="0" w:line="206" w:lineRule="exact"/>
        <w:rPr>
          <w:sz w:val="20"/>
          <w:szCs w:val="20"/>
          <w:color w:val="auto"/>
        </w:rPr>
      </w:pPr>
    </w:p>
    <w:p>
      <w:pPr>
        <w:ind w:right="420" w:firstLine="1587"/>
        <w:spacing w:after="0" w:line="246" w:lineRule="auto"/>
        <w:rPr>
          <w:sz w:val="20"/>
          <w:szCs w:val="20"/>
          <w:color w:val="auto"/>
        </w:rPr>
      </w:pPr>
      <w:r>
        <w:rPr>
          <w:rFonts w:ascii="Times New Roman" w:cs="Times New Roman" w:eastAsia="Times New Roman" w:hAnsi="Times New Roman"/>
          <w:sz w:val="22"/>
          <w:szCs w:val="22"/>
          <w:b w:val="1"/>
          <w:bCs w:val="1"/>
          <w:color w:val="auto"/>
        </w:rPr>
        <w:t>6.2.2.1.</w:t>
      </w:r>
      <w:r>
        <w:rPr>
          <w:rFonts w:ascii="Times New Roman" w:cs="Times New Roman" w:eastAsia="Times New Roman" w:hAnsi="Times New Roman"/>
          <w:sz w:val="22"/>
          <w:szCs w:val="22"/>
          <w:color w:val="auto"/>
        </w:rPr>
        <w:t>In the event that either party commits a material breach of its obligations under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fails to cure that breach within ninety (90) days after receiving written notice thereof, the other party may terminate this Agreement immediately upon written notice to the party in breach.</w:t>
      </w:r>
    </w:p>
    <w:p>
      <w:pPr>
        <w:spacing w:after="0" w:line="167" w:lineRule="exact"/>
        <w:rPr>
          <w:sz w:val="20"/>
          <w:szCs w:val="20"/>
          <w:color w:val="auto"/>
        </w:rPr>
      </w:pPr>
    </w:p>
    <w:p>
      <w:pPr>
        <w:ind w:right="100" w:firstLine="1587"/>
        <w:spacing w:after="0" w:line="241" w:lineRule="auto"/>
        <w:rPr>
          <w:sz w:val="20"/>
          <w:szCs w:val="20"/>
          <w:color w:val="auto"/>
        </w:rPr>
      </w:pPr>
      <w:r>
        <w:rPr>
          <w:rFonts w:ascii="Times New Roman" w:cs="Times New Roman" w:eastAsia="Times New Roman" w:hAnsi="Times New Roman"/>
          <w:sz w:val="22"/>
          <w:szCs w:val="22"/>
          <w:b w:val="1"/>
          <w:bCs w:val="1"/>
          <w:color w:val="auto"/>
        </w:rPr>
        <w:t>6.2.2.2.</w:t>
      </w:r>
      <w:r>
        <w:rPr>
          <w:rFonts w:ascii="Times New Roman" w:cs="Times New Roman" w:eastAsia="Times New Roman" w:hAnsi="Times New Roman"/>
          <w:sz w:val="22"/>
          <w:szCs w:val="22"/>
          <w:color w:val="auto"/>
        </w:rPr>
        <w:t>If Licensee defaults in its obligations under Section 5.2 to procure and maintain insurance or,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 has in any event failed to comply with the notice requirements contained therein and fails to cure that default within thirty (30) days after receiving written notice thereof, Harvard may terminate this Agreement immediately upon written notice to Licensee.</w:t>
      </w:r>
    </w:p>
    <w:p>
      <w:pPr>
        <w:spacing w:after="0" w:line="172"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6.2.3.Bankruptcy. </w:t>
      </w:r>
      <w:r>
        <w:rPr>
          <w:rFonts w:ascii="Times New Roman" w:cs="Times New Roman" w:eastAsia="Times New Roman" w:hAnsi="Times New Roman"/>
          <w:sz w:val="22"/>
          <w:szCs w:val="22"/>
          <w:color w:val="auto"/>
        </w:rPr>
        <w:t>Harvard may terminate this Agreement upon notice to Licensee if Licensee becomes insolvent,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adjudged 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Licensee and not dismissed within ninety (90) days, or if Licensee becomes the subject of liquidation or dissolution proceedings or otherwise discontinues business.</w:t>
      </w:r>
    </w:p>
    <w:p>
      <w:pPr>
        <w:spacing w:after="0" w:line="177"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Effect of Termination.</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6.3.1.Termination of Rights. </w:t>
      </w:r>
      <w:r>
        <w:rPr>
          <w:rFonts w:ascii="Times New Roman" w:cs="Times New Roman" w:eastAsia="Times New Roman" w:hAnsi="Times New Roman"/>
          <w:sz w:val="22"/>
          <w:szCs w:val="22"/>
          <w:color w:val="auto"/>
        </w:rPr>
        <w:t>Upon any termination or expiration of this Agreement, (a) the rights and licenses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Licensee under Article 2 shall terminate, (b) all rights in and to and under the Biological Material and Technology Transfer Material will revert to Harvard and, subject to Section 6.3.2, neither Licensee nor its Sublicensees may make any further use or exploitation of any Biological Material or Technology Transfer Material and (c) any existing Sublicense shall terminate; provided, however,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shall not impose any representations, warranties, obligations or liabilities 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38" w:name="page339"/>
    <w:bookmarkEnd w:id="338"/>
    <w:p>
      <w:pPr>
        <w:ind w:right="240"/>
        <w:spacing w:after="0" w:line="244" w:lineRule="auto"/>
        <w:rPr>
          <w:sz w:val="20"/>
          <w:szCs w:val="20"/>
          <w:color w:val="auto"/>
        </w:rPr>
      </w:pPr>
      <w:r>
        <w:rPr>
          <w:rFonts w:ascii="Times New Roman" w:cs="Times New Roman" w:eastAsia="Times New Roman" w:hAnsi="Times New Roman"/>
          <w:sz w:val="22"/>
          <w:szCs w:val="22"/>
          <w:color w:val="auto"/>
        </w:rPr>
        <w:t>Harvard that are not included in this Agreement. Furthermore, in the event of any termination or expiration of this Agreement, Licensee shall destroy, and shall cause its agents and Sublicensees to destroy, all Biological Material under their control or in their possession.</w:t>
      </w:r>
    </w:p>
    <w:p>
      <w:pPr>
        <w:spacing w:after="0" w:line="169" w:lineRule="exact"/>
        <w:rPr>
          <w:sz w:val="20"/>
          <w:szCs w:val="20"/>
          <w:color w:val="auto"/>
        </w:rPr>
      </w:pPr>
    </w:p>
    <w:p>
      <w:pPr>
        <w:ind w:right="16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6.3.2.Accruing Obligations. </w:t>
      </w:r>
      <w:r>
        <w:rPr>
          <w:rFonts w:ascii="Times New Roman" w:cs="Times New Roman" w:eastAsia="Times New Roman" w:hAnsi="Times New Roman"/>
          <w:sz w:val="22"/>
          <w:szCs w:val="22"/>
          <w:color w:val="auto"/>
        </w:rPr>
        <w:t>Termination or expiration of this Agreement shall not relieve the parties of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accruing prior to such termination or expiration, including obligations to pay amounts accruing hereunder up to the date of termination or expiration. After the date of termination or expiration (except in the case of termination by Harvard pursuant to Section 6.2), Licensee and its Sublicensees (a) may sell Products then in stock and (b) may complete the production of Products then in the process of production and sell the same; provided that, in the case of both (a) and (b), Licensee shall maintain insurance in accordance with the requirements of Section 5.2.</w:t>
      </w:r>
    </w:p>
    <w:p>
      <w:pPr>
        <w:spacing w:after="0" w:line="175" w:lineRule="exact"/>
        <w:rPr>
          <w:sz w:val="20"/>
          <w:szCs w:val="20"/>
          <w:color w:val="auto"/>
        </w:rPr>
      </w:pPr>
    </w:p>
    <w:p>
      <w:pPr>
        <w:ind w:right="3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6.4. Survival. </w:t>
      </w:r>
      <w:r>
        <w:rPr>
          <w:rFonts w:ascii="Times New Roman" w:cs="Times New Roman" w:eastAsia="Times New Roman" w:hAnsi="Times New Roman"/>
          <w:sz w:val="22"/>
          <w:szCs w:val="22"/>
          <w:color w:val="auto"/>
        </w:rPr>
        <w:t>The parties’ respective rights, obligations and duties under Articles 4, 5 and 7 and Sections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2.2.2.3 (but only with respect to a Sublicensee’s right to obtain a direct license from Harvard), 2.3, 3.1, 3.6, 6.3, 6.4, as well as any rights, obligations and duties which by their nature extend beyond the expiration or termination of this Agreement, shall survive any expiration or termination of this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 Miscellaneous.</w:t>
      </w:r>
    </w:p>
    <w:p>
      <w:pPr>
        <w:spacing w:after="0" w:line="206" w:lineRule="exact"/>
        <w:rPr>
          <w:sz w:val="20"/>
          <w:szCs w:val="20"/>
          <w:color w:val="auto"/>
        </w:rPr>
      </w:pPr>
    </w:p>
    <w:p>
      <w:pPr>
        <w:ind w:right="8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7.1. No Security Interest. </w:t>
      </w:r>
      <w:r>
        <w:rPr>
          <w:rFonts w:ascii="Times New Roman" w:cs="Times New Roman" w:eastAsia="Times New Roman" w:hAnsi="Times New Roman"/>
          <w:sz w:val="22"/>
          <w:szCs w:val="22"/>
          <w:color w:val="auto"/>
        </w:rPr>
        <w:t>Licensee shall not enter into any agreement under which Licensee grants 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creates in any third party a security interest in this Agreement or any of the rights granted to Licensee herein. Any grant or creation of a security interest purported or attempted to be made in violation of the terms of this Section 7.1 shall be null and void and of no legal effect.</w:t>
      </w:r>
    </w:p>
    <w:p>
      <w:pPr>
        <w:spacing w:after="0" w:line="172"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7.2. Use of Name. </w:t>
      </w:r>
      <w:r>
        <w:rPr>
          <w:rFonts w:ascii="Times New Roman" w:cs="Times New Roman" w:eastAsia="Times New Roman" w:hAnsi="Times New Roman"/>
          <w:sz w:val="22"/>
          <w:szCs w:val="22"/>
          <w:color w:val="auto"/>
        </w:rPr>
        <w:t>Except as provided below, Licensee shall not, and shall ensure that its Affiliates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Sublicensees shall not, use or register the name “Harvard” (alone or as part of another name) or any logos, seals, insignia or other words, names, symbols or devices that identify Harvard or any Harvard school, unit, division or affiliate (“Harvard Names”) for any purpose except with the prior written approval of, and in accordance with restrictions required by, Harvard. Without limiting the foregoing, Licensee shall, and shall ensure that its Affiliates and Sublicensees shall, cease all use of Harvard Names on the termination or expiration of this Agreement except as otherwise approved by Harvard. This restriction shall not apply to any information required by law to be disclosed to any governmental entity.</w:t>
      </w:r>
    </w:p>
    <w:p>
      <w:pPr>
        <w:spacing w:after="0" w:line="176" w:lineRule="exact"/>
        <w:rPr>
          <w:sz w:val="20"/>
          <w:szCs w:val="20"/>
          <w:color w:val="auto"/>
        </w:rPr>
      </w:pPr>
    </w:p>
    <w:p>
      <w:pPr>
        <w:jc w:val="both"/>
        <w:ind w:right="2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7.3. Entire Agreement. </w:t>
      </w:r>
      <w:r>
        <w:rPr>
          <w:rFonts w:ascii="Times New Roman" w:cs="Times New Roman" w:eastAsia="Times New Roman" w:hAnsi="Times New Roman"/>
          <w:sz w:val="22"/>
          <w:szCs w:val="22"/>
          <w:color w:val="auto"/>
        </w:rPr>
        <w:t>This Agreement is the sole agreement with respect to the subject matter hereof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expressly set forth herein, supersedes all other agreements and understandings between the parties with respect to the same.</w:t>
      </w:r>
    </w:p>
    <w:p>
      <w:pPr>
        <w:spacing w:after="0" w:line="167"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7.4. Notices. </w:t>
      </w:r>
      <w:r>
        <w:rPr>
          <w:rFonts w:ascii="Times New Roman" w:cs="Times New Roman" w:eastAsia="Times New Roman" w:hAnsi="Times New Roman"/>
          <w:sz w:val="22"/>
          <w:szCs w:val="22"/>
          <w:color w:val="auto"/>
        </w:rPr>
        <w:t>Unless otherwise specifically provided, all notices required or permitted by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 writing and may be delivered personally, or may be sent by facsimile, overnight delivery or certified mail, return receipt requested, to the following addresses, unless the parties are subsequently notified of any change of address in accordance with this Section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39" w:name="page340"/>
    <w:bookmarkEnd w:id="339"/>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If to Licensee</w:t>
      </w:r>
    </w:p>
    <w:p>
      <w:pPr>
        <w:spacing w:after="0" w:line="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(invoices</w:t>
      </w:r>
    </w:p>
    <w:p>
      <w:pPr>
        <w:ind w:left="720"/>
        <w:spacing w:after="0"/>
        <w:rPr>
          <w:sz w:val="20"/>
          <w:szCs w:val="20"/>
          <w:color w:val="auto"/>
        </w:rPr>
      </w:pPr>
      <w:r>
        <w:rPr>
          <w:rFonts w:ascii="Times New Roman" w:cs="Times New Roman" w:eastAsia="Times New Roman" w:hAnsi="Times New Roman"/>
          <w:sz w:val="22"/>
          <w:szCs w:val="22"/>
          <w:color w:val="auto"/>
        </w:rPr>
        <w:t>only):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GT,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 First Street, Suite #300</w:t>
      </w:r>
    </w:p>
    <w:p>
      <w:pPr>
        <w:spacing w:after="0" w:line="231" w:lineRule="auto"/>
        <w:rPr>
          <w:sz w:val="20"/>
          <w:szCs w:val="20"/>
          <w:color w:val="auto"/>
        </w:rPr>
      </w:pPr>
      <w:r>
        <w:rPr>
          <w:rFonts w:ascii="Times New Roman" w:cs="Times New Roman" w:eastAsia="Times New Roman" w:hAnsi="Times New Roman"/>
          <w:sz w:val="22"/>
          <w:szCs w:val="22"/>
          <w:color w:val="auto"/>
        </w:rPr>
        <w:t>Cambridge, MA 02142</w:t>
      </w:r>
    </w:p>
    <w:p>
      <w:pPr>
        <w:spacing w:after="0" w:line="231" w:lineRule="auto"/>
        <w:rPr>
          <w:sz w:val="20"/>
          <w:szCs w:val="20"/>
          <w:color w:val="auto"/>
        </w:rPr>
      </w:pPr>
      <w:r>
        <w:rPr>
          <w:rFonts w:ascii="Times New Roman" w:cs="Times New Roman" w:eastAsia="Times New Roman" w:hAnsi="Times New Roman"/>
          <w:sz w:val="22"/>
          <w:szCs w:val="22"/>
          <w:color w:val="auto"/>
        </w:rPr>
        <w:t>Fax:</w:t>
      </w:r>
    </w:p>
    <w:p>
      <w:pPr>
        <w:spacing w:after="0" w:line="231" w:lineRule="auto"/>
        <w:rPr>
          <w:sz w:val="20"/>
          <w:szCs w:val="20"/>
          <w:color w:val="auto"/>
        </w:rPr>
      </w:pPr>
      <w:r>
        <w:rPr>
          <w:rFonts w:ascii="Times New Roman" w:cs="Times New Roman" w:eastAsia="Times New Roman" w:hAnsi="Times New Roman"/>
          <w:sz w:val="22"/>
          <w:szCs w:val="22"/>
          <w:color w:val="auto"/>
        </w:rPr>
        <w:t>Email:</w:t>
      </w:r>
    </w:p>
    <w:p>
      <w:pPr>
        <w:spacing w:after="0" w:line="230" w:lineRule="auto"/>
        <w:rPr>
          <w:sz w:val="20"/>
          <w:szCs w:val="20"/>
          <w:color w:val="auto"/>
        </w:rPr>
      </w:pPr>
      <w:r>
        <w:rPr>
          <w:rFonts w:ascii="Times New Roman" w:cs="Times New Roman" w:eastAsia="Times New Roman" w:hAnsi="Times New Roman"/>
          <w:sz w:val="22"/>
          <w:szCs w:val="22"/>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w:t>
      </w:r>
    </w:p>
    <w:p>
      <w:pPr>
        <w:spacing w:after="0" w:line="200" w:lineRule="exact"/>
        <w:rPr>
          <w:sz w:val="20"/>
          <w:szCs w:val="20"/>
          <w:color w:val="auto"/>
        </w:rPr>
      </w:pPr>
    </w:p>
    <w:p>
      <w:pPr>
        <w:sectPr>
          <w:pgSz w:w="11900" w:h="16838" w:orient="portrait"/>
          <w:cols w:equalWidth="0" w:num="2">
            <w:col w:w="3320" w:space="720"/>
            <w:col w:w="7040"/>
          </w:cols>
          <w:pgMar w:left="320" w:top="1440" w:right="499" w:bottom="1440" w:gutter="0" w:footer="0" w:header="0"/>
        </w:sectPr>
      </w:pP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If to Licensee</w:t>
      </w:r>
    </w:p>
    <w:p>
      <w:pPr>
        <w:spacing w:after="0" w:line="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(all other</w:t>
      </w:r>
    </w:p>
    <w:p>
      <w:pPr>
        <w:ind w:left="720"/>
        <w:spacing w:after="0"/>
        <w:rPr>
          <w:sz w:val="20"/>
          <w:szCs w:val="20"/>
          <w:color w:val="auto"/>
        </w:rPr>
      </w:pPr>
      <w:r>
        <w:rPr>
          <w:rFonts w:ascii="Times New Roman" w:cs="Times New Roman" w:eastAsia="Times New Roman" w:hAnsi="Times New Roman"/>
          <w:sz w:val="22"/>
          <w:szCs w:val="22"/>
          <w:color w:val="auto"/>
        </w:rPr>
        <w:t>notices):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GT,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 First Street, Suite #300</w:t>
      </w:r>
    </w:p>
    <w:p>
      <w:pPr>
        <w:spacing w:after="0" w:line="231" w:lineRule="auto"/>
        <w:rPr>
          <w:sz w:val="20"/>
          <w:szCs w:val="20"/>
          <w:color w:val="auto"/>
        </w:rPr>
      </w:pPr>
      <w:r>
        <w:rPr>
          <w:rFonts w:ascii="Times New Roman" w:cs="Times New Roman" w:eastAsia="Times New Roman" w:hAnsi="Times New Roman"/>
          <w:sz w:val="22"/>
          <w:szCs w:val="22"/>
          <w:color w:val="auto"/>
        </w:rPr>
        <w:t>Cambridge, MA 02142</w:t>
      </w:r>
    </w:p>
    <w:p>
      <w:pPr>
        <w:spacing w:after="0" w:line="231" w:lineRule="auto"/>
        <w:rPr>
          <w:sz w:val="20"/>
          <w:szCs w:val="20"/>
          <w:color w:val="auto"/>
        </w:rPr>
      </w:pPr>
      <w:r>
        <w:rPr>
          <w:rFonts w:ascii="Times New Roman" w:cs="Times New Roman" w:eastAsia="Times New Roman" w:hAnsi="Times New Roman"/>
          <w:sz w:val="22"/>
          <w:szCs w:val="22"/>
          <w:color w:val="auto"/>
        </w:rPr>
        <w:t>Fax:</w:t>
      </w:r>
    </w:p>
    <w:p>
      <w:pPr>
        <w:spacing w:after="0" w:line="231" w:lineRule="auto"/>
        <w:rPr>
          <w:sz w:val="20"/>
          <w:szCs w:val="20"/>
          <w:color w:val="auto"/>
        </w:rPr>
      </w:pPr>
      <w:r>
        <w:rPr>
          <w:rFonts w:ascii="Times New Roman" w:cs="Times New Roman" w:eastAsia="Times New Roman" w:hAnsi="Times New Roman"/>
          <w:sz w:val="22"/>
          <w:szCs w:val="22"/>
          <w:color w:val="auto"/>
        </w:rPr>
        <w:t>Email:</w:t>
      </w:r>
    </w:p>
    <w:p>
      <w:pPr>
        <w:spacing w:after="0" w:line="230" w:lineRule="auto"/>
        <w:rPr>
          <w:sz w:val="20"/>
          <w:szCs w:val="20"/>
          <w:color w:val="auto"/>
        </w:rPr>
      </w:pPr>
      <w:r>
        <w:rPr>
          <w:rFonts w:ascii="Times New Roman" w:cs="Times New Roman" w:eastAsia="Times New Roman" w:hAnsi="Times New Roman"/>
          <w:sz w:val="22"/>
          <w:szCs w:val="22"/>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w:t>
      </w:r>
    </w:p>
    <w:p>
      <w:pPr>
        <w:spacing w:after="0" w:line="200" w:lineRule="exact"/>
        <w:rPr>
          <w:sz w:val="20"/>
          <w:szCs w:val="20"/>
          <w:color w:val="auto"/>
        </w:rPr>
      </w:pPr>
    </w:p>
    <w:p>
      <w:pPr>
        <w:sectPr>
          <w:pgSz w:w="11900" w:h="16838" w:orient="portrait"/>
          <w:cols w:equalWidth="0" w:num="2">
            <w:col w:w="3320" w:space="720"/>
            <w:col w:w="7040"/>
          </w:cols>
          <w:pgMar w:left="320" w:top="1440" w:right="499" w:bottom="1440" w:gutter="0" w:footer="0" w:header="0"/>
          <w:type w:val="continuous"/>
        </w:sectPr>
      </w:pP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If to Harvard: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 of Technology Development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Harvard University</w:t>
      </w:r>
    </w:p>
    <w:p>
      <w:pPr>
        <w:spacing w:after="0"/>
        <w:rPr>
          <w:sz w:val="20"/>
          <w:szCs w:val="20"/>
          <w:color w:val="auto"/>
        </w:rPr>
      </w:pPr>
      <w:r>
        <w:rPr>
          <w:rFonts w:ascii="Times New Roman" w:cs="Times New Roman" w:eastAsia="Times New Roman" w:hAnsi="Times New Roman"/>
          <w:sz w:val="21"/>
          <w:szCs w:val="21"/>
          <w:color w:val="auto"/>
        </w:rPr>
        <w:t>Richard A. and Susan F. Smith Campus Center 727</w:t>
      </w:r>
    </w:p>
    <w:p>
      <w:pPr>
        <w:spacing w:after="0" w:line="231" w:lineRule="auto"/>
        <w:rPr>
          <w:sz w:val="20"/>
          <w:szCs w:val="20"/>
          <w:color w:val="auto"/>
        </w:rPr>
      </w:pPr>
      <w:r>
        <w:rPr>
          <w:rFonts w:ascii="Times New Roman" w:cs="Times New Roman" w:eastAsia="Times New Roman" w:hAnsi="Times New Roman"/>
          <w:sz w:val="22"/>
          <w:szCs w:val="22"/>
          <w:color w:val="auto"/>
        </w:rPr>
        <w:t>1350 Massachusetts Avenue</w:t>
      </w:r>
    </w:p>
    <w:p>
      <w:pPr>
        <w:spacing w:after="0" w:line="231" w:lineRule="auto"/>
        <w:rPr>
          <w:sz w:val="20"/>
          <w:szCs w:val="20"/>
          <w:color w:val="auto"/>
        </w:rPr>
      </w:pPr>
      <w:r>
        <w:rPr>
          <w:rFonts w:ascii="Times New Roman" w:cs="Times New Roman" w:eastAsia="Times New Roman" w:hAnsi="Times New Roman"/>
          <w:sz w:val="22"/>
          <w:szCs w:val="22"/>
          <w:color w:val="auto"/>
        </w:rPr>
        <w:t>Cambridge, Massachusetts 02138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w:t>
      </w:r>
    </w:p>
    <w:p>
      <w:pPr>
        <w:spacing w:after="0" w:line="200" w:lineRule="exact"/>
        <w:rPr>
          <w:sz w:val="20"/>
          <w:szCs w:val="20"/>
          <w:color w:val="auto"/>
        </w:rPr>
      </w:pPr>
    </w:p>
    <w:p>
      <w:pPr>
        <w:sectPr>
          <w:pgSz w:w="11900" w:h="16838" w:orient="portrait"/>
          <w:cols w:equalWidth="0" w:num="2">
            <w:col w:w="3320" w:space="720"/>
            <w:col w:w="7040"/>
          </w:cols>
          <w:pgMar w:left="320" w:top="1440" w:right="499" w:bottom="1440" w:gutter="0" w:footer="0" w:header="0"/>
          <w:type w:val="continuous"/>
        </w:sectPr>
      </w:pP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Attn.: Chief Technology Development Officer</w:t>
      </w:r>
    </w:p>
    <w:p>
      <w:pPr>
        <w:sectPr>
          <w:pgSz w:w="11900" w:h="16838" w:orient="portrait"/>
          <w:cols w:equalWidth="0" w:num="1">
            <w:col w:w="11080"/>
          </w:cols>
          <w:pgMar w:left="320" w:top="1440" w:right="49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Any notice shall be deemed to have been received as follows: (a) by personal delivery, upon receipt; (b) by facsimile or overnight delivery, one business day after transmission or dispatch; (c) by certified mail, as evidenced by the return receipt. If notice is sent by facsimile, a confirming copy of the same shall be sent by mail to the same address.</w:t>
      </w:r>
    </w:p>
    <w:p>
      <w:pPr>
        <w:spacing w:after="0" w:line="169" w:lineRule="exact"/>
        <w:rPr>
          <w:sz w:val="20"/>
          <w:szCs w:val="20"/>
          <w:color w:val="auto"/>
        </w:rPr>
      </w:pPr>
    </w:p>
    <w:p>
      <w:pPr>
        <w:ind w:right="20"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7.5. Governing Law and Jurisdiction. </w:t>
      </w:r>
      <w:r>
        <w:rPr>
          <w:rFonts w:ascii="Times New Roman" w:cs="Times New Roman" w:eastAsia="Times New Roman" w:hAnsi="Times New Roman"/>
          <w:sz w:val="22"/>
          <w:szCs w:val="22"/>
          <w:color w:val="auto"/>
        </w:rPr>
        <w:t>This Agreement will be governed by, and construed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substantive laws of the 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“Suit”)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 forum and further irrevocably waives the right to object, with respect to any Suit, that such court does not have any jurisdiction over such party.</w:t>
      </w:r>
    </w:p>
    <w:p>
      <w:pPr>
        <w:spacing w:after="0" w:line="174" w:lineRule="exact"/>
        <w:rPr>
          <w:sz w:val="20"/>
          <w:szCs w:val="20"/>
          <w:color w:val="auto"/>
        </w:rPr>
      </w:pPr>
    </w:p>
    <w:p>
      <w:pPr>
        <w:ind w:right="16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7.6. Binding Effect. </w:t>
      </w:r>
      <w:r>
        <w:rPr>
          <w:rFonts w:ascii="Times New Roman" w:cs="Times New Roman" w:eastAsia="Times New Roman" w:hAnsi="Times New Roman"/>
          <w:sz w:val="22"/>
          <w:szCs w:val="22"/>
          <w:color w:val="auto"/>
        </w:rPr>
        <w:t>This Agreement shall be binding upon and inure to the benefit of the parties and their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respective legal representatives, successors and permitted assigns.</w:t>
      </w: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340" w:name="page341"/>
    <w:bookmarkEnd w:id="340"/>
    <w:p>
      <w:pPr>
        <w:ind w:right="36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7.7. Headings. </w:t>
      </w:r>
      <w:r>
        <w:rPr>
          <w:rFonts w:ascii="Times New Roman" w:cs="Times New Roman" w:eastAsia="Times New Roman" w:hAnsi="Times New Roman"/>
          <w:sz w:val="22"/>
          <w:szCs w:val="22"/>
          <w:color w:val="auto"/>
        </w:rPr>
        <w:t>Section and subsection headings are inserted for convenience of reference only and do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 a part of this Agreement.</w:t>
      </w:r>
    </w:p>
    <w:p>
      <w:pPr>
        <w:spacing w:after="0" w:line="150" w:lineRule="exact"/>
        <w:rPr>
          <w:sz w:val="20"/>
          <w:szCs w:val="20"/>
          <w:color w:val="auto"/>
        </w:rPr>
      </w:pPr>
    </w:p>
    <w:p>
      <w:pPr>
        <w:ind w:right="4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7.8. Counterparts. </w:t>
      </w:r>
      <w:r>
        <w:rPr>
          <w:rFonts w:ascii="Times New Roman" w:cs="Times New Roman" w:eastAsia="Times New Roman" w:hAnsi="Times New Roman"/>
          <w:sz w:val="22"/>
          <w:szCs w:val="22"/>
          <w:color w:val="auto"/>
        </w:rPr>
        <w:t>The parties may execute this Agreement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both of which together shall constitute one and the same instrument. Transmission by facsimile or electronic mail of an executed counterpart of this Agreement shall be deemed to constitute due and sufficient delivery of such counterpart. If by electronic mail, the executed Agreement must be delivered in a .pdf format.</w:t>
      </w:r>
    </w:p>
    <w:p>
      <w:pPr>
        <w:spacing w:after="0" w:line="172" w:lineRule="exact"/>
        <w:rPr>
          <w:sz w:val="20"/>
          <w:szCs w:val="20"/>
          <w:color w:val="auto"/>
        </w:rPr>
      </w:pPr>
    </w:p>
    <w:p>
      <w:pPr>
        <w:ind w:right="16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7.9. Amendment; Waiver. </w:t>
      </w:r>
      <w:r>
        <w:rPr>
          <w:rFonts w:ascii="Times New Roman" w:cs="Times New Roman" w:eastAsia="Times New Roman" w:hAnsi="Times New Roman"/>
          <w:sz w:val="22"/>
          <w:szCs w:val="22"/>
          <w:color w:val="auto"/>
        </w:rPr>
        <w:t>This Agreement may be amended, modified, superseded or canceled, and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may be waived, only by a 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76"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7.10. No Agency or Partnership. </w:t>
      </w:r>
      <w:r>
        <w:rPr>
          <w:rFonts w:ascii="Times New Roman" w:cs="Times New Roman" w:eastAsia="Times New Roman" w:hAnsi="Times New Roman"/>
          <w:sz w:val="22"/>
          <w:szCs w:val="22"/>
          <w:color w:val="auto"/>
        </w:rPr>
        <w:t>Nothing contained in this Agreement shall give either party the right to bind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or be deemed to constitute either party as agent for or partner of the other or any third party.</w:t>
      </w:r>
    </w:p>
    <w:p>
      <w:pPr>
        <w:spacing w:after="0" w:line="150" w:lineRule="exact"/>
        <w:rPr>
          <w:sz w:val="20"/>
          <w:szCs w:val="20"/>
          <w:color w:val="auto"/>
        </w:rPr>
      </w:pPr>
    </w:p>
    <w:p>
      <w:pPr>
        <w:ind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7.11. Assignment and Successors. </w:t>
      </w:r>
      <w:r>
        <w:rPr>
          <w:rFonts w:ascii="Times New Roman" w:cs="Times New Roman" w:eastAsia="Times New Roman" w:hAnsi="Times New Roman"/>
          <w:sz w:val="22"/>
          <w:szCs w:val="22"/>
          <w:color w:val="auto"/>
        </w:rPr>
        <w:t>This Agreement may not be assigned by either party without the consent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which consent shall not be unreasonably withheld, except that each party may, without such consent, assign this Agreement and the rights, obligations and interests of such party to any purchaser of all or substantially all of its assets to which the subject matter of this Agreement relates, or to any successor corporation resulting from any merger or consolidation of such party with or into such corporation; provided, in each case, that the assignee agrees in writing to be bound by the terms of this Agreement. Any assignment purported or attempted to be made in violation of the terms of this Section 7.11 shall be null and void and of no legal effect.</w:t>
      </w:r>
    </w:p>
    <w:p>
      <w:pPr>
        <w:spacing w:after="0" w:line="176" w:lineRule="exact"/>
        <w:rPr>
          <w:sz w:val="20"/>
          <w:szCs w:val="20"/>
          <w:color w:val="auto"/>
        </w:rPr>
      </w:pPr>
    </w:p>
    <w:p>
      <w:pPr>
        <w:ind w:right="140" w:firstLine="149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7.12. Force Majeure. </w:t>
      </w:r>
      <w:r>
        <w:rPr>
          <w:rFonts w:ascii="Times New Roman" w:cs="Times New Roman" w:eastAsia="Times New Roman" w:hAnsi="Times New Roman"/>
          <w:sz w:val="21"/>
          <w:szCs w:val="21"/>
          <w:color w:val="auto"/>
        </w:rPr>
        <w:t>Except for monetary obligations hereunder, neither party will be responsible for delays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resulting from causes beyond the 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58" w:lineRule="exact"/>
        <w:rPr>
          <w:sz w:val="20"/>
          <w:szCs w:val="20"/>
          <w:color w:val="auto"/>
        </w:rPr>
      </w:pPr>
    </w:p>
    <w:p>
      <w:pPr>
        <w:ind w:right="4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7.13. Interpretation. </w:t>
      </w:r>
      <w:r>
        <w:rPr>
          <w:rFonts w:ascii="Times New Roman" w:cs="Times New Roman" w:eastAsia="Times New Roman" w:hAnsi="Times New Roman"/>
          <w:sz w:val="22"/>
          <w:szCs w:val="22"/>
          <w:color w:val="auto"/>
        </w:rPr>
        <w:t>Each party hereto acknowledges and agrees that: (a) it and/or its counsel reviewed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negotiated the terms and provisions of this Agreement and has contributed 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41" w:name="page342"/>
    <w:bookmarkEnd w:id="341"/>
    <w:p>
      <w:pPr>
        <w:ind w:right="300"/>
        <w:spacing w:after="0" w:line="258" w:lineRule="auto"/>
        <w:rPr>
          <w:sz w:val="20"/>
          <w:szCs w:val="20"/>
          <w:color w:val="auto"/>
        </w:rPr>
      </w:pPr>
      <w:r>
        <w:rPr>
          <w:rFonts w:ascii="Times New Roman" w:cs="Times New Roman" w:eastAsia="Times New Roman" w:hAnsi="Times New Roman"/>
          <w:sz w:val="22"/>
          <w:szCs w:val="22"/>
          <w:color w:val="auto"/>
        </w:rPr>
        <w:t>for the preparation of this Agreement; and (d) the use of “include,” “includes,” or “including” herein shall not be limiting and “or” shall not be exclusive.</w:t>
      </w:r>
    </w:p>
    <w:p>
      <w:pPr>
        <w:spacing w:after="0" w:line="15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7.14. Severability. </w:t>
      </w:r>
      <w:r>
        <w:rPr>
          <w:rFonts w:ascii="Times New Roman" w:cs="Times New Roman" w:eastAsia="Times New Roman" w:hAnsi="Times New Roman"/>
          <w:sz w:val="22"/>
          <w:szCs w:val="22"/>
          <w:color w:val="auto"/>
        </w:rPr>
        <w:t>If any provision of this Agreement is or becomes invalid or is ruled invalid by any court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competent jurisdiction or is deemed unenforceable, it is the intention of the parties that the remainder of this Agreement shall not be affected.</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42" w:name="page343"/>
    <w:bookmarkEnd w:id="342"/>
    <w:p>
      <w:pPr>
        <w:ind w:right="39"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caused this Agreement to be executed by their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0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President and Fellows of Harvard College</w:t>
            </w:r>
          </w:p>
        </w:tc>
        <w:tc>
          <w:tcPr>
            <w:tcW w:w="2980" w:type="dxa"/>
            <w:vAlign w:val="bottom"/>
            <w:gridSpan w:val="3"/>
          </w:tcPr>
          <w:p>
            <w:pPr>
              <w:ind w:left="980"/>
              <w:spacing w:after="0"/>
              <w:rPr>
                <w:sz w:val="20"/>
                <w:szCs w:val="20"/>
                <w:color w:val="auto"/>
              </w:rPr>
            </w:pPr>
            <w:r>
              <w:rPr>
                <w:rFonts w:ascii="Times New Roman" w:cs="Times New Roman" w:eastAsia="Times New Roman" w:hAnsi="Times New Roman"/>
                <w:sz w:val="22"/>
                <w:szCs w:val="22"/>
                <w:b w:val="1"/>
                <w:bCs w:val="1"/>
                <w:color w:val="auto"/>
              </w:rPr>
              <w:t>Solid GT, LLC</w:t>
            </w:r>
          </w:p>
        </w:tc>
      </w:tr>
      <w:tr>
        <w:trPr>
          <w:trHeight w:val="920"/>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Meghan D. McCollum Fenno</w:t>
            </w:r>
          </w:p>
        </w:tc>
        <w:tc>
          <w:tcPr>
            <w:tcW w:w="1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By:</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6"/>
              </w:rPr>
              <w:t>/s/ llan Ganot</w:t>
            </w:r>
          </w:p>
        </w:tc>
      </w:tr>
      <w:tr>
        <w:trPr>
          <w:trHeight w:val="20"/>
        </w:trPr>
        <w:tc>
          <w:tcPr>
            <w:tcW w:w="8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518"/>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Meghan D. McCollum Fenno</w:t>
            </w:r>
          </w:p>
        </w:tc>
        <w:tc>
          <w:tcPr>
            <w:tcW w:w="1360" w:type="dxa"/>
            <w:vAlign w:val="bottom"/>
          </w:tcPr>
          <w:p>
            <w:pPr>
              <w:spacing w:after="0"/>
              <w:rPr>
                <w:sz w:val="24"/>
                <w:szCs w:val="24"/>
                <w:color w:val="auto"/>
              </w:rPr>
            </w:pPr>
          </w:p>
        </w:tc>
        <w:tc>
          <w:tcPr>
            <w:tcW w:w="1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Name:</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llan Ganot</w:t>
            </w:r>
          </w:p>
        </w:tc>
      </w:tr>
      <w:tr>
        <w:trPr>
          <w:trHeight w:val="486"/>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Director of Technology Transactions</w:t>
            </w:r>
          </w:p>
        </w:tc>
        <w:tc>
          <w:tcPr>
            <w:tcW w:w="1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Title:</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CEO</w:t>
            </w:r>
          </w:p>
        </w:tc>
      </w:tr>
      <w:tr>
        <w:trPr>
          <w:trHeight w:val="486"/>
        </w:trPr>
        <w:tc>
          <w:tcPr>
            <w:tcW w:w="8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Office of Technology Development</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86"/>
        </w:trPr>
        <w:tc>
          <w:tcPr>
            <w:tcW w:w="860" w:type="dxa"/>
            <w:vAlign w:val="bottom"/>
          </w:tcPr>
          <w:p>
            <w:pPr>
              <w:spacing w:after="0"/>
              <w:rPr>
                <w:sz w:val="24"/>
                <w:szCs w:val="24"/>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Harvard University</w:t>
            </w: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Solid GT, LLC Materials License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343" w:name="page344"/>
    <w:bookmarkEnd w:id="343"/>
    <w:p>
      <w:pPr>
        <w:ind w:left="10020"/>
        <w:spacing w:after="0"/>
        <w:rPr>
          <w:sz w:val="20"/>
          <w:szCs w:val="20"/>
          <w:color w:val="auto"/>
        </w:rPr>
      </w:pPr>
      <w:r>
        <w:rPr>
          <w:rFonts w:ascii="Times New Roman" w:cs="Times New Roman" w:eastAsia="Times New Roman" w:hAnsi="Times New Roman"/>
          <w:sz w:val="21"/>
          <w:szCs w:val="21"/>
          <w:b w:val="1"/>
          <w:bCs w:val="1"/>
          <w:color w:val="auto"/>
        </w:rPr>
        <w:t>Exhibit 10.56</w:t>
      </w:r>
    </w:p>
    <w:p>
      <w:pPr>
        <w:spacing w:after="0" w:line="249"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AGREEMENT</w:t>
      </w:r>
    </w:p>
    <w:p>
      <w:pPr>
        <w:spacing w:after="0" w:line="22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1"/>
          <w:szCs w:val="21"/>
          <w:color w:val="auto"/>
        </w:rPr>
        <w:t>This License Agreement is entered into as of this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day of August, 2017 (the “Effective Date”), by and between </w:t>
      </w:r>
      <w:r>
        <w:rPr>
          <w:rFonts w:ascii="Times New Roman" w:cs="Times New Roman" w:eastAsia="Times New Roman" w:hAnsi="Times New Roman"/>
          <w:sz w:val="21"/>
          <w:szCs w:val="21"/>
          <w:b w:val="1"/>
          <w:bCs w:val="1"/>
          <w:color w:val="auto"/>
        </w:rPr>
        <w:t>Solid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Biosciences, LLC</w:t>
      </w:r>
      <w:r>
        <w:rPr>
          <w:rFonts w:ascii="Times New Roman" w:cs="Times New Roman" w:eastAsia="Times New Roman" w:hAnsi="Times New Roman"/>
          <w:sz w:val="21"/>
          <w:szCs w:val="21"/>
          <w:color w:val="auto"/>
        </w:rPr>
        <w:t>, a company organized under the laws of Delaware and having an address at 161 First Street, Suite #300,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Cambridge, MA 02142 (“Licensee”) and </w:t>
      </w:r>
      <w:r>
        <w:rPr>
          <w:rFonts w:ascii="Times New Roman" w:cs="Times New Roman" w:eastAsia="Times New Roman" w:hAnsi="Times New Roman"/>
          <w:sz w:val="21"/>
          <w:szCs w:val="21"/>
          <w:b w:val="1"/>
          <w:bCs w:val="1"/>
          <w:color w:val="auto"/>
        </w:rPr>
        <w:t>President and Fellows of Harvard College,</w:t>
      </w:r>
      <w:r>
        <w:rPr>
          <w:rFonts w:ascii="Times New Roman" w:cs="Times New Roman" w:eastAsia="Times New Roman" w:hAnsi="Times New Roman"/>
          <w:sz w:val="21"/>
          <w:szCs w:val="21"/>
          <w:color w:val="auto"/>
        </w:rPr>
        <w:t xml:space="preserve"> an educational and charitable corporation existing under the laws and the constitution of the Commonwealth of Massachusetts, having a place of business at Richard A. and Susan F. Smith Campus Center, Suite 727, 1350 Massachusetts Avenue, Cambridge, Massachusetts 02138 (“Harvard”).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certain Biological Material (as defined below) was developed in research conducted by Harvard researcher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Harvard is committed to the policy that ideas or creative works produced at Harvard should be used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greatest possible public benefit, and believes that every reasonable incentive should be provided for the prompt introduction of such ideas into public use, all in a manner consistent with the public interest;</w:t>
      </w:r>
    </w:p>
    <w:p>
      <w:pPr>
        <w:spacing w:after="0" w:line="167" w:lineRule="exact"/>
        <w:rPr>
          <w:sz w:val="20"/>
          <w:szCs w:val="20"/>
          <w:color w:val="auto"/>
        </w:rPr>
      </w:pPr>
    </w:p>
    <w:p>
      <w:pPr>
        <w:ind w:right="6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Licensee desires to obtain a non-exclusive license to use the Biological Material and associated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Technology Transfer Material (as defined below) to produce Viruses (as defined below) and to use Viruses to manufacture Products for sale; and</w:t>
      </w:r>
    </w:p>
    <w:p>
      <w:pPr>
        <w:spacing w:after="0" w:line="167" w:lineRule="exact"/>
        <w:rPr>
          <w:sz w:val="20"/>
          <w:szCs w:val="20"/>
          <w:color w:val="auto"/>
        </w:rPr>
      </w:pPr>
    </w:p>
    <w:p>
      <w:pPr>
        <w:ind w:right="4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Harvard desires to grant such a license to Licensee in accordance with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the parties hereto, intending to be legally bound, hereby agree as follows:</w:t>
      </w:r>
    </w:p>
    <w:p>
      <w:pPr>
        <w:spacing w:after="0" w:line="206" w:lineRule="exact"/>
        <w:rPr>
          <w:sz w:val="20"/>
          <w:szCs w:val="20"/>
          <w:color w:val="auto"/>
        </w:rPr>
      </w:pPr>
    </w:p>
    <w:p>
      <w:pPr>
        <w:ind w:left="520" w:hanging="512"/>
        <w:spacing w:after="0"/>
        <w:tabs>
          <w:tab w:leader="none" w:pos="520" w:val="left"/>
        </w:tabs>
        <w:numPr>
          <w:ilvl w:val="0"/>
          <w:numId w:val="2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Whenever used in this Agreement with an initial capital letter, the terms defined in this Article 1, whether used in the singular or the plural, will have the meanings specified below.</w:t>
      </w:r>
    </w:p>
    <w:p>
      <w:pPr>
        <w:spacing w:after="0" w:line="154"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1.1.“Affiliate” </w:t>
      </w:r>
      <w:r>
        <w:rPr>
          <w:rFonts w:ascii="Times New Roman" w:cs="Times New Roman" w:eastAsia="Times New Roman" w:hAnsi="Times New Roman"/>
          <w:sz w:val="22"/>
          <w:szCs w:val="22"/>
          <w:color w:val="auto"/>
        </w:rPr>
        <w:t>means, with respect to a person, organization or entity, any person, organization or entity controlling,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controlled by or under common control with, such person, organization or entity. For purposes of this definition only, “control” of another person, organization or entity will mean the possession, directly or indirectly, of the power to direct or cause the direction of the activities, management or policies of such person, organization or entity, whether through the ownership of voting securities, by contract or otherwise. Without limiting the foregoing, control will be presumed to exist when a person, organization or entity (a) owns or directly controls fifty percent (50%) or more of the outstanding voting stock or other ownership interest of the other organization or entity or (b) possesses, directly or indirectly, the power to elect or appoint fifty percent (50%) or more of the members of the governing body of</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44" w:name="page345"/>
    <w:bookmarkEnd w:id="344"/>
    <w:p>
      <w:pPr>
        <w:jc w:val="both"/>
        <w:ind w:right="240"/>
        <w:spacing w:after="0" w:line="261" w:lineRule="auto"/>
        <w:rPr>
          <w:sz w:val="20"/>
          <w:szCs w:val="20"/>
          <w:color w:val="auto"/>
        </w:rPr>
      </w:pPr>
      <w:r>
        <w:rPr>
          <w:rFonts w:ascii="Times New Roman" w:cs="Times New Roman" w:eastAsia="Times New Roman" w:hAnsi="Times New Roman"/>
          <w:sz w:val="21"/>
          <w:szCs w:val="21"/>
          <w:color w:val="auto"/>
        </w:rPr>
        <w:t>the other organization or entity. The parties acknowledge that in the case of certain entities organized under the laws of certain countries outside of the United States, the maximum percentage ownership permitted by law for a foreign investor may be less than fifty percent (50%), and that in such cases such lower percentage will be substituted in the preceding sentence.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1.2.“Aggregate Consideration” </w:t>
      </w:r>
      <w:r>
        <w:rPr>
          <w:rFonts w:ascii="Times New Roman" w:cs="Times New Roman" w:eastAsia="Times New Roman" w:hAnsi="Times New Roman"/>
          <w:sz w:val="22"/>
          <w:szCs w:val="22"/>
          <w:color w:val="auto"/>
        </w:rPr>
        <w:t>means the amount equal to:</w:t>
      </w:r>
    </w:p>
    <w:p>
      <w:pPr>
        <w:spacing w:after="0" w:line="206"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1.2.1 </w:t>
      </w:r>
      <w:r>
        <w:rPr>
          <w:rFonts w:ascii="Times New Roman" w:cs="Times New Roman" w:eastAsia="Times New Roman" w:hAnsi="Times New Roman"/>
          <w:sz w:val="22"/>
          <w:szCs w:val="22"/>
          <w:color w:val="auto"/>
        </w:rPr>
        <w:t>in the case of an Asset Sale, the sum of (a) all cash and the fair market value of all securities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property transferred to Licensee or Licensee’s direct or indirect parent company at the time of the transaction, less all current and long-term liabilities (but not contingent liabilities) of Licensee that are not discharged or assumed by the buyer (or its affiliates) in connection with the Asset Sale and (b) all cash and the fair market value of all securities and other property for Trailing Consideration payable to Licensee or Licensee’s direct or indirect parent company, when and if, actually paid; or</w:t>
      </w:r>
    </w:p>
    <w:p>
      <w:pPr>
        <w:spacing w:after="0" w:line="177"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1.2.2 </w:t>
      </w:r>
      <w:r>
        <w:rPr>
          <w:rFonts w:ascii="Times New Roman" w:cs="Times New Roman" w:eastAsia="Times New Roman" w:hAnsi="Times New Roman"/>
          <w:sz w:val="22"/>
          <w:szCs w:val="22"/>
          <w:color w:val="auto"/>
        </w:rPr>
        <w:t>in the case of a Merger or Stock Sale, the sum of (a) all cash and the fair market value of all securities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property transferred to the stockholders of Licensee or Licensee’s direct or indirect parent company (and any option holders or warrant holders) in return for their stock (or options or warrants) in Licensee or Licensee’s direct or indirect parent company at the time of the transaction and (b) all cash and the fair market value of all securities and other property transferred to the stockholders of Licensee or Licensee’s direct or indirect parent company (and any option holders or warrant holders) for Trailing Consideration payable to the holders of Licensee’s or Licensee’s direct or indirect parent company’s securities, when and if actually paid.</w:t>
      </w:r>
    </w:p>
    <w:p>
      <w:pPr>
        <w:spacing w:after="0" w:line="180" w:lineRule="exact"/>
        <w:rPr>
          <w:sz w:val="20"/>
          <w:szCs w:val="20"/>
          <w:color w:val="auto"/>
        </w:rPr>
      </w:pPr>
    </w:p>
    <w:p>
      <w:pPr>
        <w:ind w:left="760" w:right="60"/>
        <w:spacing w:after="0" w:line="261" w:lineRule="auto"/>
        <w:rPr>
          <w:sz w:val="20"/>
          <w:szCs w:val="20"/>
          <w:color w:val="auto"/>
        </w:rPr>
      </w:pPr>
      <w:r>
        <w:rPr>
          <w:rFonts w:ascii="Times New Roman" w:cs="Times New Roman" w:eastAsia="Times New Roman" w:hAnsi="Times New Roman"/>
          <w:sz w:val="21"/>
          <w:szCs w:val="21"/>
          <w:color w:val="auto"/>
        </w:rPr>
        <w:t>The valuation of any securities or other property shall be determined by reference to the operative transaction agreement for a respective Merger, Stock Sale or Asset Sale; provided that, if no such valuation is readily determinable from such operative transaction agreement, then for securities for which there is an active public market:</w:t>
      </w:r>
    </w:p>
    <w:p>
      <w:pPr>
        <w:spacing w:after="0" w:line="157" w:lineRule="exact"/>
        <w:rPr>
          <w:sz w:val="20"/>
          <w:szCs w:val="20"/>
          <w:color w:val="auto"/>
        </w:rPr>
      </w:pPr>
    </w:p>
    <w:p>
      <w:pPr>
        <w:jc w:val="both"/>
        <w:ind w:left="1500" w:hanging="743"/>
        <w:spacing w:after="0" w:line="244" w:lineRule="auto"/>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traded on a securities exchange or the NASDAQ Stock Market, the value shall be deemed to be the average of the closing prices of the securities on such exchange or market over the 30-period ending three days prior to the closing of such transaction; or</w:t>
      </w:r>
    </w:p>
    <w:p>
      <w:pPr>
        <w:spacing w:after="0" w:line="173" w:lineRule="exact"/>
        <w:rPr>
          <w:rFonts w:ascii="Times New Roman" w:cs="Times New Roman" w:eastAsia="Times New Roman" w:hAnsi="Times New Roman"/>
          <w:sz w:val="22"/>
          <w:szCs w:val="22"/>
          <w:color w:val="auto"/>
        </w:rPr>
      </w:pPr>
    </w:p>
    <w:p>
      <w:pPr>
        <w:ind w:left="1500" w:right="20" w:hanging="743"/>
        <w:spacing w:after="0" w:line="258" w:lineRule="auto"/>
        <w:tabs>
          <w:tab w:leader="none" w:pos="1500"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actively traded over-the-counter, the value shall be deemed to be the average of the closing bid prices over the 30-day period ending three days prior to the closing of such transaction.</w:t>
      </w:r>
    </w:p>
    <w:p>
      <w:pPr>
        <w:spacing w:after="0" w:line="158" w:lineRule="exact"/>
        <w:rPr>
          <w:sz w:val="20"/>
          <w:szCs w:val="20"/>
          <w:color w:val="auto"/>
        </w:rPr>
      </w:pPr>
    </w:p>
    <w:p>
      <w:pPr>
        <w:jc w:val="both"/>
        <w:ind w:left="760" w:right="40"/>
        <w:spacing w:after="0" w:line="244" w:lineRule="auto"/>
        <w:rPr>
          <w:sz w:val="20"/>
          <w:szCs w:val="20"/>
          <w:color w:val="auto"/>
        </w:rPr>
      </w:pPr>
      <w:r>
        <w:rPr>
          <w:rFonts w:ascii="Times New Roman" w:cs="Times New Roman" w:eastAsia="Times New Roman" w:hAnsi="Times New Roman"/>
          <w:sz w:val="22"/>
          <w:szCs w:val="22"/>
          <w:color w:val="auto"/>
        </w:rPr>
        <w:t>The method of valuation of securities subject to investment letters or other similar restrictions on free marketability shall take into account an appropriate discount from the market value as determined pursuant to clause (a) or (b) immediately above so as to reflect the approximate fair market value thereof.</w:t>
      </w:r>
    </w:p>
    <w:p>
      <w:pPr>
        <w:spacing w:after="0" w:line="173" w:lineRule="exact"/>
        <w:rPr>
          <w:sz w:val="20"/>
          <w:szCs w:val="20"/>
          <w:color w:val="auto"/>
        </w:rPr>
      </w:pPr>
    </w:p>
    <w:p>
      <w:pPr>
        <w:jc w:val="both"/>
        <w:ind w:left="760" w:right="380"/>
        <w:spacing w:after="0" w:line="244" w:lineRule="auto"/>
        <w:rPr>
          <w:sz w:val="20"/>
          <w:szCs w:val="20"/>
          <w:color w:val="auto"/>
        </w:rPr>
      </w:pPr>
      <w:r>
        <w:rPr>
          <w:rFonts w:ascii="Times New Roman" w:cs="Times New Roman" w:eastAsia="Times New Roman" w:hAnsi="Times New Roman"/>
          <w:sz w:val="22"/>
          <w:szCs w:val="22"/>
          <w:color w:val="auto"/>
        </w:rPr>
        <w:t>For securities for which there is no active public market, the value shall be the fair market value thereof as either (a) determined in good faith by the board of directors of Licensee or Licensee’s direct or indirect parent company, as the case may be, (b) approved by</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45" w:name="page346"/>
    <w:bookmarkEnd w:id="345"/>
    <w:p>
      <w:pPr>
        <w:ind w:left="760" w:right="140"/>
        <w:spacing w:after="0" w:line="258" w:lineRule="auto"/>
        <w:rPr>
          <w:sz w:val="20"/>
          <w:szCs w:val="20"/>
          <w:color w:val="auto"/>
        </w:rPr>
      </w:pPr>
      <w:r>
        <w:rPr>
          <w:rFonts w:ascii="Times New Roman" w:cs="Times New Roman" w:eastAsia="Times New Roman" w:hAnsi="Times New Roman"/>
          <w:sz w:val="22"/>
          <w:szCs w:val="22"/>
          <w:color w:val="auto"/>
        </w:rPr>
        <w:t>Harvard, such approval not to be unreasonably withheld or (c) determined by a third party appraiser appointed and paid for by Licensee.</w:t>
      </w:r>
    </w:p>
    <w:p>
      <w:pPr>
        <w:spacing w:after="0" w:line="154" w:lineRule="exact"/>
        <w:rPr>
          <w:sz w:val="20"/>
          <w:szCs w:val="20"/>
          <w:color w:val="auto"/>
        </w:rPr>
      </w:pPr>
    </w:p>
    <w:p>
      <w:pPr>
        <w:jc w:val="both"/>
        <w:ind w:right="6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1.3.“Biological Material” </w:t>
      </w:r>
      <w:r>
        <w:rPr>
          <w:rFonts w:ascii="Times New Roman" w:cs="Times New Roman" w:eastAsia="Times New Roman" w:hAnsi="Times New Roman"/>
          <w:sz w:val="22"/>
          <w:szCs w:val="22"/>
          <w:color w:val="auto"/>
        </w:rPr>
        <w:t>means any material listed in Exhibit 1</w:t>
      </w:r>
      <w:r>
        <w:rPr>
          <w:rFonts w:ascii="Times New Roman" w:cs="Times New Roman" w:eastAsia="Times New Roman" w:hAnsi="Times New Roman"/>
          <w:sz w:val="22"/>
          <w:szCs w:val="22"/>
          <w:b w:val="1"/>
          <w:bCs w:val="1"/>
          <w:color w:val="auto"/>
        </w:rPr>
        <w:t xml:space="preserve">.3 </w:t>
      </w:r>
      <w:r>
        <w:rPr>
          <w:rFonts w:ascii="Times New Roman" w:cs="Times New Roman" w:eastAsia="Times New Roman" w:hAnsi="Times New Roman"/>
          <w:sz w:val="22"/>
          <w:szCs w:val="22"/>
          <w:color w:val="auto"/>
        </w:rPr>
        <w:t>to this Agreement, together with all progeny,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mutants, replicates and derivatives (modified or unmodified)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no event shall a Virus or a Product be deemed Biological Material.</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1.4.“Calendar Quarter” </w:t>
      </w:r>
      <w:r>
        <w:rPr>
          <w:rFonts w:ascii="Times New Roman" w:cs="Times New Roman" w:eastAsia="Times New Roman" w:hAnsi="Times New Roman"/>
          <w:sz w:val="21"/>
          <w:szCs w:val="21"/>
          <w:color w:val="auto"/>
        </w:rPr>
        <w:t>means each of the periods of three (3) consecutive calendar months ending on March 31, June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September 30 and December 31 during the Term.</w:t>
      </w:r>
    </w:p>
    <w:p>
      <w:pPr>
        <w:spacing w:after="0" w:line="17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1.5.“Change of Control” </w:t>
      </w:r>
      <w:r>
        <w:rPr>
          <w:rFonts w:ascii="Times New Roman" w:cs="Times New Roman" w:eastAsia="Times New Roman" w:hAnsi="Times New Roman"/>
          <w:sz w:val="22"/>
          <w:szCs w:val="22"/>
          <w:color w:val="auto"/>
        </w:rPr>
        <w:t>means (a) a merger, share exchange or other reorganization in which Licensee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is a constituent party (“</w:t>
      </w:r>
      <w:r>
        <w:rPr>
          <w:rFonts w:ascii="Times New Roman" w:cs="Times New Roman" w:eastAsia="Times New Roman" w:hAnsi="Times New Roman"/>
          <w:sz w:val="22"/>
          <w:szCs w:val="22"/>
          <w:b w:val="1"/>
          <w:bCs w:val="1"/>
          <w:color w:val="auto"/>
        </w:rPr>
        <w:t>Merger</w:t>
      </w:r>
      <w:r>
        <w:rPr>
          <w:rFonts w:ascii="Times New Roman" w:cs="Times New Roman" w:eastAsia="Times New Roman" w:hAnsi="Times New Roman"/>
          <w:sz w:val="22"/>
          <w:szCs w:val="22"/>
          <w:color w:val="auto"/>
        </w:rPr>
        <w:t xml:space="preserve">”), (b) the acquisition, in a single transaction or series of related transactions, by a person or entity or a group of related persons or entities, of a majority of the voting power of Licensee (or such successor) from persons holding (either directly or indirectly) securities of Licensee (or such successor) </w:t>
      </w:r>
      <w:r>
        <w:rPr>
          <w:rFonts w:ascii="Times New Roman" w:cs="Times New Roman" w:eastAsia="Times New Roman" w:hAnsi="Times New Roman"/>
          <w:sz w:val="22"/>
          <w:szCs w:val="22"/>
          <w:b w:val="1"/>
          <w:bCs w:val="1"/>
          <w:color w:val="auto"/>
        </w:rPr>
        <w:t>(“Stock Sale”),</w:t>
      </w:r>
      <w:r>
        <w:rPr>
          <w:rFonts w:ascii="Times New Roman" w:cs="Times New Roman" w:eastAsia="Times New Roman" w:hAnsi="Times New Roman"/>
          <w:sz w:val="22"/>
          <w:szCs w:val="22"/>
          <w:color w:val="auto"/>
        </w:rPr>
        <w:t xml:space="preserve"> or (c) the sale, lease, transfer, or other disposition, in a single transaction or series of related transactions of all or substantially all of the assets of Licensee (or such successor) (or that portion of its assets related to the subject matter of this Agreement)(“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in which, for each of (a), (b) and (c), the security holders of Licensee (or such successor) that control a majority of the voting power of Licensee (or such successor) prior to such transaction do not control, directly or indirectly, a majority of the voting power of the acquiring, surviving or successor entity, as the case may be; provided however, that (1) a transaction in which working capital is raised through the non-public issuance of equity in Licensee to investors shall not constitute a “Change of Control” and (2) Licensee’s merger, combination or other transaction with its direct or indirect parent company or other Affiliate of Licensee shall not constitute a “Change of Control”.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1.6.“FDA” </w:t>
      </w:r>
      <w:r>
        <w:rPr>
          <w:rFonts w:ascii="Times New Roman" w:cs="Times New Roman" w:eastAsia="Times New Roman" w:hAnsi="Times New Roman"/>
          <w:sz w:val="22"/>
          <w:szCs w:val="22"/>
          <w:color w:val="auto"/>
        </w:rPr>
        <w:t>means the United States Food and Drug Administration.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1.7.“Field” </w:t>
      </w:r>
      <w:r>
        <w:rPr>
          <w:rFonts w:ascii="Times New Roman" w:cs="Times New Roman" w:eastAsia="Times New Roman" w:hAnsi="Times New Roman"/>
          <w:sz w:val="22"/>
          <w:szCs w:val="22"/>
          <w:color w:val="auto"/>
        </w:rPr>
        <w:t>means the treatment of Duchenne Muscular Dystrophy.</w:t>
      </w:r>
    </w:p>
    <w:p>
      <w:pPr>
        <w:spacing w:after="0" w:line="206" w:lineRule="exact"/>
        <w:rPr>
          <w:sz w:val="20"/>
          <w:szCs w:val="20"/>
          <w:color w:val="auto"/>
        </w:rPr>
      </w:pPr>
    </w:p>
    <w:p>
      <w:pPr>
        <w:ind w:right="2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1.8.“Major Country” </w:t>
      </w:r>
      <w:r>
        <w:rPr>
          <w:rFonts w:ascii="Times New Roman" w:cs="Times New Roman" w:eastAsia="Times New Roman" w:hAnsi="Times New Roman"/>
          <w:sz w:val="22"/>
          <w:szCs w:val="22"/>
          <w:color w:val="auto"/>
        </w:rPr>
        <w:t>means the United States, Japan, Germany, Italy, Spain, France and the United Kingdom,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European Union, as a whole.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color w:val="auto"/>
        </w:rPr>
        <w:t>“Market Countries” means:</w:t>
      </w:r>
    </w:p>
    <w:p>
      <w:pPr>
        <w:spacing w:after="0" w:line="210" w:lineRule="exact"/>
        <w:rPr>
          <w:sz w:val="20"/>
          <w:szCs w:val="20"/>
          <w:color w:val="auto"/>
        </w:rPr>
      </w:pPr>
    </w:p>
    <w:p>
      <w:pPr>
        <w:ind w:left="1500" w:right="20" w:hanging="743"/>
        <w:spacing w:after="0" w:line="255" w:lineRule="auto"/>
        <w:tabs>
          <w:tab w:leader="none" w:pos="1500" w:val="left"/>
        </w:tabs>
        <w:numPr>
          <w:ilvl w:val="0"/>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current and future Organization for Economic Cooperation and Development (OECD) countries, presently consisting of Australia, Austria, Belgium, Canada, Czech Republic, Denmark, Finland, France, Germany, Greece, Hungary, Iceland, Ireland, Italy, Republic of Korea, Japan, Luxembourg, Mexico, the Netherlands, New Zealand, Norway, Poland, Portugal, Spain, Sweden, Switzerland, Turkey, the UK, and the United States; and</w:t>
      </w:r>
    </w:p>
    <w:p>
      <w:pPr>
        <w:spacing w:after="0" w:line="161"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and future members of the European Union not otherwise members of the OECD;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46" w:name="page347"/>
    <w:bookmarkEnd w:id="346"/>
    <w:p>
      <w:pPr>
        <w:ind w:left="1500" w:hanging="743"/>
        <w:spacing w:after="0"/>
        <w:tabs>
          <w:tab w:leader="none" w:pos="150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People’s Republic of China, India, Malaysia, Russian Federation, Singapore, and Taiwan.</w:t>
      </w:r>
    </w:p>
    <w:p>
      <w:pPr>
        <w:spacing w:after="0" w:line="202"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1.10.“Marketing Approval” </w:t>
      </w:r>
      <w:r>
        <w:rPr>
          <w:rFonts w:ascii="Times New Roman" w:cs="Times New Roman" w:eastAsia="Times New Roman" w:hAnsi="Times New Roman"/>
          <w:sz w:val="22"/>
          <w:szCs w:val="22"/>
          <w:color w:val="auto"/>
        </w:rPr>
        <w:t>means all approvals from the relevant Regulatory Authority of a Major Country necessary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market and sell a Product in such country or territory.</w:t>
      </w:r>
    </w:p>
    <w:p>
      <w:pPr>
        <w:spacing w:after="0" w:line="15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1.11.“Net Sales” </w:t>
      </w:r>
      <w:r>
        <w:rPr>
          <w:rFonts w:ascii="Times New Roman" w:cs="Times New Roman" w:eastAsia="Times New Roman" w:hAnsi="Times New Roman"/>
          <w:sz w:val="22"/>
          <w:szCs w:val="22"/>
          <w:color w:val="auto"/>
        </w:rPr>
        <w:t>means the gross amount billed or invoiced by or on behalf of Licensee or its Sublicensees (in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case, the “Invoicing Entity”) on sales, leases or other transfers of Products, less the following to the extent applicable with respect to such sales, leases or other transfers and not previously deducted from the gross invoice price: (a) customary trade, quantity or cash discounts to the extent actually allowed and taken; (b) amounts actually repaid or credited by reason of rejection or return of any previously sold, leased or otherwise transferred Products; (c) customer freight, shipping, transportation, delivery, packaging and/or cost of insurance prepaid charges that are paid or actually allowed by or on behalf of the Invoicing Entity; and (d) to the extent separately stated on purchase orders, invoices or other documents of sale, any sales, use, value added or similar taxes, tariffs, custom duties or other similar governmental charges levied directly on the production, sale, transportation, delivery or use of a Product that are paid by or on behalf of the Invoicing Entity, but not including any tax levied with respect to income; provided that:</w:t>
      </w:r>
    </w:p>
    <w:p>
      <w:pPr>
        <w:spacing w:after="0" w:line="179" w:lineRule="exact"/>
        <w:rPr>
          <w:sz w:val="20"/>
          <w:szCs w:val="20"/>
          <w:color w:val="auto"/>
        </w:rPr>
      </w:pPr>
    </w:p>
    <w:p>
      <w:pPr>
        <w:jc w:val="both"/>
        <w:ind w:right="14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1.11.1</w:t>
      </w:r>
      <w:r>
        <w:rPr>
          <w:rFonts w:ascii="Times New Roman" w:cs="Times New Roman" w:eastAsia="Times New Roman" w:hAnsi="Times New Roman"/>
          <w:sz w:val="22"/>
          <w:szCs w:val="22"/>
          <w:color w:val="auto"/>
        </w:rPr>
        <w:t>in any transfers of Products between an Invoicing Entity and an Affiliate of such Invoicing Entity not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purpose of resale by such Affiliate, Net Sales will be equal to the fair market value of the Products so transferred, assuming an arm’s length transaction made in the ordinary course of business, and</w:t>
      </w:r>
    </w:p>
    <w:p>
      <w:pPr>
        <w:spacing w:after="0" w:line="167" w:lineRule="exact"/>
        <w:rPr>
          <w:sz w:val="20"/>
          <w:szCs w:val="20"/>
          <w:color w:val="auto"/>
        </w:rPr>
      </w:pPr>
    </w:p>
    <w:p>
      <w:pPr>
        <w:ind w:right="180" w:firstLine="1497"/>
        <w:spacing w:after="0" w:line="263" w:lineRule="auto"/>
        <w:rPr>
          <w:sz w:val="20"/>
          <w:szCs w:val="20"/>
          <w:color w:val="auto"/>
        </w:rPr>
      </w:pPr>
      <w:r>
        <w:rPr>
          <w:rFonts w:ascii="Times New Roman" w:cs="Times New Roman" w:eastAsia="Times New Roman" w:hAnsi="Times New Roman"/>
          <w:sz w:val="21"/>
          <w:szCs w:val="21"/>
          <w:b w:val="1"/>
          <w:bCs w:val="1"/>
          <w:color w:val="auto"/>
        </w:rPr>
        <w:t>1.11.2</w:t>
      </w:r>
      <w:r>
        <w:rPr>
          <w:rFonts w:ascii="Times New Roman" w:cs="Times New Roman" w:eastAsia="Times New Roman" w:hAnsi="Times New Roman"/>
          <w:sz w:val="21"/>
          <w:szCs w:val="21"/>
          <w:color w:val="auto"/>
        </w:rPr>
        <w:t>in the event that an Invoicing Entity receives non-cash consideration for any Products or in the case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transactions not at arm’s length with a non-Affiliate of an Invoicing Entity, Net Sales will be calculated based on the fair market value of such consideration or transaction, assuming an arm’s length transaction made in the ordinary course of business;</w:t>
      </w:r>
    </w:p>
    <w:p>
      <w:pPr>
        <w:spacing w:after="0" w:line="151" w:lineRule="exact"/>
        <w:rPr>
          <w:sz w:val="20"/>
          <w:szCs w:val="20"/>
          <w:color w:val="auto"/>
        </w:rPr>
      </w:pPr>
    </w:p>
    <w:p>
      <w:pPr>
        <w:ind w:right="1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1.11.3 </w:t>
      </w:r>
      <w:r>
        <w:rPr>
          <w:rFonts w:ascii="Times New Roman" w:cs="Times New Roman" w:eastAsia="Times New Roman" w:hAnsi="Times New Roman"/>
          <w:sz w:val="22"/>
          <w:szCs w:val="22"/>
          <w:color w:val="auto"/>
        </w:rPr>
        <w:t>sales of Products to Public Sector entities in Non-Suit Countries for end use solely in Non-Suit Countries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be deemed Net Sales; and</w:t>
      </w:r>
    </w:p>
    <w:p>
      <w:pPr>
        <w:spacing w:after="0" w:line="150"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1.11.4 </w:t>
      </w:r>
      <w:r>
        <w:rPr>
          <w:rFonts w:ascii="Times New Roman" w:cs="Times New Roman" w:eastAsia="Times New Roman" w:hAnsi="Times New Roman"/>
          <w:sz w:val="22"/>
          <w:szCs w:val="22"/>
          <w:color w:val="auto"/>
        </w:rPr>
        <w:t>sales of Products by an Invoicing Entity to its Affiliate or a Sublicensee for resale by such Affiliate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 will not be deemed Net Sales. Instead, Net Sales will be determined based on the gross amount billed or invoiced by such Affiliate or Sublicensee upon resale of such Products to a third party purchaser.</w:t>
      </w:r>
    </w:p>
    <w:p>
      <w:pPr>
        <w:spacing w:after="0" w:line="167" w:lineRule="exact"/>
        <w:rPr>
          <w:sz w:val="20"/>
          <w:szCs w:val="20"/>
          <w:color w:val="auto"/>
        </w:rPr>
      </w:pPr>
    </w:p>
    <w:p>
      <w:pPr>
        <w:ind w:right="14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1.12.“Non-Royalty Income” </w:t>
      </w:r>
      <w:r>
        <w:rPr>
          <w:rFonts w:ascii="Times New Roman" w:cs="Times New Roman" w:eastAsia="Times New Roman" w:hAnsi="Times New Roman"/>
          <w:sz w:val="22"/>
          <w:szCs w:val="22"/>
          <w:color w:val="auto"/>
        </w:rPr>
        <w:t>means any payments or other consideration that Licensee or any of its Affiliates receives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connection with a Sublicense or Strategic Partnership, including without limitation, fees, milestone payments, agreement maintenance fees, and other payments, but specifically excluding (a) royalties based on Net Sales, (b) amounts received from a Sublicensee or Strategic Partner to cover reasonable, fully-burdened costs incurred or to be incurred by Licensee in the performance of research or development activities after the Effective Date, (c) amounts received from a Sublicensee or Strategic Partner as reimbursement for out-of-pocket costs incurred by Licensee in the preparation, filing,</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7" w:name="page348"/>
    <w:bookmarkEnd w:id="347"/>
    <w:p>
      <w:pPr>
        <w:ind w:right="20"/>
        <w:spacing w:after="0" w:line="244" w:lineRule="auto"/>
        <w:rPr>
          <w:sz w:val="20"/>
          <w:szCs w:val="20"/>
          <w:color w:val="auto"/>
        </w:rPr>
      </w:pPr>
      <w:r>
        <w:rPr>
          <w:rFonts w:ascii="Times New Roman" w:cs="Times New Roman" w:eastAsia="Times New Roman" w:hAnsi="Times New Roman"/>
          <w:sz w:val="21"/>
          <w:szCs w:val="21"/>
          <w:color w:val="auto"/>
        </w:rPr>
        <w:t>prosecution and maintenance of the Patent Rights, or (d) consideration for the issuance of equity interests in Licensee to the extent the amount paid for such equity does not exceed its fair market value. If Licensee or its Affiliate receives non-cash consideration in connection with a Sublicense or Strategic Partnership, or in the case of transactions not at arm’s length, Non-Royalty Income will be calculated based on the fair market value of such consideration or transaction, at the time of the transaction, assuming an arm’s length transaction made in the ordinary course of business. To the extent Licensee receives compensation for both a grant of a Sublicense of rights to the Biological Material and/or the Technology Transfer Material under Section 2.1 and the grant of other rights or licenses to intellectual property other than a Sublicense of rights granted under Section 2.1, such compensation will be reasonably apportioned between that amount attributable to the Sublicense of rights under Section</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2.1, which shall be deemed Non-Royalty Income, and that amount attributable to the grant of other rights or licenses in such other intellectual property, which shall be excluded from Non-Royalty Income, such apportionment to be reasonably agreed upon by the Parties.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1.13.“Non-Suit Countries” </w:t>
      </w:r>
      <w:r>
        <w:rPr>
          <w:rFonts w:ascii="Times New Roman" w:cs="Times New Roman" w:eastAsia="Times New Roman" w:hAnsi="Times New Roman"/>
          <w:sz w:val="22"/>
          <w:szCs w:val="22"/>
          <w:color w:val="auto"/>
        </w:rPr>
        <w:t>means all countries other than Market Countries.</w:t>
      </w:r>
    </w:p>
    <w:p>
      <w:pPr>
        <w:spacing w:after="0" w:line="206" w:lineRule="exact"/>
        <w:rPr>
          <w:sz w:val="20"/>
          <w:szCs w:val="20"/>
          <w:color w:val="auto"/>
        </w:rPr>
      </w:pPr>
    </w:p>
    <w:p>
      <w:pPr>
        <w:ind w:right="4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1.14.“Product” </w:t>
      </w:r>
      <w:r>
        <w:rPr>
          <w:rFonts w:ascii="Times New Roman" w:cs="Times New Roman" w:eastAsia="Times New Roman" w:hAnsi="Times New Roman"/>
          <w:sz w:val="22"/>
          <w:szCs w:val="22"/>
          <w:color w:val="auto"/>
        </w:rPr>
        <w:t>means any product produced by a Virus or through the use of the Biological Material or Technology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Material.</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1.15.</w:t>
      </w:r>
      <w:r>
        <w:rPr>
          <w:rFonts w:ascii="Times New Roman" w:cs="Times New Roman" w:eastAsia="Times New Roman" w:hAnsi="Times New Roman"/>
          <w:sz w:val="22"/>
          <w:szCs w:val="22"/>
          <w:color w:val="auto"/>
        </w:rPr>
        <w:t>“Public Sector” will include:</w:t>
      </w:r>
    </w:p>
    <w:p>
      <w:pPr>
        <w:spacing w:after="0" w:line="210" w:lineRule="exact"/>
        <w:rPr>
          <w:sz w:val="20"/>
          <w:szCs w:val="20"/>
          <w:color w:val="auto"/>
        </w:rPr>
      </w:pPr>
    </w:p>
    <w:p>
      <w:pPr>
        <w:ind w:left="1500" w:hanging="743"/>
        <w:spacing w:after="0"/>
        <w:tabs>
          <w:tab w:leader="none" w:pos="15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sovereign government of a country;</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agencies of the United Nations and the World Health Organization;</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2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non-profit organizations which are members of the International Committee of the Red Cross and Red Crescent;</w:t>
      </w:r>
    </w:p>
    <w:p>
      <w:pPr>
        <w:spacing w:after="0" w:line="217" w:lineRule="exact"/>
        <w:rPr>
          <w:rFonts w:ascii="Times New Roman" w:cs="Times New Roman" w:eastAsia="Times New Roman" w:hAnsi="Times New Roman"/>
          <w:sz w:val="21"/>
          <w:szCs w:val="21"/>
          <w:color w:val="auto"/>
        </w:rPr>
      </w:pPr>
    </w:p>
    <w:p>
      <w:pPr>
        <w:ind w:left="1500" w:right="500" w:hanging="743"/>
        <w:spacing w:after="0" w:line="258" w:lineRule="auto"/>
        <w:tabs>
          <w:tab w:leader="none" w:pos="15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charitable agencies (also known as Non-Governmental Agencies) including but not limited to Oxfam, Medecins Sans Frontieres, and so forth;</w:t>
      </w:r>
    </w:p>
    <w:p>
      <w:pPr>
        <w:spacing w:after="0" w:line="158" w:lineRule="exact"/>
        <w:rPr>
          <w:rFonts w:ascii="Times New Roman" w:cs="Times New Roman" w:eastAsia="Times New Roman" w:hAnsi="Times New Roman"/>
          <w:sz w:val="22"/>
          <w:szCs w:val="22"/>
          <w:color w:val="auto"/>
        </w:rPr>
      </w:pPr>
    </w:p>
    <w:p>
      <w:pPr>
        <w:ind w:left="1500" w:right="160" w:hanging="743"/>
        <w:spacing w:after="0" w:line="244" w:lineRule="auto"/>
        <w:tabs>
          <w:tab w:leader="none" w:pos="1500"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non-profit organizations substantially supported by philanthropic organizations including but not limited to the Bill and Melinda Gates Foundation, the Rockefeller Foundation and so forth, specifically including global product development and distribution public-private partnerships.</w:t>
      </w:r>
    </w:p>
    <w:p>
      <w:pPr>
        <w:spacing w:after="0" w:line="169" w:lineRule="exact"/>
        <w:rPr>
          <w:sz w:val="20"/>
          <w:szCs w:val="20"/>
          <w:color w:val="auto"/>
        </w:rPr>
      </w:pPr>
    </w:p>
    <w:p>
      <w:pPr>
        <w:ind w:right="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1.16.“Regulatory Authority” </w:t>
      </w:r>
      <w:r>
        <w:rPr>
          <w:rFonts w:ascii="Times New Roman" w:cs="Times New Roman" w:eastAsia="Times New Roman" w:hAnsi="Times New Roman"/>
          <w:sz w:val="22"/>
          <w:szCs w:val="22"/>
          <w:color w:val="auto"/>
        </w:rPr>
        <w:t>means any applicable government regulatory authority involved in granting approvals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manufacturing and marketing of a Product, including, in the United States, the FDA.</w:t>
      </w:r>
    </w:p>
    <w:p>
      <w:pPr>
        <w:spacing w:after="0" w:line="150"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1.17.“Strategic Partner” </w:t>
      </w:r>
      <w:r>
        <w:rPr>
          <w:rFonts w:ascii="Times New Roman" w:cs="Times New Roman" w:eastAsia="Times New Roman" w:hAnsi="Times New Roman"/>
          <w:sz w:val="22"/>
          <w:szCs w:val="22"/>
          <w:color w:val="auto"/>
        </w:rPr>
        <w:t>means any entity that agrees to compensate Licensee or its Affiliate in exchange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Licensee’s or its Affiliate’s practice of the Patent Rights and/or development of Products, on behalf of or in collaboration with such entity, including without limitation, for commercialization and development activities for Products. Any entity which meets the foregoing criteria, that also receives a Sublicense shall be considered a Sublicensee, and not a Strategic Partner, for the purposes of this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8" w:name="page349"/>
    <w:bookmarkEnd w:id="348"/>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1.18.“Strategic Partnership” </w:t>
      </w:r>
      <w:r>
        <w:rPr>
          <w:rFonts w:ascii="Times New Roman" w:cs="Times New Roman" w:eastAsia="Times New Roman" w:hAnsi="Times New Roman"/>
          <w:sz w:val="22"/>
          <w:szCs w:val="22"/>
          <w:color w:val="auto"/>
        </w:rPr>
        <w:t>means any agreement with a Strategic Partner.</w:t>
      </w:r>
    </w:p>
    <w:p>
      <w:pPr>
        <w:spacing w:after="0" w:line="206"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1.19.“Sublicense” </w:t>
      </w:r>
      <w:r>
        <w:rPr>
          <w:rFonts w:ascii="Times New Roman" w:cs="Times New Roman" w:eastAsia="Times New Roman" w:hAnsi="Times New Roman"/>
          <w:sz w:val="22"/>
          <w:szCs w:val="22"/>
          <w:color w:val="auto"/>
        </w:rPr>
        <w:t>shall mean (a) any right granted, license given or agreement entered into by Licensee to or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person or entity (including strategic or development partnerships), under or with respect to or permitting any use or exploitation of the Biological Material and/or the Technology Transfer Material for the purpose of producing Viruses to be used in the production of Products, or otherwise permitting the development, manufacture, marketing, distribution, use and/or sale of Products; (b) any option or other right granted by Licensee to any other person or entity to negotiate for or receive any of the rights described under clause (a); or (c) any standstill or similar obligation undertaken by Licensee toward any other person or entity not to grant any of the rights described in clause (a) or (b) to any third party; in each case regardless of whether such grant of rights, license given or agreement entered into is referred to or is described as a sublicense.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1.20.“Sublicensee” </w:t>
      </w:r>
      <w:r>
        <w:rPr>
          <w:rFonts w:ascii="Times New Roman" w:cs="Times New Roman" w:eastAsia="Times New Roman" w:hAnsi="Times New Roman"/>
          <w:sz w:val="22"/>
          <w:szCs w:val="22"/>
          <w:color w:val="auto"/>
        </w:rPr>
        <w:t>shall mean any person or entity granted a Sublicense.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 xml:space="preserve">1.21.“Technology Transfer Material” </w:t>
      </w:r>
      <w:r>
        <w:rPr>
          <w:rFonts w:ascii="Times New Roman" w:cs="Times New Roman" w:eastAsia="Times New Roman" w:hAnsi="Times New Roman"/>
          <w:sz w:val="21"/>
          <w:szCs w:val="21"/>
          <w:color w:val="auto"/>
        </w:rPr>
        <w:t>means the methods, protocols and other information listed in Exhibit 1.21 hereto.</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1.22.“Term” </w:t>
      </w:r>
      <w:r>
        <w:rPr>
          <w:rFonts w:ascii="Times New Roman" w:cs="Times New Roman" w:eastAsia="Times New Roman" w:hAnsi="Times New Roman"/>
          <w:sz w:val="22"/>
          <w:szCs w:val="22"/>
          <w:color w:val="auto"/>
        </w:rPr>
        <w:t>means the term of this Agreement as set forth in Section 6.1.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1.23.“Third Party” </w:t>
      </w:r>
      <w:r>
        <w:rPr>
          <w:rFonts w:ascii="Times New Roman" w:cs="Times New Roman" w:eastAsia="Times New Roman" w:hAnsi="Times New Roman"/>
          <w:sz w:val="22"/>
          <w:szCs w:val="22"/>
          <w:color w:val="auto"/>
        </w:rPr>
        <w:t>means any person or entity other than Harvard, Licensee and Licensee’s Affiliates.</w:t>
      </w:r>
    </w:p>
    <w:p>
      <w:pPr>
        <w:spacing w:after="0" w:line="206" w:lineRule="exact"/>
        <w:rPr>
          <w:sz w:val="20"/>
          <w:szCs w:val="20"/>
          <w:color w:val="auto"/>
        </w:rPr>
      </w:pPr>
    </w:p>
    <w:p>
      <w:pPr>
        <w:ind w:right="4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1.24.“Trailing Consideration” </w:t>
      </w:r>
      <w:r>
        <w:rPr>
          <w:rFonts w:ascii="Times New Roman" w:cs="Times New Roman" w:eastAsia="Times New Roman" w:hAnsi="Times New Roman"/>
          <w:sz w:val="21"/>
          <w:szCs w:val="21"/>
          <w:color w:val="auto"/>
        </w:rPr>
        <w:t>means any payments due for any deferred or contingent aggregate consideration payable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Licensee, its direct or indirect parent company, or its security holders, as the case may be, with respect to an Asset Sale, Merger or Stock Sale, including, without limitation, any post-closing milestone payment, escrow or holdback of consideration.</w:t>
      </w:r>
    </w:p>
    <w:p>
      <w:pPr>
        <w:spacing w:after="0" w:line="151"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1.25.“Virus” </w:t>
      </w:r>
      <w:r>
        <w:rPr>
          <w:rFonts w:ascii="Times New Roman" w:cs="Times New Roman" w:eastAsia="Times New Roman" w:hAnsi="Times New Roman"/>
          <w:sz w:val="22"/>
          <w:szCs w:val="22"/>
          <w:color w:val="auto"/>
        </w:rPr>
        <w:t>means any virus produced by Licensee or a Sublicensee through use of the Biological Material that does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contain any Biological Material or any functional portion or functional fragment thereof.</w:t>
      </w:r>
    </w:p>
    <w:p>
      <w:pPr>
        <w:spacing w:after="0" w:line="150" w:lineRule="exact"/>
        <w:rPr>
          <w:sz w:val="20"/>
          <w:szCs w:val="20"/>
          <w:color w:val="auto"/>
        </w:rPr>
      </w:pPr>
    </w:p>
    <w:p>
      <w:pPr>
        <w:ind w:left="520" w:hanging="512"/>
        <w:spacing w:after="0"/>
        <w:tabs>
          <w:tab w:leader="none" w:pos="520" w:val="left"/>
        </w:tabs>
        <w:numPr>
          <w:ilvl w:val="0"/>
          <w:numId w:val="2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License.</w:t>
      </w:r>
    </w:p>
    <w:p>
      <w:pPr>
        <w:spacing w:after="0" w:line="206"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2.1.License Grant. </w:t>
      </w:r>
      <w:r>
        <w:rPr>
          <w:rFonts w:ascii="Times New Roman" w:cs="Times New Roman" w:eastAsia="Times New Roman" w:hAnsi="Times New Roman"/>
          <w:sz w:val="22"/>
          <w:szCs w:val="22"/>
          <w:color w:val="auto"/>
        </w:rPr>
        <w:t>Subject to the terms and conditions set forth in this Agreement, Harvard hereby grants to Licensee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non-exclusive, royalty-bearing, worldwide license, sublicensable solely in accordance with Section 2.2, to use the Biological Material and the Technology Transfer Material solely to produce Viruses solely to make and sell Products for use in the Field.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2.2.Sublicenses.</w:t>
      </w:r>
    </w:p>
    <w:p>
      <w:pPr>
        <w:spacing w:after="0" w:line="206" w:lineRule="exact"/>
        <w:rPr>
          <w:sz w:val="20"/>
          <w:szCs w:val="20"/>
          <w:color w:val="auto"/>
        </w:rPr>
      </w:pPr>
    </w:p>
    <w:p>
      <w:pPr>
        <w:ind w:right="40" w:firstLine="1497"/>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2.2.1 Sublicense Grant. </w:t>
      </w:r>
      <w:r>
        <w:rPr>
          <w:rFonts w:ascii="Times New Roman" w:cs="Times New Roman" w:eastAsia="Times New Roman" w:hAnsi="Times New Roman"/>
          <w:sz w:val="21"/>
          <w:szCs w:val="21"/>
          <w:color w:val="auto"/>
        </w:rPr>
        <w:t>Licensee will be entitled to grant Sublicenses to Third Parties under the license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granted pursuant to Section 2.1 subject to the terms of this Section 2.2;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such grant is made (a) in conjunction with a license to technology owned or controlled by Licensee (other than the Biological Material and the Technology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9" w:name="page350"/>
    <w:bookmarkEnd w:id="349"/>
    <w:p>
      <w:pPr>
        <w:ind w:right="40"/>
        <w:spacing w:after="0" w:line="239" w:lineRule="auto"/>
        <w:rPr>
          <w:sz w:val="20"/>
          <w:szCs w:val="20"/>
          <w:color w:val="auto"/>
        </w:rPr>
      </w:pPr>
      <w:r>
        <w:rPr>
          <w:rFonts w:ascii="Times New Roman" w:cs="Times New Roman" w:eastAsia="Times New Roman" w:hAnsi="Times New Roman"/>
          <w:sz w:val="22"/>
          <w:szCs w:val="22"/>
          <w:color w:val="auto"/>
        </w:rPr>
        <w:t xml:space="preserve">Transfer Material) that is included in or useful for the making of Products, and (b) solely for the manufacture of Viruses solely to make and sell Products for use in the Field. Affiliates of Licensee shall be permitted to exercise such right as a Sublicensee only with Harvard’s prior written consent, not to be unreasonably withheld or delayed;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Licensee shall ensure that any such Affiliate complies with the terms of this Section 2.2.</w:t>
      </w:r>
    </w:p>
    <w:p>
      <w:pPr>
        <w:spacing w:after="0" w:line="176" w:lineRule="exact"/>
        <w:rPr>
          <w:sz w:val="20"/>
          <w:szCs w:val="20"/>
          <w:color w:val="auto"/>
        </w:rPr>
      </w:pPr>
    </w:p>
    <w:p>
      <w:pPr>
        <w:ind w:right="24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2.2.2 Sublicense Agreements. </w:t>
      </w:r>
      <w:r>
        <w:rPr>
          <w:rFonts w:ascii="Times New Roman" w:cs="Times New Roman" w:eastAsia="Times New Roman" w:hAnsi="Times New Roman"/>
          <w:sz w:val="22"/>
          <w:szCs w:val="22"/>
          <w:color w:val="auto"/>
        </w:rPr>
        <w:t>Sublicenses shall be granted pursuant to written agreements, which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and subordinate to the terms and conditions of this Agreement. Such Sublicense agreements will contain, among other things, the following:</w:t>
      </w:r>
    </w:p>
    <w:p>
      <w:pPr>
        <w:spacing w:after="0" w:line="16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2.2.2.1</w:t>
      </w:r>
      <w:r>
        <w:rPr>
          <w:rFonts w:ascii="Times New Roman" w:cs="Times New Roman" w:eastAsia="Times New Roman" w:hAnsi="Times New Roman"/>
          <w:sz w:val="22"/>
          <w:szCs w:val="22"/>
          <w:color w:val="auto"/>
        </w:rPr>
        <w:t>all provisions necessary to ensure Licensee’s ability to perform its obligations under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jc w:val="both"/>
        <w:ind w:right="36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2.2.2.2</w:t>
      </w:r>
      <w:r>
        <w:rPr>
          <w:rFonts w:ascii="Times New Roman" w:cs="Times New Roman" w:eastAsia="Times New Roman" w:hAnsi="Times New Roman"/>
          <w:sz w:val="22"/>
          <w:szCs w:val="22"/>
          <w:color w:val="auto"/>
        </w:rPr>
        <w:t>a section substantially the same as Article 5 of this Agreement, which also will state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Indemnitees (as defined in Section 5.1) are intended third party beneficiaries of such Sublicense agreement for the purpose of enforcing such indemnification;</w:t>
      </w:r>
    </w:p>
    <w:p>
      <w:pPr>
        <w:spacing w:after="0" w:line="167" w:lineRule="exact"/>
        <w:rPr>
          <w:sz w:val="20"/>
          <w:szCs w:val="20"/>
          <w:color w:val="auto"/>
        </w:rPr>
      </w:pPr>
    </w:p>
    <w:p>
      <w:pPr>
        <w:ind w:right="20" w:firstLine="2246"/>
        <w:spacing w:after="0" w:line="237" w:lineRule="auto"/>
        <w:rPr>
          <w:sz w:val="20"/>
          <w:szCs w:val="20"/>
          <w:color w:val="auto"/>
        </w:rPr>
      </w:pPr>
      <w:r>
        <w:rPr>
          <w:rFonts w:ascii="Times New Roman" w:cs="Times New Roman" w:eastAsia="Times New Roman" w:hAnsi="Times New Roman"/>
          <w:sz w:val="22"/>
          <w:szCs w:val="22"/>
          <w:b w:val="1"/>
          <w:bCs w:val="1"/>
          <w:color w:val="auto"/>
        </w:rPr>
        <w:t>2.2.2.3</w:t>
      </w:r>
      <w:r>
        <w:rPr>
          <w:rFonts w:ascii="Times New Roman" w:cs="Times New Roman" w:eastAsia="Times New Roman" w:hAnsi="Times New Roman"/>
          <w:sz w:val="22"/>
          <w:szCs w:val="22"/>
          <w:color w:val="auto"/>
        </w:rPr>
        <w:t>a provision clarifying that, in the event of termination of the license set forth in Section 2.1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whole or in part), any existing Sublicense agreement shall terminate to the extent of such terminated license;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each Sublicensee, upon termination of the license, if the Sublicensee is not then in breach of the Sublicense agreement such that Licensee would have the right to terminate such Sublicense agreement, such Sublicensee shall have the right to obtain a direct license from Harvard on the same terms and conditions as set forth herein, which direct license shall not impose any representations, warranties, obligations or liabilities on Harvard that are not included in this Agreement;</w:t>
      </w:r>
    </w:p>
    <w:p>
      <w:pPr>
        <w:spacing w:after="0" w:line="175" w:lineRule="exact"/>
        <w:rPr>
          <w:sz w:val="20"/>
          <w:szCs w:val="20"/>
          <w:color w:val="auto"/>
        </w:rPr>
      </w:pPr>
    </w:p>
    <w:p>
      <w:pPr>
        <w:ind w:right="320" w:firstLine="2246"/>
        <w:spacing w:after="0" w:line="262" w:lineRule="auto"/>
        <w:rPr>
          <w:sz w:val="20"/>
          <w:szCs w:val="20"/>
          <w:color w:val="auto"/>
        </w:rPr>
      </w:pPr>
      <w:r>
        <w:rPr>
          <w:rFonts w:ascii="Times New Roman" w:cs="Times New Roman" w:eastAsia="Times New Roman" w:hAnsi="Times New Roman"/>
          <w:sz w:val="22"/>
          <w:szCs w:val="22"/>
          <w:b w:val="1"/>
          <w:bCs w:val="1"/>
          <w:color w:val="auto"/>
        </w:rPr>
        <w:t>2.2.2.4</w:t>
      </w:r>
      <w:r>
        <w:rPr>
          <w:rFonts w:ascii="Times New Roman" w:cs="Times New Roman" w:eastAsia="Times New Roman" w:hAnsi="Times New Roman"/>
          <w:sz w:val="22"/>
          <w:szCs w:val="22"/>
          <w:color w:val="auto"/>
        </w:rPr>
        <w:t>a provision clarifying that the Sublicensee shall only be entitled to sublicense its rights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Sublicense agreement on the terms set forth in this Section 2.2; and</w:t>
      </w:r>
    </w:p>
    <w:p>
      <w:pPr>
        <w:spacing w:after="0" w:line="150" w:lineRule="exact"/>
        <w:rPr>
          <w:sz w:val="20"/>
          <w:szCs w:val="20"/>
          <w:color w:val="auto"/>
        </w:rPr>
      </w:pPr>
    </w:p>
    <w:p>
      <w:pPr>
        <w:ind w:right="60" w:firstLine="2246"/>
        <w:spacing w:after="0" w:line="238" w:lineRule="auto"/>
        <w:rPr>
          <w:sz w:val="20"/>
          <w:szCs w:val="20"/>
          <w:color w:val="auto"/>
        </w:rPr>
      </w:pPr>
      <w:r>
        <w:rPr>
          <w:rFonts w:ascii="Times New Roman" w:cs="Times New Roman" w:eastAsia="Times New Roman" w:hAnsi="Times New Roman"/>
          <w:sz w:val="22"/>
          <w:szCs w:val="22"/>
          <w:b w:val="1"/>
          <w:bCs w:val="1"/>
          <w:color w:val="auto"/>
        </w:rPr>
        <w:t>2.2.2.5</w:t>
      </w:r>
      <w:r>
        <w:rPr>
          <w:rFonts w:ascii="Times New Roman" w:cs="Times New Roman" w:eastAsia="Times New Roman" w:hAnsi="Times New Roman"/>
          <w:sz w:val="22"/>
          <w:szCs w:val="22"/>
          <w:color w:val="auto"/>
        </w:rPr>
        <w:t>a provision prohibiting the Sublicensee from assigning the Sublicense agreement without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written consent of Harvard, except that Sublicensee may assign the Sublicense agreement to a successor in connection with the merger, consolidation or other reorganization of the Sublicensee, or the sale of all or substantially all of its assets or that portion of its business to which the Sublicense agreement relates; provided, however, that any permitted assignee agrees in writing to be bound by the terms of such Sublicense agreement.</w:t>
      </w:r>
    </w:p>
    <w:p>
      <w:pPr>
        <w:spacing w:after="0" w:line="177" w:lineRule="exact"/>
        <w:rPr>
          <w:sz w:val="20"/>
          <w:szCs w:val="20"/>
          <w:color w:val="auto"/>
        </w:rPr>
      </w:pPr>
    </w:p>
    <w:p>
      <w:pPr>
        <w:ind w:right="180" w:firstLine="149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2.2.3 Delivery of Sublicense Agreement. </w:t>
      </w:r>
      <w:r>
        <w:rPr>
          <w:rFonts w:ascii="Times New Roman" w:cs="Times New Roman" w:eastAsia="Times New Roman" w:hAnsi="Times New Roman"/>
          <w:sz w:val="21"/>
          <w:szCs w:val="21"/>
          <w:color w:val="auto"/>
        </w:rPr>
        <w:t>Licensee shall furnish Harvard with a fully executed copy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Sublicense agreement, redacted with respect to matters not relevant to Harvard’s interest, promptly after its execution (or promptly after the Effective Date with respect to Sublicense agreements entered into prior to the Effective Date). Harvard shall keep all such agreements and their terms confidential and shall use them solely for the purpose of monitoring Licensee’s and Sublicensees’ compliance with their obligations hereunder and enforcing Harvard’s rights under this Agreement.</w:t>
      </w:r>
    </w:p>
    <w:p>
      <w:pPr>
        <w:spacing w:after="0" w:line="163"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2.2.4 Breach by Sublicensee. </w:t>
      </w:r>
      <w:r>
        <w:rPr>
          <w:rFonts w:ascii="Times New Roman" w:cs="Times New Roman" w:eastAsia="Times New Roman" w:hAnsi="Times New Roman"/>
          <w:sz w:val="22"/>
          <w:szCs w:val="22"/>
          <w:color w:val="auto"/>
        </w:rPr>
        <w:t>During the term of this Agreement, Licensee shall be responsible for any breach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 Sublicense agreement by a Sublicensee that results in a material breach of this Agreement. Licensee may elect (a) to cure such breach in accordance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50" w:name="page351"/>
    <w:bookmarkEnd w:id="350"/>
    <w:p>
      <w:pPr>
        <w:ind w:right="20"/>
        <w:spacing w:after="0" w:line="258" w:lineRule="auto"/>
        <w:rPr>
          <w:sz w:val="20"/>
          <w:szCs w:val="20"/>
          <w:color w:val="auto"/>
        </w:rPr>
      </w:pPr>
      <w:r>
        <w:rPr>
          <w:rFonts w:ascii="Times New Roman" w:cs="Times New Roman" w:eastAsia="Times New Roman" w:hAnsi="Times New Roman"/>
          <w:sz w:val="22"/>
          <w:szCs w:val="22"/>
          <w:color w:val="auto"/>
        </w:rPr>
        <w:t>with Section 6.2.2 of this Agreement or (b) to enforce its rights by terminating such Sublicense agreement in accordance with the terms thereof.</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2.3.Biological Material.</w:t>
      </w:r>
    </w:p>
    <w:p>
      <w:pPr>
        <w:spacing w:after="0" w:line="206" w:lineRule="exact"/>
        <w:rPr>
          <w:sz w:val="20"/>
          <w:szCs w:val="20"/>
          <w:color w:val="auto"/>
        </w:rPr>
      </w:pPr>
    </w:p>
    <w:p>
      <w:pPr>
        <w:ind w:right="20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color w:val="auto"/>
        </w:rPr>
        <w:t>As between the parties hereto, subject to the the terms herein, including without limitation, the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Licensee pursuant to Section 2.1 and any Sublicenses granted to Sublicensees pursuant to Section 2.2, all rights, title and interest in and to all Biological Material, and any intellectual property applying thereto, shall be owned solely and exclusively by Harvard.</w:t>
      </w:r>
    </w:p>
    <w:p>
      <w:pPr>
        <w:spacing w:after="0" w:line="172" w:lineRule="exact"/>
        <w:rPr>
          <w:sz w:val="20"/>
          <w:szCs w:val="20"/>
          <w:color w:val="auto"/>
        </w:rPr>
      </w:pPr>
    </w:p>
    <w:p>
      <w:pPr>
        <w:ind w:right="8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2.3.2 </w:t>
      </w:r>
      <w:r>
        <w:rPr>
          <w:rFonts w:ascii="Times New Roman" w:cs="Times New Roman" w:eastAsia="Times New Roman" w:hAnsi="Times New Roman"/>
          <w:sz w:val="22"/>
          <w:szCs w:val="22"/>
          <w:color w:val="auto"/>
        </w:rPr>
        <w:t>Licensee shall not use Biological Material other than in accordance with the rights expressly granted to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Except in connection with Sublicenses granted pursuant to Section 2.2, Licensee shall not sell or otherwise transfer any Biological Material to any third party.</w:t>
      </w:r>
    </w:p>
    <w:p>
      <w:pPr>
        <w:spacing w:after="0" w:line="167"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2.3.3 </w:t>
      </w:r>
      <w:r>
        <w:rPr>
          <w:rFonts w:ascii="Times New Roman" w:cs="Times New Roman" w:eastAsia="Times New Roman" w:hAnsi="Times New Roman"/>
          <w:sz w:val="22"/>
          <w:szCs w:val="22"/>
          <w:color w:val="auto"/>
        </w:rPr>
        <w:t>The Biological Material is provided only for use in animals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BIOLOGICAL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USED IN HUMANS.</w:t>
      </w:r>
    </w:p>
    <w:p>
      <w:pPr>
        <w:spacing w:after="0" w:line="150" w:lineRule="exact"/>
        <w:rPr>
          <w:sz w:val="20"/>
          <w:szCs w:val="20"/>
          <w:color w:val="auto"/>
        </w:rPr>
      </w:pPr>
    </w:p>
    <w:p>
      <w:pPr>
        <w:ind w:right="6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2.3.4 </w:t>
      </w:r>
      <w:r>
        <w:rPr>
          <w:rFonts w:ascii="Times New Roman" w:cs="Times New Roman" w:eastAsia="Times New Roman" w:hAnsi="Times New Roman"/>
          <w:sz w:val="22"/>
          <w:szCs w:val="22"/>
          <w:color w:val="auto"/>
        </w:rPr>
        <w:t>Licensee shall inform Harvard’s Office of Technology Development (at 1350 Massachusetts Avenue,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Richard A. and Susan F. Smith Campus Center, Suite 727, Cambridge, MA 02138, (617) 495-3067, Attn: Chief Technology Development Officer) of any Biological Material created by Licensee that is different from, and a modification to, the Biological Material listed in Exhibit 1.3, and upon Harvard’s request, shall provide samples of such material to Harvard.</w:t>
      </w:r>
    </w:p>
    <w:p>
      <w:pPr>
        <w:spacing w:after="0" w:line="172" w:lineRule="exact"/>
        <w:rPr>
          <w:sz w:val="20"/>
          <w:szCs w:val="20"/>
          <w:color w:val="auto"/>
        </w:rPr>
      </w:pPr>
    </w:p>
    <w:p>
      <w:pPr>
        <w:ind w:right="30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2.3.5 </w:t>
      </w:r>
      <w:r>
        <w:rPr>
          <w:rFonts w:ascii="Times New Roman" w:cs="Times New Roman" w:eastAsia="Times New Roman" w:hAnsi="Times New Roman"/>
          <w:sz w:val="22"/>
          <w:szCs w:val="22"/>
          <w:color w:val="auto"/>
        </w:rPr>
        <w:t>As between the parties hereto, all right, title and interest in and to all Viruses, Products,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intellectual property applying thereto or to the production thereof, shall be owned solely and exclusively by Licensee. For the avoidance of doubt, nothing herein prohibits or is intended to prohibit the use of Products in humans.</w:t>
      </w:r>
    </w:p>
    <w:p>
      <w:pPr>
        <w:spacing w:after="0" w:line="167"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2.4.No Other Grant of Rights. </w:t>
      </w:r>
      <w:r>
        <w:rPr>
          <w:rFonts w:ascii="Times New Roman" w:cs="Times New Roman" w:eastAsia="Times New Roman" w:hAnsi="Times New Roman"/>
          <w:sz w:val="22"/>
          <w:szCs w:val="22"/>
          <w:color w:val="auto"/>
        </w:rPr>
        <w:t>Except as expressly provided herein, nothing in this Agreement will be construed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confer any ownership interest, license or other rights upon Licensee by implication, estoppel or otherwise as to any technology, intellectual property rights, products or biological materials of Harvard, or any other entity, regardless of whether such technology, intellectual property rights, products or biological materials are dominant, subordinate or otherwise related to any Biological Material or Technology Transfer Material.</w:t>
      </w:r>
    </w:p>
    <w:p>
      <w:pPr>
        <w:spacing w:after="0" w:line="177" w:lineRule="exact"/>
        <w:rPr>
          <w:sz w:val="20"/>
          <w:szCs w:val="20"/>
          <w:color w:val="auto"/>
        </w:rPr>
      </w:pPr>
    </w:p>
    <w:p>
      <w:pPr>
        <w:ind w:left="520" w:hanging="512"/>
        <w:spacing w:after="0"/>
        <w:tabs>
          <w:tab w:leader="none" w:pos="520" w:val="left"/>
        </w:tabs>
        <w:numPr>
          <w:ilvl w:val="0"/>
          <w:numId w:val="2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 for Grant of License.</w:t>
      </w:r>
    </w:p>
    <w:p>
      <w:pPr>
        <w:spacing w:after="0" w:line="20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3.1.License Issuance Fee. </w:t>
      </w:r>
      <w:r>
        <w:rPr>
          <w:rFonts w:ascii="Times New Roman" w:cs="Times New Roman" w:eastAsia="Times New Roman" w:hAnsi="Times New Roman"/>
          <w:sz w:val="22"/>
          <w:szCs w:val="22"/>
          <w:color w:val="auto"/>
        </w:rPr>
        <w:t>Within thirty (30) days after the Effective Date, Licensee shall pay Harvard a non-refundable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 issuance fee in the amount of [**]. Such license issuance fee shall be creditable against any royalty amounts payable under Section 3.3 below with respect to Products sold in calendar year 2017.</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3.2.License Maintenance Fee</w:t>
      </w:r>
      <w:r>
        <w:rPr>
          <w:rFonts w:ascii="Times New Roman" w:cs="Times New Roman" w:eastAsia="Times New Roman" w:hAnsi="Times New Roman"/>
          <w:sz w:val="21"/>
          <w:szCs w:val="21"/>
          <w:color w:val="auto"/>
        </w:rPr>
        <w:t>. Licensee shall pay Harvard a non-refundable annual license maintenance fee as follows:</w:t>
      </w:r>
    </w:p>
    <w:p>
      <w:pPr>
        <w:spacing w:after="0" w:line="30" w:lineRule="exact"/>
        <w:rPr>
          <w:sz w:val="20"/>
          <w:szCs w:val="20"/>
          <w:color w:val="auto"/>
        </w:rPr>
      </w:pPr>
    </w:p>
    <w:p>
      <w:pPr>
        <w:ind w:right="540" w:firstLine="8"/>
        <w:spacing w:after="0" w:line="237" w:lineRule="auto"/>
        <w:tabs>
          <w:tab w:leader="none" w:pos="414"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(full or partial) calendar year prior to Marketing Approval; [**] for the first full calendar year after Marketing Approval; [**] for the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51" w:name="page352"/>
    <w:bookmarkEnd w:id="351"/>
    <w:p>
      <w:pPr>
        <w:ind w:right="80"/>
        <w:spacing w:after="0" w:line="236" w:lineRule="auto"/>
        <w:rPr>
          <w:sz w:val="20"/>
          <w:szCs w:val="20"/>
          <w:color w:val="auto"/>
        </w:rPr>
      </w:pPr>
      <w:r>
        <w:rPr>
          <w:rFonts w:ascii="Times New Roman" w:cs="Times New Roman" w:eastAsia="Times New Roman" w:hAnsi="Times New Roman"/>
          <w:sz w:val="22"/>
          <w:szCs w:val="22"/>
          <w:color w:val="auto"/>
        </w:rPr>
        <w:t xml:space="preserve">second full calendar year after Marketing Approval; and [**] for the third full calendar year after Marketing Approval and each calendar year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Licensee grants rights to the Biological Material and/or the Technology Transfer Material to a Sublicensee or a Strategic Partner, the annual maintenance fee payable to Harvard as set forth above shall thereafter be [**]. Each such annual maintenance fee shall be due and payable on January 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of the calendar year to which such fee applies. Each annual license maintenance fee shall be creditable against any royalty amounts payable under Section 3.3 below with respect to Products sold in the same calendar year that such annual license maintenance fee applies.</w:t>
      </w:r>
    </w:p>
    <w:p>
      <w:pPr>
        <w:spacing w:after="0" w:line="177"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3.3.Royalty on Net Sales. </w:t>
      </w:r>
      <w:r>
        <w:rPr>
          <w:rFonts w:ascii="Times New Roman" w:cs="Times New Roman" w:eastAsia="Times New Roman" w:hAnsi="Times New Roman"/>
          <w:sz w:val="22"/>
          <w:szCs w:val="22"/>
          <w:color w:val="auto"/>
        </w:rPr>
        <w:t>Licensee shall pay Harvard an amount equal to (i) [**] of Net Sales with respect to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of cumulative Net Sales, and (ii) [**] of Net Sales with respect to cumulative Net Sales in excess of [**].</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3.4.Non-Royalty Income Fee. </w:t>
      </w:r>
      <w:r>
        <w:rPr>
          <w:rFonts w:ascii="Times New Roman" w:cs="Times New Roman" w:eastAsia="Times New Roman" w:hAnsi="Times New Roman"/>
          <w:sz w:val="22"/>
          <w:szCs w:val="22"/>
          <w:color w:val="auto"/>
        </w:rPr>
        <w:t>Licensee will pay Harvard an amount equal to [**] of all Non-Royalty Income.</w:t>
      </w:r>
    </w:p>
    <w:p>
      <w:pPr>
        <w:spacing w:after="0" w:line="206" w:lineRule="exact"/>
        <w:rPr>
          <w:sz w:val="20"/>
          <w:szCs w:val="20"/>
          <w:color w:val="auto"/>
        </w:rPr>
      </w:pPr>
    </w:p>
    <w:p>
      <w:pPr>
        <w:ind w:right="3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3.5.Milestone Payments. </w:t>
      </w:r>
      <w:r>
        <w:rPr>
          <w:rFonts w:ascii="Times New Roman" w:cs="Times New Roman" w:eastAsia="Times New Roman" w:hAnsi="Times New Roman"/>
          <w:sz w:val="22"/>
          <w:szCs w:val="22"/>
          <w:color w:val="auto"/>
        </w:rPr>
        <w:t>With respect to each Product, Licensee will pay Harvard [**] within [**] after first [**]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Product.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3.6.Change of Control Payment. </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32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3.7.Late Payment. </w:t>
      </w:r>
      <w:r>
        <w:rPr>
          <w:rFonts w:ascii="Times New Roman" w:cs="Times New Roman" w:eastAsia="Times New Roman" w:hAnsi="Times New Roman"/>
          <w:sz w:val="22"/>
          <w:szCs w:val="22"/>
          <w:color w:val="auto"/>
        </w:rPr>
        <w:t>Any payment by Licensee that is not paid on or before the date such payment is due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bear interest at the lower of (a) [**] per month and (b) the maximum rate allowed by law. Interest will accrue beginning on the first day following the due date for payment and will be compounded quarterly. Payment of such interest by Licensee shall not limit, in any way, Harvard’s right to exercise any other remedies Harvard may have as a consequence of the lateness of any payment.</w:t>
      </w:r>
    </w:p>
    <w:p>
      <w:pPr>
        <w:spacing w:after="0" w:line="177"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3.8.Payment Method. </w:t>
      </w:r>
      <w:r>
        <w:rPr>
          <w:rFonts w:ascii="Times New Roman" w:cs="Times New Roman" w:eastAsia="Times New Roman" w:hAnsi="Times New Roman"/>
          <w:sz w:val="22"/>
          <w:szCs w:val="22"/>
          <w:color w:val="auto"/>
        </w:rPr>
        <w:t>Each payment due to Harvard under this Agreement shall be paid by check or wire transfer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funds to Harvard’s account in accordance with written instructions provided by Harvard. If made by wire transfer, such payments shall be marked so as to refer to this Agreement. All payments due under this Agreement will be paid in U.S. Dollars. Conversion of foreign currency to U.S. Dollars will be made at the conversion rate existing in the United States (as reported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on the last working day of the applicable Calendar Quarter. Such payments will be without deduction of exchange, collection or other charges.</w:t>
      </w:r>
    </w:p>
    <w:p>
      <w:pPr>
        <w:spacing w:after="0" w:line="175"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3.9.Reporting. </w:t>
      </w:r>
      <w:r>
        <w:rPr>
          <w:rFonts w:ascii="Times New Roman" w:cs="Times New Roman" w:eastAsia="Times New Roman" w:hAnsi="Times New Roman"/>
          <w:sz w:val="22"/>
          <w:szCs w:val="22"/>
          <w:color w:val="auto"/>
        </w:rPr>
        <w:t>Within thirty (30) days after the conclusion of each Calendar Quarter commencing with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Quarter in which Net Sales are generated or Non-Royalty Income is received, Licensee shall deliver to Harvard a report containing the following information (in each instance, with a Product-by-Product breakdown):</w:t>
      </w:r>
    </w:p>
    <w:p>
      <w:pPr>
        <w:spacing w:after="0" w:line="167" w:lineRule="exact"/>
        <w:rPr>
          <w:sz w:val="20"/>
          <w:szCs w:val="20"/>
          <w:color w:val="auto"/>
        </w:rPr>
      </w:pPr>
    </w:p>
    <w:p>
      <w:pPr>
        <w:ind w:right="8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3.9.1 </w:t>
      </w:r>
      <w:r>
        <w:rPr>
          <w:rFonts w:ascii="Times New Roman" w:cs="Times New Roman" w:eastAsia="Times New Roman" w:hAnsi="Times New Roman"/>
          <w:sz w:val="22"/>
          <w:szCs w:val="22"/>
          <w:color w:val="auto"/>
        </w:rPr>
        <w:t>the number of units of Products sold, leased or otherwise transferred by Invoicing Entities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Calendar Quarter (with a Product-by-Product breakdown);</w:t>
      </w:r>
    </w:p>
    <w:p>
      <w:pPr>
        <w:spacing w:after="0" w:line="150" w:lineRule="exact"/>
        <w:rPr>
          <w:sz w:val="20"/>
          <w:szCs w:val="20"/>
          <w:color w:val="auto"/>
        </w:rPr>
      </w:pPr>
    </w:p>
    <w:p>
      <w:pPr>
        <w:ind w:right="70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3.9.2 </w:t>
      </w:r>
      <w:r>
        <w:rPr>
          <w:rFonts w:ascii="Times New Roman" w:cs="Times New Roman" w:eastAsia="Times New Roman" w:hAnsi="Times New Roman"/>
          <w:sz w:val="22"/>
          <w:szCs w:val="22"/>
          <w:color w:val="auto"/>
        </w:rPr>
        <w:t>the gross amount billed or invoiced for Products sold, leased or otherwise transferred by Invoicing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Entities during the applicable Calendar Quarter;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2" w:name="page353"/>
    <w:bookmarkEnd w:id="352"/>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3.9.3 </w:t>
      </w:r>
      <w:r>
        <w:rPr>
          <w:rFonts w:ascii="Times New Roman" w:cs="Times New Roman" w:eastAsia="Times New Roman" w:hAnsi="Times New Roman"/>
          <w:sz w:val="22"/>
          <w:szCs w:val="22"/>
          <w:color w:val="auto"/>
        </w:rPr>
        <w:t>a calculation of Net Sales for the applicable Calendar Quarter, including an itemized listing of allowable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deductions;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 xml:space="preserve">3.9.4 </w:t>
      </w:r>
      <w:r>
        <w:rPr>
          <w:rFonts w:ascii="Times New Roman" w:cs="Times New Roman" w:eastAsia="Times New Roman" w:hAnsi="Times New Roman"/>
          <w:sz w:val="22"/>
          <w:szCs w:val="22"/>
          <w:color w:val="auto"/>
        </w:rPr>
        <w:t>a detailed accounting of all Non-Royalty Income received during the applicable Calendar Quarter; and</w:t>
      </w:r>
    </w:p>
    <w:p>
      <w:pPr>
        <w:spacing w:after="0" w:line="206" w:lineRule="exact"/>
        <w:rPr>
          <w:sz w:val="20"/>
          <w:szCs w:val="20"/>
          <w:color w:val="auto"/>
        </w:rPr>
      </w:pPr>
    </w:p>
    <w:p>
      <w:pPr>
        <w:ind w:right="7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3.9.5 </w:t>
      </w:r>
      <w:r>
        <w:rPr>
          <w:rFonts w:ascii="Times New Roman" w:cs="Times New Roman" w:eastAsia="Times New Roman" w:hAnsi="Times New Roman"/>
          <w:sz w:val="22"/>
          <w:szCs w:val="22"/>
          <w:color w:val="auto"/>
        </w:rPr>
        <w:t>the total amount payable to Harvard in U.S. Dollars on Net Sales and Non-Royalty Income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Calendar Quarter, together with the exchange rates used for conversion.</w:t>
      </w:r>
    </w:p>
    <w:p>
      <w:pPr>
        <w:spacing w:after="0" w:line="154" w:lineRule="exact"/>
        <w:rPr>
          <w:sz w:val="20"/>
          <w:szCs w:val="20"/>
          <w:color w:val="auto"/>
        </w:rPr>
      </w:pPr>
    </w:p>
    <w:p>
      <w:pPr>
        <w:ind w:right="500" w:firstLine="749"/>
        <w:spacing w:after="0" w:line="258" w:lineRule="auto"/>
        <w:rPr>
          <w:sz w:val="20"/>
          <w:szCs w:val="20"/>
          <w:color w:val="auto"/>
        </w:rPr>
      </w:pPr>
      <w:r>
        <w:rPr>
          <w:rFonts w:ascii="Times New Roman" w:cs="Times New Roman" w:eastAsia="Times New Roman" w:hAnsi="Times New Roman"/>
          <w:sz w:val="22"/>
          <w:szCs w:val="22"/>
          <w:color w:val="auto"/>
        </w:rPr>
        <w:t>Each such report shall be certified on behalf of Licensee as true, correct and complete in all material respects. If no amounts are due to Harvard for a particular Calendar Quarter, the report shall so state.</w:t>
      </w:r>
    </w:p>
    <w:p>
      <w:pPr>
        <w:spacing w:after="0" w:line="154"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3.10.Records. </w:t>
      </w:r>
      <w:r>
        <w:rPr>
          <w:rFonts w:ascii="Times New Roman" w:cs="Times New Roman" w:eastAsia="Times New Roman" w:hAnsi="Times New Roman"/>
          <w:sz w:val="22"/>
          <w:szCs w:val="22"/>
          <w:color w:val="auto"/>
        </w:rPr>
        <w:t>Licensee shall maintain, and shall cause its Affiliates and Sublicensees to maintain, complete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accurate records of Products that are made, used, sold, leased or transferred under this Agreement, any amounts payable to Harvard in relation to such Products, and all Non-Royalty Income received by Licensee and its Affiliates, which records shall contain sufficient information to permit Harvard to confirm the accuracy of any reports or notifications delivered to Harvard under Section 3.9. Licensee, its Affiliates and/or its Sublicensees, as applicable, shall retain such records relating to a given Calendar Quarter for at least five (5) years after the conclusion of that Calendar Quarter, during which time Harvard will have the right, at its expense, to cause an independent, certified public accountant (or, in the event of a non-financial audit, other appropriate auditor) to inspect such records during normal business hours for the purposes of verifying the accuracy of any reports and payments delivered under this Agreement and Licensee’s compliance with the terms hereof. Such accountant or other auditor, as applicable, shall not disclose to Harvard any information other than information relating to the accuracy of reports and payments delivered under this Agreement. The parties shall reconcile any underpayment or overpayment within thirty (30) days after the accountant delivers the results of the audit. If any audit performed under this Section 3.10 reveals an underpayment in excess of [**] in any calendar year, Licensee shall reimburse Harvard for all amounts incurred in connection with such audit. Harvard may exercise its rights under this Section 3.10 only once every year per audited entity and only with reasonable prior notice to the audited entity.</w:t>
      </w:r>
    </w:p>
    <w:p>
      <w:pPr>
        <w:spacing w:after="0" w:line="177" w:lineRule="exact"/>
        <w:rPr>
          <w:sz w:val="20"/>
          <w:szCs w:val="20"/>
          <w:color w:val="auto"/>
        </w:rPr>
      </w:pPr>
    </w:p>
    <w:p>
      <w:pPr>
        <w:ind w:left="520" w:hanging="512"/>
        <w:spacing w:after="0"/>
        <w:tabs>
          <w:tab w:leader="none" w:pos="520" w:val="left"/>
        </w:tabs>
        <w:numPr>
          <w:ilvl w:val="0"/>
          <w:numId w:val="29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 Limitation of Liability.</w:t>
      </w:r>
    </w:p>
    <w:p>
      <w:pPr>
        <w:spacing w:after="0" w:line="20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4.1.Compliance with Law. </w:t>
      </w:r>
      <w:r>
        <w:rPr>
          <w:rFonts w:ascii="Times New Roman" w:cs="Times New Roman" w:eastAsia="Times New Roman" w:hAnsi="Times New Roman"/>
          <w:sz w:val="22"/>
          <w:szCs w:val="22"/>
          <w:color w:val="auto"/>
        </w:rPr>
        <w:t>Licensee represents and warrants that it will comply, and that it will ensure that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all local, state and international laws and regulations relating to the Biological Material and to the development, manufacture, use, sale and importation of Viruses and Products. Without limiting the foregoing, Licensee represents and warrants that it will comply with all United States export control laws and regulations with respect to Biological Material and any Viruses and Products developed or made through the use thereof.</w:t>
      </w:r>
    </w:p>
    <w:p>
      <w:pPr>
        <w:spacing w:after="0" w:line="177" w:lineRule="exact"/>
        <w:rPr>
          <w:sz w:val="20"/>
          <w:szCs w:val="20"/>
          <w:color w:val="auto"/>
        </w:rPr>
      </w:pPr>
    </w:p>
    <w:p>
      <w:pPr>
        <w:ind w:right="1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4.2.Harvard Representations and Warranties. </w:t>
      </w:r>
      <w:r>
        <w:rPr>
          <w:rFonts w:ascii="Times New Roman" w:cs="Times New Roman" w:eastAsia="Times New Roman" w:hAnsi="Times New Roman"/>
          <w:sz w:val="22"/>
          <w:szCs w:val="22"/>
          <w:color w:val="auto"/>
        </w:rPr>
        <w:t>Harvard hereby represents and warrants to Licensee that Harvard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authority to grant the license herein to the Biological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53" w:name="page354"/>
    <w:bookmarkEnd w:id="353"/>
    <w:p>
      <w:pPr>
        <w:spacing w:after="0" w:line="258" w:lineRule="auto"/>
        <w:rPr>
          <w:sz w:val="20"/>
          <w:szCs w:val="20"/>
          <w:color w:val="auto"/>
        </w:rPr>
      </w:pPr>
      <w:r>
        <w:rPr>
          <w:rFonts w:ascii="Times New Roman" w:cs="Times New Roman" w:eastAsia="Times New Roman" w:hAnsi="Times New Roman"/>
          <w:sz w:val="22"/>
          <w:szCs w:val="22"/>
          <w:color w:val="auto"/>
        </w:rPr>
        <w:t>Material and the Technology Transfer Material and Harvard has not granted to any Third Party any rights that would conflict with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4.3.No Warranty.</w:t>
      </w:r>
    </w:p>
    <w:p>
      <w:pPr>
        <w:spacing w:after="0" w:line="206" w:lineRule="exact"/>
        <w:rPr>
          <w:sz w:val="20"/>
          <w:szCs w:val="20"/>
          <w:color w:val="auto"/>
        </w:rPr>
      </w:pPr>
    </w:p>
    <w:p>
      <w:pPr>
        <w:ind w:right="12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4.3.1 </w:t>
      </w:r>
      <w:r>
        <w:rPr>
          <w:rFonts w:ascii="Times New Roman" w:cs="Times New Roman" w:eastAsia="Times New Roman" w:hAnsi="Times New Roman"/>
          <w:sz w:val="22"/>
          <w:szCs w:val="22"/>
          <w:color w:val="auto"/>
        </w:rPr>
        <w:t>HARVARD MAKES NO REPRESENTATIONS OR WARRANTIES WHATSOEVER AS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 OR SCIENTIFIC VALUE OF THE BIOLOGICAL MATERIAL. HARVARD MAKES NO REPRESENTATION OR WARRANTY THAT THE USE OF THE BIOLOGICAL MATERIAL, TECHNOLOGY TRANSFER MATERIAL, OR THE DEVELOPMENT, MANUFACTURE, USE, SALE OR IMPORTATION OF ANY VIRUS OR PRODUCT, OR ANY ELEMENT THEREOF, WILL NOT INFRINGE THE PATENT OR PROPRIETARY RIGHTS OF ANY THIRD PARTY.</w:t>
      </w:r>
    </w:p>
    <w:p>
      <w:pPr>
        <w:spacing w:after="0" w:line="175" w:lineRule="exact"/>
        <w:rPr>
          <w:sz w:val="20"/>
          <w:szCs w:val="20"/>
          <w:color w:val="auto"/>
        </w:rPr>
      </w:pPr>
    </w:p>
    <w:p>
      <w:pPr>
        <w:ind w:right="4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4.3.2 </w:t>
      </w:r>
      <w:r>
        <w:rPr>
          <w:rFonts w:ascii="Times New Roman" w:cs="Times New Roman" w:eastAsia="Times New Roman" w:hAnsi="Times New Roman"/>
          <w:sz w:val="22"/>
          <w:szCs w:val="22"/>
          <w:color w:val="auto"/>
        </w:rPr>
        <w:t>EXCEPT AS OTHERWISE EXPRESSLY PROVIDED IN THIS AGREEMENT, NEITHER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MAKES ANY WARRANTY WITH RESPECT TO ANY TECHNOLOGY, PATENTS, MATERIALS (INCLUDING BIOLOGICAL MATERIAL), GOODS, SERVICES, RIGHTS, TECHNOLOGY TRANSFER MATERIAL OR OTHER SUBJECT MATTER OF THIS AGREEMENT AND EACH PARTY HEREBY DISCLAIMS WARRANTIES OF MERCHANTABILITY, FITNESS FOR A PARTICULAR PURPOSE AND NONINFRINGEMENT WITH RESPECT TO ANY AND ALL OF THE FOREGOING.</w:t>
      </w:r>
    </w:p>
    <w:p>
      <w:pPr>
        <w:spacing w:after="0" w:line="175" w:lineRule="exact"/>
        <w:rPr>
          <w:sz w:val="20"/>
          <w:szCs w:val="20"/>
          <w:color w:val="auto"/>
        </w:rPr>
      </w:pPr>
    </w:p>
    <w:p>
      <w:pPr>
        <w:ind w:right="280" w:firstLine="1497"/>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4.3.3 </w:t>
      </w:r>
      <w:r>
        <w:rPr>
          <w:rFonts w:ascii="Times New Roman" w:cs="Times New Roman" w:eastAsia="Times New Roman" w:hAnsi="Times New Roman"/>
          <w:sz w:val="21"/>
          <w:szCs w:val="21"/>
          <w:color w:val="auto"/>
        </w:rPr>
        <w:t>ALL BIOLOGICAL MATERIAL IS EXPERIMENTAL IN NATURE AND SHALL BE USED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PRUDENCE AND APPROPRIATE CAUTION SINCE NOT ALL OF THEIR CHARACTERISTICS ARE KNOWN.</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4.4.Limitation of Liability.</w:t>
      </w:r>
    </w:p>
    <w:p>
      <w:pPr>
        <w:spacing w:after="0" w:line="206" w:lineRule="exact"/>
        <w:rPr>
          <w:sz w:val="20"/>
          <w:szCs w:val="20"/>
          <w:color w:val="auto"/>
        </w:rPr>
      </w:pPr>
    </w:p>
    <w:p>
      <w:pPr>
        <w:ind w:right="80" w:firstLine="149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4.4.1 </w:t>
      </w:r>
      <w:r>
        <w:rPr>
          <w:rFonts w:ascii="Times New Roman" w:cs="Times New Roman" w:eastAsia="Times New Roman" w:hAnsi="Times New Roman"/>
          <w:sz w:val="22"/>
          <w:szCs w:val="22"/>
          <w:color w:val="auto"/>
        </w:rPr>
        <w:t>Except with respect to matters for which Licensee is obligated to indemnify Harvard under Article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neither party will be liable to the other with respect to any subject matter of this Agreement under any contract, negligence, strict liability or other legal or equitable theory for (a) any indirect, incidental, consequential or punitive damages or lost profits or (b) cost of procurement of substitute goods, technology or services.</w:t>
      </w:r>
    </w:p>
    <w:p>
      <w:pPr>
        <w:spacing w:after="0" w:line="172" w:lineRule="exact"/>
        <w:rPr>
          <w:sz w:val="20"/>
          <w:szCs w:val="20"/>
          <w:color w:val="auto"/>
        </w:rPr>
      </w:pPr>
    </w:p>
    <w:p>
      <w:pPr>
        <w:ind w:right="4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4.4.2 </w:t>
      </w:r>
      <w:r>
        <w:rPr>
          <w:rFonts w:ascii="Times New Roman" w:cs="Times New Roman" w:eastAsia="Times New Roman" w:hAnsi="Times New Roman"/>
          <w:sz w:val="22"/>
          <w:szCs w:val="22"/>
          <w:color w:val="auto"/>
        </w:rPr>
        <w:t>Harvard’s aggregate liability for all damages of any kind arising out of or relating to this Agreement or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under any contract, negligence, strict liability or other legal or equitable theory shall not exceed the amounts paid to Harvard under this Agreement.</w:t>
      </w:r>
    </w:p>
    <w:p>
      <w:pPr>
        <w:spacing w:after="0" w:line="167" w:lineRule="exact"/>
        <w:rPr>
          <w:sz w:val="20"/>
          <w:szCs w:val="20"/>
          <w:color w:val="auto"/>
        </w:rPr>
      </w:pPr>
    </w:p>
    <w:p>
      <w:pPr>
        <w:ind w:left="520" w:hanging="512"/>
        <w:spacing w:after="0"/>
        <w:tabs>
          <w:tab w:leader="none" w:pos="520" w:val="left"/>
        </w:tabs>
        <w:numPr>
          <w:ilvl w:val="0"/>
          <w:numId w:val="2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and Insurance.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5.1.Indemnity.</w:t>
      </w:r>
    </w:p>
    <w:p>
      <w:pPr>
        <w:spacing w:after="0" w:line="206"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22"/>
          <w:szCs w:val="22"/>
          <w:color w:val="auto"/>
        </w:rPr>
        <w:t>Licensee shall indemnify, defend and hold harmless Harvard and its current and former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governing board members, trustees, officers, faculty, medical and professional staff, employees, students, and agents and their respective successors, heirs and assigns (collectively, the “Indemnitees”) from and against any claim, liability, cost, expense, damage, deficiency, loss or obligation of any kind or nature (including reasonable attorneys’ fees and other costs and expenses of litigation) by or owed to a third party, based upon, arising out of,</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4" w:name="page355"/>
    <w:bookmarkEnd w:id="354"/>
    <w:p>
      <w:pPr>
        <w:ind w:right="200"/>
        <w:spacing w:after="0" w:line="238" w:lineRule="auto"/>
        <w:rPr>
          <w:sz w:val="20"/>
          <w:szCs w:val="20"/>
          <w:color w:val="auto"/>
        </w:rPr>
      </w:pPr>
      <w:r>
        <w:rPr>
          <w:rFonts w:ascii="Times New Roman" w:cs="Times New Roman" w:eastAsia="Times New Roman" w:hAnsi="Times New Roman"/>
          <w:sz w:val="22"/>
          <w:szCs w:val="22"/>
          <w:color w:val="auto"/>
        </w:rPr>
        <w:t xml:space="preserve">or otherwise relating to the activities of Licensee and Sublicensees under this Agreement, including any cause of action relating to product liability concerning any product, process, or service made, used, sold or performed pursuant to any right or license granted under this Agreement (collectively, the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Licensee’s indemnification obligations hereunder shall not apply to any Claim to the extent that it is attributable to the gross negligence or willful misconduct of any Indemnitee.</w:t>
      </w:r>
    </w:p>
    <w:p>
      <w:pPr>
        <w:spacing w:after="0" w:line="173" w:lineRule="exact"/>
        <w:rPr>
          <w:sz w:val="20"/>
          <w:szCs w:val="20"/>
          <w:color w:val="auto"/>
        </w:rPr>
      </w:pPr>
    </w:p>
    <w:p>
      <w:pPr>
        <w:ind w:firstLine="149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22"/>
          <w:szCs w:val="22"/>
          <w:color w:val="auto"/>
        </w:rPr>
        <w:t>Licensee shall, at its own expense, provide attorneys reasonably acceptable to Harvard to defend against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actions brought or filed against any Indemnitee hereunder with respect to the subject of indemnity contained herein, whether or not such actions are rightfully brought. Any Indemnitee seeking indemnification hereunder shall promptly notify Licensee of such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any failure of or delay in such notification shall not affect Licensee’s indemnification obligation unless and to the extent such failure or delay is materially prejudicial to Licensee. The Indemnitees shall provide Licensee, at Licensee’s expense, with reasonable assistance and full information with respect to such Claim and give Licensee sole control of the defense of any Claim. Neither Licensee nor Harvard shall settle any Claim without the prior written consent of the other, which consent shall not be unreasonably withheld.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5.2.Insurance.</w:t>
      </w:r>
    </w:p>
    <w:p>
      <w:pPr>
        <w:spacing w:after="0" w:line="206" w:lineRule="exact"/>
        <w:rPr>
          <w:sz w:val="20"/>
          <w:szCs w:val="20"/>
          <w:color w:val="auto"/>
        </w:rPr>
      </w:pPr>
    </w:p>
    <w:p>
      <w:pPr>
        <w:ind w:right="4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22"/>
          <w:szCs w:val="22"/>
          <w:color w:val="auto"/>
        </w:rPr>
        <w:t>Beginning at the time any Product is being commercially distributed or sold by Licensee, or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or agent of Licensee, Licensee shall, at its sole cost and expense, procure and maintain commercial general liability insurance in amounts not less than [**] per incident and [**] annual aggregate and naming the Indemnitees as additional insureds. Such commercial general liability insurance shall provide: (a) product liability coverage and (b) broad form contractual liability coverage for Licensee’s indemnification obligations under this Agreement.</w:t>
      </w:r>
    </w:p>
    <w:p>
      <w:pPr>
        <w:spacing w:after="0" w:line="177" w:lineRule="exact"/>
        <w:rPr>
          <w:sz w:val="20"/>
          <w:szCs w:val="20"/>
          <w:color w:val="auto"/>
        </w:rPr>
      </w:pPr>
    </w:p>
    <w:p>
      <w:pPr>
        <w:ind w:right="60" w:firstLine="1497"/>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5.2.2 </w:t>
      </w:r>
      <w:r>
        <w:rPr>
          <w:rFonts w:ascii="Times New Roman" w:cs="Times New Roman" w:eastAsia="Times New Roman" w:hAnsi="Times New Roman"/>
          <w:sz w:val="21"/>
          <w:szCs w:val="21"/>
          <w:color w:val="auto"/>
        </w:rPr>
        <w:t>If Licensee elects to self-insure all or part of the limits described above in Section 5.2.1 (including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deductibles or retentions that are in excess of [**] annual aggregate) such self-insurance program must be acceptable to Harvard and CRICO/RMF (Harvard’s insurer) in their sole discretion. The minimum amounts of insurance coverage required shall not be construed to create a limit of Licensee’s liability with respect to its indemnification obligations under this Agreement.</w:t>
      </w:r>
    </w:p>
    <w:p>
      <w:pPr>
        <w:spacing w:after="0" w:line="158" w:lineRule="exact"/>
        <w:rPr>
          <w:sz w:val="20"/>
          <w:szCs w:val="20"/>
          <w:color w:val="auto"/>
        </w:rPr>
      </w:pPr>
    </w:p>
    <w:p>
      <w:pPr>
        <w:ind w:right="80" w:firstLine="149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5.2.3 </w:t>
      </w:r>
      <w:r>
        <w:rPr>
          <w:rFonts w:ascii="Times New Roman" w:cs="Times New Roman" w:eastAsia="Times New Roman" w:hAnsi="Times New Roman"/>
          <w:sz w:val="22"/>
          <w:szCs w:val="22"/>
          <w:color w:val="auto"/>
        </w:rPr>
        <w:t>Licensee shall provide Harvard with written evidence of such insurance upon request of Harvard.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 shall provide Harvard with written notice at least fifteen (15) days prior to the cancellation, non-renewal or material change in such insurance. If Licensee does not obtain replacement insurance providing comparable coverage within thirty (30) days after such notice, Harvard shall have the right to terminate this Agreement effective at the end of such thirty (30) day period without notice or any additional waiting periods.</w:t>
      </w:r>
    </w:p>
    <w:p>
      <w:pPr>
        <w:spacing w:after="0" w:line="177" w:lineRule="exact"/>
        <w:rPr>
          <w:sz w:val="20"/>
          <w:szCs w:val="20"/>
          <w:color w:val="auto"/>
        </w:rPr>
      </w:pPr>
    </w:p>
    <w:p>
      <w:pPr>
        <w:jc w:val="both"/>
        <w:ind w:right="60" w:firstLine="149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5.2.4 </w:t>
      </w:r>
      <w:r>
        <w:rPr>
          <w:rFonts w:ascii="Times New Roman" w:cs="Times New Roman" w:eastAsia="Times New Roman" w:hAnsi="Times New Roman"/>
          <w:sz w:val="22"/>
          <w:szCs w:val="22"/>
          <w:color w:val="auto"/>
        </w:rPr>
        <w:t>Licensee shall maintain such commercial general liability insurance beyond the expiration or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during: (a) the period that any Product is being commercially distributed or sold by Licensee, or an Affiliate or agent of Licensee; and (b)</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22"/>
          <w:szCs w:val="22"/>
          <w:color w:val="auto"/>
        </w:rPr>
        <w:t>a reasonable period after the period referred to in (a) above which in no event shall be less than [**].</w:t>
      </w:r>
    </w:p>
    <w:p>
      <w:pPr>
        <w:spacing w:after="0" w:line="202" w:lineRule="exact"/>
        <w:rPr>
          <w:sz w:val="20"/>
          <w:szCs w:val="20"/>
          <w:color w:val="auto"/>
        </w:rPr>
      </w:pPr>
    </w:p>
    <w:p>
      <w:pPr>
        <w:ind w:left="520" w:hanging="512"/>
        <w:spacing w:after="0"/>
        <w:tabs>
          <w:tab w:leader="none" w:pos="520"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and Termination.</w:t>
      </w:r>
    </w:p>
    <w:p>
      <w:pPr>
        <w:spacing w:after="0" w:line="20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6.1.Term. </w:t>
      </w:r>
      <w:r>
        <w:rPr>
          <w:rFonts w:ascii="Times New Roman" w:cs="Times New Roman" w:eastAsia="Times New Roman" w:hAnsi="Times New Roman"/>
          <w:sz w:val="22"/>
          <w:szCs w:val="22"/>
          <w:color w:val="auto"/>
        </w:rPr>
        <w:t>The term of this Agreement shall commence on the Effective Date and, unless earlier terminated as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Article 6, shall continue in full force and effect for fifteen (15) years thereafter (the “Initial Term”). After the Initial Term, this Agreement shall renew for successive three-year periods (the Initial Term and such period, the “Term”) unless either Party gives the other Party written notice of its desire to terminate the Agreement no less than sixty (60) days prior to the expiration of the Initial Term or any applicable successive period during the Term.</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6.2.Termination.</w:t>
      </w:r>
    </w:p>
    <w:p>
      <w:pPr>
        <w:spacing w:after="0" w:line="206"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6.2.1 Termination Without Cause. </w:t>
      </w:r>
      <w:r>
        <w:rPr>
          <w:rFonts w:ascii="Times New Roman" w:cs="Times New Roman" w:eastAsia="Times New Roman" w:hAnsi="Times New Roman"/>
          <w:sz w:val="22"/>
          <w:szCs w:val="22"/>
          <w:color w:val="auto"/>
        </w:rPr>
        <w:t>Licensee may terminate this Agreement upon sixty (60) days prior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 to Harvard.</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6.2.2 Termination for Default.</w:t>
      </w:r>
    </w:p>
    <w:p>
      <w:pPr>
        <w:spacing w:after="0" w:line="206" w:lineRule="exact"/>
        <w:rPr>
          <w:sz w:val="20"/>
          <w:szCs w:val="20"/>
          <w:color w:val="auto"/>
        </w:rPr>
      </w:pPr>
    </w:p>
    <w:p>
      <w:pPr>
        <w:ind w:right="160" w:firstLine="2246"/>
        <w:spacing w:after="0" w:line="246" w:lineRule="auto"/>
        <w:rPr>
          <w:sz w:val="20"/>
          <w:szCs w:val="20"/>
          <w:color w:val="auto"/>
        </w:rPr>
      </w:pPr>
      <w:r>
        <w:rPr>
          <w:rFonts w:ascii="Times New Roman" w:cs="Times New Roman" w:eastAsia="Times New Roman" w:hAnsi="Times New Roman"/>
          <w:sz w:val="22"/>
          <w:szCs w:val="22"/>
          <w:b w:val="1"/>
          <w:bCs w:val="1"/>
          <w:color w:val="auto"/>
        </w:rPr>
        <w:t>6.2.2.1</w:t>
      </w:r>
      <w:r>
        <w:rPr>
          <w:rFonts w:ascii="Times New Roman" w:cs="Times New Roman" w:eastAsia="Times New Roman" w:hAnsi="Times New Roman"/>
          <w:sz w:val="22"/>
          <w:szCs w:val="22"/>
          <w:color w:val="auto"/>
        </w:rPr>
        <w:t>In the event that either party commits a material breach of its obligations under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fails to cure that breach within ninety (90) days after receiving written notice thereof, the other party may terminate this Agreement immediately upon written notice to the party in breach.</w:t>
      </w:r>
    </w:p>
    <w:p>
      <w:pPr>
        <w:spacing w:after="0" w:line="167" w:lineRule="exact"/>
        <w:rPr>
          <w:sz w:val="20"/>
          <w:szCs w:val="20"/>
          <w:color w:val="auto"/>
        </w:rPr>
      </w:pPr>
    </w:p>
    <w:p>
      <w:pPr>
        <w:ind w:right="80" w:firstLine="2246"/>
        <w:spacing w:after="0" w:line="241" w:lineRule="auto"/>
        <w:rPr>
          <w:sz w:val="20"/>
          <w:szCs w:val="20"/>
          <w:color w:val="auto"/>
        </w:rPr>
      </w:pPr>
      <w:r>
        <w:rPr>
          <w:rFonts w:ascii="Times New Roman" w:cs="Times New Roman" w:eastAsia="Times New Roman" w:hAnsi="Times New Roman"/>
          <w:sz w:val="22"/>
          <w:szCs w:val="22"/>
          <w:b w:val="1"/>
          <w:bCs w:val="1"/>
          <w:color w:val="auto"/>
        </w:rPr>
        <w:t>6.2.2.2</w:t>
      </w:r>
      <w:r>
        <w:rPr>
          <w:rFonts w:ascii="Times New Roman" w:cs="Times New Roman" w:eastAsia="Times New Roman" w:hAnsi="Times New Roman"/>
          <w:sz w:val="22"/>
          <w:szCs w:val="22"/>
          <w:color w:val="auto"/>
        </w:rPr>
        <w:t>If Licensee defaults in its obligations under Section 5.2 to procure and maintain insurance or,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Licensee has in any event failed to comply with the notice requirements contained therein and fails to cure that default within thirty (30) days after receiving written notice thereof, Harvard may terminate this Agreement immediately upon written notice to Licensee.</w:t>
      </w:r>
    </w:p>
    <w:p>
      <w:pPr>
        <w:spacing w:after="0" w:line="172" w:lineRule="exact"/>
        <w:rPr>
          <w:sz w:val="20"/>
          <w:szCs w:val="20"/>
          <w:color w:val="auto"/>
        </w:rPr>
      </w:pPr>
    </w:p>
    <w:p>
      <w:pPr>
        <w:ind w:right="40" w:firstLine="1497"/>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6.2.3 Bankruptcy. </w:t>
      </w:r>
      <w:r>
        <w:rPr>
          <w:rFonts w:ascii="Times New Roman" w:cs="Times New Roman" w:eastAsia="Times New Roman" w:hAnsi="Times New Roman"/>
          <w:sz w:val="21"/>
          <w:szCs w:val="21"/>
          <w:color w:val="auto"/>
        </w:rPr>
        <w:t>Harvard may terminate this Agreement upon notice to Licensee if Licensee becomes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insolvent, is adjudged 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Licensee and not dismissed within ninety (90) days, or if Licensee becomes the subject of liquidation or dissolution proceedings or otherwise discontinues business.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6.3.Effect of Termination.</w:t>
      </w:r>
    </w:p>
    <w:p>
      <w:pPr>
        <w:spacing w:after="0" w:line="206" w:lineRule="exact"/>
        <w:rPr>
          <w:sz w:val="20"/>
          <w:szCs w:val="20"/>
          <w:color w:val="auto"/>
        </w:rPr>
      </w:pPr>
    </w:p>
    <w:p>
      <w:pPr>
        <w:ind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6.3.1 Termination of Rights. </w:t>
      </w:r>
      <w:r>
        <w:rPr>
          <w:rFonts w:ascii="Times New Roman" w:cs="Times New Roman" w:eastAsia="Times New Roman" w:hAnsi="Times New Roman"/>
          <w:sz w:val="22"/>
          <w:szCs w:val="22"/>
          <w:color w:val="auto"/>
        </w:rPr>
        <w:t>Upon any termination or expiration of this Agreement, (a) the rights and licenses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to Licensee under Article 2 shall terminate, (b) all rights in and to and under the Biological Material and Technology Transfer Material will revert to Harvard and, subject to Section 6.3.2, neither Licensee nor its Sublicensees may make any further use or exploitation of any Biological Material or Technology Transfer Material and (c) any existing Sublicense shall terminate; provided, however, that, for each Sublicensee, upon termination of the license, if the Sublicensee is not then in breach of the Sublicense agreement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6" w:name="page357"/>
    <w:bookmarkEnd w:id="356"/>
    <w:p>
      <w:pPr>
        <w:ind w:right="40"/>
        <w:spacing w:after="0" w:line="238" w:lineRule="auto"/>
        <w:rPr>
          <w:sz w:val="20"/>
          <w:szCs w:val="20"/>
          <w:color w:val="auto"/>
        </w:rPr>
      </w:pPr>
      <w:r>
        <w:rPr>
          <w:rFonts w:ascii="Times New Roman" w:cs="Times New Roman" w:eastAsia="Times New Roman" w:hAnsi="Times New Roman"/>
          <w:sz w:val="22"/>
          <w:szCs w:val="22"/>
          <w:color w:val="auto"/>
        </w:rPr>
        <w:t>such that Licensee would have the right to terminate such Sublicense agreement, such Sublicensee shall have the right to obtain a direct license from Harvard on the same terms and conditions as set forth herein, which shall not impose any representations, warranties, obligations or liabilities on Harvard that are not included in this Agreement. Furthermore, in the event of any termination or expiration of this Agreement, Licensee shall destroy, and shall cause its agents and Sublicensees to destroy, all Biological Material under their control or in their possession.</w:t>
      </w:r>
    </w:p>
    <w:p>
      <w:pPr>
        <w:spacing w:after="0" w:line="173" w:lineRule="exact"/>
        <w:rPr>
          <w:sz w:val="20"/>
          <w:szCs w:val="20"/>
          <w:color w:val="auto"/>
        </w:rPr>
      </w:pPr>
    </w:p>
    <w:p>
      <w:pPr>
        <w:ind w:right="180" w:firstLine="149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6.3.2 Accruing Obligations. </w:t>
      </w:r>
      <w:r>
        <w:rPr>
          <w:rFonts w:ascii="Times New Roman" w:cs="Times New Roman" w:eastAsia="Times New Roman" w:hAnsi="Times New Roman"/>
          <w:sz w:val="22"/>
          <w:szCs w:val="22"/>
          <w:color w:val="auto"/>
        </w:rPr>
        <w:t>Termination or expiration of this Agreement shall not relieve the parties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accruing prior to such termination or expiration, including obligations to pay amounts accruing hereunder up to the date of termination or expiration. After the date of termination or expiration (except in the case of termination by Harvard pursuant to Section 6.2), Licensee and its Sublicensees (a) may sell Products then in stock and (b) may complete the production of Products then in the process of production and sell the same; provided that, in the case of both (a) and (b), Licensee shall maintain insurance in accordance with the requirements of Section 5.2.</w:t>
      </w:r>
    </w:p>
    <w:p>
      <w:pPr>
        <w:spacing w:after="0" w:line="175" w:lineRule="exact"/>
        <w:rPr>
          <w:sz w:val="20"/>
          <w:szCs w:val="20"/>
          <w:color w:val="auto"/>
        </w:rPr>
      </w:pPr>
    </w:p>
    <w:p>
      <w:pPr>
        <w:jc w:val="both"/>
        <w:ind w:right="28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6.4.Survival. </w:t>
      </w:r>
      <w:r>
        <w:rPr>
          <w:rFonts w:ascii="Times New Roman" w:cs="Times New Roman" w:eastAsia="Times New Roman" w:hAnsi="Times New Roman"/>
          <w:sz w:val="22"/>
          <w:szCs w:val="22"/>
          <w:color w:val="auto"/>
        </w:rPr>
        <w:t>The parties’ respective rights, obligations and duties under Articles 4, 5 and 7 and Sections 2.2.2.3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only with respect to a Sublicensee’s right to obtain a direct license from Harvard), 2.3, 3.1, 3.6, 6.3, 6.4, as well as any rights, obligations and duties which by their nature extend beyond the expiration or termination of this Agreement, shall survive any expiration or termination of this Agreement.</w:t>
      </w:r>
    </w:p>
    <w:p>
      <w:pPr>
        <w:spacing w:after="0" w:line="172" w:lineRule="exact"/>
        <w:rPr>
          <w:sz w:val="20"/>
          <w:szCs w:val="20"/>
          <w:color w:val="auto"/>
        </w:rPr>
      </w:pPr>
    </w:p>
    <w:p>
      <w:pPr>
        <w:ind w:left="520" w:hanging="512"/>
        <w:spacing w:after="0"/>
        <w:tabs>
          <w:tab w:leader="none" w:pos="520" w:val="left"/>
        </w:tabs>
        <w:numPr>
          <w:ilvl w:val="0"/>
          <w:numId w:val="2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6"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7.1.No Security Interest. </w:t>
      </w:r>
      <w:r>
        <w:rPr>
          <w:rFonts w:ascii="Times New Roman" w:cs="Times New Roman" w:eastAsia="Times New Roman" w:hAnsi="Times New Roman"/>
          <w:sz w:val="22"/>
          <w:szCs w:val="22"/>
          <w:color w:val="auto"/>
        </w:rPr>
        <w:t>Licensee shall not enter into any agreement under which Licensee grants to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creates in any third party a security interest in this Agreement or any of the rights granted to Licensee herein. Any grant or creation of a security interest purported or attempted to be made in violation of the terms of this Section 7.1 shall be null and void and of no legal effect.</w:t>
      </w:r>
    </w:p>
    <w:p>
      <w:pPr>
        <w:spacing w:after="0" w:line="172"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7.2.Use of Name. </w:t>
      </w:r>
      <w:r>
        <w:rPr>
          <w:rFonts w:ascii="Times New Roman" w:cs="Times New Roman" w:eastAsia="Times New Roman" w:hAnsi="Times New Roman"/>
          <w:sz w:val="22"/>
          <w:szCs w:val="22"/>
          <w:color w:val="auto"/>
        </w:rPr>
        <w:t>Except as provided below, Licensee shall not, and shall ensure that its Affiliates and Sublicensees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use or register the name “Harvard” (alone or as part of another name) or any logos, seals, insignia or other words, names, symbols or devices that identify Harvard or any Harvard school, unit, division or affiliate (“Harvard Names”) for any purpose except with the prior written approval of, and in accordance with restrictions required by, Harvard. Without limiting the foregoing, Licensee shall, and shall ensure that its Affiliates and Sublicensees shall, cease all use of Harvard Names on the termination or expiration of this Agreement except as otherwise approved by Harvard. This restriction shall not apply to any information required by law to be disclosed to any governmental entity.</w:t>
      </w:r>
    </w:p>
    <w:p>
      <w:pPr>
        <w:spacing w:after="0" w:line="176" w:lineRule="exact"/>
        <w:rPr>
          <w:sz w:val="20"/>
          <w:szCs w:val="20"/>
          <w:color w:val="auto"/>
        </w:rPr>
      </w:pPr>
    </w:p>
    <w:p>
      <w:pPr>
        <w:ind w:right="320" w:firstLine="749"/>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7.3.Entire Agreement. </w:t>
      </w:r>
      <w:r>
        <w:rPr>
          <w:rFonts w:ascii="Times New Roman" w:cs="Times New Roman" w:eastAsia="Times New Roman" w:hAnsi="Times New Roman"/>
          <w:sz w:val="21"/>
          <w:szCs w:val="21"/>
          <w:color w:val="auto"/>
        </w:rPr>
        <w:t>This Agreement is the sole agreement with respect to the subject matter hereof and except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expressly set forth herein, supersedes all other agreements and understandings between the parties with respect to the same.</w:t>
      </w:r>
    </w:p>
    <w:p>
      <w:pPr>
        <w:spacing w:after="0" w:line="126" w:lineRule="exact"/>
        <w:rPr>
          <w:sz w:val="20"/>
          <w:szCs w:val="20"/>
          <w:color w:val="auto"/>
        </w:rPr>
      </w:pPr>
    </w:p>
    <w:p>
      <w:pPr>
        <w:ind w:right="4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7.4.Notices. </w:t>
      </w:r>
      <w:r>
        <w:rPr>
          <w:rFonts w:ascii="Times New Roman" w:cs="Times New Roman" w:eastAsia="Times New Roman" w:hAnsi="Times New Roman"/>
          <w:sz w:val="22"/>
          <w:szCs w:val="22"/>
          <w:color w:val="auto"/>
        </w:rPr>
        <w:t>Unless otherwise specifically provided, all notices required or permitted by this Agreement shall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and may be delivered personally, or may be sent by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7" w:name="page358"/>
    <w:bookmarkEnd w:id="357"/>
    <w:p>
      <w:pPr>
        <w:ind w:right="840"/>
        <w:spacing w:after="0" w:line="258" w:lineRule="auto"/>
        <w:rPr>
          <w:sz w:val="20"/>
          <w:szCs w:val="20"/>
          <w:color w:val="auto"/>
        </w:rPr>
      </w:pPr>
      <w:r>
        <w:rPr>
          <w:rFonts w:ascii="Times New Roman" w:cs="Times New Roman" w:eastAsia="Times New Roman" w:hAnsi="Times New Roman"/>
          <w:sz w:val="22"/>
          <w:szCs w:val="22"/>
          <w:color w:val="auto"/>
        </w:rPr>
        <w:t>facsimile, overnight delivery or certified mail, return receipt requested, to the following addresses, unless the parties are subsequently notified of any change of address in accordance with this Section 7.4:</w:t>
      </w:r>
    </w:p>
    <w:p>
      <w:pPr>
        <w:sectPr>
          <w:pgSz w:w="11900" w:h="16838" w:orient="portrait"/>
          <w:cols w:equalWidth="0" w:num="1">
            <w:col w:w="11220"/>
          </w:cols>
          <w:pgMar w:left="320" w:top="1408" w:right="35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480"/>
        <w:spacing w:after="0" w:line="254" w:lineRule="auto"/>
        <w:rPr>
          <w:sz w:val="20"/>
          <w:szCs w:val="20"/>
          <w:color w:val="auto"/>
        </w:rPr>
      </w:pPr>
      <w:r>
        <w:rPr>
          <w:rFonts w:ascii="Times New Roman" w:cs="Times New Roman" w:eastAsia="Times New Roman" w:hAnsi="Times New Roman"/>
          <w:sz w:val="21"/>
          <w:szCs w:val="21"/>
          <w:color w:val="auto"/>
        </w:rPr>
        <w:t>If to Licensee (invoices only):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 First Street, Suite #3A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Cambridge, MA 02142</w:t>
      </w:r>
    </w:p>
    <w:p>
      <w:pPr>
        <w:spacing w:after="0" w:line="5" w:lineRule="exact"/>
        <w:rPr>
          <w:sz w:val="20"/>
          <w:szCs w:val="20"/>
          <w:color w:val="auto"/>
        </w:rPr>
      </w:pPr>
    </w:p>
    <w:p>
      <w:pPr>
        <w:sectPr>
          <w:pgSz w:w="11900" w:h="16838" w:orient="portrait"/>
          <w:cols w:equalWidth="0" w:num="2">
            <w:col w:w="1660" w:space="440"/>
            <w:col w:w="9120"/>
          </w:cols>
          <w:pgMar w:left="320" w:top="1408" w:right="35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22"/>
          <w:szCs w:val="22"/>
          <w:color w:val="auto"/>
        </w:rPr>
        <w:t>Fax:</w:t>
      </w:r>
    </w:p>
    <w:p>
      <w:pPr>
        <w:ind w:left="2100"/>
        <w:spacing w:after="0" w:line="232" w:lineRule="auto"/>
        <w:rPr>
          <w:sz w:val="20"/>
          <w:szCs w:val="20"/>
          <w:color w:val="auto"/>
        </w:rPr>
      </w:pPr>
      <w:r>
        <w:rPr>
          <w:rFonts w:ascii="Times New Roman" w:cs="Times New Roman" w:eastAsia="Times New Roman" w:hAnsi="Times New Roman"/>
          <w:sz w:val="22"/>
          <w:szCs w:val="22"/>
          <w:color w:val="auto"/>
        </w:rPr>
        <w:t>Email:</w:t>
      </w:r>
    </w:p>
    <w:p>
      <w:pPr>
        <w:ind w:left="2100"/>
        <w:spacing w:after="0"/>
        <w:rPr>
          <w:sz w:val="20"/>
          <w:szCs w:val="20"/>
          <w:color w:val="auto"/>
        </w:rPr>
      </w:pPr>
      <w:r>
        <w:rPr>
          <w:rFonts w:ascii="Times New Roman" w:cs="Times New Roman" w:eastAsia="Times New Roman" w:hAnsi="Times New Roman"/>
          <w:sz w:val="21"/>
          <w:szCs w:val="21"/>
          <w:color w:val="auto"/>
        </w:rPr>
        <w:t>Phone:</w:t>
      </w:r>
    </w:p>
    <w:p>
      <w:pPr>
        <w:spacing w:after="0" w:line="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Attn:</w:t>
      </w:r>
    </w:p>
    <w:p>
      <w:pPr>
        <w:sectPr>
          <w:pgSz w:w="11900" w:h="16838" w:orient="portrait"/>
          <w:cols w:equalWidth="0" w:num="1">
            <w:col w:w="11220"/>
          </w:cols>
          <w:pgMar w:left="320" w:top="1408" w:right="359" w:bottom="1440" w:gutter="0" w:footer="0" w:header="0"/>
          <w:type w:val="continuous"/>
        </w:sectPr>
      </w:pPr>
    </w:p>
    <w:p>
      <w:pPr>
        <w:spacing w:after="0" w:line="263" w:lineRule="exact"/>
        <w:rPr>
          <w:sz w:val="20"/>
          <w:szCs w:val="20"/>
          <w:color w:val="auto"/>
        </w:rPr>
      </w:pPr>
    </w:p>
    <w:p>
      <w:pPr>
        <w:ind w:left="480"/>
        <w:spacing w:after="0" w:line="261" w:lineRule="auto"/>
        <w:rPr>
          <w:sz w:val="20"/>
          <w:szCs w:val="20"/>
          <w:color w:val="auto"/>
        </w:rPr>
      </w:pPr>
      <w:r>
        <w:rPr>
          <w:rFonts w:ascii="Times New Roman" w:cs="Times New Roman" w:eastAsia="Times New Roman" w:hAnsi="Times New Roman"/>
          <w:sz w:val="21"/>
          <w:szCs w:val="21"/>
          <w:color w:val="auto"/>
        </w:rPr>
        <w:t>If to Licensee (all other notices):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Solid Biosciences,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161 First Street, Suite #3A</w:t>
      </w:r>
    </w:p>
    <w:p>
      <w:pPr>
        <w:spacing w:after="0" w:line="231" w:lineRule="auto"/>
        <w:rPr>
          <w:sz w:val="20"/>
          <w:szCs w:val="20"/>
          <w:color w:val="auto"/>
        </w:rPr>
      </w:pPr>
      <w:r>
        <w:rPr>
          <w:rFonts w:ascii="Times New Roman" w:cs="Times New Roman" w:eastAsia="Times New Roman" w:hAnsi="Times New Roman"/>
          <w:sz w:val="22"/>
          <w:szCs w:val="22"/>
          <w:color w:val="auto"/>
        </w:rPr>
        <w:t>Cambridge, MA 02142</w:t>
      </w:r>
    </w:p>
    <w:p>
      <w:pPr>
        <w:spacing w:after="0" w:line="231" w:lineRule="auto"/>
        <w:rPr>
          <w:sz w:val="20"/>
          <w:szCs w:val="20"/>
          <w:color w:val="auto"/>
        </w:rPr>
      </w:pPr>
      <w:r>
        <w:rPr>
          <w:rFonts w:ascii="Times New Roman" w:cs="Times New Roman" w:eastAsia="Times New Roman" w:hAnsi="Times New Roman"/>
          <w:sz w:val="22"/>
          <w:szCs w:val="22"/>
          <w:color w:val="auto"/>
        </w:rPr>
        <w:t>Fax:</w:t>
      </w:r>
    </w:p>
    <w:p>
      <w:pPr>
        <w:spacing w:after="0" w:line="231" w:lineRule="auto"/>
        <w:rPr>
          <w:sz w:val="20"/>
          <w:szCs w:val="20"/>
          <w:color w:val="auto"/>
        </w:rPr>
      </w:pPr>
      <w:r>
        <w:rPr>
          <w:rFonts w:ascii="Times New Roman" w:cs="Times New Roman" w:eastAsia="Times New Roman" w:hAnsi="Times New Roman"/>
          <w:sz w:val="22"/>
          <w:szCs w:val="22"/>
          <w:color w:val="auto"/>
        </w:rPr>
        <w:t>Email:</w:t>
      </w:r>
    </w:p>
    <w:p>
      <w:pPr>
        <w:spacing w:after="0" w:line="230" w:lineRule="auto"/>
        <w:rPr>
          <w:sz w:val="20"/>
          <w:szCs w:val="20"/>
          <w:color w:val="auto"/>
        </w:rPr>
      </w:pPr>
      <w:r>
        <w:rPr>
          <w:rFonts w:ascii="Times New Roman" w:cs="Times New Roman" w:eastAsia="Times New Roman" w:hAnsi="Times New Roman"/>
          <w:sz w:val="22"/>
          <w:szCs w:val="22"/>
          <w:color w:val="auto"/>
        </w:rPr>
        <w:t>Phone: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w:t>
      </w:r>
    </w:p>
    <w:p>
      <w:pPr>
        <w:spacing w:after="0" w:line="200" w:lineRule="exact"/>
        <w:rPr>
          <w:sz w:val="20"/>
          <w:szCs w:val="20"/>
          <w:color w:val="auto"/>
        </w:rPr>
      </w:pPr>
    </w:p>
    <w:p>
      <w:pPr>
        <w:sectPr>
          <w:pgSz w:w="11900" w:h="16838" w:orient="portrait"/>
          <w:cols w:equalWidth="0" w:num="2">
            <w:col w:w="1660" w:space="440"/>
            <w:col w:w="9120"/>
          </w:cols>
          <w:pgMar w:left="320" w:top="1408" w:right="359" w:bottom="1440" w:gutter="0" w:footer="0" w:header="0"/>
          <w:type w:val="continuous"/>
        </w:sectPr>
      </w:pPr>
    </w:p>
    <w:p>
      <w:pPr>
        <w:spacing w:after="0" w:line="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1"/>
          <w:szCs w:val="21"/>
          <w:color w:val="auto"/>
        </w:rPr>
        <w:t>If to Harvard: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 of Technology Development</w:t>
      </w:r>
    </w:p>
    <w:p>
      <w:pPr>
        <w:spacing w:after="0" w:line="41" w:lineRule="exact"/>
        <w:rPr>
          <w:sz w:val="20"/>
          <w:szCs w:val="20"/>
          <w:color w:val="auto"/>
        </w:rPr>
      </w:pPr>
    </w:p>
    <w:p>
      <w:pPr>
        <w:sectPr>
          <w:pgSz w:w="11900" w:h="16838" w:orient="portrait"/>
          <w:cols w:equalWidth="0" w:num="2">
            <w:col w:w="1660" w:space="440"/>
            <w:col w:w="9120"/>
          </w:cols>
          <w:pgMar w:left="320" w:top="1408" w:right="35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22"/>
          <w:szCs w:val="22"/>
          <w:color w:val="auto"/>
        </w:rPr>
        <w:t>Harvard University</w:t>
      </w:r>
    </w:p>
    <w:p>
      <w:pPr>
        <w:ind w:left="2100"/>
        <w:spacing w:after="0" w:line="232" w:lineRule="auto"/>
        <w:rPr>
          <w:sz w:val="20"/>
          <w:szCs w:val="20"/>
          <w:color w:val="auto"/>
        </w:rPr>
      </w:pPr>
      <w:r>
        <w:rPr>
          <w:rFonts w:ascii="Times New Roman" w:cs="Times New Roman" w:eastAsia="Times New Roman" w:hAnsi="Times New Roman"/>
          <w:sz w:val="22"/>
          <w:szCs w:val="22"/>
          <w:color w:val="auto"/>
        </w:rPr>
        <w:t>1350 Massachusetts Avenue</w:t>
      </w:r>
    </w:p>
    <w:p>
      <w:pPr>
        <w:ind w:left="2100"/>
        <w:spacing w:after="0"/>
        <w:rPr>
          <w:sz w:val="20"/>
          <w:szCs w:val="20"/>
          <w:color w:val="auto"/>
        </w:rPr>
      </w:pPr>
      <w:r>
        <w:rPr>
          <w:rFonts w:ascii="Times New Roman" w:cs="Times New Roman" w:eastAsia="Times New Roman" w:hAnsi="Times New Roman"/>
          <w:sz w:val="21"/>
          <w:szCs w:val="21"/>
          <w:color w:val="auto"/>
        </w:rPr>
        <w:t>Cambridge, Massachusetts 02138</w:t>
      </w:r>
    </w:p>
    <w:p>
      <w:pPr>
        <w:spacing w:after="0" w:line="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Fax:</w:t>
      </w:r>
    </w:p>
    <w:p>
      <w:pPr>
        <w:spacing w:after="0" w:line="27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Attn.:</w:t>
      </w:r>
    </w:p>
    <w:p>
      <w:pPr>
        <w:sectPr>
          <w:pgSz w:w="11900" w:h="16838" w:orient="portrait"/>
          <w:cols w:equalWidth="0" w:num="1">
            <w:col w:w="11220"/>
          </w:cols>
          <w:pgMar w:left="320" w:top="1408" w:right="35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Any notice shall be deemed to have been received as follows: (a) by personal delivery, upon receipt; (b) by facsimile or overnight delivery, one business day after transmission or dispatch; (c) by certified mail, as evidenced by the return receipt. If notice is sent by facsimile, a confirming copy of the same shall be sent by mail to the same address.</w:t>
      </w:r>
    </w:p>
    <w:p>
      <w:pPr>
        <w:spacing w:after="0" w:line="169"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7.5.Governing Law and Jurisdiction. </w:t>
      </w:r>
      <w:r>
        <w:rPr>
          <w:rFonts w:ascii="Times New Roman" w:cs="Times New Roman" w:eastAsia="Times New Roman" w:hAnsi="Times New Roman"/>
          <w:sz w:val="22"/>
          <w:szCs w:val="22"/>
          <w:color w:val="auto"/>
        </w:rPr>
        <w:t>This Agreement will be governed by, and construed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substantive laws of the Commonwealth of Massachusetts, without giving effect to any choice or conflict of law provision, except that questions affecting the construction and effect of any patent shall be determined by the law of the country in which the patent shall have been granted. Any action, suit or other proceeding arising under or relating to this Agreement (a “Suit”) shall be brought in a court of competent jurisdiction in the Commonwealth of Massachusetts, and the parties hereby consent to the sole jurisdiction of the state and federal courts sitting in the Commonwealth of Massachusetts. Each party agrees not to raise any objection at any time to the laying or maintaining of the venue of any Suit in any of the specified courts, irrevocably waives any claim that Suit has been brought in any inconvenient</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type w:val="continuous"/>
        </w:sectPr>
      </w:pPr>
    </w:p>
    <w:bookmarkStart w:id="358" w:name="page359"/>
    <w:bookmarkEnd w:id="358"/>
    <w:p>
      <w:pPr>
        <w:ind w:right="240"/>
        <w:spacing w:after="0" w:line="258" w:lineRule="auto"/>
        <w:rPr>
          <w:sz w:val="20"/>
          <w:szCs w:val="20"/>
          <w:color w:val="auto"/>
        </w:rPr>
      </w:pPr>
      <w:r>
        <w:rPr>
          <w:rFonts w:ascii="Times New Roman" w:cs="Times New Roman" w:eastAsia="Times New Roman" w:hAnsi="Times New Roman"/>
          <w:sz w:val="22"/>
          <w:szCs w:val="22"/>
          <w:color w:val="auto"/>
        </w:rPr>
        <w:t>forum and further irrevocably waives the right to object, with respect to any Suit, that such court does not have any jurisdiction over such party.</w:t>
      </w:r>
    </w:p>
    <w:p>
      <w:pPr>
        <w:spacing w:after="0" w:line="154" w:lineRule="exact"/>
        <w:rPr>
          <w:sz w:val="20"/>
          <w:szCs w:val="20"/>
          <w:color w:val="auto"/>
        </w:rPr>
      </w:pPr>
    </w:p>
    <w:p>
      <w:pPr>
        <w:ind w:right="3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7.6.Binding Effect. </w:t>
      </w:r>
      <w:r>
        <w:rPr>
          <w:rFonts w:ascii="Times New Roman" w:cs="Times New Roman" w:eastAsia="Times New Roman" w:hAnsi="Times New Roman"/>
          <w:sz w:val="22"/>
          <w:szCs w:val="22"/>
          <w:color w:val="auto"/>
        </w:rPr>
        <w:t>This Agreement shall be binding upon and inure to the benefit of the parties and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 representatives, successors and permitted assigns.</w:t>
      </w:r>
    </w:p>
    <w:p>
      <w:pPr>
        <w:spacing w:after="0" w:line="150"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7.7.Headings. </w:t>
      </w:r>
      <w:r>
        <w:rPr>
          <w:rFonts w:ascii="Times New Roman" w:cs="Times New Roman" w:eastAsia="Times New Roman" w:hAnsi="Times New Roman"/>
          <w:sz w:val="22"/>
          <w:szCs w:val="22"/>
          <w:color w:val="auto"/>
        </w:rPr>
        <w:t>Section and subsection headings are inserted for convenience of reference only and do not form a part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7.8.Counterparts. </w:t>
      </w:r>
      <w:r>
        <w:rPr>
          <w:rFonts w:ascii="Times New Roman" w:cs="Times New Roman" w:eastAsia="Times New Roman" w:hAnsi="Times New Roman"/>
          <w:sz w:val="22"/>
          <w:szCs w:val="22"/>
          <w:color w:val="auto"/>
        </w:rPr>
        <w:t>The parties may execute this Agreement in two or more counterparts, each of which shall be deemed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but both of which together shall constitute one and the same instrument. Transmission by facsimile or electronic mail of an executed counterpart of this Agreement shall be deemed to constitute due and sufficient delivery of such counterpart. If by electronic mail, the executed Agreement must be delivered in a .pdf format.</w:t>
      </w:r>
    </w:p>
    <w:p>
      <w:pPr>
        <w:spacing w:after="0" w:line="172"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7.9.Amendment; Waiver. </w:t>
      </w:r>
      <w:r>
        <w:rPr>
          <w:rFonts w:ascii="Times New Roman" w:cs="Times New Roman" w:eastAsia="Times New Roman" w:hAnsi="Times New Roman"/>
          <w:sz w:val="21"/>
          <w:szCs w:val="21"/>
          <w:color w:val="auto"/>
        </w:rPr>
        <w:t>This Agreement may be amended, modified, superseded or canceled, and any of the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be waived, only by a written instrument executed by each party or, in the case of waiver, by the party waiving compliance. The delay or failure of either party at any time or times to require performance of any provisions hereof shall in no manner affect the rights at a later time to enforce the same. No waiver by either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spacing w:after="0" w:line="165"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7.10.No Agency or Partnership. </w:t>
      </w:r>
      <w:r>
        <w:rPr>
          <w:rFonts w:ascii="Times New Roman" w:cs="Times New Roman" w:eastAsia="Times New Roman" w:hAnsi="Times New Roman"/>
          <w:sz w:val="22"/>
          <w:szCs w:val="22"/>
          <w:color w:val="auto"/>
        </w:rPr>
        <w:t>Nothing contained in this Agreement shall give either party the right to bind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be deemed to constitute either party as agent for or partner of the other or any third party.</w:t>
      </w:r>
    </w:p>
    <w:p>
      <w:pPr>
        <w:spacing w:after="0" w:line="15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7.11.Assignment and Successors. </w:t>
      </w:r>
      <w:r>
        <w:rPr>
          <w:rFonts w:ascii="Times New Roman" w:cs="Times New Roman" w:eastAsia="Times New Roman" w:hAnsi="Times New Roman"/>
          <w:sz w:val="22"/>
          <w:szCs w:val="22"/>
          <w:color w:val="auto"/>
        </w:rPr>
        <w:t>This Agreement may not be assigned by either party without the consent of the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consent shall not be unreasonably withheld, except that each party may, without such consent, assign this Agreement and the rights, obligations and interests of such party to any purchaser of all or substantially all of its assets to which the subject matter of this Agreement relates, or to any successor corporation resulting from any merger or consolidation of such party with or into such corporation; provided, in each case, that the assignee agrees in writing to be bound by the terms of this Agreement. Any assignment purported or attempted to be made in violation of the terms of this Section 7.11 shall be null and void and of no legal effect.</w:t>
      </w:r>
    </w:p>
    <w:p>
      <w:pPr>
        <w:spacing w:after="0" w:line="176"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7.12.Force Majeure. </w:t>
      </w:r>
      <w:r>
        <w:rPr>
          <w:rFonts w:ascii="Times New Roman" w:cs="Times New Roman" w:eastAsia="Times New Roman" w:hAnsi="Times New Roman"/>
          <w:sz w:val="21"/>
          <w:szCs w:val="21"/>
          <w:color w:val="auto"/>
        </w:rPr>
        <w:t>Except for monetary obligations hereunder, neither party will be responsible for delays resulting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causes beyond the reasonable control of such party, including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58"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7.13.Interpretation. </w:t>
      </w:r>
      <w:r>
        <w:rPr>
          <w:rFonts w:ascii="Times New Roman" w:cs="Times New Roman" w:eastAsia="Times New Roman" w:hAnsi="Times New Roman"/>
          <w:sz w:val="22"/>
          <w:szCs w:val="22"/>
          <w:color w:val="auto"/>
        </w:rPr>
        <w:t>Each party hereto acknowledges and agrees that: (a) it and/or its counsel reviewed and negotiated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and provisions of this Agreement and has contributed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9" w:name="page360"/>
    <w:bookmarkEnd w:id="359"/>
    <w:p>
      <w:pPr>
        <w:ind w:right="120"/>
        <w:spacing w:after="0" w:line="238" w:lineRule="auto"/>
        <w:rPr>
          <w:sz w:val="20"/>
          <w:szCs w:val="20"/>
          <w:color w:val="auto"/>
        </w:rPr>
      </w:pPr>
      <w:r>
        <w:rPr>
          <w:rFonts w:ascii="Times New Roman" w:cs="Times New Roman" w:eastAsia="Times New Roman" w:hAnsi="Times New Roman"/>
          <w:sz w:val="22"/>
          <w:szCs w:val="22"/>
          <w:color w:val="auto"/>
        </w:rPr>
        <w:t>to its revision; (b) the rule of construction to the effect that any ambiguities are resolved against the drafting party shall not be employed in the interpretation of this Agreement; (c) the terms and provisions of this Agreement shall be construed fairly as to both parties hereto and not in favor of or against either party, regardless of which party was generally responsible for the preparation of this Agreement; and (d) the use of “include,” “includes,” or “including” herein shall not be limiting and “or” shall not be exclusive.</w:t>
      </w:r>
    </w:p>
    <w:p>
      <w:pPr>
        <w:spacing w:after="0" w:line="17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7.14.Severability. </w:t>
      </w:r>
      <w:r>
        <w:rPr>
          <w:rFonts w:ascii="Times New Roman" w:cs="Times New Roman" w:eastAsia="Times New Roman" w:hAnsi="Times New Roman"/>
          <w:sz w:val="22"/>
          <w:szCs w:val="22"/>
          <w:color w:val="auto"/>
        </w:rPr>
        <w:t>If any provision of this Agreement is or becomes invalid or is ruled invalid by any court of competent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jurisdiction or is deemed unenforceable, it is the intention of the parties that the remainder of this Agreement shall not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0" w:name="page361"/>
    <w:bookmarkEnd w:id="360"/>
    <w:p>
      <w:pPr>
        <w:ind w:right="39"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have caused this Agreement to be executed by their duly authorized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representatives as of the date first written above.</w:t>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51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President and Fellows of Harvard College</w:t>
            </w:r>
          </w:p>
        </w:tc>
        <w:tc>
          <w:tcPr>
            <w:tcW w:w="3320" w:type="dxa"/>
            <w:vAlign w:val="bottom"/>
            <w:gridSpan w:val="7"/>
          </w:tcPr>
          <w:p>
            <w:pPr>
              <w:ind w:left="1200"/>
              <w:spacing w:after="0"/>
              <w:rPr>
                <w:sz w:val="20"/>
                <w:szCs w:val="20"/>
                <w:color w:val="auto"/>
              </w:rPr>
            </w:pPr>
            <w:r>
              <w:rPr>
                <w:rFonts w:ascii="Times New Roman" w:cs="Times New Roman" w:eastAsia="Times New Roman" w:hAnsi="Times New Roman"/>
                <w:sz w:val="22"/>
                <w:szCs w:val="22"/>
                <w:b w:val="1"/>
                <w:bCs w:val="1"/>
                <w:color w:val="auto"/>
                <w:w w:val="97"/>
              </w:rPr>
              <w:t>Solid Biosciences, LLC</w:t>
            </w:r>
          </w:p>
        </w:tc>
      </w:tr>
      <w:tr>
        <w:trPr>
          <w:trHeight w:val="488"/>
        </w:trPr>
        <w:tc>
          <w:tcPr>
            <w:tcW w:w="5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By:  /s/ Jordan B. Grant</w:t>
            </w:r>
          </w:p>
        </w:tc>
        <w:tc>
          <w:tcPr>
            <w:tcW w:w="3320" w:type="dxa"/>
            <w:vAlign w:val="bottom"/>
            <w:gridSpan w:val="7"/>
          </w:tcPr>
          <w:p>
            <w:pPr>
              <w:ind w:left="1200"/>
              <w:spacing w:after="0"/>
              <w:rPr>
                <w:sz w:val="20"/>
                <w:szCs w:val="20"/>
                <w:color w:val="auto"/>
              </w:rPr>
            </w:pPr>
            <w:r>
              <w:rPr>
                <w:rFonts w:ascii="Times New Roman" w:cs="Times New Roman" w:eastAsia="Times New Roman" w:hAnsi="Times New Roman"/>
                <w:sz w:val="22"/>
                <w:szCs w:val="22"/>
                <w:color w:val="auto"/>
              </w:rPr>
              <w:t>By:  /s/ Ilan Ganot</w:t>
            </w:r>
          </w:p>
        </w:tc>
      </w:tr>
      <w:tr>
        <w:trPr>
          <w:trHeight w:val="20"/>
        </w:trPr>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Jordan B. Grant</w:t>
            </w:r>
          </w:p>
        </w:tc>
        <w:tc>
          <w:tcPr>
            <w:tcW w:w="2980" w:type="dxa"/>
            <w:vAlign w:val="bottom"/>
            <w:gridSpan w:val="2"/>
          </w:tcPr>
          <w:p>
            <w:pPr>
              <w:spacing w:after="0"/>
              <w:rPr>
                <w:sz w:val="24"/>
                <w:szCs w:val="24"/>
                <w:color w:val="auto"/>
              </w:rPr>
            </w:pPr>
          </w:p>
        </w:tc>
        <w:tc>
          <w:tcPr>
            <w:tcW w:w="18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w w:val="98"/>
              </w:rPr>
              <w:t>Name:</w:t>
            </w:r>
          </w:p>
        </w:tc>
        <w:tc>
          <w:tcPr>
            <w:tcW w:w="20" w:type="dxa"/>
            <w:vAlign w:val="bottom"/>
          </w:tcPr>
          <w:p>
            <w:pPr>
              <w:spacing w:after="0"/>
              <w:rPr>
                <w:sz w:val="24"/>
                <w:szCs w:val="24"/>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Ilan Ganot</w:t>
            </w:r>
          </w:p>
        </w:tc>
      </w:tr>
      <w:tr>
        <w:trPr>
          <w:trHeight w:val="20"/>
        </w:trPr>
        <w:tc>
          <w:tcPr>
            <w:tcW w:w="640" w:type="dxa"/>
            <w:vAlign w:val="bottom"/>
            <w:gridSpan w:val="2"/>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46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Director of Technology Transactions</w:t>
            </w:r>
          </w:p>
        </w:tc>
        <w:tc>
          <w:tcPr>
            <w:tcW w:w="1800" w:type="dxa"/>
            <w:vAlign w:val="bottom"/>
            <w:gridSpan w:val="3"/>
          </w:tcPr>
          <w:p>
            <w:pPr>
              <w:ind w:left="1200"/>
              <w:spacing w:after="0"/>
              <w:rPr>
                <w:sz w:val="20"/>
                <w:szCs w:val="20"/>
                <w:color w:val="auto"/>
              </w:rPr>
            </w:pPr>
            <w:r>
              <w:rPr>
                <w:rFonts w:ascii="Times New Roman" w:cs="Times New Roman" w:eastAsia="Times New Roman" w:hAnsi="Times New Roman"/>
                <w:sz w:val="22"/>
                <w:szCs w:val="22"/>
                <w:color w:val="auto"/>
              </w:rPr>
              <w:t>Title:</w:t>
            </w: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CEO</w:t>
            </w:r>
          </w:p>
        </w:tc>
      </w:tr>
      <w:tr>
        <w:trPr>
          <w:trHeight w:val="236"/>
        </w:trPr>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60" w:type="dxa"/>
            <w:vAlign w:val="bottom"/>
            <w:gridSpan w:val="4"/>
          </w:tcPr>
          <w:p>
            <w:pPr>
              <w:ind w:left="120"/>
              <w:spacing w:after="0" w:line="236" w:lineRule="exact"/>
              <w:rPr>
                <w:sz w:val="20"/>
                <w:szCs w:val="20"/>
                <w:color w:val="auto"/>
              </w:rPr>
            </w:pPr>
            <w:r>
              <w:rPr>
                <w:rFonts w:ascii="Times New Roman" w:cs="Times New Roman" w:eastAsia="Times New Roman" w:hAnsi="Times New Roman"/>
                <w:sz w:val="22"/>
                <w:szCs w:val="22"/>
                <w:color w:val="auto"/>
              </w:rPr>
              <w:t>Office of Technology Development</w:t>
            </w: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0"/>
        </w:trPr>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Borders>
              <w:bottom w:val="single" w:sz="8" w:color="auto"/>
            </w:tcBorders>
            <w:gridSpan w:val="3"/>
          </w:tcPr>
          <w:p>
            <w:pPr>
              <w:ind w:left="120"/>
              <w:spacing w:after="0" w:line="230" w:lineRule="exact"/>
              <w:rPr>
                <w:sz w:val="20"/>
                <w:szCs w:val="20"/>
                <w:color w:val="auto"/>
              </w:rPr>
            </w:pPr>
            <w:r>
              <w:rPr>
                <w:rFonts w:ascii="Times New Roman" w:cs="Times New Roman" w:eastAsia="Times New Roman" w:hAnsi="Times New Roman"/>
                <w:sz w:val="22"/>
                <w:szCs w:val="22"/>
                <w:color w:val="auto"/>
                <w:w w:val="97"/>
              </w:rPr>
              <w:t>Harvard University</w:t>
            </w:r>
          </w:p>
        </w:tc>
        <w:tc>
          <w:tcPr>
            <w:tcW w:w="2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Solid Biosciences, LLC Materials License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Solid Biosciences Inc.</w:t>
            </w:r>
          </w:p>
        </w:tc>
        <w:tc>
          <w:tcPr>
            <w:tcW w:w="560" w:type="dxa"/>
            <w:vAlign w:val="bottom"/>
          </w:tcPr>
          <w:p>
            <w:pPr>
              <w:spacing w:after="0"/>
              <w:rPr>
                <w:sz w:val="17"/>
                <w:szCs w:val="17"/>
                <w:color w:val="auto"/>
              </w:rPr>
            </w:pPr>
          </w:p>
        </w:tc>
      </w:tr>
      <w:tr>
        <w:trPr>
          <w:trHeight w:val="499"/>
        </w:trPr>
        <w:tc>
          <w:tcPr>
            <w:tcW w:w="5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8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c>
          <w:tcPr>
            <w:tcW w:w="560" w:type="dxa"/>
            <w:vAlign w:val="bottom"/>
          </w:tcPr>
          <w:p>
            <w:pPr>
              <w:spacing w:after="0"/>
              <w:rPr>
                <w:sz w:val="24"/>
                <w:szCs w:val="24"/>
                <w:color w:val="auto"/>
              </w:rPr>
            </w:pPr>
          </w:p>
        </w:tc>
      </w:tr>
      <w:tr>
        <w:trPr>
          <w:trHeight w:val="221"/>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AavantiBio, Inc.</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9"/>
                <w:szCs w:val="19"/>
                <w:color w:val="auto"/>
              </w:rPr>
            </w:pPr>
          </w:p>
        </w:tc>
      </w:tr>
      <w:tr>
        <w:trPr>
          <w:trHeight w:val="481"/>
        </w:trPr>
        <w:tc>
          <w:tcPr>
            <w:tcW w:w="5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Solid Biosciences Securities Corporation</w:t>
            </w: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560" w:type="dxa"/>
            <w:vAlign w:val="bottom"/>
          </w:tcPr>
          <w:p>
            <w:pPr>
              <w:spacing w:after="0"/>
              <w:rPr>
                <w:sz w:val="24"/>
                <w:szCs w:val="24"/>
                <w:color w:val="auto"/>
              </w:rPr>
            </w:pPr>
          </w:p>
        </w:tc>
      </w:tr>
      <w:tr>
        <w:trPr>
          <w:trHeight w:val="188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2" w:name="page363"/>
    <w:bookmarkEnd w:id="362"/>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 xml:space="preserve">We hereby consent to the incorporation by reference in the Registration Statements on Form S-3 (Nos. </w:t>
      </w:r>
      <w:r>
        <w:rPr>
          <w:rFonts w:ascii="Georgia" w:cs="Georgia" w:eastAsia="Georgia" w:hAnsi="Georgia"/>
          <w:sz w:val="17"/>
          <w:szCs w:val="17"/>
          <w:color w:val="auto"/>
        </w:rPr>
        <w:t>333-276764</w:t>
      </w:r>
      <w:r>
        <w:rPr>
          <w:rFonts w:ascii="Georgia" w:cs="Georgia" w:eastAsia="Georgia" w:hAnsi="Georgia"/>
          <w:sz w:val="18"/>
          <w:szCs w:val="18"/>
          <w:color w:val="auto"/>
        </w:rPr>
        <w:t>, 333-269424, 333-258859, 333-254310, and 333-233594) and Form S-8 (Nos. 333-272456, 333-270765, 333-269162, 333-268643, 333-265351, 333-258856, 333-241370 and 333-222763) of Solid Biosciences Inc. of our report dated March 13, 2024 relating to the financial statements,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Cumbo, certify that:</w:t>
      </w:r>
    </w:p>
    <w:p>
      <w:pPr>
        <w:spacing w:after="0" w:line="225" w:lineRule="exact"/>
        <w:rPr>
          <w:sz w:val="20"/>
          <w:szCs w:val="20"/>
          <w:color w:val="auto"/>
        </w:rPr>
      </w:pPr>
    </w:p>
    <w:p>
      <w:pPr>
        <w:ind w:left="180" w:hanging="172"/>
        <w:spacing w:after="0"/>
        <w:tabs>
          <w:tab w:leader="none" w:pos="1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Solid Biosciences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1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80" w:firstLine="8"/>
        <w:spacing w:after="0" w:line="282" w:lineRule="auto"/>
        <w:tabs>
          <w:tab w:leader="none" w:pos="1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300" w:val="left"/>
          <w:tab w:leader="none" w:pos="818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26035</wp:posOffset>
            </wp:positionV>
            <wp:extent cx="287147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6">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Alexander Cumbo</w:t>
      </w:r>
    </w:p>
    <w:p>
      <w:pPr>
        <w:spacing w:after="0" w:line="3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Tan, certify that:</w:t>
      </w:r>
    </w:p>
    <w:p>
      <w:pPr>
        <w:spacing w:after="0" w:line="225" w:lineRule="exact"/>
        <w:rPr>
          <w:sz w:val="20"/>
          <w:szCs w:val="20"/>
          <w:color w:val="auto"/>
        </w:rPr>
      </w:pPr>
    </w:p>
    <w:p>
      <w:pPr>
        <w:ind w:left="180" w:hanging="172"/>
        <w:spacing w:after="0"/>
        <w:tabs>
          <w:tab w:leader="none" w:pos="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Solid Biosciences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1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80" w:firstLine="8"/>
        <w:spacing w:after="0" w:line="282" w:lineRule="auto"/>
        <w:tabs>
          <w:tab w:leader="none" w:pos="1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260" w:val="left"/>
          <w:tab w:leader="none" w:pos="848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26035</wp:posOffset>
            </wp:positionV>
            <wp:extent cx="28714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0"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Kevin Tan</w:t>
      </w:r>
    </w:p>
    <w:p>
      <w:pPr>
        <w:spacing w:after="0" w:line="3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Solid Biosciences Inc. (the “Company”) on Form 10-K for the year ended December 31, 2023 as filed with the Securities and Exchange Commission on the date hereof (the “Report”), I, Alexander Cumbo,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020" w:hanging="503"/>
        <w:spacing w:after="0"/>
        <w:tabs>
          <w:tab w:leader="none" w:pos="10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4680" w:val="left"/>
          <w:tab w:leader="none" w:pos="738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5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3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Alexander Cumbo</w:t>
      </w:r>
    </w:p>
    <w:p>
      <w:pPr>
        <w:spacing w:after="0" w:line="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Solid Biosciences Inc. (the “Company”) on Form 10-K for the year ended December 31, 2023 as filed with the Securities and Exchange Commission on the date hereof (the “Report”), I, Kevin Tan,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900" w:hanging="359"/>
        <w:spacing w:after="0"/>
        <w:tabs>
          <w:tab w:leader="none" w:pos="9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2" w:lineRule="exact"/>
        <w:rPr>
          <w:sz w:val="20"/>
          <w:szCs w:val="20"/>
          <w:color w:val="auto"/>
        </w:rPr>
      </w:pPr>
    </w:p>
    <w:p>
      <w:pPr>
        <w:ind w:left="20"/>
        <w:spacing w:after="0"/>
        <w:tabs>
          <w:tab w:leader="none" w:pos="4680" w:val="left"/>
          <w:tab w:leader="none" w:pos="7660" w:val="left"/>
        </w:tabs>
        <w:rPr>
          <w:sz w:val="20"/>
          <w:szCs w:val="20"/>
          <w:color w:val="auto"/>
        </w:rPr>
      </w:pPr>
      <w:r>
        <w:rPr>
          <w:rFonts w:ascii="Times New Roman" w:cs="Times New Roman" w:eastAsia="Times New Roman" w:hAnsi="Times New Roman"/>
          <w:sz w:val="18"/>
          <w:szCs w:val="18"/>
          <w:color w:val="auto"/>
        </w:rPr>
        <w:t>Date: March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52">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3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Kevin Tan</w:t>
      </w:r>
    </w:p>
    <w:p>
      <w:pPr>
        <w:spacing w:after="0" w:line="36"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Dodd-Frank Compensation Recovery Policy</w:t>
      </w:r>
    </w:p>
    <w:p>
      <w:pPr>
        <w:spacing w:after="0" w:line="20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This Compensation Recovery Policy (this “Policy”) is adopted by Solid Biosciences Inc. (the “Company”) in accordance with Nasdaq Listing Rule 5608 (“Rule 5608”), which implements Rule 10D-1 under the Securities Exchange Act of 1934, as amended (the “Exchange Act”) (as promulgated pursuant to Section 954 of the Dodd-Frank Wall Street Reform and Consumer Protection Act of 2010). This Policy is effective as of October 2, 2023 (the “Effective Date”).</w:t>
      </w:r>
    </w:p>
    <w:p>
      <w:pPr>
        <w:spacing w:after="0" w:line="176" w:lineRule="exact"/>
        <w:rPr>
          <w:sz w:val="20"/>
          <w:szCs w:val="20"/>
          <w:color w:val="auto"/>
        </w:rPr>
      </w:pPr>
    </w:p>
    <w:p>
      <w:pPr>
        <w:ind w:left="520" w:hanging="512"/>
        <w:spacing w:after="0"/>
        <w:tabs>
          <w:tab w:leader="none" w:pos="520" w:val="left"/>
        </w:tabs>
        <w:numPr>
          <w:ilvl w:val="0"/>
          <w:numId w:val="30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p>
    <w:p>
      <w:pPr>
        <w:spacing w:after="0" w:line="206" w:lineRule="exact"/>
        <w:rPr>
          <w:rFonts w:ascii="Times New Roman" w:cs="Times New Roman" w:eastAsia="Times New Roman" w:hAnsi="Times New Roman"/>
          <w:sz w:val="22"/>
          <w:szCs w:val="22"/>
          <w:b w:val="1"/>
          <w:bCs w:val="1"/>
          <w:u w:val="single" w:color="auto"/>
          <w:color w:val="auto"/>
        </w:rPr>
      </w:pPr>
    </w:p>
    <w:p>
      <w:pPr>
        <w:ind w:right="120" w:firstLine="757"/>
        <w:spacing w:after="0" w:line="245" w:lineRule="auto"/>
        <w:tabs>
          <w:tab w:leader="none" w:pos="1018" w:val="left"/>
        </w:tabs>
        <w:numPr>
          <w:ilvl w:val="1"/>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w:t>
      </w:r>
    </w:p>
    <w:p>
      <w:pPr>
        <w:spacing w:after="0" w:line="3" w:lineRule="exact"/>
        <w:rPr>
          <w:rFonts w:ascii="Times New Roman" w:cs="Times New Roman" w:eastAsia="Times New Roman" w:hAnsi="Times New Roman"/>
          <w:sz w:val="21"/>
          <w:szCs w:val="21"/>
          <w:color w:val="auto"/>
        </w:rPr>
      </w:pPr>
    </w:p>
    <w:p>
      <w:pPr>
        <w:ind w:right="34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73"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the Compensation Committee of the Company’s Board of Directors (the “Board”).</w:t>
      </w:r>
    </w:p>
    <w:p>
      <w:pPr>
        <w:spacing w:after="0" w:line="206" w:lineRule="exact"/>
        <w:rPr>
          <w:rFonts w:ascii="Times New Roman" w:cs="Times New Roman" w:eastAsia="Times New Roman" w:hAnsi="Times New Roman"/>
          <w:sz w:val="22"/>
          <w:szCs w:val="22"/>
          <w:color w:val="auto"/>
        </w:rPr>
      </w:pPr>
    </w:p>
    <w:p>
      <w:pPr>
        <w:ind w:right="20" w:firstLine="757"/>
        <w:spacing w:after="0" w:line="262" w:lineRule="auto"/>
        <w:tabs>
          <w:tab w:leader="none" w:pos="1018"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at any time during the performance period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Incentive-Based Compensation.</w:t>
      </w:r>
    </w:p>
    <w:p>
      <w:pPr>
        <w:spacing w:after="0" w:line="149" w:lineRule="exact"/>
        <w:rPr>
          <w:rFonts w:ascii="Times New Roman" w:cs="Times New Roman" w:eastAsia="Times New Roman" w:hAnsi="Times New Roman"/>
          <w:sz w:val="22"/>
          <w:szCs w:val="22"/>
          <w:color w:val="auto"/>
        </w:rPr>
      </w:pPr>
    </w:p>
    <w:p>
      <w:pPr>
        <w:ind w:right="20" w:firstLine="757"/>
        <w:spacing w:after="0" w:line="235" w:lineRule="auto"/>
        <w:tabs>
          <w:tab w:leader="none" w:pos="1018"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that was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 The Company will maintain documentation of the determination of that reasonable estimate and provide such documentation to Nasdaq.</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the Company’s officers as defined in Rule 16a-1(f)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8" w:name="page369"/>
    <w:bookmarkEnd w:id="368"/>
    <w:p>
      <w:pPr>
        <w:ind w:right="160" w:firstLine="757"/>
        <w:spacing w:after="0" w:line="241" w:lineRule="auto"/>
        <w:tabs>
          <w:tab w:leader="none" w:pos="101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“Financial Reporting Measures” </w:t>
      </w:r>
      <w:r>
        <w:rPr>
          <w:rFonts w:ascii="Times New Roman" w:cs="Times New Roman" w:eastAsia="Times New Roman" w:hAnsi="Times New Roman"/>
          <w:sz w:val="22"/>
          <w:szCs w:val="22"/>
          <w:color w:val="auto"/>
        </w:rPr>
        <w:t>means (A) measures that are determined and presented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171"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attainment of a Financial Reporting Measure.</w:t>
      </w:r>
    </w:p>
    <w:p>
      <w:pPr>
        <w:spacing w:after="0" w:line="150"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color w:val="auto"/>
        </w:rPr>
        <w:t xml:space="preserve">(h)Incentive-Based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72" w:lineRule="exact"/>
        <w:rPr>
          <w:sz w:val="20"/>
          <w:szCs w:val="20"/>
          <w:color w:val="auto"/>
        </w:rPr>
      </w:pPr>
    </w:p>
    <w:p>
      <w:pPr>
        <w:ind w:right="80" w:firstLine="757"/>
        <w:spacing w:after="0" w:line="237" w:lineRule="auto"/>
        <w:tabs>
          <w:tab w:leader="none" w:pos="1018" w:val="left"/>
        </w:tabs>
        <w:numPr>
          <w:ilvl w:val="1"/>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(A) the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7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1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Recovery of Erroneously Awarded Compensation</w:t>
      </w:r>
    </w:p>
    <w:p>
      <w:pPr>
        <w:spacing w:after="0" w:line="210"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Subject to the terms of this Policy and the requirements of Rule 5608, if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176" w:lineRule="exact"/>
        <w:rPr>
          <w:sz w:val="20"/>
          <w:szCs w:val="20"/>
          <w:color w:val="auto"/>
        </w:rPr>
      </w:pPr>
    </w:p>
    <w:p>
      <w:pPr>
        <w:ind w:left="520" w:hanging="512"/>
        <w:spacing w:after="0"/>
        <w:tabs>
          <w:tab w:leader="none" w:pos="520" w:val="left"/>
        </w:tabs>
        <w:numPr>
          <w:ilvl w:val="0"/>
          <w:numId w:val="31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210" w:lineRule="exact"/>
        <w:rPr>
          <w:rFonts w:ascii="Times New Roman" w:cs="Times New Roman" w:eastAsia="Times New Roman" w:hAnsi="Times New Roman"/>
          <w:sz w:val="22"/>
          <w:szCs w:val="22"/>
          <w:b w:val="1"/>
          <w:bCs w:val="1"/>
          <w:u w:val="single" w:color="auto"/>
          <w:color w:val="auto"/>
        </w:rPr>
      </w:pPr>
    </w:p>
    <w:p>
      <w:pPr>
        <w:jc w:val="both"/>
        <w:ind w:right="360" w:firstLine="757"/>
        <w:spacing w:after="0" w:line="244" w:lineRule="auto"/>
        <w:tabs>
          <w:tab w:leader="none" w:pos="1018"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the Committee</w:t>
      </w:r>
      <w:r>
        <w:rPr>
          <w:rFonts w:ascii="Times New Roman" w:cs="Times New Roman" w:eastAsia="Times New Roman" w:hAnsi="Times New Roman"/>
          <w:sz w:val="22"/>
          <w:szCs w:val="22"/>
          <w:color w:val="auto"/>
        </w:rPr>
        <w:t>. This Policy will be interpreted by the Committee in a manner that is consistent with Rule 5608 and any other applicable law and will otherwise be interpreted in the business judgment of the Committee. All decisions and interpretations of the Committee that are consistent with Rule 5608 will be final and binding.</w:t>
      </w:r>
    </w:p>
    <w:p>
      <w:pPr>
        <w:spacing w:after="0" w:line="173" w:lineRule="exact"/>
        <w:rPr>
          <w:rFonts w:ascii="Times New Roman" w:cs="Times New Roman" w:eastAsia="Times New Roman" w:hAnsi="Times New Roman"/>
          <w:sz w:val="22"/>
          <w:szCs w:val="22"/>
          <w:color w:val="auto"/>
        </w:rPr>
      </w:pPr>
    </w:p>
    <w:p>
      <w:pPr>
        <w:ind w:right="540" w:firstLine="757"/>
        <w:spacing w:after="0" w:line="244" w:lineRule="auto"/>
        <w:tabs>
          <w:tab w:leader="none" w:pos="1018"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Incentive-Based Compensation that was Received before the Effective Date. With respect to any Covered Person, this Policy does not apply to Incentive-Based Compensation that was Received by such Covered Person before beginning service as an Executive Officer.</w:t>
      </w:r>
    </w:p>
    <w:p>
      <w:pPr>
        <w:spacing w:after="0" w:line="173" w:lineRule="exact"/>
        <w:rPr>
          <w:rFonts w:ascii="Times New Roman" w:cs="Times New Roman" w:eastAsia="Times New Roman" w:hAnsi="Times New Roman"/>
          <w:sz w:val="22"/>
          <w:szCs w:val="22"/>
          <w:color w:val="auto"/>
        </w:rPr>
      </w:pPr>
    </w:p>
    <w:p>
      <w:pPr>
        <w:ind w:right="220" w:firstLine="757"/>
        <w:spacing w:after="0" w:line="244" w:lineRule="auto"/>
        <w:tabs>
          <w:tab w:leader="none" w:pos="1018" w:val="left"/>
        </w:tabs>
        <w:numPr>
          <w:ilvl w:val="1"/>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be made reasonably promptly, the Committee will determine the appropriate means of recovery, which may vary between Covered Persons or based on the nature of the applicable</w:t>
      </w:r>
    </w:p>
    <w:p>
      <w:pPr>
        <w:spacing w:after="0" w:line="3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69" w:name="page370"/>
    <w:bookmarkEnd w:id="369"/>
    <w:p>
      <w:pPr>
        <w:spacing w:after="0" w:line="239" w:lineRule="auto"/>
        <w:rPr>
          <w:sz w:val="20"/>
          <w:szCs w:val="20"/>
          <w:color w:val="auto"/>
        </w:rPr>
      </w:pPr>
      <w:r>
        <w:rPr>
          <w:rFonts w:ascii="Times New Roman" w:cs="Times New Roman" w:eastAsia="Times New Roman" w:hAnsi="Times New Roman"/>
          <w:sz w:val="22"/>
          <w:szCs w:val="22"/>
          <w:color w:val="auto"/>
        </w:rPr>
        <w:t>Incentive-Based Compensation, and which may involve, without limitation, establishing a deferred repayment plan or setting off against current or future compensation otherwise payable to the Covered Person. Recovery of Erroneously Awarded Compensation will be made without regard to income taxes paid by the Covered Person or by the Company on the Covered Person’s behalf in connection with such Erroneously Awarded Compensation.</w:t>
      </w:r>
    </w:p>
    <w:p>
      <w:pPr>
        <w:spacing w:after="0" w:line="180" w:lineRule="exact"/>
        <w:rPr>
          <w:sz w:val="20"/>
          <w:szCs w:val="20"/>
          <w:color w:val="auto"/>
        </w:rPr>
      </w:pPr>
    </w:p>
    <w:p>
      <w:pPr>
        <w:ind w:right="280" w:firstLine="757"/>
        <w:spacing w:after="0" w:line="235" w:lineRule="auto"/>
        <w:tabs>
          <w:tab w:leader="none" w:pos="101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That Recovery is Impracticable</w:t>
      </w:r>
      <w:r>
        <w:rPr>
          <w:rFonts w:ascii="Times New Roman" w:cs="Times New Roman" w:eastAsia="Times New Roman" w:hAnsi="Times New Roman"/>
          <w:sz w:val="22"/>
          <w:szCs w:val="22"/>
          <w:color w:val="auto"/>
        </w:rPr>
        <w:t>. The Company is not required to recover Erroneously Awarded Compensation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or (B) recovery of such Erroneously Awarded Compensation would likely cause an otherwise tax-qualified retirement plan, under which benefits are broadly available to employees of the Company, to fail to meet the requirements of Section 401(a)(13) or 411(a) of the Internal Revenue Code and regulations thereunder.</w:t>
      </w:r>
    </w:p>
    <w:p>
      <w:pPr>
        <w:spacing w:after="0" w:line="183" w:lineRule="exact"/>
        <w:rPr>
          <w:rFonts w:ascii="Times New Roman" w:cs="Times New Roman" w:eastAsia="Times New Roman" w:hAnsi="Times New Roman"/>
          <w:sz w:val="22"/>
          <w:szCs w:val="22"/>
          <w:color w:val="auto"/>
        </w:rPr>
      </w:pPr>
    </w:p>
    <w:p>
      <w:pPr>
        <w:jc w:val="both"/>
        <w:ind w:right="100" w:firstLine="757"/>
        <w:spacing w:after="0" w:line="244" w:lineRule="auto"/>
        <w:tabs>
          <w:tab w:leader="none" w:pos="101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indemnify any Covered Person against the loss of Erroneously Awarded Compensation and will not pay or reimburse any Covered Person for the purchase of a third-party insurance policy to fund potential recovery obligations.</w:t>
      </w:r>
    </w:p>
    <w:p>
      <w:pPr>
        <w:spacing w:after="0" w:line="173" w:lineRule="exact"/>
        <w:rPr>
          <w:rFonts w:ascii="Times New Roman" w:cs="Times New Roman" w:eastAsia="Times New Roman" w:hAnsi="Times New Roman"/>
          <w:sz w:val="22"/>
          <w:szCs w:val="22"/>
          <w:color w:val="auto"/>
        </w:rPr>
      </w:pPr>
    </w:p>
    <w:p>
      <w:pPr>
        <w:ind w:right="60" w:firstLine="757"/>
        <w:spacing w:after="0" w:line="244" w:lineRule="auto"/>
        <w:tabs>
          <w:tab w:leader="none" w:pos="101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Interaction with Other Clawback Provisions</w:t>
      </w:r>
      <w:r>
        <w:rPr>
          <w:rFonts w:ascii="Times New Roman" w:cs="Times New Roman" w:eastAsia="Times New Roman" w:hAnsi="Times New Roman"/>
          <w:sz w:val="22"/>
          <w:szCs w:val="22"/>
          <w:color w:val="auto"/>
        </w:rPr>
        <w:t>. The Company will be deemed to have recovered Erroneously Awarded Compensation in accordance with this Policy to the extent the Company actually receives such amounts pursuant to any other Company policy, program or agreement, pursuant to Section 304 of the Sarbanes-Oxley Act or otherwise.</w:t>
      </w:r>
    </w:p>
    <w:p>
      <w:pPr>
        <w:spacing w:after="0" w:line="173" w:lineRule="exact"/>
        <w:rPr>
          <w:rFonts w:ascii="Times New Roman" w:cs="Times New Roman" w:eastAsia="Times New Roman" w:hAnsi="Times New Roman"/>
          <w:sz w:val="22"/>
          <w:szCs w:val="22"/>
          <w:color w:val="auto"/>
        </w:rPr>
      </w:pPr>
    </w:p>
    <w:p>
      <w:pPr>
        <w:ind w:right="80" w:firstLine="757"/>
        <w:spacing w:after="0" w:line="244" w:lineRule="auto"/>
        <w:tabs>
          <w:tab w:leader="none" w:pos="1018"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on November 12, 2023.</w:t>
      </w:r>
    </w:p>
    <w:p>
      <w:pPr>
        <w:spacing w:after="0" w:line="3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370" w:name="page371"/>
    <w:bookmarkEnd w:id="3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5413BEC"/>
    <w:multiLevelType w:val="hybridMultilevel"/>
    <w:lvl w:ilvl="0">
      <w:lvlJc w:val="left"/>
      <w:lvlText w:val="☒"/>
      <w:numFmt w:val="bullet"/>
      <w:start w:val="1"/>
    </w:lvl>
  </w:abstractNum>
  <w:abstractNum w:abstractNumId="1">
    <w:nsid w:val="17180B0B"/>
    <w:multiLevelType w:val="hybridMultilevel"/>
    <w:lvl w:ilvl="0">
      <w:lvlJc w:val="left"/>
      <w:lvlText w:val="☐"/>
      <w:numFmt w:val="bullet"/>
      <w:start w:val="1"/>
    </w:lvl>
  </w:abstractNum>
  <w:abstractNum w:abstractNumId="2">
    <w:nsid w:val="579328B9"/>
    <w:multiLevelType w:val="hybridMultilevel"/>
    <w:lvl w:ilvl="0">
      <w:lvlJc w:val="left"/>
      <w:lvlText w:val="•"/>
      <w:numFmt w:val="bullet"/>
      <w:start w:val="1"/>
    </w:lvl>
  </w:abstractNum>
  <w:abstractNum w:abstractNumId="3">
    <w:nsid w:val="5D205E20"/>
    <w:multiLevelType w:val="hybridMultilevel"/>
    <w:lvl w:ilvl="0">
      <w:lvlJc w:val="left"/>
      <w:lvlText w:val="•"/>
      <w:numFmt w:val="bullet"/>
      <w:start w:val="1"/>
    </w:lvl>
  </w:abstractNum>
  <w:abstractNum w:abstractNumId="4">
    <w:nsid w:val="11CCA8BA"/>
    <w:multiLevelType w:val="hybridMultilevel"/>
    <w:lvl w:ilvl="0">
      <w:lvlJc w:val="left"/>
      <w:lvlText w:val="•"/>
      <w:numFmt w:val="bullet"/>
      <w:start w:val="1"/>
    </w:lvl>
  </w:abstractNum>
  <w:abstractNum w:abstractNumId="5">
    <w:nsid w:val="4D32AB86"/>
    <w:multiLevelType w:val="hybridMultilevel"/>
    <w:lvl w:ilvl="0">
      <w:lvlJc w:val="left"/>
      <w:lvlText w:val="•"/>
      <w:numFmt w:val="bullet"/>
      <w:start w:val="1"/>
    </w:lvl>
  </w:abstractNum>
  <w:abstractNum w:abstractNumId="6">
    <w:nsid w:val="3F07ACC3"/>
    <w:multiLevelType w:val="hybridMultilevel"/>
    <w:lvl w:ilvl="0">
      <w:lvlJc w:val="left"/>
      <w:lvlText w:val="•"/>
      <w:numFmt w:val="bullet"/>
      <w:start w:val="1"/>
    </w:lvl>
  </w:abstractNum>
  <w:abstractNum w:abstractNumId="7">
    <w:nsid w:val="6B47F63E"/>
    <w:multiLevelType w:val="hybridMultilevel"/>
    <w:lvl w:ilvl="0">
      <w:lvlJc w:val="left"/>
      <w:lvlText w:val="•"/>
      <w:numFmt w:val="bullet"/>
      <w:start w:val="1"/>
    </w:lvl>
  </w:abstractNum>
  <w:abstractNum w:abstractNumId="8">
    <w:nsid w:val="5CB44A05"/>
    <w:multiLevelType w:val="hybridMultilevel"/>
    <w:lvl w:ilvl="0">
      <w:lvlJc w:val="left"/>
      <w:lvlText w:val="•"/>
      <w:numFmt w:val="bullet"/>
      <w:start w:val="1"/>
    </w:lvl>
  </w:abstractNum>
  <w:abstractNum w:abstractNumId="9">
    <w:nsid w:val="16CF80F1"/>
    <w:multiLevelType w:val="hybridMultilevel"/>
    <w:lvl w:ilvl="0">
      <w:lvlJc w:val="left"/>
      <w:lvlText w:val="•"/>
      <w:numFmt w:val="bullet"/>
      <w:start w:val="1"/>
    </w:lvl>
  </w:abstractNum>
  <w:abstractNum w:abstractNumId="10">
    <w:nsid w:val="1C695DEC"/>
    <w:multiLevelType w:val="hybridMultilevel"/>
    <w:lvl w:ilvl="0">
      <w:lvlJc w:val="left"/>
      <w:lvlText w:val="•"/>
      <w:numFmt w:val="bullet"/>
      <w:start w:val="1"/>
    </w:lvl>
  </w:abstractNum>
  <w:abstractNum w:abstractNumId="11">
    <w:nsid w:val="3FCFAED9"/>
    <w:multiLevelType w:val="hybridMultilevel"/>
    <w:lvl w:ilvl="0">
      <w:lvlJc w:val="left"/>
      <w:lvlText w:val="•"/>
      <w:numFmt w:val="bullet"/>
      <w:start w:val="1"/>
    </w:lvl>
  </w:abstractNum>
  <w:abstractNum w:abstractNumId="12">
    <w:nsid w:val="F856867"/>
    <w:multiLevelType w:val="hybridMultilevel"/>
    <w:lvl w:ilvl="0">
      <w:lvlJc w:val="left"/>
      <w:lvlText w:val="•"/>
      <w:numFmt w:val="bullet"/>
      <w:start w:val="1"/>
    </w:lvl>
  </w:abstractNum>
  <w:abstractNum w:abstractNumId="13">
    <w:nsid w:val="11B1CC33"/>
    <w:multiLevelType w:val="hybridMultilevel"/>
    <w:lvl w:ilvl="0">
      <w:lvlJc w:val="left"/>
      <w:lvlText w:val="•"/>
      <w:numFmt w:val="bullet"/>
      <w:start w:val="1"/>
    </w:lvl>
  </w:abstractNum>
  <w:abstractNum w:abstractNumId="14">
    <w:nsid w:val="2E22FBB7"/>
    <w:multiLevelType w:val="hybridMultilevel"/>
    <w:lvl w:ilvl="0">
      <w:lvlJc w:val="left"/>
      <w:lvlText w:val="(%1)"/>
      <w:numFmt w:val="decimal"/>
      <w:start w:val="617"/>
    </w:lvl>
  </w:abstractNum>
  <w:abstractNum w:abstractNumId="15">
    <w:nsid w:val="29934699"/>
    <w:multiLevelType w:val="hybridMultilevel"/>
    <w:lvl w:ilvl="0">
      <w:lvlJc w:val="left"/>
      <w:lvlText w:val="•"/>
      <w:numFmt w:val="bullet"/>
      <w:start w:val="1"/>
    </w:lvl>
  </w:abstractNum>
  <w:abstractNum w:abstractNumId="16">
    <w:nsid w:val="77485850"/>
    <w:multiLevelType w:val="hybridMultilevel"/>
    <w:lvl w:ilvl="0">
      <w:lvlJc w:val="left"/>
      <w:lvlText w:val="•"/>
      <w:numFmt w:val="bullet"/>
      <w:start w:val="1"/>
    </w:lvl>
  </w:abstractNum>
  <w:abstractNum w:abstractNumId="17">
    <w:nsid w:val="744939A3"/>
    <w:multiLevelType w:val="hybridMultilevel"/>
    <w:lvl w:ilvl="0">
      <w:lvlJc w:val="left"/>
      <w:lvlText w:val="•"/>
      <w:numFmt w:val="bullet"/>
      <w:start w:val="1"/>
    </w:lvl>
  </w:abstractNum>
  <w:abstractNum w:abstractNumId="18">
    <w:nsid w:val="4FA0D2E3"/>
    <w:multiLevelType w:val="hybridMultilevel"/>
    <w:lvl w:ilvl="0">
      <w:lvlJc w:val="left"/>
      <w:lvlText w:val="•"/>
      <w:numFmt w:val="bullet"/>
      <w:start w:val="1"/>
    </w:lvl>
  </w:abstractNum>
  <w:abstractNum w:abstractNumId="19">
    <w:nsid w:val="6B1D2C14"/>
    <w:multiLevelType w:val="hybridMultilevel"/>
    <w:lvl w:ilvl="0">
      <w:lvlJc w:val="left"/>
      <w:lvlText w:val="•"/>
      <w:numFmt w:val="bullet"/>
      <w:start w:val="1"/>
    </w:lvl>
  </w:abstractNum>
  <w:abstractNum w:abstractNumId="20">
    <w:nsid w:val="68B867D3"/>
    <w:multiLevelType w:val="hybridMultilevel"/>
    <w:lvl w:ilvl="0">
      <w:lvlJc w:val="left"/>
      <w:lvlText w:val="•"/>
      <w:numFmt w:val="bullet"/>
      <w:start w:val="1"/>
    </w:lvl>
  </w:abstractNum>
  <w:abstractNum w:abstractNumId="21">
    <w:nsid w:val="3F7F5DD9"/>
    <w:multiLevelType w:val="hybridMultilevel"/>
    <w:lvl w:ilvl="0">
      <w:lvlJc w:val="left"/>
      <w:lvlText w:val="•"/>
      <w:numFmt w:val="bullet"/>
      <w:start w:val="1"/>
    </w:lvl>
  </w:abstractNum>
  <w:abstractNum w:abstractNumId="22">
    <w:nsid w:val="2AE05A34"/>
    <w:multiLevelType w:val="hybridMultilevel"/>
    <w:lvl w:ilvl="0">
      <w:lvlJc w:val="left"/>
      <w:lvlText w:val="•"/>
      <w:numFmt w:val="bullet"/>
      <w:start w:val="1"/>
    </w:lvl>
  </w:abstractNum>
  <w:abstractNum w:abstractNumId="23">
    <w:nsid w:val="32794FF7"/>
    <w:multiLevelType w:val="hybridMultilevel"/>
    <w:lvl w:ilvl="0">
      <w:lvlJc w:val="left"/>
      <w:lvlText w:val="•"/>
      <w:numFmt w:val="bullet"/>
      <w:start w:val="1"/>
    </w:lvl>
  </w:abstractNum>
  <w:abstractNum w:abstractNumId="24">
    <w:nsid w:val="5454945E"/>
    <w:multiLevelType w:val="hybridMultilevel"/>
    <w:lvl w:ilvl="0">
      <w:lvlJc w:val="left"/>
      <w:lvlText w:val="•"/>
      <w:numFmt w:val="bullet"/>
      <w:start w:val="1"/>
    </w:lvl>
  </w:abstractNum>
  <w:abstractNum w:abstractNumId="25">
    <w:nsid w:val="4DEFDFA0"/>
    <w:multiLevelType w:val="hybridMultilevel"/>
    <w:lvl w:ilvl="0">
      <w:lvlJc w:val="left"/>
      <w:lvlText w:val="•"/>
      <w:numFmt w:val="bullet"/>
      <w:start w:val="1"/>
    </w:lvl>
  </w:abstractNum>
  <w:abstractNum w:abstractNumId="26">
    <w:nsid w:val="2123D5F2"/>
    <w:multiLevelType w:val="hybridMultilevel"/>
    <w:lvl w:ilvl="0">
      <w:lvlJc w:val="left"/>
      <w:lvlText w:val="•"/>
      <w:numFmt w:val="bullet"/>
      <w:start w:val="1"/>
    </w:lvl>
  </w:abstractNum>
  <w:abstractNum w:abstractNumId="27">
    <w:nsid w:val="135B8110"/>
    <w:multiLevelType w:val="hybridMultilevel"/>
    <w:lvl w:ilvl="0">
      <w:lvlJc w:val="left"/>
      <w:lvlText w:val="•"/>
      <w:numFmt w:val="bullet"/>
      <w:start w:val="1"/>
    </w:lvl>
  </w:abstractNum>
  <w:abstractNum w:abstractNumId="28">
    <w:nsid w:val="94927A8"/>
    <w:multiLevelType w:val="hybridMultilevel"/>
    <w:lvl w:ilvl="0">
      <w:lvlJc w:val="left"/>
      <w:lvlText w:val="•"/>
      <w:numFmt w:val="bullet"/>
      <w:start w:val="1"/>
    </w:lvl>
  </w:abstractNum>
  <w:abstractNum w:abstractNumId="29">
    <w:nsid w:val="DCDF8F6"/>
    <w:multiLevelType w:val="hybridMultilevel"/>
    <w:lvl w:ilvl="0">
      <w:lvlJc w:val="left"/>
      <w:lvlText w:val="•"/>
      <w:numFmt w:val="bullet"/>
      <w:start w:val="1"/>
    </w:lvl>
  </w:abstractNum>
  <w:abstractNum w:abstractNumId="30">
    <w:nsid w:val="52D7B105"/>
    <w:multiLevelType w:val="hybridMultilevel"/>
    <w:lvl w:ilvl="0">
      <w:lvlJc w:val="left"/>
      <w:lvlText w:val="•"/>
      <w:numFmt w:val="bullet"/>
      <w:start w:val="1"/>
    </w:lvl>
  </w:abstractNum>
  <w:abstractNum w:abstractNumId="31">
    <w:nsid w:val="2E8A6394"/>
    <w:multiLevelType w:val="hybridMultilevel"/>
    <w:lvl w:ilvl="0">
      <w:lvlJc w:val="left"/>
      <w:lvlText w:val="•"/>
      <w:numFmt w:val="bullet"/>
      <w:start w:val="1"/>
    </w:lvl>
  </w:abstractNum>
  <w:abstractNum w:abstractNumId="32">
    <w:nsid w:val="24E60401"/>
    <w:multiLevelType w:val="hybridMultilevel"/>
    <w:lvl w:ilvl="0">
      <w:lvlJc w:val="left"/>
      <w:lvlText w:val="•"/>
      <w:numFmt w:val="bullet"/>
      <w:start w:val="1"/>
    </w:lvl>
  </w:abstractNum>
  <w:abstractNum w:abstractNumId="33">
    <w:nsid w:val="2A6AD9BE"/>
    <w:multiLevelType w:val="hybridMultilevel"/>
    <w:lvl w:ilvl="0">
      <w:lvlJc w:val="left"/>
      <w:lvlText w:val="•"/>
      <w:numFmt w:val="bullet"/>
      <w:start w:val="1"/>
    </w:lvl>
  </w:abstractNum>
  <w:abstractNum w:abstractNumId="34">
    <w:nsid w:val="BAAC1B4"/>
    <w:multiLevelType w:val="hybridMultilevel"/>
    <w:lvl w:ilvl="0">
      <w:lvlJc w:val="left"/>
      <w:lvlText w:val="•"/>
      <w:numFmt w:val="bullet"/>
      <w:start w:val="1"/>
    </w:lvl>
  </w:abstractNum>
  <w:abstractNum w:abstractNumId="35">
    <w:nsid w:val="36B2ACBC"/>
    <w:multiLevelType w:val="hybridMultilevel"/>
    <w:lvl w:ilvl="0">
      <w:lvlJc w:val="left"/>
      <w:lvlText w:val="•"/>
      <w:numFmt w:val="bullet"/>
      <w:start w:val="1"/>
    </w:lvl>
  </w:abstractNum>
  <w:abstractNum w:abstractNumId="36">
    <w:nsid w:val="779D8544"/>
    <w:multiLevelType w:val="hybridMultilevel"/>
    <w:lvl w:ilvl="0">
      <w:lvlJc w:val="left"/>
      <w:lvlText w:val="•"/>
      <w:numFmt w:val="bullet"/>
      <w:start w:val="1"/>
    </w:lvl>
  </w:abstractNum>
  <w:abstractNum w:abstractNumId="37">
    <w:nsid w:val="4AB26E78"/>
    <w:multiLevelType w:val="hybridMultilevel"/>
    <w:lvl w:ilvl="0">
      <w:lvlJc w:val="left"/>
      <w:lvlText w:val="•"/>
      <w:numFmt w:val="bullet"/>
      <w:start w:val="1"/>
    </w:lvl>
  </w:abstractNum>
  <w:abstractNum w:abstractNumId="38">
    <w:nsid w:val="21FAA2FA"/>
    <w:multiLevelType w:val="hybridMultilevel"/>
    <w:lvl w:ilvl="0">
      <w:lvlJc w:val="left"/>
      <w:lvlText w:val="•"/>
      <w:numFmt w:val="bullet"/>
      <w:start w:val="1"/>
    </w:lvl>
  </w:abstractNum>
  <w:abstractNum w:abstractNumId="39">
    <w:nsid w:val="5451CF49"/>
    <w:multiLevelType w:val="hybridMultilevel"/>
    <w:lvl w:ilvl="0">
      <w:lvlJc w:val="left"/>
      <w:lvlText w:val="•"/>
      <w:numFmt w:val="bullet"/>
      <w:start w:val="1"/>
    </w:lvl>
  </w:abstractNum>
  <w:abstractNum w:abstractNumId="40">
    <w:nsid w:val="6181EF69"/>
    <w:multiLevelType w:val="hybridMultilevel"/>
    <w:lvl w:ilvl="0">
      <w:lvlJc w:val="left"/>
      <w:lvlText w:val="•"/>
      <w:numFmt w:val="bullet"/>
      <w:start w:val="1"/>
    </w:lvl>
  </w:abstractNum>
  <w:abstractNum w:abstractNumId="41">
    <w:nsid w:val="3E6400E6"/>
    <w:multiLevelType w:val="hybridMultilevel"/>
    <w:lvl w:ilvl="0">
      <w:lvlJc w:val="left"/>
      <w:lvlText w:val="•"/>
      <w:numFmt w:val="bullet"/>
      <w:start w:val="1"/>
    </w:lvl>
  </w:abstractNum>
  <w:abstractNum w:abstractNumId="42">
    <w:nsid w:val="14217E23"/>
    <w:multiLevelType w:val="hybridMultilevel"/>
    <w:lvl w:ilvl="0">
      <w:lvlJc w:val="left"/>
      <w:lvlText w:val="•"/>
      <w:numFmt w:val="bullet"/>
      <w:start w:val="1"/>
    </w:lvl>
  </w:abstractNum>
  <w:abstractNum w:abstractNumId="43">
    <w:nsid w:val="710757D0"/>
    <w:multiLevelType w:val="hybridMultilevel"/>
    <w:lvl w:ilvl="0">
      <w:lvlJc w:val="left"/>
      <w:lvlText w:val="•"/>
      <w:numFmt w:val="bullet"/>
      <w:start w:val="1"/>
    </w:lvl>
  </w:abstractNum>
  <w:abstractNum w:abstractNumId="44">
    <w:nsid w:val="5015CD1A"/>
    <w:multiLevelType w:val="hybridMultilevel"/>
    <w:lvl w:ilvl="0">
      <w:lvlJc w:val="left"/>
      <w:lvlText w:val="•"/>
      <w:numFmt w:val="bullet"/>
      <w:start w:val="1"/>
    </w:lvl>
  </w:abstractNum>
  <w:abstractNum w:abstractNumId="45">
    <w:nsid w:val="424479DA"/>
    <w:multiLevelType w:val="hybridMultilevel"/>
    <w:lvl w:ilvl="0">
      <w:lvlJc w:val="left"/>
      <w:lvlText w:val="•"/>
      <w:numFmt w:val="bullet"/>
      <w:start w:val="1"/>
    </w:lvl>
  </w:abstractNum>
  <w:abstractNum w:abstractNumId="46">
    <w:nsid w:val="1A9A9E69"/>
    <w:multiLevelType w:val="hybridMultilevel"/>
    <w:lvl w:ilvl="0">
      <w:lvlJc w:val="left"/>
      <w:lvlText w:val="•"/>
      <w:numFmt w:val="bullet"/>
      <w:start w:val="1"/>
    </w:lvl>
  </w:abstractNum>
  <w:abstractNum w:abstractNumId="47">
    <w:nsid w:val="475E256A"/>
    <w:multiLevelType w:val="hybridMultilevel"/>
    <w:lvl w:ilvl="0">
      <w:lvlJc w:val="left"/>
      <w:lvlText w:val="•"/>
      <w:numFmt w:val="bullet"/>
      <w:start w:val="1"/>
    </w:lvl>
  </w:abstractNum>
  <w:abstractNum w:abstractNumId="48">
    <w:nsid w:val="368DB37E"/>
    <w:multiLevelType w:val="hybridMultilevel"/>
    <w:lvl w:ilvl="0">
      <w:lvlJc w:val="left"/>
      <w:lvlText w:val="•"/>
      <w:numFmt w:val="bullet"/>
      <w:start w:val="1"/>
    </w:lvl>
  </w:abstractNum>
  <w:abstractNum w:abstractNumId="49">
    <w:nsid w:val="6A3B714C"/>
    <w:multiLevelType w:val="hybridMultilevel"/>
    <w:lvl w:ilvl="0">
      <w:lvlJc w:val="left"/>
      <w:lvlText w:val="•"/>
      <w:numFmt w:val="bullet"/>
      <w:start w:val="1"/>
    </w:lvl>
  </w:abstractNum>
  <w:abstractNum w:abstractNumId="50">
    <w:nsid w:val="327B517E"/>
    <w:multiLevelType w:val="hybridMultilevel"/>
    <w:lvl w:ilvl="0">
      <w:lvlJc w:val="left"/>
      <w:lvlText w:val="•"/>
      <w:numFmt w:val="bullet"/>
      <w:start w:val="1"/>
    </w:lvl>
  </w:abstractNum>
  <w:abstractNum w:abstractNumId="51">
    <w:nsid w:val="1F461B51"/>
    <w:multiLevelType w:val="hybridMultilevel"/>
    <w:lvl w:ilvl="0">
      <w:lvlJc w:val="left"/>
      <w:lvlText w:val="•"/>
      <w:numFmt w:val="bullet"/>
      <w:start w:val="1"/>
    </w:lvl>
  </w:abstractNum>
  <w:abstractNum w:abstractNumId="52">
    <w:nsid w:val="29BACF25"/>
    <w:multiLevelType w:val="hybridMultilevel"/>
    <w:lvl w:ilvl="0">
      <w:lvlJc w:val="left"/>
      <w:lvlText w:val="•"/>
      <w:numFmt w:val="bullet"/>
      <w:start w:val="1"/>
    </w:lvl>
  </w:abstractNum>
  <w:abstractNum w:abstractNumId="53">
    <w:nsid w:val="5D5BABB3"/>
    <w:multiLevelType w:val="hybridMultilevel"/>
    <w:lvl w:ilvl="0">
      <w:lvlJc w:val="left"/>
      <w:lvlText w:val="•"/>
      <w:numFmt w:val="bullet"/>
      <w:start w:val="1"/>
    </w:lvl>
  </w:abstractNum>
  <w:abstractNum w:abstractNumId="54">
    <w:nsid w:val="51BF6B48"/>
    <w:multiLevelType w:val="hybridMultilevel"/>
    <w:lvl w:ilvl="0">
      <w:lvlJc w:val="left"/>
      <w:lvlText w:val="(%1)"/>
      <w:numFmt w:val="decimal"/>
      <w:start w:val="3"/>
    </w:lvl>
  </w:abstractNum>
  <w:abstractNum w:abstractNumId="55">
    <w:nsid w:val="7E0F6384"/>
    <w:multiLevelType w:val="hybridMultilevel"/>
    <w:lvl w:ilvl="0">
      <w:lvlJc w:val="left"/>
      <w:lvlText w:val="*"/>
      <w:numFmt w:val="bullet"/>
      <w:start w:val="1"/>
    </w:lvl>
    <w:lvl w:ilvl="1">
      <w:lvlJc w:val="left"/>
      <w:lvlText w:val="%2"/>
      <w:numFmt w:val="decimal"/>
      <w:start w:val="104"/>
    </w:lvl>
  </w:abstractNum>
  <w:abstractNum w:abstractNumId="56">
    <w:nsid w:val="2B4B8B53"/>
    <w:multiLevelType w:val="hybridMultilevel"/>
    <w:lvl w:ilvl="0">
      <w:lvlJc w:val="left"/>
      <w:lvlText w:val="**"/>
      <w:numFmt w:val="bullet"/>
      <w:start w:val="1"/>
    </w:lvl>
    <w:lvl w:ilvl="1">
      <w:lvlJc w:val="left"/>
      <w:lvlText w:val="%2"/>
      <w:numFmt w:val="decimal"/>
      <w:start w:val="1"/>
    </w:lvl>
  </w:abstractNum>
  <w:abstractNum w:abstractNumId="57">
    <w:nsid w:val="72E3413A"/>
    <w:multiLevelType w:val="hybridMultilevel"/>
    <w:lvl w:ilvl="0">
      <w:lvlJc w:val="left"/>
      <w:lvlText w:val="#"/>
      <w:numFmt w:val="bullet"/>
      <w:start w:val="1"/>
    </w:lvl>
  </w:abstractNum>
  <w:abstractNum w:abstractNumId="58">
    <w:nsid w:val="116AE494"/>
    <w:multiLevelType w:val="hybridMultilevel"/>
    <w:lvl w:ilvl="0">
      <w:lvlJc w:val="left"/>
      <w:lvlText w:val="%1."/>
      <w:numFmt w:val="decimal"/>
      <w:start w:val="2"/>
    </w:lvl>
  </w:abstractNum>
  <w:abstractNum w:abstractNumId="59">
    <w:nsid w:val="3494B2FB"/>
    <w:multiLevelType w:val="hybridMultilevel"/>
    <w:lvl w:ilvl="0">
      <w:lvlJc w:val="left"/>
      <w:lvlText w:val="•"/>
      <w:numFmt w:val="bullet"/>
      <w:start w:val="1"/>
    </w:lvl>
  </w:abstractNum>
  <w:abstractNum w:abstractNumId="60">
    <w:nsid w:val="B13A31"/>
    <w:multiLevelType w:val="hybridMultilevel"/>
    <w:lvl w:ilvl="0">
      <w:lvlJc w:val="left"/>
      <w:lvlText w:val="•"/>
      <w:numFmt w:val="bullet"/>
      <w:start w:val="1"/>
    </w:lvl>
  </w:abstractNum>
  <w:abstractNum w:abstractNumId="61">
    <w:nsid w:val="64429599"/>
    <w:multiLevelType w:val="hybridMultilevel"/>
    <w:lvl w:ilvl="0">
      <w:lvlJc w:val="left"/>
      <w:lvlText w:val="%1)"/>
      <w:numFmt w:val="lowerLetter"/>
      <w:start w:val="2"/>
    </w:lvl>
  </w:abstractNum>
  <w:abstractNum w:abstractNumId="62">
    <w:nsid w:val="631F1690"/>
    <w:multiLevelType w:val="hybridMultilevel"/>
    <w:lvl w:ilvl="0">
      <w:lvlJc w:val="left"/>
      <w:lvlText w:val="%1."/>
      <w:numFmt w:val="decimal"/>
      <w:start w:val="1"/>
    </w:lvl>
  </w:abstractNum>
  <w:abstractNum w:abstractNumId="63">
    <w:nsid w:val="25973E32"/>
    <w:multiLevelType w:val="hybridMultilevel"/>
    <w:lvl w:ilvl="0">
      <w:lvlJc w:val="left"/>
      <w:lvlText w:val="(%1)"/>
      <w:numFmt w:val="upperLetter"/>
      <w:start w:val="2"/>
    </w:lvl>
  </w:abstractNum>
  <w:abstractNum w:abstractNumId="64">
    <w:nsid w:val="EAD6F57"/>
    <w:multiLevelType w:val="hybridMultilevel"/>
    <w:lvl w:ilvl="0">
      <w:lvlJc w:val="left"/>
      <w:lvlText w:val="%1."/>
      <w:numFmt w:val="decimal"/>
      <w:start w:val="2"/>
    </w:lvl>
  </w:abstractNum>
  <w:abstractNum w:abstractNumId="65">
    <w:nsid w:val="6EC9D844"/>
    <w:multiLevelType w:val="hybridMultilevel"/>
    <w:lvl w:ilvl="0">
      <w:lvlJc w:val="left"/>
      <w:lvlText w:val="%1."/>
      <w:numFmt w:val="decimal"/>
      <w:start w:val="3"/>
    </w:lvl>
  </w:abstractNum>
  <w:abstractNum w:abstractNumId="66">
    <w:nsid w:val="5C49EAEE"/>
    <w:multiLevelType w:val="hybridMultilevel"/>
    <w:lvl w:ilvl="0">
      <w:lvlJc w:val="left"/>
      <w:lvlText w:val="%1."/>
      <w:numFmt w:val="decimal"/>
      <w:start w:val="4"/>
    </w:lvl>
  </w:abstractNum>
  <w:abstractNum w:abstractNumId="67">
    <w:nsid w:val="64AF49B"/>
    <w:multiLevelType w:val="hybridMultilevel"/>
    <w:lvl w:ilvl="0">
      <w:lvlJc w:val="left"/>
      <w:lvlText w:val="%1."/>
      <w:numFmt w:val="decimal"/>
      <w:start w:val="5"/>
    </w:lvl>
  </w:abstractNum>
  <w:abstractNum w:abstractNumId="68">
    <w:nsid w:val="397C46BC"/>
    <w:multiLevelType w:val="hybridMultilevel"/>
    <w:lvl w:ilvl="0">
      <w:lvlJc w:val="left"/>
      <w:lvlText w:val="%1."/>
      <w:numFmt w:val="decimal"/>
      <w:start w:val="6"/>
    </w:lvl>
  </w:abstractNum>
  <w:abstractNum w:abstractNumId="69">
    <w:nsid w:val="7E448DE9"/>
    <w:multiLevelType w:val="hybridMultilevel"/>
    <w:lvl w:ilvl="0">
      <w:lvlJc w:val="left"/>
      <w:lvlText w:val="%1."/>
      <w:numFmt w:val="decimal"/>
      <w:start w:val="7"/>
    </w:lvl>
  </w:abstractNum>
  <w:abstractNum w:abstractNumId="70">
    <w:nsid w:val="5A9CC3E5"/>
    <w:multiLevelType w:val="hybridMultilevel"/>
    <w:lvl w:ilvl="0">
      <w:lvlJc w:val="left"/>
      <w:lvlText w:val="%1."/>
      <w:numFmt w:val="decimal"/>
      <w:start w:val="8"/>
    </w:lvl>
  </w:abstractNum>
  <w:abstractNum w:abstractNumId="71">
    <w:nsid w:val="1AFE3625"/>
    <w:multiLevelType w:val="hybridMultilevel"/>
    <w:lvl w:ilvl="0">
      <w:lvlJc w:val="left"/>
      <w:lvlText w:val="%1."/>
      <w:numFmt w:val="decimal"/>
      <w:start w:val="9"/>
    </w:lvl>
  </w:abstractNum>
  <w:abstractNum w:abstractNumId="72">
    <w:nsid w:val="3CA88ECF"/>
    <w:multiLevelType w:val="hybridMultilevel"/>
    <w:lvl w:ilvl="0">
      <w:lvlJc w:val="left"/>
      <w:lvlText w:val="%1."/>
      <w:numFmt w:val="decimal"/>
      <w:start w:val="10"/>
    </w:lvl>
  </w:abstractNum>
  <w:abstractNum w:abstractNumId="73">
    <w:nsid w:val="6EBE4208"/>
    <w:multiLevelType w:val="hybridMultilevel"/>
    <w:lvl w:ilvl="0">
      <w:lvlJc w:val="left"/>
      <w:lvlText w:val="%1."/>
      <w:numFmt w:val="decimal"/>
      <w:start w:val="11"/>
    </w:lvl>
  </w:abstractNum>
  <w:abstractNum w:abstractNumId="74">
    <w:nsid w:val="C058DF5"/>
    <w:multiLevelType w:val="hybridMultilevel"/>
    <w:lvl w:ilvl="0">
      <w:lvlJc w:val="left"/>
      <w:lvlText w:val="%1."/>
      <w:numFmt w:val="decimal"/>
      <w:start w:val="12"/>
    </w:lvl>
  </w:abstractNum>
  <w:abstractNum w:abstractNumId="75">
    <w:nsid w:val="CBE5BE9"/>
    <w:multiLevelType w:val="hybridMultilevel"/>
    <w:lvl w:ilvl="0">
      <w:lvlJc w:val="left"/>
      <w:lvlText w:val="%1."/>
      <w:numFmt w:val="decimal"/>
      <w:start w:val="13"/>
    </w:lvl>
  </w:abstractNum>
  <w:abstractNum w:abstractNumId="76">
    <w:nsid w:val="3102BBE2"/>
    <w:multiLevelType w:val="hybridMultilevel"/>
    <w:lvl w:ilvl="0">
      <w:lvlJc w:val="left"/>
      <w:lvlText w:val="%1."/>
      <w:numFmt w:val="decimal"/>
      <w:start w:val="14"/>
    </w:lvl>
  </w:abstractNum>
  <w:abstractNum w:abstractNumId="77">
    <w:nsid w:val="26A02C5E"/>
    <w:multiLevelType w:val="hybridMultilevel"/>
    <w:lvl w:ilvl="0">
      <w:lvlJc w:val="left"/>
      <w:lvlText w:val="(%1)"/>
      <w:numFmt w:val="lowerRoman"/>
      <w:start w:val="1"/>
    </w:lvl>
  </w:abstractNum>
  <w:abstractNum w:abstractNumId="78">
    <w:nsid w:val="541C8153"/>
    <w:multiLevelType w:val="hybridMultilevel"/>
    <w:lvl w:ilvl="0">
      <w:lvlJc w:val="left"/>
      <w:lvlText w:val="%1."/>
      <w:numFmt w:val="decimal"/>
      <w:start w:val="15"/>
    </w:lvl>
  </w:abstractNum>
  <w:abstractNum w:abstractNumId="79">
    <w:nsid w:val="67906F60"/>
    <w:multiLevelType w:val="hybridMultilevel"/>
    <w:lvl w:ilvl="0">
      <w:lvlJc w:val="left"/>
      <w:lvlText w:val="%1."/>
      <w:numFmt w:val="decimal"/>
      <w:start w:val="16"/>
    </w:lvl>
  </w:abstractNum>
  <w:abstractNum w:abstractNumId="80">
    <w:nsid w:val="10DB9DAA"/>
    <w:multiLevelType w:val="hybridMultilevel"/>
    <w:lvl w:ilvl="0">
      <w:lvlJc w:val="left"/>
      <w:lvlText w:val="%1."/>
      <w:numFmt w:val="decimal"/>
      <w:start w:val="17"/>
    </w:lvl>
  </w:abstractNum>
  <w:abstractNum w:abstractNumId="81">
    <w:nsid w:val="697D2D2"/>
    <w:multiLevelType w:val="hybridMultilevel"/>
    <w:lvl w:ilvl="0">
      <w:lvlJc w:val="left"/>
      <w:lvlText w:val="%1."/>
      <w:numFmt w:val="decimal"/>
      <w:start w:val="18"/>
    </w:lvl>
  </w:abstractNum>
  <w:abstractNum w:abstractNumId="82">
    <w:nsid w:val="6D68AB2"/>
    <w:multiLevelType w:val="hybridMultilevel"/>
    <w:lvl w:ilvl="0">
      <w:lvlJc w:val="left"/>
      <w:lvlText w:val="%1."/>
      <w:numFmt w:val="decimal"/>
      <w:start w:val="19"/>
    </w:lvl>
  </w:abstractNum>
  <w:abstractNum w:abstractNumId="83">
    <w:nsid w:val="3A966CD0"/>
    <w:multiLevelType w:val="hybridMultilevel"/>
    <w:lvl w:ilvl="0">
      <w:lvlJc w:val="left"/>
      <w:lvlText w:val="%1."/>
      <w:numFmt w:val="decimal"/>
      <w:start w:val="20"/>
    </w:lvl>
  </w:abstractNum>
  <w:abstractNum w:abstractNumId="84">
    <w:nsid w:val="63F37E85"/>
    <w:multiLevelType w:val="hybridMultilevel"/>
    <w:lvl w:ilvl="0">
      <w:lvlJc w:val="left"/>
      <w:lvlText w:val="%1."/>
      <w:numFmt w:val="decimal"/>
      <w:start w:val="21"/>
    </w:lvl>
  </w:abstractNum>
  <w:abstractNum w:abstractNumId="85">
    <w:nsid w:val="5895F5FA"/>
    <w:multiLevelType w:val="hybridMultilevel"/>
    <w:lvl w:ilvl="0">
      <w:lvlJc w:val="left"/>
      <w:lvlText w:val="%1."/>
      <w:numFmt w:val="decimal"/>
      <w:start w:val="22"/>
    </w:lvl>
  </w:abstractNum>
  <w:abstractNum w:abstractNumId="86">
    <w:nsid w:val="38A5D054"/>
    <w:multiLevelType w:val="hybridMultilevel"/>
    <w:lvl w:ilvl="0">
      <w:lvlJc w:val="left"/>
      <w:lvlText w:val="%1."/>
      <w:numFmt w:val="decimal"/>
      <w:start w:val="23"/>
    </w:lvl>
  </w:abstractNum>
  <w:abstractNum w:abstractNumId="87">
    <w:nsid w:val="F3F09D8"/>
    <w:multiLevelType w:val="hybridMultilevel"/>
    <w:lvl w:ilvl="0">
      <w:lvlJc w:val="left"/>
      <w:lvlText w:val="%1."/>
      <w:numFmt w:val="decimal"/>
      <w:start w:val="24"/>
    </w:lvl>
  </w:abstractNum>
  <w:abstractNum w:abstractNumId="88">
    <w:nsid w:val="4B793735"/>
    <w:multiLevelType w:val="hybridMultilevel"/>
    <w:lvl w:ilvl="0">
      <w:lvlJc w:val="left"/>
      <w:lvlText w:val="%1."/>
      <w:numFmt w:val="decimal"/>
      <w:start w:val="25"/>
    </w:lvl>
  </w:abstractNum>
  <w:abstractNum w:abstractNumId="89">
    <w:nsid w:val="4A10B4E8"/>
    <w:multiLevelType w:val="hybridMultilevel"/>
    <w:lvl w:ilvl="0">
      <w:lvlJc w:val="left"/>
      <w:lvlText w:val="%1."/>
      <w:numFmt w:val="decimal"/>
      <w:start w:val="26"/>
    </w:lvl>
  </w:abstractNum>
  <w:abstractNum w:abstractNumId="90">
    <w:nsid w:val="43D3BCD4"/>
    <w:multiLevelType w:val="hybridMultilevel"/>
    <w:lvl w:ilvl="0">
      <w:lvlJc w:val="left"/>
      <w:lvlText w:val="%1."/>
      <w:numFmt w:val="decimal"/>
      <w:start w:val="27"/>
    </w:lvl>
  </w:abstractNum>
  <w:abstractNum w:abstractNumId="91">
    <w:nsid w:val="4C2A7166"/>
    <w:multiLevelType w:val="hybridMultilevel"/>
    <w:lvl w:ilvl="0">
      <w:lvlJc w:val="left"/>
      <w:lvlText w:val="%1."/>
      <w:numFmt w:val="decimal"/>
      <w:start w:val="28"/>
    </w:lvl>
  </w:abstractNum>
  <w:abstractNum w:abstractNumId="92">
    <w:nsid w:val="2E534A82"/>
    <w:multiLevelType w:val="hybridMultilevel"/>
    <w:lvl w:ilvl="0">
      <w:lvlJc w:val="left"/>
      <w:lvlText w:val="%1."/>
      <w:numFmt w:val="decimal"/>
      <w:start w:val="29"/>
    </w:lvl>
  </w:abstractNum>
  <w:abstractNum w:abstractNumId="93">
    <w:nsid w:val="26F2D364"/>
    <w:multiLevelType w:val="hybridMultilevel"/>
    <w:lvl w:ilvl="0">
      <w:lvlJc w:val="left"/>
      <w:lvlText w:val="%1."/>
      <w:numFmt w:val="decimal"/>
      <w:start w:val="30"/>
    </w:lvl>
  </w:abstractNum>
  <w:abstractNum w:abstractNumId="94">
    <w:nsid w:val="71C1AF98"/>
    <w:multiLevelType w:val="hybridMultilevel"/>
    <w:lvl w:ilvl="0">
      <w:lvlJc w:val="left"/>
      <w:lvlText w:val="%1."/>
      <w:numFmt w:val="decimal"/>
      <w:start w:val="31"/>
    </w:lvl>
  </w:abstractNum>
  <w:abstractNum w:abstractNumId="95">
    <w:nsid w:val="3D00B9D9"/>
    <w:multiLevelType w:val="hybridMultilevel"/>
    <w:lvl w:ilvl="0">
      <w:lvlJc w:val="left"/>
      <w:lvlText w:val="(%1)"/>
      <w:numFmt w:val="lowerLetter"/>
      <w:start w:val="1"/>
    </w:lvl>
  </w:abstractNum>
  <w:abstractNum w:abstractNumId="96">
    <w:nsid w:val="15BCABA8"/>
    <w:multiLevelType w:val="hybridMultilevel"/>
    <w:lvl w:ilvl="0">
      <w:lvlJc w:val="left"/>
      <w:lvlText w:val="(%1)"/>
      <w:numFmt w:val="lowerLetter"/>
      <w:start w:val="1"/>
    </w:lvl>
  </w:abstractNum>
  <w:abstractNum w:abstractNumId="97">
    <w:nsid w:val="4E0B9A87"/>
    <w:multiLevelType w:val="hybridMultilevel"/>
    <w:lvl w:ilvl="0">
      <w:lvlJc w:val="left"/>
      <w:lvlText w:val="(%1)"/>
      <w:numFmt w:val="lowerLetter"/>
      <w:start w:val="4"/>
    </w:lvl>
    <w:lvl w:ilvl="1">
      <w:lvlJc w:val="left"/>
      <w:lvlText w:val="(%2)"/>
      <w:numFmt w:val="lowerRoman"/>
      <w:start w:val="1"/>
    </w:lvl>
  </w:abstractNum>
  <w:abstractNum w:abstractNumId="98">
    <w:nsid w:val="434BAE75"/>
    <w:multiLevelType w:val="hybridMultilevel"/>
    <w:lvl w:ilvl="0">
      <w:lvlJc w:val="left"/>
      <w:lvlText w:val="(%1)"/>
      <w:numFmt w:val="lowerLetter"/>
      <w:start w:val="1"/>
    </w:lvl>
  </w:abstractNum>
  <w:abstractNum w:abstractNumId="99">
    <w:nsid w:val="4F38F265"/>
    <w:multiLevelType w:val="hybridMultilevel"/>
    <w:lvl w:ilvl="0">
      <w:lvlJc w:val="left"/>
      <w:lvlText w:val="%1"/>
      <w:numFmt w:val="lowerLetter"/>
      <w:start w:val="1"/>
    </w:lvl>
    <w:lvl w:ilvl="1">
      <w:lvlJc w:val="left"/>
      <w:lvlText w:val="(%2)"/>
      <w:numFmt w:val="decimal"/>
      <w:start w:val="1"/>
    </w:lvl>
  </w:abstractNum>
  <w:abstractNum w:abstractNumId="100">
    <w:nsid w:val="4C502870"/>
    <w:multiLevelType w:val="hybridMultilevel"/>
    <w:lvl w:ilvl="0">
      <w:lvlJc w:val="left"/>
      <w:lvlText w:val="(%1)"/>
      <w:numFmt w:val="lowerLetter"/>
      <w:start w:val="3"/>
    </w:lvl>
    <w:lvl w:ilvl="1">
      <w:lvlJc w:val="left"/>
      <w:lvlText w:val="%2"/>
      <w:numFmt w:val="decimal"/>
      <w:start w:val="1"/>
    </w:lvl>
  </w:abstractNum>
  <w:abstractNum w:abstractNumId="101">
    <w:nsid w:val="1DE8725A"/>
    <w:multiLevelType w:val="hybridMultilevel"/>
    <w:lvl w:ilvl="0">
      <w:lvlJc w:val="left"/>
      <w:lvlText w:val="(%1)"/>
      <w:numFmt w:val="lowerLetter"/>
      <w:start w:val="4"/>
    </w:lvl>
  </w:abstractNum>
  <w:abstractNum w:abstractNumId="102">
    <w:nsid w:val="6A37288A"/>
    <w:multiLevelType w:val="hybridMultilevel"/>
    <w:lvl w:ilvl="0">
      <w:lvlJc w:val="left"/>
      <w:lvlText w:val="(%1)"/>
      <w:numFmt w:val="lowerLetter"/>
      <w:start w:val="1"/>
    </w:lvl>
  </w:abstractNum>
  <w:abstractNum w:abstractNumId="103">
    <w:nsid w:val="8F8B73F"/>
    <w:multiLevelType w:val="hybridMultilevel"/>
    <w:lvl w:ilvl="0">
      <w:lvlJc w:val="left"/>
      <w:lvlText w:val="(%1)"/>
      <w:numFmt w:val="lowerLetter"/>
      <w:start w:val="1"/>
    </w:lvl>
  </w:abstractNum>
  <w:abstractNum w:abstractNumId="104">
    <w:nsid w:val="CA6B462"/>
    <w:multiLevelType w:val="hybridMultilevel"/>
    <w:lvl w:ilvl="0">
      <w:lvlJc w:val="left"/>
      <w:lvlText w:val="(%1)"/>
      <w:numFmt w:val="lowerLetter"/>
      <w:start w:val="7"/>
    </w:lvl>
  </w:abstractNum>
  <w:abstractNum w:abstractNumId="105">
    <w:nsid w:val="763CB680"/>
    <w:multiLevelType w:val="hybridMultilevel"/>
    <w:lvl w:ilvl="0">
      <w:lvlJc w:val="left"/>
      <w:lvlText w:val="%1."/>
      <w:numFmt w:val="upperLetter"/>
      <w:start w:val="3"/>
    </w:lvl>
  </w:abstractNum>
  <w:abstractNum w:abstractNumId="106">
    <w:nsid w:val="15B71329"/>
    <w:multiLevelType w:val="hybridMultilevel"/>
    <w:lvl w:ilvl="0">
      <w:lvlJc w:val="left"/>
      <w:lvlText w:val="(%1)"/>
      <w:numFmt w:val="lowerLetter"/>
      <w:start w:val="1"/>
    </w:lvl>
  </w:abstractNum>
  <w:abstractNum w:abstractNumId="107">
    <w:nsid w:val="3DA97044"/>
    <w:multiLevelType w:val="hybridMultilevel"/>
    <w:lvl w:ilvl="0">
      <w:lvlJc w:val="left"/>
      <w:lvlText w:val="(%1)"/>
      <w:numFmt w:val="lowerLetter"/>
      <w:start w:val="1"/>
    </w:lvl>
  </w:abstractNum>
  <w:abstractNum w:abstractNumId="108">
    <w:nsid w:val="1CDCE2DE"/>
    <w:multiLevelType w:val="hybridMultilevel"/>
    <w:lvl w:ilvl="0">
      <w:lvlJc w:val="left"/>
      <w:lvlText w:val="(%1)"/>
      <w:numFmt w:val="decimal"/>
      <w:start w:val="30"/>
    </w:lvl>
  </w:abstractNum>
  <w:abstractNum w:abstractNumId="109">
    <w:nsid w:val="69D3947C"/>
    <w:multiLevelType w:val="hybridMultilevel"/>
    <w:lvl w:ilvl="0">
      <w:lvlJc w:val="left"/>
      <w:lvlText w:val="%1."/>
      <w:numFmt w:val="lowerLetter"/>
      <w:start w:val="1"/>
    </w:lvl>
  </w:abstractNum>
  <w:abstractNum w:abstractNumId="110">
    <w:nsid w:val="2539DFA5"/>
    <w:multiLevelType w:val="hybridMultilevel"/>
    <w:lvl w:ilvl="0">
      <w:lvlJc w:val="left"/>
      <w:lvlText w:val="%1."/>
      <w:numFmt w:val="lowerLetter"/>
      <w:start w:val="2"/>
    </w:lvl>
  </w:abstractNum>
  <w:abstractNum w:abstractNumId="111">
    <w:nsid w:val="2DB88089"/>
    <w:multiLevelType w:val="hybridMultilevel"/>
    <w:lvl w:ilvl="0">
      <w:lvlJc w:val="left"/>
      <w:lvlText w:val="(%1)"/>
      <w:numFmt w:val="lowerRoman"/>
      <w:start w:val="1"/>
    </w:lvl>
  </w:abstractNum>
  <w:abstractNum w:abstractNumId="112">
    <w:nsid w:val="706B674E"/>
    <w:multiLevelType w:val="hybridMultilevel"/>
    <w:lvl w:ilvl="0">
      <w:lvlJc w:val="left"/>
      <w:lvlText w:val="(%1)"/>
      <w:numFmt w:val="lowerLetter"/>
      <w:start w:val="4"/>
    </w:lvl>
  </w:abstractNum>
  <w:abstractNum w:abstractNumId="113">
    <w:nsid w:val="2C106A57"/>
    <w:multiLevelType w:val="hybridMultilevel"/>
    <w:lvl w:ilvl="0">
      <w:lvlJc w:val="left"/>
      <w:lvlText w:val="(%1)"/>
      <w:numFmt w:val="decimal"/>
      <w:start w:val="6"/>
    </w:lvl>
  </w:abstractNum>
  <w:abstractNum w:abstractNumId="114">
    <w:nsid w:val="684EED59"/>
    <w:multiLevelType w:val="hybridMultilevel"/>
    <w:lvl w:ilvl="0">
      <w:lvlJc w:val="left"/>
      <w:lvlText w:val="(%1)"/>
      <w:numFmt w:val="lowerLetter"/>
      <w:start w:val="1"/>
    </w:lvl>
  </w:abstractNum>
  <w:abstractNum w:abstractNumId="115">
    <w:nsid w:val="545EE5D3"/>
    <w:multiLevelType w:val="hybridMultilevel"/>
    <w:lvl w:ilvl="0">
      <w:lvlJc w:val="left"/>
      <w:lvlText w:val="(%1)"/>
      <w:numFmt w:val="lowerLetter"/>
      <w:start w:val="4"/>
    </w:lvl>
  </w:abstractNum>
  <w:abstractNum w:abstractNumId="116">
    <w:nsid w:val="4A66051"/>
    <w:multiLevelType w:val="hybridMultilevel"/>
    <w:lvl w:ilvl="0">
      <w:lvlJc w:val="left"/>
      <w:lvlText w:val="%1."/>
      <w:numFmt w:val="decimal"/>
      <w:start w:val="1"/>
    </w:lvl>
  </w:abstractNum>
  <w:abstractNum w:abstractNumId="117">
    <w:nsid w:val="20F4BDAD"/>
    <w:multiLevelType w:val="hybridMultilevel"/>
    <w:lvl w:ilvl="0">
      <w:lvlJc w:val="left"/>
      <w:lvlText w:val="%1."/>
      <w:numFmt w:val="decimal"/>
      <w:start w:val="3"/>
    </w:lvl>
  </w:abstractNum>
  <w:abstractNum w:abstractNumId="118">
    <w:nsid w:val="639DEFAC"/>
    <w:multiLevelType w:val="hybridMultilevel"/>
    <w:lvl w:ilvl="0">
      <w:lvlJc w:val="left"/>
      <w:lvlText w:val="(%1)"/>
      <w:numFmt w:val="lowerLetter"/>
      <w:start w:val="1"/>
    </w:lvl>
  </w:abstractNum>
  <w:abstractNum w:abstractNumId="119">
    <w:nsid w:val="501F9786"/>
    <w:multiLevelType w:val="hybridMultilevel"/>
    <w:lvl w:ilvl="0">
      <w:lvlJc w:val="left"/>
      <w:lvlText w:val="%1."/>
      <w:numFmt w:val="decimal"/>
      <w:start w:val="4"/>
    </w:lvl>
  </w:abstractNum>
  <w:abstractNum w:abstractNumId="120">
    <w:nsid w:val="6B057295"/>
    <w:multiLevelType w:val="hybridMultilevel"/>
    <w:lvl w:ilvl="0">
      <w:lvlJc w:val="left"/>
      <w:lvlText w:val="%1."/>
      <w:numFmt w:val="decimal"/>
      <w:start w:val="5"/>
    </w:lvl>
  </w:abstractNum>
  <w:abstractNum w:abstractNumId="121">
    <w:nsid w:val="2771AC80"/>
    <w:multiLevelType w:val="hybridMultilevel"/>
    <w:lvl w:ilvl="0">
      <w:lvlJc w:val="left"/>
      <w:lvlText w:val="%1."/>
      <w:numFmt w:val="decimal"/>
      <w:start w:val="6"/>
    </w:lvl>
  </w:abstractNum>
  <w:abstractNum w:abstractNumId="122">
    <w:nsid w:val="1C4A08EC"/>
    <w:multiLevelType w:val="hybridMultilevel"/>
    <w:lvl w:ilvl="0">
      <w:lvlJc w:val="left"/>
      <w:lvlText w:val="(%1)"/>
      <w:numFmt w:val="lowerRoman"/>
      <w:start w:val="1"/>
    </w:lvl>
  </w:abstractNum>
  <w:abstractNum w:abstractNumId="123">
    <w:nsid w:val="1958BD17"/>
    <w:multiLevelType w:val="hybridMultilevel"/>
    <w:lvl w:ilvl="0">
      <w:lvlJc w:val="left"/>
      <w:lvlText w:val="•"/>
      <w:numFmt w:val="bullet"/>
      <w:start w:val="1"/>
    </w:lvl>
  </w:abstractNum>
  <w:abstractNum w:abstractNumId="124">
    <w:nsid w:val="4E647FE4"/>
    <w:multiLevelType w:val="hybridMultilevel"/>
    <w:lvl w:ilvl="0">
      <w:lvlJc w:val="left"/>
      <w:lvlText w:val="%1."/>
      <w:numFmt w:val="decimal"/>
      <w:start w:val="1"/>
    </w:lvl>
  </w:abstractNum>
  <w:abstractNum w:abstractNumId="125">
    <w:nsid w:val="E0BB885"/>
    <w:multiLevelType w:val="hybridMultilevel"/>
    <w:lvl w:ilvl="0">
      <w:lvlJc w:val="left"/>
      <w:lvlText w:val="%1."/>
      <w:numFmt w:val="decimal"/>
      <w:start w:val="2"/>
    </w:lvl>
  </w:abstractNum>
  <w:abstractNum w:abstractNumId="126">
    <w:nsid w:val="565976F1"/>
    <w:multiLevelType w:val="hybridMultilevel"/>
    <w:lvl w:ilvl="0">
      <w:lvlJc w:val="left"/>
      <w:lvlText w:val="%1."/>
      <w:numFmt w:val="decimal"/>
      <w:start w:val="3"/>
    </w:lvl>
  </w:abstractNum>
  <w:abstractNum w:abstractNumId="127">
    <w:nsid w:val="64212B8C"/>
    <w:multiLevelType w:val="hybridMultilevel"/>
    <w:lvl w:ilvl="0">
      <w:lvlJc w:val="left"/>
      <w:lvlText w:val="%1."/>
      <w:numFmt w:val="decimal"/>
      <w:start w:val="3"/>
    </w:lvl>
  </w:abstractNum>
  <w:abstractNum w:abstractNumId="128">
    <w:nsid w:val="5C17530C"/>
    <w:multiLevelType w:val="hybridMultilevel"/>
    <w:lvl w:ilvl="0">
      <w:lvlJc w:val="left"/>
      <w:lvlText w:val="%1."/>
      <w:numFmt w:val="decimal"/>
      <w:start w:val="1"/>
    </w:lvl>
  </w:abstractNum>
  <w:abstractNum w:abstractNumId="129">
    <w:nsid w:val="19A52566"/>
    <w:multiLevelType w:val="hybridMultilevel"/>
    <w:lvl w:ilvl="0">
      <w:lvlJc w:val="left"/>
      <w:lvlText w:val="(%1)"/>
      <w:numFmt w:val="lowerLetter"/>
      <w:start w:val="1"/>
    </w:lvl>
  </w:abstractNum>
  <w:abstractNum w:abstractNumId="130">
    <w:nsid w:val="335A1DF1"/>
    <w:multiLevelType w:val="hybridMultilevel"/>
    <w:lvl w:ilvl="0">
      <w:lvlJc w:val="left"/>
      <w:lvlText w:val="(%1)"/>
      <w:numFmt w:val="lowerLetter"/>
      <w:start w:val="3"/>
    </w:lvl>
  </w:abstractNum>
  <w:abstractNum w:abstractNumId="131">
    <w:nsid w:val="28677B7C"/>
    <w:multiLevelType w:val="hybridMultilevel"/>
    <w:lvl w:ilvl="0">
      <w:lvlJc w:val="left"/>
      <w:lvlText w:val="(%1)"/>
      <w:numFmt w:val="lowerLetter"/>
      <w:start w:val="5"/>
    </w:lvl>
  </w:abstractNum>
  <w:abstractNum w:abstractNumId="132">
    <w:nsid w:val="378D97C0"/>
    <w:multiLevelType w:val="hybridMultilevel"/>
    <w:lvl w:ilvl="0">
      <w:lvlJc w:val="left"/>
      <w:lvlText w:val="(%1)"/>
      <w:numFmt w:val="lowerLetter"/>
      <w:start w:val="9"/>
    </w:lvl>
  </w:abstractNum>
  <w:abstractNum w:abstractNumId="133">
    <w:nsid w:val="1D91467C"/>
    <w:multiLevelType w:val="hybridMultilevel"/>
    <w:lvl w:ilvl="0">
      <w:lvlJc w:val="left"/>
      <w:lvlText w:val="(%1)"/>
      <w:numFmt w:val="lowerLetter"/>
      <w:start w:val="12"/>
    </w:lvl>
  </w:abstractNum>
  <w:abstractNum w:abstractNumId="134">
    <w:nsid w:val="316032BB"/>
    <w:multiLevelType w:val="hybridMultilevel"/>
    <w:lvl w:ilvl="0">
      <w:lvlJc w:val="left"/>
      <w:lvlText w:val="(%1)"/>
      <w:numFmt w:val="lowerLetter"/>
      <w:start w:val="18"/>
    </w:lvl>
  </w:abstractNum>
  <w:abstractNum w:abstractNumId="135">
    <w:nsid w:val="44344C22"/>
    <w:multiLevelType w:val="hybridMultilevel"/>
    <w:lvl w:ilvl="0">
      <w:lvlJc w:val="left"/>
      <w:lvlText w:val="(%1)"/>
      <w:numFmt w:val="lowerLetter"/>
      <w:start w:val="1"/>
    </w:lvl>
    <w:lvl w:ilvl="1">
      <w:lvlJc w:val="left"/>
      <w:lvlText w:val="(%2)"/>
      <w:numFmt w:val="lowerRoman"/>
      <w:start w:val="1"/>
    </w:lvl>
  </w:abstractNum>
  <w:abstractNum w:abstractNumId="136">
    <w:nsid w:val="13CDFCFC"/>
    <w:multiLevelType w:val="hybridMultilevel"/>
    <w:lvl w:ilvl="0">
      <w:lvlJc w:val="left"/>
      <w:lvlText w:val="(%1)"/>
      <w:numFmt w:val="lowerLetter"/>
      <w:start w:val="3"/>
    </w:lvl>
  </w:abstractNum>
  <w:abstractNum w:abstractNumId="137">
    <w:nsid w:val="471745E4"/>
    <w:multiLevelType w:val="hybridMultilevel"/>
    <w:lvl w:ilvl="0">
      <w:lvlJc w:val="left"/>
      <w:lvlText w:val="%1."/>
      <w:numFmt w:val="decimal"/>
      <w:start w:val="4"/>
    </w:lvl>
  </w:abstractNum>
  <w:abstractNum w:abstractNumId="138">
    <w:nsid w:val="1DDBC66"/>
    <w:multiLevelType w:val="hybridMultilevel"/>
    <w:lvl w:ilvl="0">
      <w:lvlJc w:val="left"/>
      <w:lvlText w:val="(%1)"/>
      <w:numFmt w:val="lowerLetter"/>
      <w:start w:val="1"/>
    </w:lvl>
  </w:abstractNum>
  <w:abstractNum w:abstractNumId="139">
    <w:nsid w:val="30AADFDA"/>
    <w:multiLevelType w:val="hybridMultilevel"/>
    <w:lvl w:ilvl="0">
      <w:lvlJc w:val="left"/>
      <w:lvlText w:val="%1."/>
      <w:numFmt w:val="decimal"/>
      <w:start w:val="6"/>
    </w:lvl>
  </w:abstractNum>
  <w:abstractNum w:abstractNumId="140">
    <w:nsid w:val="30EADA61"/>
    <w:multiLevelType w:val="hybridMultilevel"/>
    <w:lvl w:ilvl="0">
      <w:lvlJc w:val="left"/>
      <w:lvlText w:val="(%1)"/>
      <w:numFmt w:val="lowerLetter"/>
      <w:start w:val="1"/>
    </w:lvl>
  </w:abstractNum>
  <w:abstractNum w:abstractNumId="141">
    <w:nsid w:val="27179C0B"/>
    <w:multiLevelType w:val="hybridMultilevel"/>
    <w:lvl w:ilvl="0">
      <w:lvlJc w:val="left"/>
      <w:lvlText w:val="(%1)"/>
      <w:numFmt w:val="lowerLetter"/>
      <w:start w:val="3"/>
    </w:lvl>
  </w:abstractNum>
  <w:abstractNum w:abstractNumId="142">
    <w:nsid w:val="5E636063"/>
    <w:multiLevelType w:val="hybridMultilevel"/>
    <w:lvl w:ilvl="0">
      <w:lvlJc w:val="left"/>
      <w:lvlText w:val="%1."/>
      <w:numFmt w:val="decimal"/>
      <w:start w:val="7"/>
    </w:lvl>
  </w:abstractNum>
  <w:abstractNum w:abstractNumId="143">
    <w:nsid w:val="215641AF"/>
    <w:multiLevelType w:val="hybridMultilevel"/>
    <w:lvl w:ilvl="0">
      <w:lvlJc w:val="left"/>
      <w:lvlText w:val="(%1)"/>
      <w:numFmt w:val="lowerLetter"/>
      <w:start w:val="1"/>
    </w:lvl>
  </w:abstractNum>
  <w:abstractNum w:abstractNumId="144">
    <w:nsid w:val="53280662"/>
    <w:multiLevelType w:val="hybridMultilevel"/>
    <w:lvl w:ilvl="0">
      <w:lvlJc w:val="left"/>
      <w:lvlText w:val="%1."/>
      <w:numFmt w:val="decimal"/>
      <w:start w:val="8"/>
    </w:lvl>
  </w:abstractNum>
  <w:abstractNum w:abstractNumId="145">
    <w:nsid w:val="46B24DBC"/>
    <w:multiLevelType w:val="hybridMultilevel"/>
    <w:lvl w:ilvl="0">
      <w:lvlJc w:val="left"/>
      <w:lvlText w:val="%1."/>
      <w:numFmt w:val="decimal"/>
      <w:start w:val="9"/>
    </w:lvl>
  </w:abstractNum>
  <w:abstractNum w:abstractNumId="146">
    <w:nsid w:val="75B52783"/>
    <w:multiLevelType w:val="hybridMultilevel"/>
    <w:lvl w:ilvl="0">
      <w:lvlJc w:val="left"/>
      <w:lvlText w:val="(%1)"/>
      <w:numFmt w:val="lowerLetter"/>
      <w:start w:val="1"/>
    </w:lvl>
  </w:abstractNum>
  <w:abstractNum w:abstractNumId="147">
    <w:nsid w:val="57CE66B4"/>
    <w:multiLevelType w:val="hybridMultilevel"/>
    <w:lvl w:ilvl="0">
      <w:lvlJc w:val="left"/>
      <w:lvlText w:val="(%1)"/>
      <w:numFmt w:val="lowerLetter"/>
      <w:start w:val="3"/>
    </w:lvl>
  </w:abstractNum>
  <w:abstractNum w:abstractNumId="148">
    <w:nsid w:val="67A70B69"/>
    <w:multiLevelType w:val="hybridMultilevel"/>
    <w:lvl w:ilvl="0">
      <w:lvlJc w:val="left"/>
      <w:lvlText w:val="(%1)"/>
      <w:numFmt w:val="lowerLetter"/>
      <w:start w:val="1"/>
    </w:lvl>
  </w:abstractNum>
  <w:abstractNum w:abstractNumId="149">
    <w:nsid w:val="5953172F"/>
    <w:multiLevelType w:val="hybridMultilevel"/>
    <w:lvl w:ilvl="0">
      <w:lvlJc w:val="left"/>
      <w:lvlText w:val="(%1)"/>
      <w:numFmt w:val="lowerLetter"/>
      <w:start w:val="3"/>
    </w:lvl>
  </w:abstractNum>
  <w:abstractNum w:abstractNumId="150">
    <w:nsid w:val="27EDFE3A"/>
    <w:multiLevelType w:val="hybridMultilevel"/>
    <w:lvl w:ilvl="0">
      <w:lvlJc w:val="left"/>
      <w:lvlText w:val="(%1)"/>
      <w:numFmt w:val="lowerLetter"/>
      <w:start w:val="1"/>
    </w:lvl>
  </w:abstractNum>
  <w:abstractNum w:abstractNumId="151">
    <w:nsid w:val="52AC7DFF"/>
    <w:multiLevelType w:val="hybridMultilevel"/>
    <w:lvl w:ilvl="0">
      <w:lvlJc w:val="left"/>
      <w:lvlText w:val="(%1)"/>
      <w:numFmt w:val="lowerLetter"/>
      <w:start w:val="1"/>
    </w:lvl>
    <w:lvl w:ilvl="1">
      <w:lvlJc w:val="left"/>
      <w:lvlText w:val="(%2)"/>
      <w:numFmt w:val="lowerLetter"/>
      <w:start w:val="9"/>
    </w:lvl>
  </w:abstractNum>
  <w:abstractNum w:abstractNumId="152">
    <w:nsid w:val="C4C3AF"/>
    <w:multiLevelType w:val="hybridMultilevel"/>
    <w:lvl w:ilvl="0">
      <w:lvlJc w:val="left"/>
      <w:lvlText w:val="(%1)"/>
      <w:numFmt w:val="lowerRoman"/>
      <w:start w:val="2"/>
    </w:lvl>
  </w:abstractNum>
  <w:abstractNum w:abstractNumId="153">
    <w:nsid w:val="44380727"/>
    <w:multiLevelType w:val="hybridMultilevel"/>
    <w:lvl w:ilvl="0">
      <w:lvlJc w:val="left"/>
      <w:lvlText w:val="(%1)"/>
      <w:numFmt w:val="lowerLetter"/>
      <w:start w:val="1"/>
    </w:lvl>
  </w:abstractNum>
  <w:abstractNum w:abstractNumId="154">
    <w:nsid w:val="6C053B16"/>
    <w:multiLevelType w:val="hybridMultilevel"/>
    <w:lvl w:ilvl="0">
      <w:lvlJc w:val="left"/>
      <w:lvlText w:val="(%1)"/>
      <w:numFmt w:val="upperLetter"/>
      <w:start w:val="1"/>
    </w:lvl>
    <w:lvl w:ilvl="1">
      <w:lvlJc w:val="left"/>
      <w:lvlText w:val="(%2)"/>
      <w:numFmt w:val="lowerLetter"/>
      <w:start w:val="2"/>
    </w:lvl>
  </w:abstractNum>
  <w:abstractNum w:abstractNumId="155">
    <w:nsid w:val="4F294393"/>
    <w:multiLevelType w:val="hybridMultilevel"/>
    <w:lvl w:ilvl="0">
      <w:lvlJc w:val="left"/>
      <w:lvlText w:val="(%1)"/>
      <w:numFmt w:val="lowerLetter"/>
      <w:start w:val="1"/>
    </w:lvl>
  </w:abstractNum>
  <w:abstractNum w:abstractNumId="156">
    <w:nsid w:val="5243BFAC"/>
    <w:multiLevelType w:val="hybridMultilevel"/>
    <w:lvl w:ilvl="0">
      <w:lvlJc w:val="left"/>
      <w:lvlText w:val="(%1)"/>
      <w:numFmt w:val="lowerRoman"/>
      <w:start w:val="1"/>
    </w:lvl>
  </w:abstractNum>
  <w:abstractNum w:abstractNumId="157">
    <w:nsid w:val="425EB207"/>
    <w:multiLevelType w:val="hybridMultilevel"/>
    <w:lvl w:ilvl="0">
      <w:lvlJc w:val="left"/>
      <w:lvlText w:val="(%1)"/>
      <w:numFmt w:val="decimal"/>
      <w:start w:val="5"/>
    </w:lvl>
    <w:lvl w:ilvl="1">
      <w:lvlJc w:val="left"/>
      <w:lvlText w:val="(%2)"/>
      <w:numFmt w:val="lowerLetter"/>
      <w:start w:val="1"/>
    </w:lvl>
  </w:abstractNum>
  <w:abstractNum w:abstractNumId="158">
    <w:nsid w:val="334A6F1F"/>
    <w:multiLevelType w:val="hybridMultilevel"/>
    <w:lvl w:ilvl="0">
      <w:lvlJc w:val="left"/>
      <w:lvlText w:val="(%1)"/>
      <w:numFmt w:val="lowerLetter"/>
      <w:start w:val="2"/>
    </w:lvl>
  </w:abstractNum>
  <w:abstractNum w:abstractNumId="159">
    <w:nsid w:val="2E5B12B8"/>
    <w:multiLevelType w:val="hybridMultilevel"/>
    <w:lvl w:ilvl="0">
      <w:lvlJc w:val="left"/>
      <w:lvlText w:val="(%1)"/>
      <w:numFmt w:val="lowerLetter"/>
      <w:start w:val="3"/>
    </w:lvl>
  </w:abstractNum>
  <w:abstractNum w:abstractNumId="160">
    <w:nsid w:val="5C03D76D"/>
    <w:multiLevelType w:val="hybridMultilevel"/>
    <w:lvl w:ilvl="0">
      <w:lvlJc w:val="left"/>
      <w:lvlText w:val="(%1)"/>
      <w:numFmt w:val="lowerLetter"/>
      <w:start w:val="6"/>
    </w:lvl>
  </w:abstractNum>
  <w:abstractNum w:abstractNumId="161">
    <w:nsid w:val="66A48D11"/>
    <w:multiLevelType w:val="hybridMultilevel"/>
    <w:lvl w:ilvl="0">
      <w:lvlJc w:val="left"/>
      <w:lvlText w:val="(%1)"/>
      <w:numFmt w:val="lowerLetter"/>
      <w:start w:val="9"/>
    </w:lvl>
  </w:abstractNum>
  <w:abstractNum w:abstractNumId="162">
    <w:nsid w:val="56C28E34"/>
    <w:multiLevelType w:val="hybridMultilevel"/>
    <w:lvl w:ilvl="0">
      <w:lvlJc w:val="left"/>
      <w:lvlText w:val="(%1)"/>
      <w:numFmt w:val="lowerLetter"/>
      <w:start w:val="12"/>
    </w:lvl>
  </w:abstractNum>
  <w:abstractNum w:abstractNumId="163">
    <w:nsid w:val="13916F2D"/>
    <w:multiLevelType w:val="hybridMultilevel"/>
    <w:lvl w:ilvl="0">
      <w:lvlJc w:val="left"/>
      <w:lvlText w:val="(%1)"/>
      <w:numFmt w:val="lowerLetter"/>
      <w:start w:val="14"/>
    </w:lvl>
  </w:abstractNum>
  <w:abstractNum w:abstractNumId="164">
    <w:nsid w:val="435D38D"/>
    <w:multiLevelType w:val="hybridMultilevel"/>
    <w:lvl w:ilvl="0">
      <w:lvlJc w:val="left"/>
      <w:lvlText w:val="(%1)"/>
      <w:numFmt w:val="lowerLetter"/>
      <w:start w:val="19"/>
    </w:lvl>
  </w:abstractNum>
  <w:abstractNum w:abstractNumId="165">
    <w:nsid w:val="822C0EF"/>
    <w:multiLevelType w:val="hybridMultilevel"/>
    <w:lvl w:ilvl="0">
      <w:lvlJc w:val="left"/>
      <w:lvlText w:val="(%1)"/>
      <w:numFmt w:val="lowerRoman"/>
      <w:start w:val="2"/>
    </w:lvl>
  </w:abstractNum>
  <w:abstractNum w:abstractNumId="166">
    <w:nsid w:val="57C5BB4F"/>
    <w:multiLevelType w:val="hybridMultilevel"/>
    <w:lvl w:ilvl="0">
      <w:lvlJc w:val="left"/>
      <w:lvlText w:val="(%1)"/>
      <w:numFmt w:val="lowerLetter"/>
      <w:start w:val="24"/>
    </w:lvl>
  </w:abstractNum>
  <w:abstractNum w:abstractNumId="167">
    <w:nsid w:val="1803D089"/>
    <w:multiLevelType w:val="hybridMultilevel"/>
    <w:lvl w:ilvl="0">
      <w:lvlJc w:val="left"/>
      <w:lvlText w:val="(%1)"/>
      <w:numFmt w:val="upperLetter"/>
      <w:start w:val="1"/>
    </w:lvl>
  </w:abstractNum>
  <w:abstractNum w:abstractNumId="168">
    <w:nsid w:val="4F3A06D4"/>
    <w:multiLevelType w:val="hybridMultilevel"/>
    <w:lvl w:ilvl="0">
      <w:lvlJc w:val="left"/>
      <w:lvlText w:val="%1"/>
      <w:numFmt w:val="lowerRoman"/>
      <w:start w:val="1"/>
    </w:lvl>
    <w:lvl w:ilvl="1">
      <w:lvlJc w:val="left"/>
      <w:lvlText w:val="(%2)"/>
      <w:numFmt w:val="lowerLetter"/>
      <w:start w:val="1"/>
    </w:lvl>
  </w:abstractNum>
  <w:abstractNum w:abstractNumId="169">
    <w:nsid w:val="59A377B6"/>
    <w:multiLevelType w:val="hybridMultilevel"/>
    <w:lvl w:ilvl="0">
      <w:lvlJc w:val="left"/>
      <w:lvlText w:val="(%1)"/>
      <w:numFmt w:val="lowerRoman"/>
      <w:start w:val="1"/>
    </w:lvl>
    <w:lvl w:ilvl="1">
      <w:lvlJc w:val="left"/>
      <w:lvlText w:val="%2"/>
      <w:numFmt w:val="lowerLetter"/>
      <w:start w:val="1"/>
    </w:lvl>
  </w:abstractNum>
  <w:abstractNum w:abstractNumId="170">
    <w:nsid w:val="48AEB063"/>
    <w:multiLevelType w:val="hybridMultilevel"/>
    <w:lvl w:ilvl="0">
      <w:lvlJc w:val="left"/>
      <w:lvlText w:val="(%1)"/>
      <w:numFmt w:val="lowerRoman"/>
      <w:start w:val="3"/>
    </w:lvl>
  </w:abstractNum>
  <w:abstractNum w:abstractNumId="171">
    <w:nsid w:val="24E135"/>
    <w:multiLevelType w:val="hybridMultilevel"/>
    <w:lvl w:ilvl="0">
      <w:lvlJc w:val="left"/>
      <w:lvlText w:val="(%1)"/>
      <w:numFmt w:val="lowerRoman"/>
      <w:start w:val="7"/>
    </w:lvl>
    <w:lvl w:ilvl="1">
      <w:lvlJc w:val="left"/>
      <w:lvlText w:val="(%2)"/>
      <w:numFmt w:val="lowerRoman"/>
      <w:start w:val="8"/>
    </w:lvl>
  </w:abstractNum>
  <w:abstractNum w:abstractNumId="172">
    <w:nsid w:val="BB13C1"/>
    <w:multiLevelType w:val="hybridMultilevel"/>
    <w:lvl w:ilvl="0">
      <w:lvlJc w:val="left"/>
      <w:lvlText w:val="(%1)"/>
      <w:numFmt w:val="lowerLetter"/>
      <w:start w:val="3"/>
    </w:lvl>
  </w:abstractNum>
  <w:abstractNum w:abstractNumId="173">
    <w:nsid w:val="271210C7"/>
    <w:multiLevelType w:val="hybridMultilevel"/>
    <w:lvl w:ilvl="0">
      <w:lvlJc w:val="left"/>
      <w:lvlText w:val="(%1)"/>
      <w:numFmt w:val="lowerLetter"/>
      <w:start w:val="1"/>
    </w:lvl>
  </w:abstractNum>
  <w:abstractNum w:abstractNumId="174">
    <w:nsid w:val="217B22E4"/>
    <w:multiLevelType w:val="hybridMultilevel"/>
    <w:lvl w:ilvl="0">
      <w:lvlJc w:val="left"/>
      <w:lvlText w:val="(%1)"/>
      <w:numFmt w:val="lowerLetter"/>
      <w:start w:val="4"/>
    </w:lvl>
  </w:abstractNum>
  <w:abstractNum w:abstractNumId="175">
    <w:nsid w:val="53E31A24"/>
    <w:multiLevelType w:val="hybridMultilevel"/>
    <w:lvl w:ilvl="0">
      <w:lvlJc w:val="left"/>
      <w:lvlText w:val="(%1)"/>
      <w:numFmt w:val="lowerLetter"/>
      <w:start w:val="7"/>
    </w:lvl>
  </w:abstractNum>
  <w:abstractNum w:abstractNumId="176">
    <w:nsid w:val="6DC45E83"/>
    <w:multiLevelType w:val="hybridMultilevel"/>
    <w:lvl w:ilvl="0">
      <w:lvlJc w:val="left"/>
      <w:lvlText w:val="(%1)"/>
      <w:numFmt w:val="lowerLetter"/>
      <w:start w:val="9"/>
    </w:lvl>
  </w:abstractNum>
  <w:abstractNum w:abstractNumId="177">
    <w:nsid w:val="17304A67"/>
    <w:multiLevelType w:val="hybridMultilevel"/>
    <w:lvl w:ilvl="0">
      <w:lvlJc w:val="left"/>
      <w:lvlText w:val="(%1)"/>
      <w:numFmt w:val="lowerLetter"/>
      <w:start w:val="14"/>
    </w:lvl>
  </w:abstractNum>
  <w:abstractNum w:abstractNumId="178">
    <w:nsid w:val="2BB180D8"/>
    <w:multiLevelType w:val="hybridMultilevel"/>
    <w:lvl w:ilvl="0">
      <w:lvlJc w:val="left"/>
      <w:lvlText w:val="(%1)"/>
      <w:numFmt w:val="lowerLetter"/>
      <w:start w:val="15"/>
    </w:lvl>
    <w:lvl w:ilvl="1">
      <w:lvlJc w:val="left"/>
      <w:lvlText w:val="(%2)"/>
      <w:numFmt w:val="lowerRoman"/>
      <w:start w:val="1"/>
    </w:lvl>
  </w:abstractNum>
  <w:abstractNum w:abstractNumId="179">
    <w:nsid w:val="556B69ED"/>
    <w:multiLevelType w:val="hybridMultilevel"/>
    <w:lvl w:ilvl="0">
      <w:lvlJc w:val="left"/>
      <w:lvlText w:val="(%1)"/>
      <w:numFmt w:val="upperLetter"/>
      <w:start w:val="3"/>
    </w:lvl>
    <w:lvl w:ilvl="1">
      <w:lvlJc w:val="left"/>
      <w:lvlText w:val="(%2)"/>
      <w:numFmt w:val="lowerLetter"/>
      <w:start w:val="16"/>
    </w:lvl>
  </w:abstractNum>
  <w:abstractNum w:abstractNumId="180">
    <w:nsid w:val="70836196"/>
    <w:multiLevelType w:val="hybridMultilevel"/>
    <w:lvl w:ilvl="0">
      <w:lvlJc w:val="left"/>
      <w:lvlText w:val="%1"/>
      <w:numFmt w:val="lowerLetter"/>
      <w:start w:val="1"/>
    </w:lvl>
    <w:lvl w:ilvl="1">
      <w:lvlJc w:val="left"/>
      <w:lvlText w:val="(%2)"/>
      <w:numFmt w:val="lowerLetter"/>
      <w:start w:val="17"/>
    </w:lvl>
  </w:abstractNum>
  <w:abstractNum w:abstractNumId="181">
    <w:nsid w:val="539F7F12"/>
    <w:multiLevelType w:val="hybridMultilevel"/>
    <w:lvl w:ilvl="0">
      <w:lvlJc w:val="left"/>
      <w:lvlText w:val="(%1)"/>
      <w:numFmt w:val="lowerLetter"/>
      <w:start w:val="18"/>
    </w:lvl>
    <w:lvl w:ilvl="1">
      <w:lvlJc w:val="left"/>
      <w:lvlText w:val="%2"/>
      <w:numFmt w:val="lowerLetter"/>
      <w:start w:val="1"/>
    </w:lvl>
  </w:abstractNum>
  <w:abstractNum w:abstractNumId="182">
    <w:nsid w:val="2817E7EC"/>
    <w:multiLevelType w:val="hybridMultilevel"/>
    <w:lvl w:ilvl="0">
      <w:lvlJc w:val="left"/>
      <w:lvlText w:val="(%1)"/>
      <w:numFmt w:val="lowerLetter"/>
      <w:start w:val="18"/>
    </w:lvl>
  </w:abstractNum>
  <w:abstractNum w:abstractNumId="183">
    <w:nsid w:val="71482545"/>
    <w:multiLevelType w:val="hybridMultilevel"/>
    <w:lvl w:ilvl="0">
      <w:lvlJc w:val="left"/>
      <w:lvlText w:val="(%1)"/>
      <w:numFmt w:val="lowerLetter"/>
      <w:start w:val="1"/>
    </w:lvl>
    <w:lvl w:ilvl="1">
      <w:lvlJc w:val="left"/>
      <w:lvlText w:val="(%2)"/>
      <w:numFmt w:val="lowerRoman"/>
      <w:start w:val="1"/>
    </w:lvl>
  </w:abstractNum>
  <w:abstractNum w:abstractNumId="184">
    <w:nsid w:val="17D78639"/>
    <w:multiLevelType w:val="hybridMultilevel"/>
    <w:lvl w:ilvl="0">
      <w:lvlJc w:val="left"/>
      <w:lvlText w:val="(%1)"/>
      <w:numFmt w:val="lowerLetter"/>
      <w:start w:val="2"/>
    </w:lvl>
    <w:lvl w:ilvl="1">
      <w:lvlJc w:val="left"/>
      <w:lvlText w:val="(%2)"/>
      <w:numFmt w:val="lowerLetter"/>
      <w:start w:val="2"/>
    </w:lvl>
  </w:abstractNum>
  <w:abstractNum w:abstractNumId="185">
    <w:nsid w:val="141D2302"/>
    <w:multiLevelType w:val="hybridMultilevel"/>
    <w:lvl w:ilvl="0">
      <w:lvlJc w:val="left"/>
      <w:lvlText w:val="(%1)"/>
      <w:numFmt w:val="lowerRoman"/>
      <w:start w:val="4"/>
    </w:lvl>
  </w:abstractNum>
  <w:abstractNum w:abstractNumId="186">
    <w:nsid w:val="407168D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187">
    <w:nsid w:val="6A1B45E5"/>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188">
    <w:nsid w:val="567BD50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89">
    <w:nsid w:val="73BBD7F8"/>
    <w:multiLevelType w:val="hybridMultilevel"/>
    <w:lvl w:ilvl="0">
      <w:lvlJc w:val="left"/>
      <w:lvlText w:val="(%1)"/>
      <w:numFmt w:val="lowerLetter"/>
      <w:start w:val="1"/>
    </w:lvl>
  </w:abstractNum>
  <w:abstractNum w:abstractNumId="190">
    <w:nsid w:val="1876589D"/>
    <w:multiLevelType w:val="hybridMultilevel"/>
    <w:lvl w:ilvl="0">
      <w:lvlJc w:val="left"/>
      <w:lvlText w:val="(%1)"/>
      <w:numFmt w:val="lowerLetter"/>
      <w:start w:val="3"/>
    </w:lvl>
  </w:abstractNum>
  <w:abstractNum w:abstractNumId="191">
    <w:nsid w:val="327FAC77"/>
    <w:multiLevelType w:val="hybridMultilevel"/>
    <w:lvl w:ilvl="0">
      <w:lvlJc w:val="left"/>
      <w:lvlText w:val="(%1)"/>
      <w:numFmt w:val="lowerLetter"/>
      <w:start w:val="4"/>
    </w:lvl>
  </w:abstractNum>
  <w:abstractNum w:abstractNumId="192">
    <w:nsid w:val="5A606509"/>
    <w:multiLevelType w:val="hybridMultilevel"/>
    <w:lvl w:ilvl="0">
      <w:lvlJc w:val="left"/>
      <w:lvlText w:val="(%1)"/>
      <w:numFmt w:val="lowerLetter"/>
      <w:start w:val="1"/>
    </w:lvl>
  </w:abstractNum>
  <w:abstractNum w:abstractNumId="193">
    <w:nsid w:val="6F38E6D1"/>
    <w:multiLevelType w:val="hybridMultilevel"/>
    <w:lvl w:ilvl="0">
      <w:lvlJc w:val="left"/>
      <w:lvlText w:val="(%1)"/>
      <w:numFmt w:val="lowerRoman"/>
      <w:start w:val="2"/>
    </w:lvl>
  </w:abstractNum>
  <w:abstractNum w:abstractNumId="194">
    <w:nsid w:val="46111BA5"/>
    <w:multiLevelType w:val="hybridMultilevel"/>
    <w:lvl w:ilvl="0">
      <w:lvlJc w:val="left"/>
      <w:lvlText w:val="(%1)"/>
      <w:numFmt w:val="lowerLetter"/>
      <w:start w:val="1"/>
    </w:lvl>
  </w:abstractNum>
  <w:abstractNum w:abstractNumId="195">
    <w:nsid w:val="5E963896"/>
    <w:multiLevelType w:val="hybridMultilevel"/>
    <w:lvl w:ilvl="0">
      <w:lvlJc w:val="left"/>
      <w:lvlText w:val="(%1)"/>
      <w:numFmt w:val="lowerLetter"/>
      <w:start w:val="2"/>
    </w:lvl>
  </w:abstractNum>
  <w:abstractNum w:abstractNumId="196">
    <w:nsid w:val="775BA7C1"/>
    <w:multiLevelType w:val="hybridMultilevel"/>
    <w:lvl w:ilvl="0">
      <w:lvlJc w:val="left"/>
      <w:lvlText w:val="(%1)"/>
      <w:numFmt w:val="lowerLetter"/>
      <w:start w:val="5"/>
    </w:lvl>
  </w:abstractNum>
  <w:abstractNum w:abstractNumId="197">
    <w:nsid w:val="1DD6D6F4"/>
    <w:multiLevelType w:val="hybridMultilevel"/>
    <w:lvl w:ilvl="0">
      <w:lvlJc w:val="left"/>
      <w:lvlText w:val="(%1)"/>
      <w:numFmt w:val="lowerLetter"/>
      <w:start w:val="8"/>
    </w:lvl>
  </w:abstractNum>
  <w:abstractNum w:abstractNumId="198">
    <w:nsid w:val="769A091F"/>
    <w:multiLevelType w:val="hybridMultilevel"/>
    <w:lvl w:ilvl="0">
      <w:lvlJc w:val="left"/>
      <w:lvlText w:val="%1."/>
      <w:numFmt w:val="decimal"/>
      <w:start w:val="1"/>
    </w:lvl>
  </w:abstractNum>
  <w:abstractNum w:abstractNumId="199">
    <w:nsid w:val="4695AE95"/>
    <w:multiLevelType w:val="hybridMultilevel"/>
    <w:lvl w:ilvl="0">
      <w:lvlJc w:val="left"/>
      <w:lvlText w:val="%1."/>
      <w:numFmt w:val="decimal"/>
      <w:start w:val="2"/>
    </w:lvl>
  </w:abstractNum>
  <w:abstractNum w:abstractNumId="200">
    <w:nsid w:val="777A4EAA"/>
    <w:multiLevelType w:val="hybridMultilevel"/>
    <w:lvl w:ilvl="0">
      <w:lvlJc w:val="left"/>
      <w:lvlText w:val="%1."/>
      <w:numFmt w:val="decimal"/>
      <w:start w:val="3"/>
    </w:lvl>
    <w:lvl w:ilvl="1">
      <w:lvlJc w:val="left"/>
      <w:lvlText w:val="(%2)"/>
      <w:numFmt w:val="lowerLetter"/>
      <w:start w:val="1"/>
    </w:lvl>
  </w:abstractNum>
  <w:abstractNum w:abstractNumId="201">
    <w:nsid w:val="3F48B982"/>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02">
    <w:nsid w:val="46BA8FCA"/>
    <w:multiLevelType w:val="hybridMultilevel"/>
    <w:lvl w:ilvl="0">
      <w:lvlJc w:val="left"/>
      <w:lvlText w:val="(%1)"/>
      <w:numFmt w:val="lowerLetter"/>
      <w:start w:val="2"/>
    </w:lvl>
    <w:lvl w:ilvl="1">
      <w:lvlJc w:val="left"/>
      <w:lvlText w:val="(%2)"/>
      <w:numFmt w:val="decimal"/>
      <w:start w:val="1"/>
    </w:lvl>
  </w:abstractNum>
  <w:abstractNum w:abstractNumId="203">
    <w:nsid w:val="7835626C"/>
    <w:multiLevelType w:val="hybridMultilevel"/>
    <w:lvl w:ilvl="0">
      <w:lvlJc w:val="left"/>
      <w:lvlText w:val="(%1)"/>
      <w:numFmt w:val="lowerLetter"/>
      <w:start w:val="3"/>
    </w:lvl>
    <w:lvl w:ilvl="1">
      <w:lvlJc w:val="left"/>
      <w:lvlText w:val="(%2)"/>
      <w:numFmt w:val="decimal"/>
      <w:start w:val="1"/>
    </w:lvl>
  </w:abstractNum>
  <w:abstractNum w:abstractNumId="204">
    <w:nsid w:val="665ACA49"/>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05">
    <w:nsid w:val="6835B2AE"/>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206">
    <w:nsid w:val="4C187C90"/>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07">
    <w:nsid w:val="541F28CD"/>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08">
    <w:nsid w:val="7F65FD16"/>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09">
    <w:nsid w:val="77C9FD6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10">
    <w:nsid w:val="298A92BA"/>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11">
    <w:nsid w:val="6FE95EAC"/>
    <w:multiLevelType w:val="hybridMultilevel"/>
    <w:lvl w:ilvl="0">
      <w:lvlJc w:val="left"/>
      <w:lvlText w:val="(%1)"/>
      <w:numFmt w:val="decimal"/>
      <w:start w:val="2"/>
    </w:lvl>
    <w:lvl w:ilvl="1">
      <w:lvlJc w:val="left"/>
      <w:lvlText w:val="(%2)"/>
      <w:numFmt w:val="upperLetter"/>
      <w:start w:val="1"/>
    </w:lvl>
  </w:abstractNum>
  <w:abstractNum w:abstractNumId="212">
    <w:nsid w:val="4B697C7A"/>
    <w:multiLevelType w:val="hybridMultilevel"/>
    <w:lvl w:ilvl="0">
      <w:lvlJc w:val="left"/>
      <w:lvlText w:val="%1."/>
      <w:numFmt w:val="decimal"/>
      <w:start w:val="10"/>
    </w:lvl>
    <w:lvl w:ilvl="1">
      <w:lvlJc w:val="left"/>
      <w:lvlText w:val="(%2)"/>
      <w:numFmt w:val="lowerLetter"/>
      <w:start w:val="1"/>
    </w:lvl>
  </w:abstractNum>
  <w:abstractNum w:abstractNumId="213">
    <w:nsid w:val="51A27AA6"/>
    <w:multiLevelType w:val="hybridMultilevel"/>
    <w:lvl w:ilvl="0">
      <w:lvlJc w:val="left"/>
      <w:lvlText w:val="%1"/>
      <w:numFmt w:val="decimal"/>
      <w:start w:val="1"/>
    </w:lvl>
    <w:lvl w:ilvl="1">
      <w:lvlJc w:val="left"/>
      <w:lvlText w:val="(%2)"/>
      <w:numFmt w:val="lowerLetter"/>
      <w:start w:val="5"/>
    </w:lvl>
  </w:abstractNum>
  <w:abstractNum w:abstractNumId="214">
    <w:nsid w:val="613183F2"/>
    <w:multiLevelType w:val="hybridMultilevel"/>
    <w:lvl w:ilvl="0">
      <w:lvlJc w:val="left"/>
      <w:lvlText w:val="%1."/>
      <w:numFmt w:val="decimal"/>
      <w:start w:val="11"/>
    </w:lvl>
    <w:lvl w:ilvl="1">
      <w:lvlJc w:val="left"/>
      <w:lvlText w:val="(%2)"/>
      <w:numFmt w:val="lowerLetter"/>
      <w:start w:val="1"/>
    </w:lvl>
  </w:abstractNum>
  <w:abstractNum w:abstractNumId="215">
    <w:nsid w:val="634102B4"/>
    <w:multiLevelType w:val="hybridMultilevel"/>
    <w:lvl w:ilvl="0">
      <w:lvlJc w:val="left"/>
      <w:lvlText w:val="(%1)"/>
      <w:numFmt w:val="lowerLetter"/>
      <w:start w:val="6"/>
    </w:lvl>
  </w:abstractNum>
  <w:abstractNum w:abstractNumId="216">
    <w:nsid w:val="65BF9DA8"/>
    <w:multiLevelType w:val="hybridMultilevel"/>
    <w:lvl w:ilvl="0">
      <w:lvlJc w:val="left"/>
      <w:lvlText w:val="(%1)"/>
      <w:numFmt w:val="lowerLetter"/>
      <w:start w:val="7"/>
    </w:lvl>
  </w:abstractNum>
  <w:abstractNum w:abstractNumId="217">
    <w:nsid w:val="21A2ECCA"/>
    <w:multiLevelType w:val="hybridMultilevel"/>
    <w:lvl w:ilvl="0">
      <w:lvlJc w:val="left"/>
      <w:lvlText w:val="%1."/>
      <w:numFmt w:val="decimal"/>
      <w:start w:val="1"/>
    </w:lvl>
  </w:abstractNum>
  <w:abstractNum w:abstractNumId="218">
    <w:nsid w:val="4D5C4899"/>
    <w:multiLevelType w:val="hybridMultilevel"/>
    <w:lvl w:ilvl="0">
      <w:lvlJc w:val="left"/>
      <w:lvlText w:val="%1."/>
      <w:numFmt w:val="decimal"/>
      <w:start w:val="2"/>
    </w:lvl>
  </w:abstractNum>
  <w:abstractNum w:abstractNumId="219">
    <w:nsid w:val="3C3B72B2"/>
    <w:multiLevelType w:val="hybridMultilevel"/>
    <w:lvl w:ilvl="0">
      <w:lvlJc w:val="left"/>
      <w:lvlText w:val="%1."/>
      <w:numFmt w:val="decimal"/>
      <w:start w:val="3"/>
    </w:lvl>
    <w:lvl w:ilvl="1">
      <w:lvlJc w:val="left"/>
      <w:lvlText w:val="(%2)"/>
      <w:numFmt w:val="lowerLetter"/>
      <w:start w:val="1"/>
    </w:lvl>
  </w:abstractNum>
  <w:abstractNum w:abstractNumId="220">
    <w:nsid w:val="155EC4C2"/>
    <w:multiLevelType w:val="hybridMultilevel"/>
    <w:lvl w:ilvl="0">
      <w:lvlJc w:val="left"/>
      <w:lvlText w:val="(%1)"/>
      <w:numFmt w:val="lowerLetter"/>
      <w:start w:val="2"/>
    </w:lvl>
  </w:abstractNum>
  <w:abstractNum w:abstractNumId="221">
    <w:nsid w:val="65D2A137"/>
    <w:multiLevelType w:val="hybridMultilevel"/>
    <w:lvl w:ilvl="0">
      <w:lvlJc w:val="left"/>
      <w:lvlText w:val="%1."/>
      <w:numFmt w:val="decimal"/>
      <w:start w:val="4"/>
    </w:lvl>
    <w:lvl w:ilvl="1">
      <w:lvlJc w:val="left"/>
      <w:lvlText w:val="(%2)"/>
      <w:numFmt w:val="lowerLetter"/>
      <w:start w:val="1"/>
    </w:lvl>
  </w:abstractNum>
  <w:abstractNum w:abstractNumId="222">
    <w:nsid w:val="6EBB1F2A"/>
    <w:multiLevelType w:val="hybridMultilevel"/>
    <w:lvl w:ilvl="0">
      <w:lvlJc w:val="left"/>
      <w:lvlText w:val="%1."/>
      <w:numFmt w:val="decimal"/>
      <w:start w:val="1"/>
    </w:lvl>
  </w:abstractNum>
  <w:abstractNum w:abstractNumId="223">
    <w:nsid w:val="6FBF29CB"/>
    <w:multiLevelType w:val="hybridMultilevel"/>
    <w:lvl w:ilvl="0">
      <w:lvlJc w:val="left"/>
      <w:lvlText w:val="%1."/>
      <w:numFmt w:val="decimal"/>
      <w:start w:val="2"/>
    </w:lvl>
  </w:abstractNum>
  <w:abstractNum w:abstractNumId="224">
    <w:nsid w:val="550B8808"/>
    <w:multiLevelType w:val="hybridMultilevel"/>
    <w:lvl w:ilvl="0">
      <w:lvlJc w:val="left"/>
      <w:lvlText w:val="%1."/>
      <w:numFmt w:val="decimal"/>
      <w:start w:val="3"/>
    </w:lvl>
  </w:abstractNum>
  <w:abstractNum w:abstractNumId="225">
    <w:nsid w:val="34CC3ACF"/>
    <w:multiLevelType w:val="hybridMultilevel"/>
    <w:lvl w:ilvl="0">
      <w:lvlJc w:val="left"/>
      <w:lvlText w:val="%1."/>
      <w:numFmt w:val="decimal"/>
      <w:start w:val="4"/>
    </w:lvl>
  </w:abstractNum>
  <w:abstractNum w:abstractNumId="226">
    <w:nsid w:val="4E556261"/>
    <w:multiLevelType w:val="hybridMultilevel"/>
    <w:lvl w:ilvl="0">
      <w:lvlJc w:val="left"/>
      <w:lvlText w:val="%1."/>
      <w:numFmt w:val="decimal"/>
      <w:start w:val="5"/>
    </w:lvl>
  </w:abstractNum>
  <w:abstractNum w:abstractNumId="227">
    <w:nsid w:val="4C672FC9"/>
    <w:multiLevelType w:val="hybridMultilevel"/>
    <w:lvl w:ilvl="0">
      <w:lvlJc w:val="left"/>
      <w:lvlText w:val="%1."/>
      <w:numFmt w:val="decimal"/>
      <w:start w:val="6"/>
    </w:lvl>
  </w:abstractNum>
  <w:abstractNum w:abstractNumId="228">
    <w:nsid w:val="52A311C3"/>
    <w:multiLevelType w:val="hybridMultilevel"/>
    <w:lvl w:ilvl="0">
      <w:lvlJc w:val="left"/>
      <w:lvlText w:val="%1."/>
      <w:numFmt w:val="decimal"/>
      <w:start w:val="7"/>
    </w:lvl>
    <w:lvl w:ilvl="1">
      <w:lvlJc w:val="left"/>
      <w:lvlText w:val="(%2)"/>
      <w:numFmt w:val="lowerLetter"/>
      <w:start w:val="1"/>
    </w:lvl>
  </w:abstractNum>
  <w:abstractNum w:abstractNumId="229">
    <w:nsid w:val="44EF6B80"/>
    <w:multiLevelType w:val="hybridMultilevel"/>
    <w:lvl w:ilvl="0">
      <w:lvlJc w:val="left"/>
      <w:lvlText w:val="%1."/>
      <w:numFmt w:val="decimal"/>
      <w:start w:val="8"/>
    </w:lvl>
    <w:lvl w:ilvl="1">
      <w:lvlJc w:val="left"/>
      <w:lvlText w:val="(%2)"/>
      <w:numFmt w:val="lowerLetter"/>
      <w:start w:val="1"/>
    </w:lvl>
  </w:abstractNum>
  <w:abstractNum w:abstractNumId="230">
    <w:nsid w:val="12FCDE5E"/>
    <w:multiLevelType w:val="hybridMultilevel"/>
    <w:lvl w:ilvl="0">
      <w:lvlJc w:val="left"/>
      <w:lvlText w:val="(%1)"/>
      <w:numFmt w:val="lowerRoman"/>
      <w:start w:val="1"/>
    </w:lvl>
    <w:lvl w:ilvl="1">
      <w:lvlJc w:val="left"/>
      <w:lvlText w:val="(%2)"/>
      <w:numFmt w:val="lowerRoman"/>
      <w:start w:val="2"/>
    </w:lvl>
  </w:abstractNum>
  <w:abstractNum w:abstractNumId="231">
    <w:nsid w:val="4A1D606E"/>
    <w:multiLevelType w:val="hybridMultilevel"/>
    <w:lvl w:ilvl="0">
      <w:lvlJc w:val="left"/>
      <w:lvlText w:val="%1."/>
      <w:numFmt w:val="decimal"/>
      <w:start w:val="1"/>
    </w:lvl>
  </w:abstractNum>
  <w:abstractNum w:abstractNumId="232">
    <w:nsid w:val="4382503"/>
    <w:multiLevelType w:val="hybridMultilevel"/>
    <w:lvl w:ilvl="0">
      <w:lvlJc w:val="left"/>
      <w:lvlText w:val="%1."/>
      <w:numFmt w:val="decimal"/>
      <w:start w:val="2"/>
    </w:lvl>
  </w:abstractNum>
  <w:abstractNum w:abstractNumId="233">
    <w:nsid w:val="59B76E28"/>
    <w:multiLevelType w:val="hybridMultilevel"/>
    <w:lvl w:ilvl="0">
      <w:lvlJc w:val="left"/>
      <w:lvlText w:val="%1."/>
      <w:numFmt w:val="decimal"/>
      <w:start w:val="3"/>
    </w:lvl>
  </w:abstractNum>
  <w:abstractNum w:abstractNumId="234">
    <w:nsid w:val="4252C2DA"/>
    <w:multiLevelType w:val="hybridMultilevel"/>
    <w:lvl w:ilvl="0">
      <w:lvlJc w:val="left"/>
      <w:lvlText w:val="%1."/>
      <w:numFmt w:val="decimal"/>
      <w:start w:val="4"/>
    </w:lvl>
  </w:abstractNum>
  <w:abstractNum w:abstractNumId="235">
    <w:nsid w:val="6A92EF4C"/>
    <w:multiLevelType w:val="hybridMultilevel"/>
    <w:lvl w:ilvl="0">
      <w:lvlJc w:val="left"/>
      <w:lvlText w:val="%1."/>
      <w:numFmt w:val="decimal"/>
      <w:start w:val="5"/>
    </w:lvl>
  </w:abstractNum>
  <w:abstractNum w:abstractNumId="236">
    <w:nsid w:val="41ED20D7"/>
    <w:multiLevelType w:val="hybridMultilevel"/>
    <w:lvl w:ilvl="0">
      <w:lvlJc w:val="left"/>
      <w:lvlText w:val="%1."/>
      <w:numFmt w:val="decimal"/>
      <w:start w:val="6"/>
    </w:lvl>
  </w:abstractNum>
  <w:abstractNum w:abstractNumId="237">
    <w:nsid w:val="E6B3F6A"/>
    <w:multiLevelType w:val="hybridMultilevel"/>
    <w:lvl w:ilvl="0">
      <w:lvlJc w:val="left"/>
      <w:lvlText w:val="%1."/>
      <w:numFmt w:val="decimal"/>
      <w:start w:val="7"/>
    </w:lvl>
  </w:abstractNum>
  <w:abstractNum w:abstractNumId="238">
    <w:nsid w:val="3EB21819"/>
    <w:multiLevelType w:val="hybridMultilevel"/>
    <w:lvl w:ilvl="0">
      <w:lvlJc w:val="left"/>
      <w:lvlText w:val="(%1)"/>
      <w:numFmt w:val="lowerLetter"/>
      <w:start w:val="1"/>
    </w:lvl>
  </w:abstractNum>
  <w:abstractNum w:abstractNumId="239">
    <w:nsid w:val="41531DED"/>
    <w:multiLevelType w:val="hybridMultilevel"/>
    <w:lvl w:ilvl="0">
      <w:lvlJc w:val="left"/>
      <w:lvlText w:val="%1."/>
      <w:numFmt w:val="decimal"/>
      <w:start w:val="8"/>
    </w:lvl>
  </w:abstractNum>
  <w:abstractNum w:abstractNumId="240">
    <w:nsid w:val="6353CD2"/>
    <w:multiLevelType w:val="hybridMultilevel"/>
    <w:lvl w:ilvl="0">
      <w:lvlJc w:val="left"/>
      <w:lvlText w:val="(%1)"/>
      <w:numFmt w:val="lowerLetter"/>
      <w:start w:val="1"/>
    </w:lvl>
  </w:abstractNum>
  <w:abstractNum w:abstractNumId="241">
    <w:nsid w:val="683CAAD3"/>
    <w:multiLevelType w:val="hybridMultilevel"/>
    <w:lvl w:ilvl="0">
      <w:lvlJc w:val="left"/>
      <w:lvlText w:val="(%1)"/>
      <w:numFmt w:val="lowerLetter"/>
      <w:start w:val="2"/>
    </w:lvl>
  </w:abstractNum>
  <w:abstractNum w:abstractNumId="242">
    <w:nsid w:val="313C7C99"/>
    <w:multiLevelType w:val="hybridMultilevel"/>
    <w:lvl w:ilvl="0">
      <w:lvlJc w:val="left"/>
      <w:lvlText w:val="(%1)"/>
      <w:numFmt w:val="lowerRoman"/>
      <w:start w:val="1"/>
    </w:lvl>
  </w:abstractNum>
  <w:abstractNum w:abstractNumId="243">
    <w:nsid w:val="519EB94C"/>
    <w:multiLevelType w:val="hybridMultilevel"/>
    <w:lvl w:ilvl="0">
      <w:lvlJc w:val="left"/>
      <w:lvlText w:val="☐"/>
      <w:numFmt w:val="bullet"/>
      <w:start w:val="1"/>
    </w:lvl>
  </w:abstractNum>
  <w:abstractNum w:abstractNumId="244">
    <w:nsid w:val="39DF2579"/>
    <w:multiLevelType w:val="hybridMultilevel"/>
    <w:lvl w:ilvl="0">
      <w:lvlJc w:val="left"/>
      <w:lvlText w:val="(%1)"/>
      <w:numFmt w:val="lowerLetter"/>
      <w:start w:val="1"/>
    </w:lvl>
  </w:abstractNum>
  <w:abstractNum w:abstractNumId="245">
    <w:nsid w:val="126E008B"/>
    <w:multiLevelType w:val="hybridMultilevel"/>
    <w:lvl w:ilvl="0">
      <w:lvlJc w:val="left"/>
      <w:lvlText w:val="(%1)"/>
      <w:numFmt w:val="lowerLetter"/>
      <w:start w:val="5"/>
    </w:lvl>
  </w:abstractNum>
  <w:abstractNum w:abstractNumId="246">
    <w:nsid w:val="34DFBC00"/>
    <w:multiLevelType w:val="hybridMultilevel"/>
    <w:lvl w:ilvl="0">
      <w:lvlJc w:val="left"/>
      <w:lvlText w:val="(%1)"/>
      <w:numFmt w:val="lowerLetter"/>
      <w:start w:val="6"/>
    </w:lvl>
  </w:abstractNum>
  <w:abstractNum w:abstractNumId="247">
    <w:nsid w:val="1F9EC322"/>
    <w:multiLevelType w:val="hybridMultilevel"/>
    <w:lvl w:ilvl="0">
      <w:lvlJc w:val="left"/>
      <w:lvlText w:val="(%1)"/>
      <w:numFmt w:val="lowerLetter"/>
      <w:start w:val="1"/>
    </w:lvl>
    <w:lvl w:ilvl="1">
      <w:lvlJc w:val="left"/>
      <w:lvlText w:val="%2)"/>
      <w:numFmt w:val="decimal"/>
      <w:start w:val="1"/>
    </w:lvl>
  </w:abstractNum>
  <w:abstractNum w:abstractNumId="248">
    <w:nsid w:val="3410ED56"/>
    <w:multiLevelType w:val="hybridMultilevel"/>
    <w:lvl w:ilvl="0">
      <w:lvlJc w:val="left"/>
      <w:lvlText w:val="%1"/>
      <w:numFmt w:val="lowerLetter"/>
      <w:start w:val="1"/>
    </w:lvl>
    <w:lvl w:ilvl="1">
      <w:lvlJc w:val="left"/>
      <w:lvlText w:val="(%2)"/>
      <w:numFmt w:val="lowerLetter"/>
      <w:start w:val="7"/>
    </w:lvl>
  </w:abstractNum>
  <w:abstractNum w:abstractNumId="249">
    <w:nsid w:val="23C049A"/>
    <w:multiLevelType w:val="hybridMultilevel"/>
    <w:lvl w:ilvl="0">
      <w:lvlJc w:val="left"/>
      <w:lvlText w:val="(%1)"/>
      <w:numFmt w:val="lowerLetter"/>
      <w:start w:val="1"/>
    </w:lvl>
    <w:lvl w:ilvl="1">
      <w:lvlJc w:val="left"/>
      <w:lvlText w:val="%2"/>
      <w:numFmt w:val="lowerLetter"/>
      <w:start w:val="1"/>
    </w:lvl>
  </w:abstractNum>
  <w:abstractNum w:abstractNumId="250">
    <w:nsid w:val="5BDA35D4"/>
    <w:multiLevelType w:val="hybridMultilevel"/>
    <w:lvl w:ilvl="0">
      <w:lvlJc w:val="left"/>
      <w:lvlText w:val="(%1)"/>
      <w:numFmt w:val="lowerLetter"/>
      <w:start w:val="8"/>
    </w:lvl>
  </w:abstractNum>
  <w:abstractNum w:abstractNumId="251">
    <w:nsid w:val="496FB218"/>
    <w:multiLevelType w:val="hybridMultilevel"/>
    <w:lvl w:ilvl="0">
      <w:lvlJc w:val="left"/>
      <w:lvlText w:val="(%1)"/>
      <w:numFmt w:val="lowerLetter"/>
      <w:start w:val="1"/>
    </w:lvl>
  </w:abstractNum>
  <w:abstractNum w:abstractNumId="252">
    <w:nsid w:val="680EA5D1"/>
    <w:multiLevelType w:val="hybridMultilevel"/>
    <w:lvl w:ilvl="0">
      <w:lvlJc w:val="left"/>
      <w:lvlText w:val="(%1)"/>
      <w:numFmt w:val="lowerLetter"/>
      <w:start w:val="2"/>
    </w:lvl>
  </w:abstractNum>
  <w:abstractNum w:abstractNumId="253">
    <w:nsid w:val="4A9554FE"/>
    <w:multiLevelType w:val="hybridMultilevel"/>
    <w:lvl w:ilvl="0">
      <w:lvlJc w:val="left"/>
      <w:lvlText w:val="%1)"/>
      <w:numFmt w:val="decimal"/>
      <w:start w:val="2"/>
    </w:lvl>
  </w:abstractNum>
  <w:abstractNum w:abstractNumId="254">
    <w:nsid w:val="392EDBE4"/>
    <w:multiLevelType w:val="hybridMultilevel"/>
    <w:lvl w:ilvl="0">
      <w:lvlJc w:val="left"/>
      <w:lvlText w:val="(%1)"/>
      <w:numFmt w:val="lowerLetter"/>
      <w:start w:val="1"/>
    </w:lvl>
  </w:abstractNum>
  <w:abstractNum w:abstractNumId="255">
    <w:nsid w:val="3D1A2DD9"/>
    <w:multiLevelType w:val="hybridMultilevel"/>
    <w:lvl w:ilvl="0">
      <w:lvlJc w:val="left"/>
      <w:lvlText w:val="(%1)"/>
      <w:numFmt w:val="lowerLetter"/>
      <w:start w:val="3"/>
    </w:lvl>
  </w:abstractNum>
  <w:abstractNum w:abstractNumId="256">
    <w:nsid w:val="7F618FCD"/>
    <w:multiLevelType w:val="hybridMultilevel"/>
    <w:lvl w:ilvl="0">
      <w:lvlJc w:val="left"/>
      <w:lvlText w:val="%1."/>
      <w:numFmt w:val="decimal"/>
      <w:start w:val="1"/>
    </w:lvl>
  </w:abstractNum>
  <w:abstractNum w:abstractNumId="257">
    <w:nsid w:val="7843E45"/>
    <w:multiLevelType w:val="hybridMultilevel"/>
    <w:lvl w:ilvl="0">
      <w:lvlJc w:val="left"/>
      <w:lvlText w:val="%1."/>
      <w:numFmt w:val="decimal"/>
      <w:start w:val="2"/>
    </w:lvl>
    <w:lvl w:ilvl="1">
      <w:lvlJc w:val="left"/>
      <w:lvlText w:val="(%2)"/>
      <w:numFmt w:val="lowerLetter"/>
      <w:start w:val="1"/>
    </w:lvl>
  </w:abstractNum>
  <w:abstractNum w:abstractNumId="258">
    <w:nsid w:val="9815DA3"/>
    <w:multiLevelType w:val="hybridMultilevel"/>
    <w:lvl w:ilvl="0">
      <w:lvlJc w:val="left"/>
      <w:lvlText w:val="(%1)"/>
      <w:numFmt w:val="lowerLetter"/>
      <w:start w:val="5"/>
    </w:lvl>
  </w:abstractNum>
  <w:abstractNum w:abstractNumId="259">
    <w:nsid w:val="5204A191"/>
    <w:multiLevelType w:val="hybridMultilevel"/>
    <w:lvl w:ilvl="0">
      <w:lvlJc w:val="left"/>
      <w:lvlText w:val="(%1)"/>
      <w:numFmt w:val="lowerLetter"/>
      <w:start w:val="1"/>
    </w:lvl>
  </w:abstractNum>
  <w:abstractNum w:abstractNumId="260">
    <w:nsid w:val="4C73A9C6"/>
    <w:multiLevelType w:val="hybridMultilevel"/>
    <w:lvl w:ilvl="0">
      <w:lvlJc w:val="left"/>
      <w:lvlText w:val="%1."/>
      <w:numFmt w:val="decimal"/>
      <w:start w:val="3"/>
    </w:lvl>
  </w:abstractNum>
  <w:abstractNum w:abstractNumId="261">
    <w:nsid w:val="1C7E3C01"/>
    <w:multiLevelType w:val="hybridMultilevel"/>
    <w:lvl w:ilvl="0">
      <w:lvlJc w:val="left"/>
      <w:lvlText w:val="%1."/>
      <w:numFmt w:val="decimal"/>
      <w:start w:val="4"/>
    </w:lvl>
  </w:abstractNum>
  <w:abstractNum w:abstractNumId="262">
    <w:nsid w:val="1C2201FF"/>
    <w:multiLevelType w:val="hybridMultilevel"/>
    <w:lvl w:ilvl="0">
      <w:lvlJc w:val="left"/>
      <w:lvlText w:val="%1."/>
      <w:numFmt w:val="decimal"/>
      <w:start w:val="5"/>
    </w:lvl>
  </w:abstractNum>
  <w:abstractNum w:abstractNumId="263">
    <w:nsid w:val="50ABCEC9"/>
    <w:multiLevelType w:val="hybridMultilevel"/>
    <w:lvl w:ilvl="0">
      <w:lvlJc w:val="left"/>
      <w:lvlText w:val="(%1)"/>
      <w:numFmt w:val="lowerLetter"/>
      <w:start w:val="1"/>
    </w:lvl>
  </w:abstractNum>
  <w:abstractNum w:abstractNumId="264">
    <w:nsid w:val="7635AA2A"/>
    <w:multiLevelType w:val="hybridMultilevel"/>
    <w:lvl w:ilvl="0">
      <w:lvlJc w:val="left"/>
      <w:lvlText w:val="%1."/>
      <w:numFmt w:val="decimal"/>
      <w:start w:val="6"/>
    </w:lvl>
  </w:abstractNum>
  <w:abstractNum w:abstractNumId="265">
    <w:nsid w:val="5E74C4D9"/>
    <w:multiLevelType w:val="hybridMultilevel"/>
    <w:lvl w:ilvl="0">
      <w:lvlJc w:val="left"/>
      <w:lvlText w:val="%1."/>
      <w:numFmt w:val="decimal"/>
      <w:start w:val="7"/>
    </w:lvl>
  </w:abstractNum>
  <w:abstractNum w:abstractNumId="266">
    <w:nsid w:val="3B3EBE15"/>
    <w:multiLevelType w:val="hybridMultilevel"/>
    <w:lvl w:ilvl="0">
      <w:lvlJc w:val="left"/>
      <w:lvlText w:val="(%1)"/>
      <w:numFmt w:val="lowerRoman"/>
      <w:start w:val="1"/>
    </w:lvl>
  </w:abstractNum>
  <w:abstractNum w:abstractNumId="267">
    <w:nsid w:val="3822CB01"/>
    <w:multiLevelType w:val="hybridMultilevel"/>
    <w:lvl w:ilvl="0">
      <w:lvlJc w:val="left"/>
      <w:lvlText w:val="(%1)"/>
      <w:numFmt w:val="lowerLetter"/>
      <w:start w:val="1"/>
    </w:lvl>
  </w:abstractNum>
  <w:abstractNum w:abstractNumId="268">
    <w:nsid w:val="6CE00443"/>
    <w:multiLevelType w:val="hybridMultilevel"/>
    <w:lvl w:ilvl="0">
      <w:lvlJc w:val="left"/>
      <w:lvlText w:val="%1."/>
      <w:numFmt w:val="decimal"/>
      <w:start w:val="8"/>
    </w:lvl>
  </w:abstractNum>
  <w:abstractNum w:abstractNumId="269">
    <w:nsid w:val="79F0D62F"/>
    <w:multiLevelType w:val="hybridMultilevel"/>
    <w:lvl w:ilvl="0">
      <w:lvlJc w:val="left"/>
      <w:lvlText w:val="%1."/>
      <w:numFmt w:val="decimal"/>
      <w:start w:val="9"/>
    </w:lvl>
  </w:abstractNum>
  <w:abstractNum w:abstractNumId="270">
    <w:nsid w:val="7975E8EE"/>
    <w:multiLevelType w:val="hybridMultilevel"/>
    <w:lvl w:ilvl="0">
      <w:lvlJc w:val="left"/>
      <w:lvlText w:val="(%1)"/>
      <w:numFmt w:val="lowerLetter"/>
      <w:start w:val="1"/>
    </w:lvl>
    <w:lvl w:ilvl="1">
      <w:lvlJc w:val="left"/>
      <w:lvlText w:val="(%2)"/>
      <w:numFmt w:val="lowerRoman"/>
      <w:start w:val="1"/>
    </w:lvl>
  </w:abstractNum>
  <w:abstractNum w:abstractNumId="271">
    <w:nsid w:val="73154115"/>
    <w:multiLevelType w:val="hybridMultilevel"/>
    <w:lvl w:ilvl="0">
      <w:lvlJc w:val="left"/>
      <w:lvlText w:val="(%1)"/>
      <w:numFmt w:val="lowerRoman"/>
      <w:start w:val="5"/>
    </w:lvl>
  </w:abstractNum>
  <w:abstractNum w:abstractNumId="272">
    <w:nsid w:val="622D8102"/>
    <w:multiLevelType w:val="hybridMultilevel"/>
    <w:lvl w:ilvl="0">
      <w:lvlJc w:val="left"/>
      <w:lvlText w:val="(%1)"/>
      <w:numFmt w:val="lowerLetter"/>
      <w:start w:val="2"/>
    </w:lvl>
    <w:lvl w:ilvl="1">
      <w:lvlJc w:val="left"/>
      <w:lvlText w:val="(%2)"/>
      <w:numFmt w:val="lowerRoman"/>
      <w:start w:val="1"/>
    </w:lvl>
  </w:abstractNum>
  <w:abstractNum w:abstractNumId="273">
    <w:nsid w:val="2AB26587"/>
    <w:multiLevelType w:val="hybridMultilevel"/>
    <w:lvl w:ilvl="0">
      <w:lvlJc w:val="left"/>
      <w:lvlText w:val="(%1)"/>
      <w:numFmt w:val="lowerRoman"/>
      <w:start w:val="5"/>
    </w:lvl>
  </w:abstractNum>
  <w:abstractNum w:abstractNumId="274">
    <w:nsid w:val="44B3FA61"/>
    <w:multiLevelType w:val="hybridMultilevel"/>
    <w:lvl w:ilvl="0">
      <w:lvlJc w:val="left"/>
      <w:lvlText w:val="%1."/>
      <w:numFmt w:val="decimal"/>
      <w:start w:val="10"/>
    </w:lvl>
  </w:abstractNum>
  <w:abstractNum w:abstractNumId="275">
    <w:nsid w:val="1C0CA67C"/>
    <w:multiLevelType w:val="hybridMultilevel"/>
    <w:lvl w:ilvl="0">
      <w:lvlJc w:val="left"/>
      <w:lvlText w:val="%1."/>
      <w:numFmt w:val="decimal"/>
      <w:start w:val="11"/>
    </w:lvl>
  </w:abstractNum>
  <w:abstractNum w:abstractNumId="276">
    <w:nsid w:val="3D206613"/>
    <w:multiLevelType w:val="hybridMultilevel"/>
    <w:lvl w:ilvl="0">
      <w:lvlJc w:val="left"/>
      <w:lvlText w:val="(%1)"/>
      <w:numFmt w:val="lowerLetter"/>
      <w:start w:val="1"/>
    </w:lvl>
    <w:lvl w:ilvl="1">
      <w:lvlJc w:val="left"/>
      <w:lvlText w:val="(%2)"/>
      <w:numFmt w:val="lowerRoman"/>
      <w:start w:val="1"/>
    </w:lvl>
  </w:abstractNum>
  <w:abstractNum w:abstractNumId="277">
    <w:nsid w:val="7993B662"/>
    <w:multiLevelType w:val="hybridMultilevel"/>
    <w:lvl w:ilvl="0">
      <w:lvlJc w:val="left"/>
      <w:lvlText w:val="(%1)"/>
      <w:numFmt w:val="lowerLetter"/>
      <w:start w:val="5"/>
    </w:lvl>
  </w:abstractNum>
  <w:abstractNum w:abstractNumId="278">
    <w:nsid w:val="3BAB699E"/>
    <w:multiLevelType w:val="hybridMultilevel"/>
    <w:lvl w:ilvl="0">
      <w:lvlJc w:val="left"/>
      <w:lvlText w:val="%1."/>
      <w:numFmt w:val="decimal"/>
      <w:start w:val="12"/>
    </w:lvl>
  </w:abstractNum>
  <w:abstractNum w:abstractNumId="279">
    <w:nsid w:val="71315369"/>
    <w:multiLevelType w:val="hybridMultilevel"/>
    <w:lvl w:ilvl="0">
      <w:lvlJc w:val="left"/>
      <w:lvlText w:val="(%1)"/>
      <w:numFmt w:val="lowerLetter"/>
      <w:start w:val="1"/>
    </w:lvl>
  </w:abstractNum>
  <w:abstractNum w:abstractNumId="280">
    <w:nsid w:val="7BCFBAFC"/>
    <w:multiLevelType w:val="hybridMultilevel"/>
    <w:lvl w:ilvl="0">
      <w:lvlJc w:val="left"/>
      <w:lvlText w:val="(%1)"/>
      <w:numFmt w:val="lowerLetter"/>
      <w:start w:val="1"/>
    </w:lvl>
  </w:abstractNum>
  <w:abstractNum w:abstractNumId="281">
    <w:nsid w:val="17859F72"/>
    <w:multiLevelType w:val="hybridMultilevel"/>
    <w:lvl w:ilvl="0">
      <w:lvlJc w:val="left"/>
      <w:lvlText w:val="(%1)"/>
      <w:numFmt w:val="lowerLetter"/>
      <w:start w:val="4"/>
    </w:lvl>
  </w:abstractNum>
  <w:abstractNum w:abstractNumId="282">
    <w:nsid w:val="3AA10581"/>
    <w:multiLevelType w:val="hybridMultilevel"/>
    <w:lvl w:ilvl="0">
      <w:lvlJc w:val="left"/>
      <w:lvlText w:val="(%1)"/>
      <w:numFmt w:val="lowerLetter"/>
      <w:start w:val="1"/>
    </w:lvl>
  </w:abstractNum>
  <w:abstractNum w:abstractNumId="283">
    <w:nsid w:val="63DE60CD"/>
    <w:multiLevelType w:val="hybridMultilevel"/>
    <w:lvl w:ilvl="0">
      <w:lvlJc w:val="left"/>
      <w:lvlText w:val="(%1)"/>
      <w:numFmt w:val="lowerLetter"/>
      <w:start w:val="4"/>
    </w:lvl>
  </w:abstractNum>
  <w:abstractNum w:abstractNumId="284">
    <w:nsid w:val="621AF471"/>
    <w:multiLevelType w:val="hybridMultilevel"/>
    <w:lvl w:ilvl="0">
      <w:lvlJc w:val="left"/>
      <w:lvlText w:val="%1."/>
      <w:numFmt w:val="decimal"/>
      <w:start w:val="5"/>
    </w:lvl>
  </w:abstractNum>
  <w:abstractNum w:abstractNumId="285">
    <w:nsid w:val="73CFE165"/>
    <w:multiLevelType w:val="hybridMultilevel"/>
    <w:lvl w:ilvl="0">
      <w:lvlJc w:val="left"/>
      <w:lvlText w:val="%1."/>
      <w:numFmt w:val="decimal"/>
      <w:start w:val="1"/>
    </w:lvl>
  </w:abstractNum>
  <w:abstractNum w:abstractNumId="286">
    <w:nsid w:val="20F88EA6"/>
    <w:multiLevelType w:val="hybridMultilevel"/>
    <w:lvl w:ilvl="0">
      <w:lvlJc w:val="left"/>
      <w:lvlText w:val="(%1)"/>
      <w:numFmt w:val="lowerLetter"/>
      <w:start w:val="1"/>
    </w:lvl>
  </w:abstractNum>
  <w:abstractNum w:abstractNumId="287">
    <w:nsid w:val="617C843E"/>
    <w:multiLevelType w:val="hybridMultilevel"/>
    <w:lvl w:ilvl="0">
      <w:lvlJc w:val="left"/>
      <w:lvlText w:val="(%1)"/>
      <w:numFmt w:val="lowerLetter"/>
      <w:start w:val="1"/>
    </w:lvl>
  </w:abstractNum>
  <w:abstractNum w:abstractNumId="288">
    <w:nsid w:val="7B541FAB"/>
    <w:multiLevelType w:val="hybridMultilevel"/>
    <w:lvl w:ilvl="0">
      <w:lvlJc w:val="left"/>
      <w:lvlText w:val="(%1)"/>
      <w:numFmt w:val="lowerLetter"/>
      <w:start w:val="3"/>
    </w:lvl>
  </w:abstractNum>
  <w:abstractNum w:abstractNumId="289">
    <w:nsid w:val="2A79EC49"/>
    <w:multiLevelType w:val="hybridMultilevel"/>
    <w:lvl w:ilvl="0">
      <w:lvlJc w:val="left"/>
      <w:lvlText w:val="(%1)"/>
      <w:numFmt w:val="lowerLetter"/>
      <w:start w:val="1"/>
    </w:lvl>
  </w:abstractNum>
  <w:abstractNum w:abstractNumId="290">
    <w:nsid w:val="338125CF"/>
    <w:multiLevelType w:val="hybridMultilevel"/>
    <w:lvl w:ilvl="0">
      <w:lvlJc w:val="left"/>
      <w:lvlText w:val="%1."/>
      <w:numFmt w:val="decimal"/>
      <w:start w:val="2"/>
    </w:lvl>
  </w:abstractNum>
  <w:abstractNum w:abstractNumId="291">
    <w:nsid w:val="47C7C971"/>
    <w:multiLevelType w:val="hybridMultilevel"/>
    <w:lvl w:ilvl="0">
      <w:lvlJc w:val="left"/>
      <w:lvlText w:val="%1."/>
      <w:numFmt w:val="decimal"/>
      <w:start w:val="3"/>
    </w:lvl>
  </w:abstractNum>
  <w:abstractNum w:abstractNumId="292">
    <w:nsid w:val="46F8284B"/>
    <w:multiLevelType w:val="hybridMultilevel"/>
    <w:lvl w:ilvl="0">
      <w:lvlJc w:val="left"/>
      <w:lvlText w:val="[**]"/>
      <w:numFmt w:val="bullet"/>
      <w:start w:val="1"/>
    </w:lvl>
  </w:abstractNum>
  <w:abstractNum w:abstractNumId="293">
    <w:nsid w:val="4FA327CE"/>
    <w:multiLevelType w:val="hybridMultilevel"/>
    <w:lvl w:ilvl="0">
      <w:lvlJc w:val="left"/>
      <w:lvlText w:val="%1."/>
      <w:numFmt w:val="decimal"/>
      <w:start w:val="4"/>
    </w:lvl>
  </w:abstractNum>
  <w:abstractNum w:abstractNumId="294">
    <w:nsid w:val="1873983A"/>
    <w:multiLevelType w:val="hybridMultilevel"/>
    <w:lvl w:ilvl="0">
      <w:lvlJc w:val="left"/>
      <w:lvlText w:val="%1."/>
      <w:numFmt w:val="decimal"/>
      <w:start w:val="5"/>
    </w:lvl>
  </w:abstractNum>
  <w:abstractNum w:abstractNumId="295">
    <w:nsid w:val="3D2DD275"/>
    <w:multiLevelType w:val="hybridMultilevel"/>
    <w:lvl w:ilvl="0">
      <w:lvlJc w:val="left"/>
      <w:lvlText w:val="%1."/>
      <w:numFmt w:val="decimal"/>
      <w:start w:val="6"/>
    </w:lvl>
  </w:abstractNum>
  <w:abstractNum w:abstractNumId="296">
    <w:nsid w:val="2E17ECA7"/>
    <w:multiLevelType w:val="hybridMultilevel"/>
    <w:lvl w:ilvl="0">
      <w:lvlJc w:val="left"/>
      <w:lvlText w:val="%1."/>
      <w:numFmt w:val="decimal"/>
      <w:start w:val="7"/>
    </w:lvl>
  </w:abstractNum>
  <w:abstractNum w:abstractNumId="297">
    <w:nsid w:val="53B2564F"/>
    <w:multiLevelType w:val="hybridMultilevel"/>
    <w:lvl w:ilvl="0">
      <w:lvlJc w:val="left"/>
      <w:lvlText w:val="%1."/>
      <w:numFmt w:val="decimal"/>
      <w:start w:val="1"/>
    </w:lvl>
  </w:abstractNum>
  <w:abstractNum w:abstractNumId="298">
    <w:nsid w:val="75509D76"/>
    <w:multiLevelType w:val="hybridMultilevel"/>
    <w:lvl w:ilvl="0">
      <w:lvlJc w:val="left"/>
      <w:lvlText w:val="%1)"/>
      <w:numFmt w:val="lowerLetter"/>
      <w:start w:val="1"/>
    </w:lvl>
  </w:abstractNum>
  <w:abstractNum w:abstractNumId="299">
    <w:nsid w:val="1AF7F0EA"/>
    <w:multiLevelType w:val="hybridMultilevel"/>
    <w:lvl w:ilvl="0">
      <w:lvlJc w:val="left"/>
      <w:lvlText w:val="%1."/>
      <w:numFmt w:val="decimal"/>
      <w:start w:val="5"/>
    </w:lvl>
  </w:abstractNum>
  <w:abstractNum w:abstractNumId="300">
    <w:nsid w:val="4DA32C7E"/>
    <w:multiLevelType w:val="hybridMultilevel"/>
    <w:lvl w:ilvl="0">
      <w:lvlJc w:val="left"/>
      <w:lvlText w:val="%1)"/>
      <w:numFmt w:val="lowerLetter"/>
      <w:start w:val="1"/>
    </w:lvl>
  </w:abstractNum>
  <w:abstractNum w:abstractNumId="301">
    <w:nsid w:val="6EC68664"/>
    <w:multiLevelType w:val="hybridMultilevel"/>
    <w:lvl w:ilvl="0">
      <w:lvlJc w:val="left"/>
      <w:lvlText w:val="%1."/>
      <w:numFmt w:val="decimal"/>
      <w:start w:val="1"/>
    </w:lvl>
  </w:abstractNum>
  <w:abstractNum w:abstractNumId="302">
    <w:nsid w:val="E0D31FF"/>
    <w:multiLevelType w:val="hybridMultilevel"/>
    <w:lvl w:ilvl="0">
      <w:lvlJc w:val="left"/>
      <w:lvlText w:val="%1)"/>
      <w:numFmt w:val="lowerLetter"/>
      <w:start w:val="1"/>
    </w:lvl>
  </w:abstractNum>
  <w:abstractNum w:abstractNumId="303">
    <w:nsid w:val="2FD0AD81"/>
    <w:multiLevelType w:val="hybridMultilevel"/>
    <w:lvl w:ilvl="0">
      <w:lvlJc w:val="left"/>
      <w:lvlText w:val="%1."/>
      <w:numFmt w:val="decimal"/>
      <w:start w:val="5"/>
    </w:lvl>
  </w:abstractNum>
  <w:abstractNum w:abstractNumId="304">
    <w:nsid w:val="1978EBEB"/>
    <w:multiLevelType w:val="hybridMultilevel"/>
    <w:lvl w:ilvl="0">
      <w:lvlJc w:val="left"/>
      <w:lvlText w:val="%1)"/>
      <w:numFmt w:val="lowerLetter"/>
      <w:start w:val="1"/>
    </w:lvl>
  </w:abstractNum>
  <w:abstractNum w:abstractNumId="305">
    <w:nsid w:val="52C12C61"/>
    <w:multiLevelType w:val="hybridMultilevel"/>
    <w:lvl w:ilvl="0">
      <w:lvlJc w:val="left"/>
      <w:lvlText w:val="(%1)"/>
      <w:numFmt w:val="decimal"/>
      <w:start w:val="1"/>
    </w:lvl>
  </w:abstractNum>
  <w:abstractNum w:abstractNumId="306">
    <w:nsid w:val="4BDD53FD"/>
    <w:multiLevelType w:val="hybridMultilevel"/>
    <w:lvl w:ilvl="0">
      <w:lvlJc w:val="left"/>
      <w:lvlText w:val="(%1)"/>
      <w:numFmt w:val="decimal"/>
      <w:start w:val="1"/>
    </w:lvl>
  </w:abstractNum>
  <w:abstractNum w:abstractNumId="307">
    <w:nsid w:val="569951FE"/>
    <w:multiLevelType w:val="hybridMultilevel"/>
    <w:lvl w:ilvl="0">
      <w:lvlJc w:val="left"/>
      <w:lvlText w:val="%1."/>
      <w:numFmt w:val="decimal"/>
      <w:start w:val="1"/>
    </w:lvl>
    <w:lvl w:ilvl="1">
      <w:lvlJc w:val="left"/>
      <w:lvlText w:val="(%2)"/>
      <w:numFmt w:val="lowerLetter"/>
      <w:start w:val="1"/>
    </w:lvl>
  </w:abstractNum>
  <w:abstractNum w:abstractNumId="308">
    <w:nsid w:val="4C54E2C3"/>
    <w:multiLevelType w:val="hybridMultilevel"/>
    <w:lvl w:ilvl="0">
      <w:lvlJc w:val="left"/>
      <w:lvlText w:val="(%1)"/>
      <w:numFmt w:val="lowerLetter"/>
      <w:start w:val="6"/>
    </w:lvl>
  </w:abstractNum>
  <w:abstractNum w:abstractNumId="309">
    <w:nsid w:val="788BD9B"/>
    <w:multiLevelType w:val="hybridMultilevel"/>
    <w:lvl w:ilvl="0">
      <w:lvlJc w:val="left"/>
      <w:lvlText w:val="%1"/>
      <w:numFmt w:val="decimal"/>
      <w:start w:val="1"/>
    </w:lvl>
    <w:lvl w:ilvl="1">
      <w:lvlJc w:val="left"/>
      <w:lvlText w:val="(%2)"/>
      <w:numFmt w:val="lowerRoman"/>
      <w:start w:val="1"/>
    </w:lvl>
  </w:abstractNum>
  <w:abstractNum w:abstractNumId="310">
    <w:nsid w:val="47CAA567"/>
    <w:multiLevelType w:val="hybridMultilevel"/>
    <w:lvl w:ilvl="0">
      <w:lvlJc w:val="left"/>
      <w:lvlText w:val="%1."/>
      <w:numFmt w:val="decimal"/>
      <w:start w:val="2"/>
    </w:lvl>
    <w:lvl w:ilvl="1">
      <w:lvlJc w:val="left"/>
      <w:lvlText w:val="%2"/>
      <w:numFmt w:val="lowerRoman"/>
      <w:start w:val="1"/>
    </w:lvl>
  </w:abstractNum>
  <w:abstractNum w:abstractNumId="311">
    <w:nsid w:val="48249DBF"/>
    <w:multiLevelType w:val="hybridMultilevel"/>
    <w:lvl w:ilvl="0">
      <w:lvlJc w:val="left"/>
      <w:lvlText w:val="%1."/>
      <w:numFmt w:val="decimal"/>
      <w:start w:val="3"/>
    </w:lvl>
    <w:lvl w:ilvl="1">
      <w:lvlJc w:val="left"/>
      <w:lvlText w:val="(%2)"/>
      <w:numFmt w:val="lowerLetter"/>
      <w:start w:val="1"/>
    </w:lvl>
  </w:abstractNum>
  <w:abstractNum w:abstractNumId="312">
    <w:nsid w:val="1F0E5D0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342" Type="http://schemas.openxmlformats.org/officeDocument/2006/relationships/image" Target="media/image287.png"/><Relationship Id="rId343" Type="http://schemas.openxmlformats.org/officeDocument/2006/relationships/image" Target="media/image288.png"/><Relationship Id="rId344" Type="http://schemas.openxmlformats.org/officeDocument/2006/relationships/image" Target="media/image289.png"/><Relationship Id="rId345" Type="http://schemas.openxmlformats.org/officeDocument/2006/relationships/image" Target="media/image290.png"/><Relationship Id="rId346" Type="http://schemas.openxmlformats.org/officeDocument/2006/relationships/image" Target="media/image291.png"/><Relationship Id="rId347" Type="http://schemas.openxmlformats.org/officeDocument/2006/relationships/image" Target="media/image292.png"/><Relationship Id="rId348" Type="http://schemas.openxmlformats.org/officeDocument/2006/relationships/image" Target="media/image293.png"/><Relationship Id="rId349" Type="http://schemas.openxmlformats.org/officeDocument/2006/relationships/image" Target="media/image294.png"/><Relationship Id="rId350" Type="http://schemas.openxmlformats.org/officeDocument/2006/relationships/image" Target="media/image295.png"/><Relationship Id="rId351" Type="http://schemas.openxmlformats.org/officeDocument/2006/relationships/image" Target="media/image296.png"/><Relationship Id="rId352" Type="http://schemas.openxmlformats.org/officeDocument/2006/relationships/image" Target="media/image297.png"/><Relationship Id="rId353" Type="http://schemas.openxmlformats.org/officeDocument/2006/relationships/image" Target="media/image298.png"/><Relationship Id="rId354" Type="http://schemas.openxmlformats.org/officeDocument/2006/relationships/image" Target="media/image299.png"/><Relationship Id="rId355" Type="http://schemas.openxmlformats.org/officeDocument/2006/relationships/image" Target="media/image300.png"/><Relationship Id="rId356" Type="http://schemas.openxmlformats.org/officeDocument/2006/relationships/image" Target="media/image301.png"/><Relationship Id="rId357" Type="http://schemas.openxmlformats.org/officeDocument/2006/relationships/image" Target="media/image302.png"/><Relationship Id="rId358" Type="http://schemas.openxmlformats.org/officeDocument/2006/relationships/image" Target="media/image303.png"/><Relationship Id="rId359" Type="http://schemas.openxmlformats.org/officeDocument/2006/relationships/image" Target="media/image304.png"/><Relationship Id="rId360" Type="http://schemas.openxmlformats.org/officeDocument/2006/relationships/image" Target="media/image305.png"/><Relationship Id="rId361" Type="http://schemas.openxmlformats.org/officeDocument/2006/relationships/image" Target="media/image306.png"/><Relationship Id="rId362" Type="http://schemas.openxmlformats.org/officeDocument/2006/relationships/image" Target="media/image307.png"/><Relationship Id="rId363" Type="http://schemas.openxmlformats.org/officeDocument/2006/relationships/image" Target="media/image308.png"/><Relationship Id="rId364" Type="http://schemas.openxmlformats.org/officeDocument/2006/relationships/image" Target="media/image309.png"/><Relationship Id="rId365"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png"/><Relationship Id="rId488" Type="http://schemas.openxmlformats.org/officeDocument/2006/relationships/image" Target="media/image433.png"/><Relationship Id="rId489" Type="http://schemas.openxmlformats.org/officeDocument/2006/relationships/image" Target="media/image434.png"/><Relationship Id="rId490" Type="http://schemas.openxmlformats.org/officeDocument/2006/relationships/image" Target="media/image435.png"/><Relationship Id="rId491" Type="http://schemas.openxmlformats.org/officeDocument/2006/relationships/image" Target="media/image436.png"/><Relationship Id="rId492" Type="http://schemas.openxmlformats.org/officeDocument/2006/relationships/image" Target="media/image437.png"/><Relationship Id="rId493" Type="http://schemas.openxmlformats.org/officeDocument/2006/relationships/image" Target="media/image438.png"/><Relationship Id="rId494" Type="http://schemas.openxmlformats.org/officeDocument/2006/relationships/image" Target="media/image439.png"/><Relationship Id="rId495"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98" Type="http://schemas.openxmlformats.org/officeDocument/2006/relationships/image" Target="media/image443.png"/><Relationship Id="rId499" Type="http://schemas.openxmlformats.org/officeDocument/2006/relationships/image" Target="media/image444.png"/><Relationship Id="rId500" Type="http://schemas.openxmlformats.org/officeDocument/2006/relationships/image" Target="media/image445.png"/><Relationship Id="rId501" Type="http://schemas.openxmlformats.org/officeDocument/2006/relationships/image" Target="media/image446.png"/><Relationship Id="rId502" Type="http://schemas.openxmlformats.org/officeDocument/2006/relationships/image" Target="media/image447.png"/><Relationship Id="rId503" Type="http://schemas.openxmlformats.org/officeDocument/2006/relationships/image" Target="media/image448.png"/><Relationship Id="rId504" Type="http://schemas.openxmlformats.org/officeDocument/2006/relationships/image" Target="media/image449.png"/><Relationship Id="rId505" Type="http://schemas.openxmlformats.org/officeDocument/2006/relationships/image" Target="media/image450.png"/><Relationship Id="rId506" Type="http://schemas.openxmlformats.org/officeDocument/2006/relationships/image" Target="media/image451.png"/><Relationship Id="rId507" Type="http://schemas.openxmlformats.org/officeDocument/2006/relationships/image" Target="media/image452.png"/><Relationship Id="rId508" Type="http://schemas.openxmlformats.org/officeDocument/2006/relationships/image" Target="media/image453.png"/><Relationship Id="rId509" Type="http://schemas.openxmlformats.org/officeDocument/2006/relationships/image" Target="media/image454.png"/><Relationship Id="rId510" Type="http://schemas.openxmlformats.org/officeDocument/2006/relationships/image" Target="media/image455.png"/><Relationship Id="rId511" Type="http://schemas.openxmlformats.org/officeDocument/2006/relationships/image" Target="media/image456.png"/><Relationship Id="rId512" Type="http://schemas.openxmlformats.org/officeDocument/2006/relationships/image" Target="media/image457.png"/><Relationship Id="rId513" Type="http://schemas.openxmlformats.org/officeDocument/2006/relationships/image" Target="media/image458.png"/><Relationship Id="rId514" Type="http://schemas.openxmlformats.org/officeDocument/2006/relationships/image" Target="media/image459.png"/><Relationship Id="rId515" Type="http://schemas.openxmlformats.org/officeDocument/2006/relationships/image" Target="media/image460.png"/><Relationship Id="rId516" Type="http://schemas.openxmlformats.org/officeDocument/2006/relationships/image" Target="media/image461.png"/><Relationship Id="rId517" Type="http://schemas.openxmlformats.org/officeDocument/2006/relationships/image" Target="media/image462.png"/><Relationship Id="rId518" Type="http://schemas.openxmlformats.org/officeDocument/2006/relationships/image" Target="media/image463.png"/><Relationship Id="rId519" Type="http://schemas.openxmlformats.org/officeDocument/2006/relationships/image" Target="media/image464.png"/><Relationship Id="rId520" Type="http://schemas.openxmlformats.org/officeDocument/2006/relationships/image" Target="media/image465.png"/><Relationship Id="rId521" Type="http://schemas.openxmlformats.org/officeDocument/2006/relationships/image" Target="media/image466.png"/><Relationship Id="rId522" Type="http://schemas.openxmlformats.org/officeDocument/2006/relationships/image" Target="media/image467.png"/><Relationship Id="rId523" Type="http://schemas.openxmlformats.org/officeDocument/2006/relationships/image" Target="media/image468.png"/><Relationship Id="rId524" Type="http://schemas.openxmlformats.org/officeDocument/2006/relationships/image" Target="media/image469.png"/><Relationship Id="rId525" Type="http://schemas.openxmlformats.org/officeDocument/2006/relationships/image" Target="media/image470.png"/><Relationship Id="rId526" Type="http://schemas.openxmlformats.org/officeDocument/2006/relationships/image" Target="media/image471.png"/><Relationship Id="rId527" Type="http://schemas.openxmlformats.org/officeDocument/2006/relationships/image" Target="media/image472.png"/><Relationship Id="rId528" Type="http://schemas.openxmlformats.org/officeDocument/2006/relationships/image" Target="media/image473.png"/><Relationship Id="rId529" Type="http://schemas.openxmlformats.org/officeDocument/2006/relationships/image" Target="media/image474.png"/><Relationship Id="rId530" Type="http://schemas.openxmlformats.org/officeDocument/2006/relationships/image" Target="media/image475.png"/><Relationship Id="rId531" Type="http://schemas.openxmlformats.org/officeDocument/2006/relationships/image" Target="media/image476.png"/><Relationship Id="rId532" Type="http://schemas.openxmlformats.org/officeDocument/2006/relationships/image" Target="media/image477.png"/><Relationship Id="rId533" Type="http://schemas.openxmlformats.org/officeDocument/2006/relationships/image" Target="media/image478.png"/><Relationship Id="rId534" Type="http://schemas.openxmlformats.org/officeDocument/2006/relationships/image" Target="media/image479.png"/><Relationship Id="rId535" Type="http://schemas.openxmlformats.org/officeDocument/2006/relationships/image" Target="media/image480.png"/><Relationship Id="rId536" Type="http://schemas.openxmlformats.org/officeDocument/2006/relationships/image" Target="media/image481.png"/><Relationship Id="rId537" Type="http://schemas.openxmlformats.org/officeDocument/2006/relationships/image" Target="media/image482.png"/><Relationship Id="rId538" Type="http://schemas.openxmlformats.org/officeDocument/2006/relationships/image" Target="media/image483.png"/><Relationship Id="rId539" Type="http://schemas.openxmlformats.org/officeDocument/2006/relationships/image" Target="media/image484.png"/><Relationship Id="rId540" Type="http://schemas.openxmlformats.org/officeDocument/2006/relationships/image" Target="media/image485.png"/><Relationship Id="rId541" Type="http://schemas.openxmlformats.org/officeDocument/2006/relationships/image" Target="media/image486.png"/><Relationship Id="rId542" Type="http://schemas.openxmlformats.org/officeDocument/2006/relationships/image" Target="media/image487.png"/><Relationship Id="rId543" Type="http://schemas.openxmlformats.org/officeDocument/2006/relationships/image" Target="media/image488.png"/><Relationship Id="rId544" Type="http://schemas.openxmlformats.org/officeDocument/2006/relationships/image" Target="media/image489.png"/><Relationship Id="rId545" Type="http://schemas.openxmlformats.org/officeDocument/2006/relationships/image" Target="media/image490.png"/><Relationship Id="rId546" Type="http://schemas.openxmlformats.org/officeDocument/2006/relationships/image" Target="media/image491.png"/><Relationship Id="rId547" Type="http://schemas.openxmlformats.org/officeDocument/2006/relationships/image" Target="media/image492.png"/><Relationship Id="rId548" Type="http://schemas.openxmlformats.org/officeDocument/2006/relationships/image" Target="media/image493.png"/><Relationship Id="rId549" Type="http://schemas.openxmlformats.org/officeDocument/2006/relationships/image" Target="media/image494.png"/><Relationship Id="rId550" Type="http://schemas.openxmlformats.org/officeDocument/2006/relationships/image" Target="media/image495.png"/><Relationship Id="rId551" Type="http://schemas.openxmlformats.org/officeDocument/2006/relationships/image" Target="media/image496.png"/><Relationship Id="rId552" Type="http://schemas.openxmlformats.org/officeDocument/2006/relationships/image" Target="media/image497.png"/><Relationship Id="rId553" Type="http://schemas.openxmlformats.org/officeDocument/2006/relationships/image" Target="media/image498.png"/><Relationship Id="rId554" Type="http://schemas.openxmlformats.org/officeDocument/2006/relationships/image" Target="media/image499.png"/><Relationship Id="rId555" Type="http://schemas.openxmlformats.org/officeDocument/2006/relationships/image" Target="media/image500.png"/><Relationship Id="rId556" Type="http://schemas.openxmlformats.org/officeDocument/2006/relationships/image" Target="media/image501.png"/><Relationship Id="rId557" Type="http://schemas.openxmlformats.org/officeDocument/2006/relationships/image" Target="media/image502.png"/><Relationship Id="rId558" Type="http://schemas.openxmlformats.org/officeDocument/2006/relationships/image" Target="media/image503.png"/><Relationship Id="rId559" Type="http://schemas.openxmlformats.org/officeDocument/2006/relationships/image" Target="media/image504.png"/><Relationship Id="rId560" Type="http://schemas.openxmlformats.org/officeDocument/2006/relationships/image" Target="media/image505.png"/><Relationship Id="rId561" Type="http://schemas.openxmlformats.org/officeDocument/2006/relationships/image" Target="media/image506.png"/><Relationship Id="rId562" Type="http://schemas.openxmlformats.org/officeDocument/2006/relationships/image" Target="media/image507.png"/><Relationship Id="rId563" Type="http://schemas.openxmlformats.org/officeDocument/2006/relationships/image" Target="media/image508.png"/><Relationship Id="rId564" Type="http://schemas.openxmlformats.org/officeDocument/2006/relationships/image" Target="media/image509.png"/><Relationship Id="rId565" Type="http://schemas.openxmlformats.org/officeDocument/2006/relationships/image" Target="media/image510.png"/><Relationship Id="rId566" Type="http://schemas.openxmlformats.org/officeDocument/2006/relationships/image" Target="media/image511.png"/><Relationship Id="rId567" Type="http://schemas.openxmlformats.org/officeDocument/2006/relationships/image" Target="media/image512.png"/><Relationship Id="rId568" Type="http://schemas.openxmlformats.org/officeDocument/2006/relationships/image" Target="media/image513.png"/><Relationship Id="rId569" Type="http://schemas.openxmlformats.org/officeDocument/2006/relationships/image" Target="media/image514.png"/><Relationship Id="rId570" Type="http://schemas.openxmlformats.org/officeDocument/2006/relationships/image" Target="media/image515.png"/><Relationship Id="rId571" Type="http://schemas.openxmlformats.org/officeDocument/2006/relationships/image" Target="media/image516.png"/><Relationship Id="rId572" Type="http://schemas.openxmlformats.org/officeDocument/2006/relationships/image" Target="media/image517.png"/><Relationship Id="rId573" Type="http://schemas.openxmlformats.org/officeDocument/2006/relationships/image" Target="media/image518.png"/><Relationship Id="rId574" Type="http://schemas.openxmlformats.org/officeDocument/2006/relationships/image" Target="media/image519.png"/><Relationship Id="rId575" Type="http://schemas.openxmlformats.org/officeDocument/2006/relationships/image" Target="media/image520.png"/><Relationship Id="rId576" Type="http://schemas.openxmlformats.org/officeDocument/2006/relationships/image" Target="media/image521.png"/><Relationship Id="rId577" Type="http://schemas.openxmlformats.org/officeDocument/2006/relationships/image" Target="media/image522.png"/><Relationship Id="rId578" Type="http://schemas.openxmlformats.org/officeDocument/2006/relationships/image" Target="media/image523.png"/><Relationship Id="rId579" Type="http://schemas.openxmlformats.org/officeDocument/2006/relationships/image" Target="media/image524.png"/><Relationship Id="rId580" Type="http://schemas.openxmlformats.org/officeDocument/2006/relationships/image" Target="media/image525.png"/><Relationship Id="rId581" Type="http://schemas.openxmlformats.org/officeDocument/2006/relationships/image" Target="media/image526.png"/><Relationship Id="rId582" Type="http://schemas.openxmlformats.org/officeDocument/2006/relationships/image" Target="media/image527.png"/><Relationship Id="rId583" Type="http://schemas.openxmlformats.org/officeDocument/2006/relationships/image" Target="media/image528.png"/><Relationship Id="rId584" Type="http://schemas.openxmlformats.org/officeDocument/2006/relationships/image" Target="media/image529.png"/><Relationship Id="rId585" Type="http://schemas.openxmlformats.org/officeDocument/2006/relationships/image" Target="media/image530.png"/><Relationship Id="rId586" Type="http://schemas.openxmlformats.org/officeDocument/2006/relationships/image" Target="media/image531.png"/><Relationship Id="rId587" Type="http://schemas.openxmlformats.org/officeDocument/2006/relationships/image" Target="media/image532.png"/><Relationship Id="rId588" Type="http://schemas.openxmlformats.org/officeDocument/2006/relationships/image" Target="media/image533.png"/><Relationship Id="rId589" Type="http://schemas.openxmlformats.org/officeDocument/2006/relationships/image" Target="media/image534.png"/><Relationship Id="rId590" Type="http://schemas.openxmlformats.org/officeDocument/2006/relationships/image" Target="media/image535.png"/><Relationship Id="rId591" Type="http://schemas.openxmlformats.org/officeDocument/2006/relationships/image" Target="media/image536.png"/><Relationship Id="rId592" Type="http://schemas.openxmlformats.org/officeDocument/2006/relationships/image" Target="media/image537.png"/><Relationship Id="rId593" Type="http://schemas.openxmlformats.org/officeDocument/2006/relationships/image" Target="media/image538.png"/><Relationship Id="rId594" Type="http://schemas.openxmlformats.org/officeDocument/2006/relationships/image" Target="media/image539.png"/><Relationship Id="rId595" Type="http://schemas.openxmlformats.org/officeDocument/2006/relationships/image" Target="media/image540.png"/><Relationship Id="rId596" Type="http://schemas.openxmlformats.org/officeDocument/2006/relationships/image" Target="media/image541.png"/><Relationship Id="rId597" Type="http://schemas.openxmlformats.org/officeDocument/2006/relationships/image" Target="media/image542.png"/><Relationship Id="rId598" Type="http://schemas.openxmlformats.org/officeDocument/2006/relationships/image" Target="media/image543.png"/><Relationship Id="rId599" Type="http://schemas.openxmlformats.org/officeDocument/2006/relationships/image" Target="media/image544.png"/><Relationship Id="rId600" Type="http://schemas.openxmlformats.org/officeDocument/2006/relationships/image" Target="media/image545.png"/><Relationship Id="rId601" Type="http://schemas.openxmlformats.org/officeDocument/2006/relationships/image" Target="media/image546.png"/><Relationship Id="rId602" Type="http://schemas.openxmlformats.org/officeDocument/2006/relationships/image" Target="media/image547.png"/><Relationship Id="rId603" Type="http://schemas.openxmlformats.org/officeDocument/2006/relationships/image" Target="media/image548.png"/><Relationship Id="rId604" Type="http://schemas.openxmlformats.org/officeDocument/2006/relationships/image" Target="media/image549.png"/><Relationship Id="rId605" Type="http://schemas.openxmlformats.org/officeDocument/2006/relationships/image" Target="media/image550.png"/><Relationship Id="rId606" Type="http://schemas.openxmlformats.org/officeDocument/2006/relationships/image" Target="media/image551.png"/><Relationship Id="rId607" Type="http://schemas.openxmlformats.org/officeDocument/2006/relationships/image" Target="media/image552.png"/><Relationship Id="rId608" Type="http://schemas.openxmlformats.org/officeDocument/2006/relationships/image" Target="media/image553.png"/><Relationship Id="rId609" Type="http://schemas.openxmlformats.org/officeDocument/2006/relationships/image" Target="media/image554.png"/><Relationship Id="rId610" Type="http://schemas.openxmlformats.org/officeDocument/2006/relationships/image" Target="media/image555.png"/><Relationship Id="rId611" Type="http://schemas.openxmlformats.org/officeDocument/2006/relationships/image" Target="media/image556.png"/><Relationship Id="rId612" Type="http://schemas.openxmlformats.org/officeDocument/2006/relationships/image" Target="media/image557.png"/><Relationship Id="rId613" Type="http://schemas.openxmlformats.org/officeDocument/2006/relationships/image" Target="media/image558.png"/><Relationship Id="rId614" Type="http://schemas.openxmlformats.org/officeDocument/2006/relationships/image" Target="media/image559.png"/><Relationship Id="rId615" Type="http://schemas.openxmlformats.org/officeDocument/2006/relationships/image" Target="media/image560.png"/><Relationship Id="rId616" Type="http://schemas.openxmlformats.org/officeDocument/2006/relationships/image" Target="media/image561.png"/><Relationship Id="rId617" Type="http://schemas.openxmlformats.org/officeDocument/2006/relationships/image" Target="media/image562.png"/><Relationship Id="rId618" Type="http://schemas.openxmlformats.org/officeDocument/2006/relationships/image" Target="media/image563.png"/><Relationship Id="rId619" Type="http://schemas.openxmlformats.org/officeDocument/2006/relationships/image" Target="media/image564.png"/><Relationship Id="rId620" Type="http://schemas.openxmlformats.org/officeDocument/2006/relationships/image" Target="media/image565.png"/><Relationship Id="rId621" Type="http://schemas.openxmlformats.org/officeDocument/2006/relationships/image" Target="media/image566.png"/><Relationship Id="rId622" Type="http://schemas.openxmlformats.org/officeDocument/2006/relationships/image" Target="media/image567.png"/><Relationship Id="rId623" Type="http://schemas.openxmlformats.org/officeDocument/2006/relationships/image" Target="media/image568.png"/><Relationship Id="rId624" Type="http://schemas.openxmlformats.org/officeDocument/2006/relationships/image" Target="media/image569.png"/><Relationship Id="rId625" Type="http://schemas.openxmlformats.org/officeDocument/2006/relationships/image" Target="media/image570.png"/><Relationship Id="rId626" Type="http://schemas.openxmlformats.org/officeDocument/2006/relationships/image" Target="media/image571.png"/><Relationship Id="rId627" Type="http://schemas.openxmlformats.org/officeDocument/2006/relationships/image" Target="media/image572.png"/><Relationship Id="rId628" Type="http://schemas.openxmlformats.org/officeDocument/2006/relationships/image" Target="media/image573.png"/><Relationship Id="rId629" Type="http://schemas.openxmlformats.org/officeDocument/2006/relationships/image" Target="media/image574.png"/><Relationship Id="rId630" Type="http://schemas.openxmlformats.org/officeDocument/2006/relationships/image" Target="media/image575.png"/><Relationship Id="rId631" Type="http://schemas.openxmlformats.org/officeDocument/2006/relationships/image" Target="media/image576.png"/><Relationship Id="rId632" Type="http://schemas.openxmlformats.org/officeDocument/2006/relationships/image" Target="media/image577.png"/><Relationship Id="rId633" Type="http://schemas.openxmlformats.org/officeDocument/2006/relationships/image" Target="media/image578.png"/><Relationship Id="rId634" Type="http://schemas.openxmlformats.org/officeDocument/2006/relationships/image" Target="media/image579.png"/><Relationship Id="rId635" Type="http://schemas.openxmlformats.org/officeDocument/2006/relationships/image" Target="media/image580.png"/><Relationship Id="rId636" Type="http://schemas.openxmlformats.org/officeDocument/2006/relationships/image" Target="media/image581.png"/><Relationship Id="rId637" Type="http://schemas.openxmlformats.org/officeDocument/2006/relationships/image" Target="media/image582.png"/><Relationship Id="rId638" Type="http://schemas.openxmlformats.org/officeDocument/2006/relationships/image" Target="media/image583.png"/><Relationship Id="rId639" Type="http://schemas.openxmlformats.org/officeDocument/2006/relationships/image" Target="media/image584.png"/><Relationship Id="rId640" Type="http://schemas.openxmlformats.org/officeDocument/2006/relationships/image" Target="media/image585.png"/><Relationship Id="rId641" Type="http://schemas.openxmlformats.org/officeDocument/2006/relationships/image" Target="media/image586.png"/><Relationship Id="rId642" Type="http://schemas.openxmlformats.org/officeDocument/2006/relationships/image" Target="media/image587.png"/><Relationship Id="rId643" Type="http://schemas.openxmlformats.org/officeDocument/2006/relationships/image" Target="media/image588.png"/><Relationship Id="rId644" Type="http://schemas.openxmlformats.org/officeDocument/2006/relationships/image" Target="media/image589.png"/><Relationship Id="rId645" Type="http://schemas.openxmlformats.org/officeDocument/2006/relationships/image" Target="media/image590.png"/><Relationship Id="rId646" Type="http://schemas.openxmlformats.org/officeDocument/2006/relationships/image" Target="media/image591.png"/><Relationship Id="rId647" Type="http://schemas.openxmlformats.org/officeDocument/2006/relationships/image" Target="media/image592.png"/><Relationship Id="rId648" Type="http://schemas.openxmlformats.org/officeDocument/2006/relationships/image" Target="media/image593.png"/><Relationship Id="rId649" Type="http://schemas.openxmlformats.org/officeDocument/2006/relationships/image" Target="media/image594.png"/><Relationship Id="rId650" Type="http://schemas.openxmlformats.org/officeDocument/2006/relationships/image" Target="media/image595.png"/><Relationship Id="rId651" Type="http://schemas.openxmlformats.org/officeDocument/2006/relationships/image" Target="media/image596.png"/><Relationship Id="rId652" Type="http://schemas.openxmlformats.org/officeDocument/2006/relationships/image" Target="media/image597.png"/><Relationship Id="rId653" Type="http://schemas.openxmlformats.org/officeDocument/2006/relationships/image" Target="media/image598.png"/><Relationship Id="rId654" Type="http://schemas.openxmlformats.org/officeDocument/2006/relationships/image" Target="media/image599.png"/><Relationship Id="rId655" Type="http://schemas.openxmlformats.org/officeDocument/2006/relationships/image" Target="media/image600.png"/><Relationship Id="rId656" Type="http://schemas.openxmlformats.org/officeDocument/2006/relationships/image" Target="media/image601.png"/><Relationship Id="rId657" Type="http://schemas.openxmlformats.org/officeDocument/2006/relationships/image" Target="media/image602.png"/><Relationship Id="rId658" Type="http://schemas.openxmlformats.org/officeDocument/2006/relationships/image" Target="media/image603.png"/><Relationship Id="rId659" Type="http://schemas.openxmlformats.org/officeDocument/2006/relationships/image" Target="media/image604.png"/><Relationship Id="rId660" Type="http://schemas.openxmlformats.org/officeDocument/2006/relationships/image" Target="media/image605.png"/><Relationship Id="rId661" Type="http://schemas.openxmlformats.org/officeDocument/2006/relationships/image" Target="media/image606.png"/><Relationship Id="rId662" Type="http://schemas.openxmlformats.org/officeDocument/2006/relationships/image" Target="media/image607.png"/><Relationship Id="rId663" Type="http://schemas.openxmlformats.org/officeDocument/2006/relationships/image" Target="media/image608.png"/><Relationship Id="rId664" Type="http://schemas.openxmlformats.org/officeDocument/2006/relationships/image" Target="media/image609.png"/><Relationship Id="rId665" Type="http://schemas.openxmlformats.org/officeDocument/2006/relationships/image" Target="media/image610.png"/><Relationship Id="rId666" Type="http://schemas.openxmlformats.org/officeDocument/2006/relationships/image" Target="media/image611.png"/><Relationship Id="rId667" Type="http://schemas.openxmlformats.org/officeDocument/2006/relationships/image" Target="media/image612.png"/><Relationship Id="rId668" Type="http://schemas.openxmlformats.org/officeDocument/2006/relationships/image" Target="media/image613.png"/><Relationship Id="rId669" Type="http://schemas.openxmlformats.org/officeDocument/2006/relationships/image" Target="media/image614.png"/><Relationship Id="rId670" Type="http://schemas.openxmlformats.org/officeDocument/2006/relationships/image" Target="media/image615.png"/><Relationship Id="rId671" Type="http://schemas.openxmlformats.org/officeDocument/2006/relationships/image" Target="media/image616.png"/><Relationship Id="rId672" Type="http://schemas.openxmlformats.org/officeDocument/2006/relationships/image" Target="media/image617.png"/><Relationship Id="rId673" Type="http://schemas.openxmlformats.org/officeDocument/2006/relationships/image" Target="media/image618.png"/><Relationship Id="rId674" Type="http://schemas.openxmlformats.org/officeDocument/2006/relationships/image" Target="media/image619.png"/><Relationship Id="rId675" Type="http://schemas.openxmlformats.org/officeDocument/2006/relationships/image" Target="media/image620.png"/><Relationship Id="rId676" Type="http://schemas.openxmlformats.org/officeDocument/2006/relationships/image" Target="media/image621.png"/><Relationship Id="rId677" Type="http://schemas.openxmlformats.org/officeDocument/2006/relationships/image" Target="media/image622.png"/><Relationship Id="rId678" Type="http://schemas.openxmlformats.org/officeDocument/2006/relationships/image" Target="media/image623.png"/><Relationship Id="rId679" Type="http://schemas.openxmlformats.org/officeDocument/2006/relationships/image" Target="media/image624.png"/><Relationship Id="rId680" Type="http://schemas.openxmlformats.org/officeDocument/2006/relationships/image" Target="media/image625.png"/><Relationship Id="rId681" Type="http://schemas.openxmlformats.org/officeDocument/2006/relationships/image" Target="media/image626.png"/><Relationship Id="rId682" Type="http://schemas.openxmlformats.org/officeDocument/2006/relationships/image" Target="media/image627.png"/><Relationship Id="rId683" Type="http://schemas.openxmlformats.org/officeDocument/2006/relationships/image" Target="media/image628.png"/><Relationship Id="rId684" Type="http://schemas.openxmlformats.org/officeDocument/2006/relationships/image" Target="media/image629.png"/><Relationship Id="rId685" Type="http://schemas.openxmlformats.org/officeDocument/2006/relationships/image" Target="media/image630.png"/><Relationship Id="rId686" Type="http://schemas.openxmlformats.org/officeDocument/2006/relationships/image" Target="media/image631.png"/><Relationship Id="rId687" Type="http://schemas.openxmlformats.org/officeDocument/2006/relationships/image" Target="media/image632.png"/><Relationship Id="rId688" Type="http://schemas.openxmlformats.org/officeDocument/2006/relationships/image" Target="media/image633.png"/><Relationship Id="rId689" Type="http://schemas.openxmlformats.org/officeDocument/2006/relationships/image" Target="media/image634.png"/><Relationship Id="rId690" Type="http://schemas.openxmlformats.org/officeDocument/2006/relationships/image" Target="media/image635.png"/><Relationship Id="rId691" Type="http://schemas.openxmlformats.org/officeDocument/2006/relationships/image" Target="media/image636.png"/><Relationship Id="rId692" Type="http://schemas.openxmlformats.org/officeDocument/2006/relationships/image" Target="media/image637.png"/><Relationship Id="rId693" Type="http://schemas.openxmlformats.org/officeDocument/2006/relationships/image" Target="media/image638.png"/><Relationship Id="rId694" Type="http://schemas.openxmlformats.org/officeDocument/2006/relationships/image" Target="media/image639.png"/><Relationship Id="rId695" Type="http://schemas.openxmlformats.org/officeDocument/2006/relationships/image" Target="media/image640.png"/><Relationship Id="rId696" Type="http://schemas.openxmlformats.org/officeDocument/2006/relationships/image" Target="media/image641.png"/><Relationship Id="rId697" Type="http://schemas.openxmlformats.org/officeDocument/2006/relationships/image" Target="media/image642.png"/><Relationship Id="rId698" Type="http://schemas.openxmlformats.org/officeDocument/2006/relationships/image" Target="media/image643.png"/><Relationship Id="rId699" Type="http://schemas.openxmlformats.org/officeDocument/2006/relationships/image" Target="media/image644.png"/><Relationship Id="rId700" Type="http://schemas.openxmlformats.org/officeDocument/2006/relationships/image" Target="media/image645.png"/><Relationship Id="rId701" Type="http://schemas.openxmlformats.org/officeDocument/2006/relationships/image" Target="media/image646.png"/><Relationship Id="rId702" Type="http://schemas.openxmlformats.org/officeDocument/2006/relationships/image" Target="media/image647.png"/><Relationship Id="rId703" Type="http://schemas.openxmlformats.org/officeDocument/2006/relationships/image" Target="media/image648.png"/><Relationship Id="rId704" Type="http://schemas.openxmlformats.org/officeDocument/2006/relationships/image" Target="media/image649.png"/><Relationship Id="rId705" Type="http://schemas.openxmlformats.org/officeDocument/2006/relationships/image" Target="media/image650.png"/><Relationship Id="rId706" Type="http://schemas.openxmlformats.org/officeDocument/2006/relationships/image" Target="media/image651.png"/><Relationship Id="rId707" Type="http://schemas.openxmlformats.org/officeDocument/2006/relationships/image" Target="media/image652.png"/><Relationship Id="rId708" Type="http://schemas.openxmlformats.org/officeDocument/2006/relationships/image" Target="media/image653.png"/><Relationship Id="rId709" Type="http://schemas.openxmlformats.org/officeDocument/2006/relationships/image" Target="media/image654.png"/><Relationship Id="rId710" Type="http://schemas.openxmlformats.org/officeDocument/2006/relationships/image" Target="media/image655.png"/><Relationship Id="rId711" Type="http://schemas.openxmlformats.org/officeDocument/2006/relationships/image" Target="media/image656.png"/><Relationship Id="rId712" Type="http://schemas.openxmlformats.org/officeDocument/2006/relationships/image" Target="media/image657.png"/><Relationship Id="rId713" Type="http://schemas.openxmlformats.org/officeDocument/2006/relationships/image" Target="media/image658.png"/><Relationship Id="rId714" Type="http://schemas.openxmlformats.org/officeDocument/2006/relationships/image" Target="media/image659.png"/><Relationship Id="rId715" Type="http://schemas.openxmlformats.org/officeDocument/2006/relationships/image" Target="media/image660.png"/><Relationship Id="rId716" Type="http://schemas.openxmlformats.org/officeDocument/2006/relationships/image" Target="media/image661.png"/><Relationship Id="rId717" Type="http://schemas.openxmlformats.org/officeDocument/2006/relationships/image" Target="media/image662.png"/><Relationship Id="rId718" Type="http://schemas.openxmlformats.org/officeDocument/2006/relationships/image" Target="media/image663.png"/><Relationship Id="rId719" Type="http://schemas.openxmlformats.org/officeDocument/2006/relationships/image" Target="media/image664.png"/><Relationship Id="rId720" Type="http://schemas.openxmlformats.org/officeDocument/2006/relationships/image" Target="media/image665.png"/><Relationship Id="rId721" Type="http://schemas.openxmlformats.org/officeDocument/2006/relationships/image" Target="media/image666.png"/><Relationship Id="rId722" Type="http://schemas.openxmlformats.org/officeDocument/2006/relationships/image" Target="media/image667.png"/><Relationship Id="rId723" Type="http://schemas.openxmlformats.org/officeDocument/2006/relationships/image" Target="media/image668.png"/><Relationship Id="rId724" Type="http://schemas.openxmlformats.org/officeDocument/2006/relationships/image" Target="media/image669.png"/><Relationship Id="rId725" Type="http://schemas.openxmlformats.org/officeDocument/2006/relationships/image" Target="media/image670.png"/><Relationship Id="rId726" Type="http://schemas.openxmlformats.org/officeDocument/2006/relationships/image" Target="media/image671.png"/><Relationship Id="rId727" Type="http://schemas.openxmlformats.org/officeDocument/2006/relationships/image" Target="media/image672.png"/><Relationship Id="rId728" Type="http://schemas.openxmlformats.org/officeDocument/2006/relationships/image" Target="media/image673.png"/><Relationship Id="rId729" Type="http://schemas.openxmlformats.org/officeDocument/2006/relationships/image" Target="media/image674.png"/><Relationship Id="rId730" Type="http://schemas.openxmlformats.org/officeDocument/2006/relationships/image" Target="media/image675.png"/><Relationship Id="rId731" Type="http://schemas.openxmlformats.org/officeDocument/2006/relationships/image" Target="media/image676.png"/><Relationship Id="rId732" Type="http://schemas.openxmlformats.org/officeDocument/2006/relationships/image" Target="media/image677.png"/><Relationship Id="rId733" Type="http://schemas.openxmlformats.org/officeDocument/2006/relationships/image" Target="media/image678.png"/><Relationship Id="rId734" Type="http://schemas.openxmlformats.org/officeDocument/2006/relationships/image" Target="media/image679.png"/><Relationship Id="rId735" Type="http://schemas.openxmlformats.org/officeDocument/2006/relationships/image" Target="media/image680.png"/><Relationship Id="rId736" Type="http://schemas.openxmlformats.org/officeDocument/2006/relationships/image" Target="media/image681.png"/><Relationship Id="rId737" Type="http://schemas.openxmlformats.org/officeDocument/2006/relationships/image" Target="media/image682.png"/><Relationship Id="rId738" Type="http://schemas.openxmlformats.org/officeDocument/2006/relationships/image" Target="media/image683.png"/><Relationship Id="rId739" Type="http://schemas.openxmlformats.org/officeDocument/2006/relationships/image" Target="media/image684.png"/><Relationship Id="rId740" Type="http://schemas.openxmlformats.org/officeDocument/2006/relationships/image" Target="media/image685.png"/><Relationship Id="rId741" Type="http://schemas.openxmlformats.org/officeDocument/2006/relationships/image" Target="media/image686.png"/><Relationship Id="rId742" Type="http://schemas.openxmlformats.org/officeDocument/2006/relationships/image" Target="media/image687.png"/><Relationship Id="rId743" Type="http://schemas.openxmlformats.org/officeDocument/2006/relationships/image" Target="media/image688.png"/><Relationship Id="rId744" Type="http://schemas.openxmlformats.org/officeDocument/2006/relationships/image" Target="media/image689.png"/><Relationship Id="rId745" Type="http://schemas.openxmlformats.org/officeDocument/2006/relationships/image" Target="media/image690.png"/><Relationship Id="rId746" Type="http://schemas.openxmlformats.org/officeDocument/2006/relationships/image" Target="media/image691.png"/><Relationship Id="rId747" Type="http://schemas.openxmlformats.org/officeDocument/2006/relationships/image" Target="media/image692.png"/><Relationship Id="rId748" Type="http://schemas.openxmlformats.org/officeDocument/2006/relationships/image" Target="media/image693.png"/><Relationship Id="rId749" Type="http://schemas.openxmlformats.org/officeDocument/2006/relationships/image" Target="media/image694.png"/><Relationship Id="rId750" Type="http://schemas.openxmlformats.org/officeDocument/2006/relationships/image" Target="media/image695.png"/><Relationship Id="rId751" Type="http://schemas.openxmlformats.org/officeDocument/2006/relationships/image" Target="media/image696.png"/><Relationship Id="rId752" Type="http://schemas.openxmlformats.org/officeDocument/2006/relationships/image" Target="media/image697.png"/><Relationship Id="rId753" Type="http://schemas.openxmlformats.org/officeDocument/2006/relationships/image" Target="media/image698.png"/><Relationship Id="rId754" Type="http://schemas.openxmlformats.org/officeDocument/2006/relationships/image" Target="media/image699.png"/><Relationship Id="rId755" Type="http://schemas.openxmlformats.org/officeDocument/2006/relationships/image" Target="media/image700.png"/><Relationship Id="rId756" Type="http://schemas.openxmlformats.org/officeDocument/2006/relationships/image" Target="media/image701.png"/><Relationship Id="rId178" Type="http://schemas.openxmlformats.org/officeDocument/2006/relationships/hyperlink" Target="https://www.sec.gov/Archives/edgar/data/1707502/000119312522254807/d375823dex21.htm" TargetMode="External"/><Relationship Id="rId179" Type="http://schemas.openxmlformats.org/officeDocument/2006/relationships/hyperlink" Target="https://www.sec.gov/Archives/edgar/data/1707502/000119312522297087/d316377dex41.htm" TargetMode="External"/><Relationship Id="rId180" Type="http://schemas.openxmlformats.org/officeDocument/2006/relationships/hyperlink" Target="https://www.sec.gov/Archives/edgar/data/1707502/000119312518023680/d538639dex42.htm" TargetMode="External"/><Relationship Id="rId181" Type="http://schemas.openxmlformats.org/officeDocument/2006/relationships/hyperlink" Target="https://www.sec.gov/Archives/edgar/data/1707502/000119312517383428/d404258dex41.htm" TargetMode="External"/><Relationship Id="rId182" Type="http://schemas.openxmlformats.org/officeDocument/2006/relationships/hyperlink" Target="https://www.sec.gov/Archives/edgar/data/1707502/000095017023009318/sldb-ex4_2.htm" TargetMode="External"/><Relationship Id="rId183" Type="http://schemas.openxmlformats.org/officeDocument/2006/relationships/hyperlink" Target="https://www.sec.gov/Archives/edgar/data/1707502/000119312517383428/d404258dex1017.htm" TargetMode="External"/><Relationship Id="rId184" Type="http://schemas.openxmlformats.org/officeDocument/2006/relationships/hyperlink" Target="https://www.sec.gov/Archives/edgar/data/0001707502/000119312518100742/d530438dex107.htm" TargetMode="External"/><Relationship Id="rId185" Type="http://schemas.openxmlformats.org/officeDocument/2006/relationships/hyperlink" Target="https://www.sec.gov/Archives/edgar/data/1707502/000119312518023680/d538639dex991.htm" TargetMode="External"/><Relationship Id="rId186" Type="http://schemas.openxmlformats.org/officeDocument/2006/relationships/hyperlink" Target="https://www.sec.gov/Archives/edgar/data/0001707502/000156459019007462/sldb-ex107_216.htm" TargetMode="External"/><Relationship Id="rId187" Type="http://schemas.openxmlformats.org/officeDocument/2006/relationships/hyperlink" Target="https://www.sec.gov/Archives/edgar/data/0001707502/000156459019007462/sldb-ex108_217.htm" TargetMode="External"/><Relationship Id="rId188" Type="http://schemas.openxmlformats.org/officeDocument/2006/relationships/hyperlink" Target="https://www.sec.gov/Archives/edgar/data/1707502/000119312517383428/d404258dex109.htm" TargetMode="External"/><Relationship Id="rId189" Type="http://schemas.openxmlformats.org/officeDocument/2006/relationships/hyperlink" Target="https://www.sec.gov/Archives/edgar/data/1707502/000119312517383428/d404258dex1016.htm" TargetMode="External"/><Relationship Id="rId190" Type="http://schemas.openxmlformats.org/officeDocument/2006/relationships/hyperlink" Target="https://www.sec.gov/Archives/edgar/data/1707502/000095017023009318/sldb-ex10_12.htm" TargetMode="External"/><Relationship Id="rId191" Type="http://schemas.openxmlformats.org/officeDocument/2006/relationships/hyperlink" Target="https://www.sec.gov/Archives/edgar/data/0001707502/000119312519204157/d785130dex101.htm" TargetMode="External"/><Relationship Id="rId192" Type="http://schemas.openxmlformats.org/officeDocument/2006/relationships/hyperlink" Target="https://www.sec.gov/Archives/edgar/data/0001707502/000119312519204157/d785130dex102.htm" TargetMode="External"/><Relationship Id="rId193" Type="http://schemas.openxmlformats.org/officeDocument/2006/relationships/hyperlink" Target="https://www.sec.gov/Archives/edgar/data/0001707502/000119312519204157/d785130dex103.htm" TargetMode="External"/><Relationship Id="rId194" Type="http://schemas.openxmlformats.org/officeDocument/2006/relationships/hyperlink" Target="https://www.sec.gov/Archives/edgar/data/0001707502/000156459021013153/sldb-ex1024_174.htm" TargetMode="External"/><Relationship Id="rId197" Type="http://schemas.openxmlformats.org/officeDocument/2006/relationships/hyperlink" Target="https://www.sec.gov/Archives/edgar/data/1707502/000119312522296577/d430820dex991.htm" TargetMode="External"/><Relationship Id="rId198" Type="http://schemas.openxmlformats.org/officeDocument/2006/relationships/hyperlink" Target="https://www.sec.gov/Archives/edgar/data/1707502/000156459020037207/sldb-ex104_35.htm" TargetMode="External"/><Relationship Id="rId199" Type="http://schemas.openxmlformats.org/officeDocument/2006/relationships/hyperlink" Target="https://www.sec.gov/Archives/edgar/data/1707502/000156459022009963/sldb-ex1028_790.htm" TargetMode="External"/><Relationship Id="rId200" Type="http://schemas.openxmlformats.org/officeDocument/2006/relationships/hyperlink" Target="https://www.sec.gov/Archives/edgar/data/1707502/000156459020050874/sldb-ex101_151.htm" TargetMode="External"/><Relationship Id="rId201" Type="http://schemas.openxmlformats.org/officeDocument/2006/relationships/hyperlink" Target="https://www.sec.gov/Archives/edgar/data/1707502/000156459020050874/sldb-ex102_110.htm" TargetMode="External"/><Relationship Id="rId202" Type="http://schemas.openxmlformats.org/officeDocument/2006/relationships/hyperlink" Target="https://www.sec.gov/Archives/edgar/data/1707502/000156459020050874/sldb-ex103_109.htm" TargetMode="External"/><Relationship Id="rId203" Type="http://schemas.openxmlformats.org/officeDocument/2006/relationships/hyperlink" Target="https://www.sec.gov/Archives/edgar/data/1707502/000156459020050874/sldb-ex104_108.htm" TargetMode="External"/><Relationship Id="rId204" Type="http://schemas.openxmlformats.org/officeDocument/2006/relationships/hyperlink" Target="https://www.sec.gov/Archives/edgar/data/1707502/000119312520315381/d77884dex101.htm" TargetMode="External"/><Relationship Id="rId205" Type="http://schemas.openxmlformats.org/officeDocument/2006/relationships/hyperlink" Target="https://www.sec.gov/Archives/edgar/data/1707502/000119312520315381/d77884dex102.htm" TargetMode="External"/><Relationship Id="rId206" Type="http://schemas.openxmlformats.org/officeDocument/2006/relationships/hyperlink" Target="https://www.sec.gov/Archives/edgar/data/0001707502/000156459021013153/sldb-ex1036_175.htm" TargetMode="External"/><Relationship Id="rId207" Type="http://schemas.openxmlformats.org/officeDocument/2006/relationships/hyperlink" Target="https://www.sec.gov/Archives/edgar/data/0001707502/000156459021044656/sldb-ex101_33.htm" TargetMode="External"/><Relationship Id="rId208" Type="http://schemas.openxmlformats.org/officeDocument/2006/relationships/hyperlink" Target="https://www.sec.gov/Archives/edgar/data/0001707502/000156459021044656/sldb-ex104_34.htm" TargetMode="External"/><Relationship Id="rId209" Type="http://schemas.openxmlformats.org/officeDocument/2006/relationships/hyperlink" Target="https://www.sec.gov/Archives/edgar/data/1707502/000119312521247860/d192268dex995.htm" TargetMode="External"/><Relationship Id="rId210" Type="http://schemas.openxmlformats.org/officeDocument/2006/relationships/hyperlink" Target="https://www.sec.gov/Archives/edgar/data/1707502/000119312522254807/d375823dex101.htm" TargetMode="External"/><Relationship Id="rId211" Type="http://schemas.openxmlformats.org/officeDocument/2006/relationships/hyperlink" Target="https://www.sec.gov/Archives/edgar/data/1707502/000119312522254807/d375823dex102.htm" TargetMode="External"/><Relationship Id="rId212" Type="http://schemas.openxmlformats.org/officeDocument/2006/relationships/hyperlink" Target="https://www.sec.gov/Archives/edgar/data/1707502/000119312522254807/d375823dex103.htm" TargetMode="External"/><Relationship Id="rId213" Type="http://schemas.openxmlformats.org/officeDocument/2006/relationships/hyperlink" Target="https://www.sec.gov/Archives/edgar/data/1707502/000119312522254807/d375823dex104.htm" TargetMode="External"/><Relationship Id="rId216" Type="http://schemas.openxmlformats.org/officeDocument/2006/relationships/hyperlink" Target="https://www.sec.gov/Archives/edgar/data/1707502/000119312522254807/d375823dex105.htm" TargetMode="External"/><Relationship Id="rId217" Type="http://schemas.openxmlformats.org/officeDocument/2006/relationships/hyperlink" Target="https://www.sec.gov/Archives/edgar/data/1707502/000119312522254807/d375823dex106.htm" TargetMode="External"/><Relationship Id="rId218" Type="http://schemas.openxmlformats.org/officeDocument/2006/relationships/hyperlink" Target="https://www.sec.gov/Archives/edgar/data/1707502/000119312522254807/d375823dex107.htm" TargetMode="External"/><Relationship Id="rId219" Type="http://schemas.openxmlformats.org/officeDocument/2006/relationships/hyperlink" Target="https://www.sec.gov/Archives/edgar/data/1707502/000119312522254807/d375823dex108.htm" TargetMode="External"/><Relationship Id="rId220" Type="http://schemas.openxmlformats.org/officeDocument/2006/relationships/hyperlink" Target="https://www.sec.gov/Archives/edgar/data/1707502/000119312522254807/d375823dex109.htm" TargetMode="External"/><Relationship Id="rId221" Type="http://schemas.openxmlformats.org/officeDocument/2006/relationships/hyperlink" Target="https://www.sec.gov/Archives/edgar/data/1707502/000095017023020851/sldb-ex10_2.htm" TargetMode="External"/><Relationship Id="rId222" Type="http://schemas.openxmlformats.org/officeDocument/2006/relationships/hyperlink" Target="https://www.sec.gov/Archives/edgar/data/1707502/000095017023042371/sldb-ex10_1.htm" TargetMode="External"/><Relationship Id="rId223" Type="http://schemas.openxmlformats.org/officeDocument/2006/relationships/hyperlink" Target="https://www.sec.gov/Archives/edgar/data/1707502/000095017023042371/sldb-ex10_2.htm" TargetMode="External"/><Relationship Id="rId224" Type="http://schemas.openxmlformats.org/officeDocument/2006/relationships/hyperlink" Target="https://www.sec.gov/Archives/edgar/data/1707502/000095017023061096/sldb-ex10_1.htm" TargetMode="External"/><Relationship Id="rId225" Type="http://schemas.openxmlformats.org/officeDocument/2006/relationships/hyperlink" Target="https://www.sec.gov/Archives/edgar/data/1707502/000095017023009318/sldb-ex10_42.htm" TargetMode="External"/><Relationship Id="rId226" Type="http://schemas.openxmlformats.org/officeDocument/2006/relationships/hyperlink" Target="https://www.sec.gov/Archives/edgar/data/1707502/000095017023009318/sldb-ex10_43.htm" TargetMode="External"/><Relationship Id="rId227" Type="http://schemas.openxmlformats.org/officeDocument/2006/relationships/hyperlink" Target="https://www.sec.gov/Archives/edgar/data/1707502/000119312524003882/d690167dex41.htm" TargetMode="External"/><Relationship Id="rId228" Type="http://schemas.openxmlformats.org/officeDocument/2006/relationships/hyperlink" Target="https://www.sec.gov/Archives/edgar/data/1707502/000119312524003882/d690167dex101.htm" TargetMode="External"/><Relationship Id="rId229" Type="http://schemas.openxmlformats.org/officeDocument/2006/relationships/hyperlink" Target="https://www.sec.gov/Archives/edgar/data/1707502/000119312524003882/d69016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2024-03-13T06:49:26Z</dcterms:created>
  <dcterms:modified xsi:type="dcterms:W3CDTF">2024-03-13T06:49:26Z</dcterms:modified>
</cp:coreProperties>
</file>