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December 29, 2017.</w:t>
      </w:r>
    </w:p>
    <w:p>
      <w:pPr>
        <w:spacing w:after="0" w:line="4" w:lineRule="exact"/>
        <w:rPr>
          <w:sz w:val="24"/>
          <w:szCs w:val="24"/>
          <w:color w:val="auto"/>
        </w:rPr>
      </w:pPr>
    </w:p>
    <w:p>
      <w:pPr>
        <w:ind w:left="96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Solid Biosciences, LLC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 be converted as described herein to a corporation named]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Solid Biosciences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2840" w:type="dxa"/>
            <w:vAlign w:val="bottom"/>
          </w:tcPr>
          <w:p>
            <w:pPr>
              <w:jc w:val="center"/>
              <w:ind w:right="991"/>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9"/>
              </w:rPr>
              <w:t>2836</w:t>
            </w:r>
          </w:p>
        </w:tc>
        <w:tc>
          <w:tcPr>
            <w:tcW w:w="2440" w:type="dxa"/>
            <w:vAlign w:val="bottom"/>
          </w:tcPr>
          <w:p>
            <w:pPr>
              <w:jc w:val="center"/>
              <w:ind w:left="1031"/>
              <w:spacing w:after="0"/>
              <w:rPr>
                <w:sz w:val="20"/>
                <w:szCs w:val="20"/>
                <w:color w:val="auto"/>
              </w:rPr>
            </w:pPr>
            <w:r>
              <w:rPr>
                <w:rFonts w:ascii="Arial" w:cs="Arial" w:eastAsia="Arial" w:hAnsi="Arial"/>
                <w:sz w:val="14"/>
                <w:szCs w:val="14"/>
                <w:b w:val="1"/>
                <w:bCs w:val="1"/>
                <w:color w:val="auto"/>
                <w:w w:val="93"/>
              </w:rPr>
              <w:t>90-0943402</w:t>
            </w:r>
          </w:p>
        </w:tc>
      </w:tr>
      <w:tr>
        <w:trPr>
          <w:trHeight w:val="149"/>
        </w:trPr>
        <w:tc>
          <w:tcPr>
            <w:tcW w:w="2840" w:type="dxa"/>
            <w:vAlign w:val="bottom"/>
          </w:tcPr>
          <w:p>
            <w:pPr>
              <w:jc w:val="center"/>
              <w:ind w:right="991"/>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3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40" w:type="dxa"/>
            <w:vAlign w:val="bottom"/>
          </w:tcPr>
          <w:p>
            <w:pPr>
              <w:jc w:val="center"/>
              <w:ind w:right="1011"/>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31"/>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161 First Street, Third Floor</w:t>
      </w:r>
    </w:p>
    <w:p>
      <w:pPr>
        <w:jc w:val="center"/>
        <w:spacing w:after="0" w:line="226" w:lineRule="auto"/>
        <w:rPr>
          <w:sz w:val="20"/>
          <w:szCs w:val="20"/>
          <w:color w:val="auto"/>
        </w:rPr>
      </w:pPr>
      <w:r>
        <w:rPr>
          <w:rFonts w:ascii="Arial" w:cs="Arial" w:eastAsia="Arial" w:hAnsi="Arial"/>
          <w:sz w:val="14"/>
          <w:szCs w:val="14"/>
          <w:b w:val="1"/>
          <w:bCs w:val="1"/>
          <w:color w:val="auto"/>
        </w:rPr>
        <w:t>Cambridge, MA 02142</w:t>
      </w:r>
    </w:p>
    <w:p>
      <w:pPr>
        <w:jc w:val="center"/>
        <w:spacing w:after="0" w:line="234" w:lineRule="auto"/>
        <w:rPr>
          <w:sz w:val="20"/>
          <w:szCs w:val="20"/>
          <w:color w:val="auto"/>
        </w:rPr>
      </w:pPr>
      <w:r>
        <w:rPr>
          <w:rFonts w:ascii="Arial" w:cs="Arial" w:eastAsia="Arial" w:hAnsi="Arial"/>
          <w:sz w:val="14"/>
          <w:szCs w:val="14"/>
          <w:b w:val="1"/>
          <w:bCs w:val="1"/>
          <w:color w:val="auto"/>
        </w:rPr>
        <w:t>(617) 337-4680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Ilan Ganot</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Solid Biosciences, LLC</w:t>
      </w:r>
    </w:p>
    <w:p>
      <w:pPr>
        <w:jc w:val="center"/>
        <w:spacing w:after="0" w:line="221" w:lineRule="auto"/>
        <w:rPr>
          <w:sz w:val="20"/>
          <w:szCs w:val="20"/>
          <w:color w:val="auto"/>
        </w:rPr>
      </w:pPr>
      <w:r>
        <w:rPr>
          <w:rFonts w:ascii="Arial" w:cs="Arial" w:eastAsia="Arial" w:hAnsi="Arial"/>
          <w:sz w:val="14"/>
          <w:szCs w:val="14"/>
          <w:b w:val="1"/>
          <w:bCs w:val="1"/>
          <w:color w:val="auto"/>
        </w:rPr>
        <w:t>161 First Street, Third Floor</w:t>
      </w:r>
    </w:p>
    <w:p>
      <w:pPr>
        <w:jc w:val="center"/>
        <w:spacing w:after="0" w:line="222" w:lineRule="auto"/>
        <w:rPr>
          <w:sz w:val="20"/>
          <w:szCs w:val="20"/>
          <w:color w:val="auto"/>
        </w:rPr>
      </w:pPr>
      <w:r>
        <w:rPr>
          <w:rFonts w:ascii="Arial" w:cs="Arial" w:eastAsia="Arial" w:hAnsi="Arial"/>
          <w:sz w:val="14"/>
          <w:szCs w:val="14"/>
          <w:b w:val="1"/>
          <w:bCs w:val="1"/>
          <w:color w:val="auto"/>
        </w:rPr>
        <w:t>Cambridge, MA 02142</w:t>
      </w:r>
    </w:p>
    <w:p>
      <w:pPr>
        <w:jc w:val="center"/>
        <w:spacing w:after="0" w:line="233" w:lineRule="auto"/>
        <w:rPr>
          <w:sz w:val="20"/>
          <w:szCs w:val="20"/>
          <w:color w:val="auto"/>
        </w:rPr>
      </w:pPr>
      <w:r>
        <w:rPr>
          <w:rFonts w:ascii="Arial" w:cs="Arial" w:eastAsia="Arial" w:hAnsi="Arial"/>
          <w:sz w:val="14"/>
          <w:szCs w:val="14"/>
          <w:b w:val="1"/>
          <w:bCs w:val="1"/>
          <w:color w:val="auto"/>
        </w:rPr>
        <w:t>(617) 337-4680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1" w:lineRule="exact"/>
        <w:rPr>
          <w:sz w:val="24"/>
          <w:szCs w:val="24"/>
          <w:color w:val="auto"/>
        </w:rPr>
      </w:pPr>
    </w:p>
    <w:tbl>
      <w:tblPr>
        <w:tblLayout w:type="fixed"/>
        <w:tblInd w:w="110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3840" w:type="dxa"/>
            <w:vAlign w:val="bottom"/>
          </w:tcPr>
          <w:p>
            <w:pPr>
              <w:ind w:left="1540"/>
              <w:spacing w:after="0"/>
              <w:rPr>
                <w:sz w:val="20"/>
                <w:szCs w:val="20"/>
                <w:color w:val="auto"/>
              </w:rPr>
            </w:pPr>
            <w:r>
              <w:rPr>
                <w:rFonts w:ascii="Arial" w:cs="Arial" w:eastAsia="Arial" w:hAnsi="Arial"/>
                <w:sz w:val="14"/>
                <w:szCs w:val="14"/>
                <w:b w:val="1"/>
                <w:bCs w:val="1"/>
                <w:i w:val="1"/>
                <w:iCs w:val="1"/>
                <w:color w:val="auto"/>
              </w:rPr>
              <w:t>Copies to:</w:t>
            </w:r>
          </w:p>
        </w:tc>
        <w:tc>
          <w:tcPr>
            <w:tcW w:w="2760" w:type="dxa"/>
            <w:vAlign w:val="bottom"/>
          </w:tcPr>
          <w:p>
            <w:pPr>
              <w:spacing w:after="0"/>
              <w:rPr>
                <w:sz w:val="15"/>
                <w:szCs w:val="15"/>
                <w:color w:val="auto"/>
              </w:rPr>
            </w:pPr>
          </w:p>
        </w:tc>
      </w:tr>
      <w:tr>
        <w:trPr>
          <w:trHeight w:val="178"/>
        </w:trPr>
        <w:tc>
          <w:tcPr>
            <w:tcW w:w="2780" w:type="dxa"/>
            <w:vAlign w:val="bottom"/>
          </w:tcPr>
          <w:p>
            <w:pPr>
              <w:jc w:val="center"/>
              <w:ind w:right="1028"/>
              <w:spacing w:after="0"/>
              <w:rPr>
                <w:sz w:val="20"/>
                <w:szCs w:val="20"/>
                <w:color w:val="auto"/>
              </w:rPr>
            </w:pPr>
            <w:r>
              <w:rPr>
                <w:rFonts w:ascii="Arial" w:cs="Arial" w:eastAsia="Arial" w:hAnsi="Arial"/>
                <w:sz w:val="14"/>
                <w:szCs w:val="14"/>
                <w:b w:val="1"/>
                <w:bCs w:val="1"/>
                <w:color w:val="auto"/>
                <w:w w:val="94"/>
              </w:rPr>
              <w:t>Julie M. Allen, Esq.</w:t>
            </w:r>
          </w:p>
        </w:tc>
        <w:tc>
          <w:tcPr>
            <w:tcW w:w="384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Daniel Finkelman, Esq.</w:t>
            </w:r>
          </w:p>
        </w:tc>
        <w:tc>
          <w:tcPr>
            <w:tcW w:w="2760" w:type="dxa"/>
            <w:vAlign w:val="bottom"/>
          </w:tcPr>
          <w:p>
            <w:pPr>
              <w:jc w:val="center"/>
              <w:ind w:left="928"/>
              <w:spacing w:after="0"/>
              <w:rPr>
                <w:sz w:val="20"/>
                <w:szCs w:val="20"/>
                <w:color w:val="auto"/>
              </w:rPr>
            </w:pPr>
            <w:r>
              <w:rPr>
                <w:rFonts w:ascii="Arial" w:cs="Arial" w:eastAsia="Arial" w:hAnsi="Arial"/>
                <w:sz w:val="14"/>
                <w:szCs w:val="14"/>
                <w:b w:val="1"/>
                <w:bCs w:val="1"/>
                <w:color w:val="auto"/>
                <w:w w:val="97"/>
              </w:rPr>
              <w:t>Deanna L. Kirkpatrick, Esq.</w:t>
            </w:r>
          </w:p>
        </w:tc>
      </w:tr>
      <w:tr>
        <w:trPr>
          <w:trHeight w:val="149"/>
        </w:trPr>
        <w:tc>
          <w:tcPr>
            <w:tcW w:w="2780" w:type="dxa"/>
            <w:vAlign w:val="bottom"/>
          </w:tcPr>
          <w:p>
            <w:pPr>
              <w:jc w:val="center"/>
              <w:ind w:right="1028"/>
              <w:spacing w:after="0" w:line="149" w:lineRule="exact"/>
              <w:rPr>
                <w:sz w:val="20"/>
                <w:szCs w:val="20"/>
                <w:color w:val="auto"/>
              </w:rPr>
            </w:pPr>
            <w:r>
              <w:rPr>
                <w:rFonts w:ascii="Arial" w:cs="Arial" w:eastAsia="Arial" w:hAnsi="Arial"/>
                <w:sz w:val="14"/>
                <w:szCs w:val="14"/>
                <w:b w:val="1"/>
                <w:bCs w:val="1"/>
                <w:color w:val="auto"/>
                <w:w w:val="95"/>
              </w:rPr>
              <w:t>Daniel L. Forman, Esq.</w:t>
            </w:r>
          </w:p>
        </w:tc>
        <w:tc>
          <w:tcPr>
            <w:tcW w:w="38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3"/>
              </w:rPr>
              <w:t>General Counsel</w:t>
            </w:r>
          </w:p>
        </w:tc>
        <w:tc>
          <w:tcPr>
            <w:tcW w:w="276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9"/>
        </w:trPr>
        <w:tc>
          <w:tcPr>
            <w:tcW w:w="2780" w:type="dxa"/>
            <w:vAlign w:val="bottom"/>
          </w:tcPr>
          <w:p>
            <w:pPr>
              <w:jc w:val="center"/>
              <w:ind w:right="1028"/>
              <w:spacing w:after="0" w:line="149" w:lineRule="exact"/>
              <w:rPr>
                <w:sz w:val="20"/>
                <w:szCs w:val="20"/>
                <w:color w:val="auto"/>
              </w:rPr>
            </w:pPr>
            <w:r>
              <w:rPr>
                <w:rFonts w:ascii="Arial" w:cs="Arial" w:eastAsia="Arial" w:hAnsi="Arial"/>
                <w:sz w:val="14"/>
                <w:szCs w:val="14"/>
                <w:b w:val="1"/>
                <w:bCs w:val="1"/>
                <w:color w:val="auto"/>
                <w:w w:val="93"/>
              </w:rPr>
              <w:t>Proskauer Rose LLP</w:t>
            </w:r>
          </w:p>
        </w:tc>
        <w:tc>
          <w:tcPr>
            <w:tcW w:w="38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Solid Biosciences, LLC</w:t>
            </w:r>
          </w:p>
        </w:tc>
        <w:tc>
          <w:tcPr>
            <w:tcW w:w="276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1"/>
              </w:rPr>
              <w:t>450 Lexington Avenue</w:t>
            </w:r>
          </w:p>
        </w:tc>
      </w:tr>
      <w:tr>
        <w:trPr>
          <w:trHeight w:val="149"/>
        </w:trPr>
        <w:tc>
          <w:tcPr>
            <w:tcW w:w="2780" w:type="dxa"/>
            <w:vAlign w:val="bottom"/>
          </w:tcPr>
          <w:p>
            <w:pPr>
              <w:jc w:val="center"/>
              <w:ind w:right="1008"/>
              <w:spacing w:after="0" w:line="149" w:lineRule="exact"/>
              <w:rPr>
                <w:sz w:val="20"/>
                <w:szCs w:val="20"/>
                <w:color w:val="auto"/>
              </w:rPr>
            </w:pPr>
            <w:r>
              <w:rPr>
                <w:rFonts w:ascii="Arial" w:cs="Arial" w:eastAsia="Arial" w:hAnsi="Arial"/>
                <w:sz w:val="14"/>
                <w:szCs w:val="14"/>
                <w:b w:val="1"/>
                <w:bCs w:val="1"/>
                <w:color w:val="auto"/>
                <w:w w:val="92"/>
              </w:rPr>
              <w:t>Eleven Times Square</w:t>
            </w:r>
          </w:p>
        </w:tc>
        <w:tc>
          <w:tcPr>
            <w:tcW w:w="38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6"/>
              </w:rPr>
              <w:t>161 First Street, Third Floor</w:t>
            </w:r>
          </w:p>
        </w:tc>
        <w:tc>
          <w:tcPr>
            <w:tcW w:w="276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5"/>
              </w:rPr>
              <w:t>New York, NY 10017</w:t>
            </w:r>
          </w:p>
        </w:tc>
      </w:tr>
      <w:tr>
        <w:trPr>
          <w:trHeight w:val="149"/>
        </w:trPr>
        <w:tc>
          <w:tcPr>
            <w:tcW w:w="2780" w:type="dxa"/>
            <w:vAlign w:val="bottom"/>
          </w:tcPr>
          <w:p>
            <w:pPr>
              <w:jc w:val="center"/>
              <w:ind w:right="1008"/>
              <w:spacing w:after="0" w:line="149" w:lineRule="exact"/>
              <w:rPr>
                <w:sz w:val="20"/>
                <w:szCs w:val="20"/>
                <w:color w:val="auto"/>
              </w:rPr>
            </w:pPr>
            <w:r>
              <w:rPr>
                <w:rFonts w:ascii="Arial" w:cs="Arial" w:eastAsia="Arial" w:hAnsi="Arial"/>
                <w:sz w:val="14"/>
                <w:szCs w:val="14"/>
                <w:b w:val="1"/>
                <w:bCs w:val="1"/>
                <w:color w:val="auto"/>
                <w:w w:val="95"/>
              </w:rPr>
              <w:t>New York, New York 10036</w:t>
            </w:r>
          </w:p>
        </w:tc>
        <w:tc>
          <w:tcPr>
            <w:tcW w:w="38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6"/>
              </w:rPr>
              <w:t>Cambridge, MA 02142</w:t>
            </w:r>
          </w:p>
        </w:tc>
        <w:tc>
          <w:tcPr>
            <w:tcW w:w="276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3"/>
              </w:rPr>
              <w:t>(212) 450-4000</w:t>
            </w:r>
          </w:p>
        </w:tc>
      </w:tr>
      <w:tr>
        <w:trPr>
          <w:trHeight w:val="186"/>
        </w:trPr>
        <w:tc>
          <w:tcPr>
            <w:tcW w:w="2780" w:type="dxa"/>
            <w:vAlign w:val="bottom"/>
          </w:tcPr>
          <w:p>
            <w:pPr>
              <w:jc w:val="center"/>
              <w:ind w:right="1008"/>
              <w:spacing w:after="0"/>
              <w:rPr>
                <w:sz w:val="20"/>
                <w:szCs w:val="20"/>
                <w:color w:val="auto"/>
              </w:rPr>
            </w:pPr>
            <w:r>
              <w:rPr>
                <w:rFonts w:ascii="Arial" w:cs="Arial" w:eastAsia="Arial" w:hAnsi="Arial"/>
                <w:sz w:val="14"/>
                <w:szCs w:val="14"/>
                <w:b w:val="1"/>
                <w:bCs w:val="1"/>
                <w:color w:val="auto"/>
                <w:w w:val="93"/>
              </w:rPr>
              <w:t>(212) 969-3000</w:t>
            </w:r>
          </w:p>
        </w:tc>
        <w:tc>
          <w:tcPr>
            <w:tcW w:w="384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(617) 337-4680</w:t>
            </w:r>
          </w:p>
        </w:tc>
        <w:tc>
          <w:tcPr>
            <w:tcW w:w="27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ind w:left="146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82"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1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(Check one):</w:t>
      </w:r>
    </w:p>
    <w:p>
      <w:pPr>
        <w:sectPr>
          <w:pgSz w:w="11900" w:h="16838" w:orient="portrait"/>
          <w:cols w:equalWidth="0" w:num="1">
            <w:col w:w="11420"/>
          </w:cols>
          <w:pgMar w:left="240" w:top="230" w:right="239" w:bottom="1440" w:gutter="0" w:footer="0" w:header="0"/>
        </w:sectPr>
      </w:pP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840" w:type="dxa"/>
            <w:vAlign w:val="bottom"/>
          </w:tcPr>
          <w:p>
            <w:pPr>
              <w:ind w:left="2260"/>
              <w:spacing w:after="0"/>
              <w:rPr>
                <w:sz w:val="20"/>
                <w:szCs w:val="20"/>
                <w:color w:val="auto"/>
              </w:rPr>
            </w:pPr>
            <w:r>
              <w:rPr>
                <w:rFonts w:ascii="Arial" w:cs="Arial" w:eastAsia="Arial" w:hAnsi="Arial"/>
                <w:sz w:val="14"/>
                <w:szCs w:val="14"/>
                <w:color w:val="auto"/>
              </w:rPr>
              <w:t>Accelerated filer</w:t>
            </w:r>
          </w:p>
        </w:tc>
      </w:tr>
      <w:tr>
        <w:trPr>
          <w:trHeight w:val="211"/>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534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40" w:type="dxa"/>
            <w:vAlign w:val="bottom"/>
          </w:tcPr>
          <w:p>
            <w:pPr>
              <w:ind w:left="2260"/>
              <w:spacing w:after="0"/>
              <w:rPr>
                <w:sz w:val="20"/>
                <w:szCs w:val="20"/>
                <w:color w:val="auto"/>
              </w:rPr>
            </w:pPr>
            <w:r>
              <w:rPr>
                <w:rFonts w:ascii="Arial" w:cs="Arial" w:eastAsia="Arial" w:hAnsi="Arial"/>
                <w:sz w:val="14"/>
                <w:szCs w:val="14"/>
                <w:color w:val="auto"/>
                <w:w w:val="93"/>
              </w:rPr>
              <w:t>Smaller reporting company</w:t>
            </w:r>
          </w:p>
        </w:tc>
      </w:tr>
      <w:tr>
        <w:trPr>
          <w:trHeight w:val="182"/>
        </w:trPr>
        <w:tc>
          <w:tcPr>
            <w:tcW w:w="15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840" w:type="dxa"/>
            <w:vAlign w:val="bottom"/>
          </w:tcPr>
          <w:p>
            <w:pPr>
              <w:ind w:left="2260"/>
              <w:spacing w:after="0"/>
              <w:rPr>
                <w:sz w:val="20"/>
                <w:szCs w:val="20"/>
                <w:color w:val="auto"/>
              </w:rPr>
            </w:pPr>
            <w:r>
              <w:rPr>
                <w:rFonts w:ascii="Arial" w:cs="Arial" w:eastAsia="Arial" w:hAnsi="Arial"/>
                <w:sz w:val="14"/>
                <w:szCs w:val="14"/>
                <w:color w:val="auto"/>
                <w:w w:val="93"/>
              </w:rPr>
              <w:t>Emerging growth company</w:t>
            </w:r>
          </w:p>
        </w:tc>
      </w:tr>
    </w:tbl>
    <w:p>
      <w:pPr>
        <w:spacing w:after="0" w:line="20" w:lineRule="exact"/>
        <w:rPr>
          <w:sz w:val="24"/>
          <w:szCs w:val="24"/>
          <w:color w:val="auto"/>
        </w:rPr>
      </w:pPr>
    </w:p>
    <w:p>
      <w:pPr>
        <w:ind w:lef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74930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91" w:lineRule="exact"/>
        <w:rPr>
          <w:sz w:val="24"/>
          <w:szCs w:val="24"/>
          <w:color w:val="auto"/>
        </w:rPr>
      </w:pPr>
    </w:p>
    <w:p>
      <w:pPr>
        <w:sectPr>
          <w:pgSz w:w="11900" w:h="16838" w:orient="portrait"/>
          <w:cols w:equalWidth="0" w:num="2">
            <w:col w:w="11020" w:space="260"/>
            <w:col w:w="1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r>
      <w:tr>
        <w:trPr>
          <w:trHeight w:val="97"/>
        </w:trPr>
        <w:tc>
          <w:tcPr>
            <w:tcW w:w="20" w:type="dxa"/>
            <w:vAlign w:val="bottom"/>
          </w:tcPr>
          <w:p>
            <w:pPr>
              <w:spacing w:after="0"/>
              <w:rPr>
                <w:sz w:val="8"/>
                <w:szCs w:val="8"/>
                <w:color w:val="auto"/>
              </w:rPr>
            </w:pPr>
          </w:p>
        </w:tc>
        <w:tc>
          <w:tcPr>
            <w:tcW w:w="800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jc w:val="center"/>
              <w:ind w:left="37"/>
              <w:spacing w:after="0" w:line="97" w:lineRule="exact"/>
              <w:rPr>
                <w:sz w:val="20"/>
                <w:szCs w:val="20"/>
                <w:color w:val="auto"/>
              </w:rPr>
            </w:pPr>
            <w:r>
              <w:rPr>
                <w:rFonts w:ascii="Arial" w:cs="Arial" w:eastAsia="Arial" w:hAnsi="Arial"/>
                <w:sz w:val="11"/>
                <w:szCs w:val="11"/>
                <w:b w:val="1"/>
                <w:bCs w:val="1"/>
                <w:color w:val="auto"/>
                <w:w w:val="98"/>
              </w:rPr>
              <w:t>Proposed</w:t>
            </w:r>
          </w:p>
        </w:tc>
        <w:tc>
          <w:tcPr>
            <w:tcW w:w="168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8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Title of Each Class of</w:t>
            </w:r>
          </w:p>
        </w:tc>
        <w:tc>
          <w:tcPr>
            <w:tcW w:w="1720" w:type="dxa"/>
            <w:vAlign w:val="bottom"/>
            <w:tcBorders>
              <w:right w:val="single" w:sz="8" w:color="auto"/>
            </w:tcBorders>
          </w:tcPr>
          <w:p>
            <w:pPr>
              <w:jc w:val="center"/>
              <w:ind w:left="37"/>
              <w:spacing w:after="0" w:line="135" w:lineRule="exact"/>
              <w:rPr>
                <w:sz w:val="20"/>
                <w:szCs w:val="20"/>
                <w:color w:val="auto"/>
              </w:rPr>
            </w:pPr>
            <w:r>
              <w:rPr>
                <w:rFonts w:ascii="Arial" w:cs="Arial" w:eastAsia="Arial" w:hAnsi="Arial"/>
                <w:sz w:val="13"/>
                <w:szCs w:val="13"/>
                <w:b w:val="1"/>
                <w:bCs w:val="1"/>
                <w:color w:val="auto"/>
                <w:w w:val="89"/>
              </w:rPr>
              <w:t>Maximum Aggregate</w:t>
            </w:r>
          </w:p>
        </w:tc>
        <w:tc>
          <w:tcPr>
            <w:tcW w:w="1680" w:type="dxa"/>
            <w:vAlign w:val="bottom"/>
          </w:tcPr>
          <w:p>
            <w:pPr>
              <w:jc w:val="center"/>
              <w:ind w:left="34"/>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4"/>
        </w:trPr>
        <w:tc>
          <w:tcPr>
            <w:tcW w:w="20" w:type="dxa"/>
            <w:vAlign w:val="bottom"/>
          </w:tcPr>
          <w:p>
            <w:pPr>
              <w:spacing w:after="0"/>
              <w:rPr>
                <w:sz w:val="14"/>
                <w:szCs w:val="14"/>
                <w:color w:val="auto"/>
              </w:rPr>
            </w:pPr>
          </w:p>
        </w:tc>
        <w:tc>
          <w:tcPr>
            <w:tcW w:w="8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72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1"/>
              </w:rPr>
              <w:t xml:space="preserve">Offering Price </w:t>
            </w:r>
            <w:r>
              <w:rPr>
                <w:rFonts w:ascii="Arial" w:cs="Arial" w:eastAsia="Arial" w:hAnsi="Arial"/>
                <w:sz w:val="10"/>
                <w:szCs w:val="10"/>
                <w:b w:val="1"/>
                <w:bCs w:val="1"/>
                <w:color w:val="auto"/>
                <w:w w:val="91"/>
              </w:rPr>
              <w:t>(1)(2)</w:t>
            </w:r>
          </w:p>
        </w:tc>
        <w:tc>
          <w:tcPr>
            <w:tcW w:w="168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6"/>
              </w:rPr>
              <w:t>Registration Fee</w:t>
            </w:r>
          </w:p>
        </w:tc>
      </w:tr>
      <w:tr>
        <w:trPr>
          <w:trHeight w:val="145"/>
        </w:trPr>
        <w:tc>
          <w:tcPr>
            <w:tcW w:w="20" w:type="dxa"/>
            <w:vAlign w:val="bottom"/>
            <w:tcBorders>
              <w:bottom w:val="single" w:sz="8" w:color="auto"/>
            </w:tcBorders>
          </w:tcPr>
          <w:p>
            <w:pPr>
              <w:spacing w:after="0"/>
              <w:rPr>
                <w:sz w:val="12"/>
                <w:szCs w:val="12"/>
                <w:color w:val="auto"/>
              </w:rPr>
            </w:pPr>
          </w:p>
        </w:tc>
        <w:tc>
          <w:tcPr>
            <w:tcW w:w="8000" w:type="dxa"/>
            <w:vAlign w:val="bottom"/>
            <w:tcBorders>
              <w:bottom w:val="single" w:sz="8" w:color="auto"/>
              <w:right w:val="single" w:sz="8" w:color="auto"/>
            </w:tcBorders>
          </w:tcPr>
          <w:p>
            <w:pPr>
              <w:spacing w:after="0" w:line="145" w:lineRule="exact"/>
              <w:rPr>
                <w:sz w:val="20"/>
                <w:szCs w:val="20"/>
                <w:color w:val="auto"/>
              </w:rPr>
            </w:pPr>
            <w:r>
              <w:rPr>
                <w:rFonts w:ascii="Arial" w:cs="Arial" w:eastAsia="Arial" w:hAnsi="Arial"/>
                <w:sz w:val="14"/>
                <w:szCs w:val="14"/>
                <w:color w:val="auto"/>
              </w:rPr>
              <w:t>Common stock, $0.001 par value per share</w:t>
            </w:r>
          </w:p>
        </w:tc>
        <w:tc>
          <w:tcPr>
            <w:tcW w:w="1720" w:type="dxa"/>
            <w:vAlign w:val="bottom"/>
            <w:tcBorders>
              <w:bottom w:val="single" w:sz="8" w:color="auto"/>
              <w:right w:val="single" w:sz="8" w:color="auto"/>
            </w:tcBorders>
          </w:tcPr>
          <w:p>
            <w:pPr>
              <w:jc w:val="center"/>
              <w:ind w:left="17"/>
              <w:spacing w:after="0" w:line="145" w:lineRule="exact"/>
              <w:rPr>
                <w:sz w:val="20"/>
                <w:szCs w:val="20"/>
                <w:color w:val="auto"/>
              </w:rPr>
            </w:pPr>
            <w:r>
              <w:rPr>
                <w:rFonts w:ascii="Arial" w:cs="Arial" w:eastAsia="Arial" w:hAnsi="Arial"/>
                <w:sz w:val="14"/>
                <w:szCs w:val="14"/>
                <w:color w:val="auto"/>
                <w:w w:val="93"/>
              </w:rPr>
              <w:t>$100,000,000</w:t>
            </w:r>
          </w:p>
        </w:tc>
        <w:tc>
          <w:tcPr>
            <w:tcW w:w="1680" w:type="dxa"/>
            <w:vAlign w:val="bottom"/>
            <w:tcBorders>
              <w:bottom w:val="single" w:sz="8" w:color="auto"/>
            </w:tcBorders>
          </w:tcPr>
          <w:p>
            <w:pPr>
              <w:jc w:val="center"/>
              <w:ind w:left="14"/>
              <w:spacing w:after="0" w:line="145" w:lineRule="exact"/>
              <w:rPr>
                <w:sz w:val="20"/>
                <w:szCs w:val="20"/>
                <w:color w:val="auto"/>
              </w:rPr>
            </w:pPr>
            <w:r>
              <w:rPr>
                <w:rFonts w:ascii="Arial" w:cs="Arial" w:eastAsia="Arial" w:hAnsi="Arial"/>
                <w:sz w:val="14"/>
                <w:szCs w:val="14"/>
                <w:color w:val="auto"/>
                <w:w w:val="94"/>
              </w:rPr>
              <w:t>$12,450</w:t>
            </w:r>
          </w:p>
        </w:tc>
      </w:tr>
      <w:tr>
        <w:trPr>
          <w:trHeight w:val="20"/>
        </w:trPr>
        <w:tc>
          <w:tcPr>
            <w:tcW w:w="20" w:type="dxa"/>
            <w:vAlign w:val="bottom"/>
          </w:tcPr>
          <w:p>
            <w:pPr>
              <w:spacing w:after="0" w:line="20" w:lineRule="exact"/>
              <w:rPr>
                <w:sz w:val="1"/>
                <w:szCs w:val="1"/>
                <w:color w:val="auto"/>
              </w:rPr>
            </w:pPr>
          </w:p>
        </w:tc>
        <w:tc>
          <w:tcPr>
            <w:tcW w:w="8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determining the registration fee in accordance with Rule 457(o) under the Securities Act of 1933, as amended.</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common stock that may be purchased by the underwriters pursuant to their option to purchase additional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ind w:right="120"/>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Solid Biosciences, LLC, the registrant whose name appears on the cover of this registration statement, is a Delaware limited liability company. Prior to the effectiveness of this registration statement, Solid Biosciences, LLC will convert into a Delaware corporation pursuant to a statutory conversion and be renamed Solid Biosciences Inc. as described in the section “Corporate conversion” of the accompanying prospectus. In addition, entities formed solely for the purpose of holding membership interests in our limited liability company will be merged with and into us. In this prospectus, we refer to all of the transactions related to our conversion to a corporation and the mergers described above as the Corporate Conversion. As a result of the Corporate Conversion, the members of Solid Biosciences, LLC will become holders of shares of common stock of Solid Biosciences Inc. Except as disclosed in the prospectus, the consolidated financial statements and selected historical consolidated financial data and other financial information included in this registration statement are those of Solid Biosciences, LLC and its subsidiaries and do not give effect to the Corporate Conversion. Shares of common stock of Solid Biosciences Inc. are being offered by the prospectus.</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EB0029"/>
        </w:rPr>
        <w:t>The information contained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B0029"/>
        </w:rPr>
        <w:t>Subject to Completion, dated December 29,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B0029"/>
        </w:rPr>
        <w:t>Preliminary Prospectus</w:t>
      </w:r>
    </w:p>
    <w:p>
      <w:pPr>
        <w:spacing w:after="0" w:line="184" w:lineRule="exact"/>
        <w:rPr>
          <w:sz w:val="20"/>
          <w:szCs w:val="20"/>
          <w:color w:val="auto"/>
        </w:rPr>
      </w:pPr>
    </w:p>
    <w:p>
      <w:pPr>
        <w:ind w:left="57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212725</wp:posOffset>
            </wp:positionV>
            <wp:extent cx="2470150" cy="771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701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286385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is an initial public offering of shares of common stock by Solid Biosciences Inc. Solid Biosciences Inc. is selling The estimated initial public offering price is between $ and $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w:t>
      </w:r>
    </w:p>
    <w:p>
      <w:pPr>
        <w:spacing w:after="0" w:line="493" w:lineRule="exact"/>
        <w:rPr>
          <w:sz w:val="20"/>
          <w:szCs w:val="20"/>
          <w:color w:val="auto"/>
        </w:rPr>
      </w:pPr>
    </w:p>
    <w:p>
      <w:pPr>
        <w:sectPr>
          <w:pgSz w:w="11900" w:h="16838" w:orient="portrait"/>
          <w:cols w:equalWidth="0" w:num="2">
            <w:col w:w="8580" w:space="720"/>
            <w:col w:w="2120"/>
          </w:cols>
          <w:pgMar w:left="240" w:top="459" w:right="239" w:bottom="1440" w:gutter="0" w:footer="0" w:header="0"/>
          <w:type w:val="continuous"/>
        </w:sectPr>
      </w:pPr>
    </w:p>
    <w:p>
      <w:pPr>
        <w:spacing w:after="0" w:line="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Prior to this offering, there has been no public market for our common stock. We have applied to list our common stock on the NASDAQ Global Market, under the symbol “SLDB.”</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are an “emerging growth company” as defined under the federal securities laws and will be subject to reduced public company reporting requirements.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00" w:type="dxa"/>
            <w:vAlign w:val="bottom"/>
            <w:gridSpan w:val="2"/>
          </w:tcPr>
          <w:p>
            <w:pPr>
              <w:ind w:left="800"/>
              <w:spacing w:after="0"/>
              <w:rPr>
                <w:sz w:val="20"/>
                <w:szCs w:val="20"/>
                <w:color w:val="auto"/>
              </w:rPr>
            </w:pPr>
            <w:r>
              <w:rPr>
                <w:rFonts w:ascii="Arial" w:cs="Arial" w:eastAsia="Arial" w:hAnsi="Arial"/>
                <w:sz w:val="14"/>
                <w:szCs w:val="14"/>
                <w:b w:val="1"/>
                <w:bCs w:val="1"/>
                <w:color w:val="auto"/>
                <w:w w:val="88"/>
              </w:rPr>
              <w:t>Per Share</w:t>
            </w:r>
          </w:p>
        </w:tc>
        <w:tc>
          <w:tcPr>
            <w:tcW w:w="64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138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8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4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459"/>
        </w:trPr>
        <w:tc>
          <w:tcPr>
            <w:tcW w:w="7500" w:type="dxa"/>
            <w:vAlign w:val="bottom"/>
            <w:gridSpan w:val="2"/>
          </w:tcPr>
          <w:p>
            <w:pPr>
              <w:spacing w:after="0"/>
              <w:rPr>
                <w:sz w:val="20"/>
                <w:szCs w:val="20"/>
                <w:color w:val="auto"/>
              </w:rPr>
            </w:pPr>
            <w:r>
              <w:rPr>
                <w:rFonts w:ascii="Arial" w:cs="Arial" w:eastAsia="Arial" w:hAnsi="Arial"/>
                <w:sz w:val="18"/>
                <w:szCs w:val="18"/>
                <w:color w:val="auto"/>
                <w:w w:val="95"/>
              </w:rPr>
              <w:t>We have granted the underwriters an option for a period of 30 days to purchase up to an additional</w:t>
            </w:r>
          </w:p>
        </w:tc>
        <w:tc>
          <w:tcPr>
            <w:tcW w:w="2560" w:type="dxa"/>
            <w:vAlign w:val="bottom"/>
            <w:gridSpan w:val="5"/>
          </w:tcPr>
          <w:p>
            <w:pPr>
              <w:ind w:left="400"/>
              <w:spacing w:after="0"/>
              <w:rPr>
                <w:sz w:val="20"/>
                <w:szCs w:val="20"/>
                <w:color w:val="auto"/>
              </w:rPr>
            </w:pPr>
            <w:r>
              <w:rPr>
                <w:rFonts w:ascii="Arial" w:cs="Arial" w:eastAsia="Arial" w:hAnsi="Arial"/>
                <w:sz w:val="18"/>
                <w:szCs w:val="18"/>
                <w:color w:val="auto"/>
              </w:rPr>
              <w:t>shares of common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266065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60"/>
        <w:spacing w:after="0" w:line="335"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stock involves a high degree of risk. Before buying any shares, you should carefully read the discussion of material risks of investing in our common stock in “</w:t>
      </w:r>
      <w:hyperlink w:anchor="page18">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14 of this prospectus.</w:t>
      </w:r>
    </w:p>
    <w:p>
      <w:pPr>
        <w:spacing w:after="0" w:line="14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color w:val="auto"/>
                <w:w w:val="95"/>
              </w:rPr>
              <w:t>The underwriters expect to deliver the shares of common stock to investors on or about</w:t>
            </w:r>
          </w:p>
        </w:tc>
        <w:tc>
          <w:tcPr>
            <w:tcW w:w="88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257175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Leerink Partners</w:t>
      </w:r>
    </w:p>
    <w:p>
      <w:pPr>
        <w:spacing w:after="0" w:line="200" w:lineRule="exact"/>
        <w:rPr>
          <w:sz w:val="20"/>
          <w:szCs w:val="20"/>
          <w:color w:val="auto"/>
        </w:rPr>
      </w:pPr>
    </w:p>
    <w:p>
      <w:pPr>
        <w:sectPr>
          <w:pgSz w:w="11900" w:h="16838" w:orient="portrait"/>
          <w:cols w:equalWidth="0" w:num="3">
            <w:col w:w="3560" w:space="720"/>
            <w:col w:w="4560" w:space="720"/>
            <w:col w:w="1860"/>
          </w:cols>
          <w:pgMar w:left="240" w:top="459" w:right="239" w:bottom="1440" w:gutter="0" w:footer="0" w:header="0"/>
          <w:type w:val="continuous"/>
        </w:sectPr>
      </w:pPr>
    </w:p>
    <w:p>
      <w:pPr>
        <w:spacing w:after="0" w:line="44" w:lineRule="exact"/>
        <w:rPr>
          <w:sz w:val="20"/>
          <w:szCs w:val="20"/>
          <w:color w:val="auto"/>
        </w:rPr>
      </w:pPr>
    </w:p>
    <w:p>
      <w:pPr>
        <w:ind w:left="2540"/>
        <w:spacing w:after="0"/>
        <w:rPr>
          <w:sz w:val="20"/>
          <w:szCs w:val="20"/>
          <w:color w:val="auto"/>
        </w:rPr>
      </w:pPr>
      <w:r>
        <w:rPr>
          <w:rFonts w:ascii="Arial" w:cs="Arial" w:eastAsia="Arial" w:hAnsi="Arial"/>
          <w:sz w:val="19"/>
          <w:szCs w:val="19"/>
          <w:b w:val="1"/>
          <w:bCs w:val="1"/>
          <w:color w:val="auto"/>
        </w:rPr>
        <w:t>Nomura</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Chardan</w:t>
      </w:r>
    </w:p>
    <w:p>
      <w:pPr>
        <w:spacing w:after="0" w:line="200" w:lineRule="exact"/>
        <w:rPr>
          <w:sz w:val="20"/>
          <w:szCs w:val="20"/>
          <w:color w:val="auto"/>
        </w:rPr>
      </w:pPr>
    </w:p>
    <w:p>
      <w:pPr>
        <w:sectPr>
          <w:pgSz w:w="11900" w:h="16838" w:orient="portrait"/>
          <w:cols w:equalWidth="0" w:num="2">
            <w:col w:w="7600" w:space="720"/>
            <w:col w:w="3100"/>
          </w:cols>
          <w:pgMar w:left="240" w:top="459" w:right="239" w:bottom="1440" w:gutter="0" w:footer="0" w:header="0"/>
          <w:type w:val="continuous"/>
        </w:sectPr>
      </w:pPr>
    </w:p>
    <w:p>
      <w:pPr>
        <w:spacing w:after="0" w:line="77"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2018</w:t>
      </w:r>
    </w:p>
    <w:p>
      <w:pPr>
        <w:sectPr>
          <w:pgSz w:w="11900" w:h="16838" w:orient="portrait"/>
          <w:cols w:equalWidth="0" w:num="2">
            <w:col w:w="6260" w:space="720"/>
            <w:col w:w="444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40" w:type="dxa"/>
            <w:vAlign w:val="bottom"/>
            <w:gridSpan w:val="3"/>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20"/>
                <w:szCs w:val="20"/>
                <w:color w:val="auto"/>
              </w:rPr>
            </w:pPr>
          </w:p>
        </w:tc>
      </w:tr>
      <w:tr>
        <w:trPr>
          <w:trHeight w:val="419"/>
        </w:trPr>
        <w:tc>
          <w:tcPr>
            <w:tcW w:w="88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364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Information regarding forward-looking statements</w:t>
              </w:r>
            </w:hyperlink>
          </w:p>
        </w:tc>
        <w:tc>
          <w:tcPr>
            <w:tcW w:w="5240" w:type="dxa"/>
            <w:vAlign w:val="bottom"/>
            <w:gridSpan w:val="5"/>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8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Risk factors</w:t>
              </w:r>
            </w:hyperlink>
          </w:p>
        </w:tc>
        <w:tc>
          <w:tcPr>
            <w:tcW w:w="8000" w:type="dxa"/>
            <w:vAlign w:val="bottom"/>
            <w:gridSpan w:val="20"/>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888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Use of proceeds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11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Dividend policy</w:t>
              </w:r>
            </w:hyperlink>
          </w:p>
        </w:tc>
        <w:tc>
          <w:tcPr>
            <w:tcW w:w="7700" w:type="dxa"/>
            <w:vAlign w:val="bottom"/>
            <w:gridSpan w:val="16"/>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04"/>
        </w:trPr>
        <w:tc>
          <w:tcPr>
            <w:tcW w:w="8880" w:type="dxa"/>
            <w:vAlign w:val="bottom"/>
            <w:gridSpan w:val="2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Corporate conversion</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8880" w:type="dxa"/>
            <w:vAlign w:val="bottom"/>
            <w:gridSpan w:val="2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Cash and capitalization</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1680" w:type="dxa"/>
            <w:vAlign w:val="bottom"/>
            <w:tcBorders>
              <w:top w:val="single" w:sz="8" w:color="0000EE"/>
            </w:tcBorders>
            <w:gridSpan w:val="1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Dilution</w:t>
              </w:r>
            </w:hyperlink>
          </w:p>
        </w:tc>
        <w:tc>
          <w:tcPr>
            <w:tcW w:w="7200" w:type="dxa"/>
            <w:vAlign w:val="bottom"/>
            <w:gridSpan w:val="12"/>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26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Selected consolidated financial data</w:t>
              </w:r>
            </w:hyperlink>
          </w:p>
        </w:tc>
        <w:tc>
          <w:tcPr>
            <w:tcW w:w="6280" w:type="dxa"/>
            <w:vAlign w:val="bottom"/>
            <w:gridSpan w:val="8"/>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04"/>
        </w:trPr>
        <w:tc>
          <w:tcPr>
            <w:tcW w:w="62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Management’s discussion and analysis of financial condition and results of operations</w:t>
              </w:r>
            </w:hyperlink>
          </w:p>
        </w:tc>
        <w:tc>
          <w:tcPr>
            <w:tcW w:w="26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4"/>
        </w:trPr>
        <w:tc>
          <w:tcPr>
            <w:tcW w:w="8880" w:type="dxa"/>
            <w:vAlign w:val="bottom"/>
            <w:gridSpan w:val="2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Business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8880" w:type="dxa"/>
            <w:vAlign w:val="bottom"/>
            <w:gridSpan w:val="22"/>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Management</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384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28">
              <w:r>
                <w:rPr>
                  <w:rFonts w:ascii="Arial" w:cs="Arial" w:eastAsia="Arial" w:hAnsi="Arial"/>
                  <w:sz w:val="18"/>
                  <w:szCs w:val="18"/>
                  <w:color w:val="0000EE"/>
                  <w:w w:val="90"/>
                </w:rPr>
                <w:t>Compensation of our executive officers and directors</w:t>
              </w:r>
            </w:hyperlink>
          </w:p>
        </w:tc>
        <w:tc>
          <w:tcPr>
            <w:tcW w:w="5040" w:type="dxa"/>
            <w:vAlign w:val="bottom"/>
            <w:gridSpan w:val="3"/>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04"/>
        </w:trPr>
        <w:tc>
          <w:tcPr>
            <w:tcW w:w="8880" w:type="dxa"/>
            <w:vAlign w:val="bottom"/>
            <w:gridSpan w:val="22"/>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Certain relationships and related-person transactions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04"/>
        </w:trPr>
        <w:tc>
          <w:tcPr>
            <w:tcW w:w="16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140">
              <w:r>
                <w:rPr>
                  <w:rFonts w:ascii="Arial" w:cs="Arial" w:eastAsia="Arial" w:hAnsi="Arial"/>
                  <w:sz w:val="18"/>
                  <w:szCs w:val="18"/>
                  <w:color w:val="0000EE"/>
                  <w:w w:val="91"/>
                </w:rPr>
                <w:t>Principal stockholders</w:t>
              </w:r>
            </w:hyperlink>
          </w:p>
        </w:tc>
        <w:tc>
          <w:tcPr>
            <w:tcW w:w="2160" w:type="dxa"/>
            <w:vAlign w:val="bottom"/>
            <w:tcBorders>
              <w:top w:val="single" w:sz="8" w:color="0000EE"/>
            </w:tcBorders>
            <w:gridSpan w:val="9"/>
          </w:tcPr>
          <w:p>
            <w:pPr>
              <w:spacing w:after="0"/>
              <w:rPr>
                <w:sz w:val="24"/>
                <w:szCs w:val="24"/>
                <w:color w:val="auto"/>
              </w:rPr>
            </w:pPr>
          </w:p>
        </w:tc>
        <w:tc>
          <w:tcPr>
            <w:tcW w:w="5100" w:type="dxa"/>
            <w:vAlign w:val="bottom"/>
            <w:gridSpan w:val="4"/>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04"/>
        </w:trPr>
        <w:tc>
          <w:tcPr>
            <w:tcW w:w="200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142">
              <w:r>
                <w:rPr>
                  <w:rFonts w:ascii="Arial" w:cs="Arial" w:eastAsia="Arial" w:hAnsi="Arial"/>
                  <w:sz w:val="18"/>
                  <w:szCs w:val="18"/>
                  <w:color w:val="0000EE"/>
                  <w:w w:val="92"/>
                </w:rPr>
                <w:t>Description of capital stock</w:t>
              </w:r>
            </w:hyperlink>
          </w:p>
        </w:tc>
        <w:tc>
          <w:tcPr>
            <w:tcW w:w="6880" w:type="dxa"/>
            <w:vAlign w:val="bottom"/>
            <w:gridSpan w:val="11"/>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04"/>
        </w:trPr>
        <w:tc>
          <w:tcPr>
            <w:tcW w:w="8880" w:type="dxa"/>
            <w:vAlign w:val="bottom"/>
            <w:gridSpan w:val="22"/>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Shares eligible for future sale</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48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50">
              <w:r>
                <w:rPr>
                  <w:rFonts w:ascii="Arial" w:cs="Arial" w:eastAsia="Arial" w:hAnsi="Arial"/>
                  <w:sz w:val="18"/>
                  <w:szCs w:val="18"/>
                  <w:color w:val="0000EE"/>
                  <w:w w:val="90"/>
                </w:rPr>
                <w:t>Material U.S. federal income tax consequences to non-U.S. holders</w:t>
              </w:r>
            </w:hyperlink>
          </w:p>
        </w:tc>
        <w:tc>
          <w:tcPr>
            <w:tcW w:w="4020" w:type="dxa"/>
            <w:vAlign w:val="bottom"/>
            <w:gridSpan w:val="2"/>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04"/>
        </w:trPr>
        <w:tc>
          <w:tcPr>
            <w:tcW w:w="254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154">
              <w:r>
                <w:rPr>
                  <w:rFonts w:ascii="Arial" w:cs="Arial" w:eastAsia="Arial" w:hAnsi="Arial"/>
                  <w:sz w:val="18"/>
                  <w:szCs w:val="18"/>
                  <w:color w:val="0000EE"/>
                  <w:w w:val="94"/>
                </w:rPr>
                <w:t>Underwriting (conflicts of interest)</w:t>
              </w:r>
            </w:hyperlink>
          </w:p>
        </w:tc>
        <w:tc>
          <w:tcPr>
            <w:tcW w:w="6340" w:type="dxa"/>
            <w:vAlign w:val="bottom"/>
            <w:gridSpan w:val="9"/>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304"/>
        </w:trPr>
        <w:tc>
          <w:tcPr>
            <w:tcW w:w="10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62">
              <w:r>
                <w:rPr>
                  <w:rFonts w:ascii="Arial" w:cs="Arial" w:eastAsia="Arial" w:hAnsi="Arial"/>
                  <w:sz w:val="18"/>
                  <w:szCs w:val="18"/>
                  <w:color w:val="0000EE"/>
                  <w:w w:val="89"/>
                </w:rPr>
                <w:t>Legal matters</w:t>
              </w:r>
            </w:hyperlink>
          </w:p>
        </w:tc>
        <w:tc>
          <w:tcPr>
            <w:tcW w:w="7880" w:type="dxa"/>
            <w:vAlign w:val="bottom"/>
            <w:gridSpan w:val="18"/>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04"/>
        </w:trPr>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162">
              <w:r>
                <w:rPr>
                  <w:rFonts w:ascii="Arial" w:cs="Arial" w:eastAsia="Arial" w:hAnsi="Arial"/>
                  <w:sz w:val="18"/>
                  <w:szCs w:val="18"/>
                  <w:color w:val="0000EE"/>
                  <w:w w:val="91"/>
                </w:rPr>
                <w:t>Experts</w:t>
              </w:r>
            </w:hyperlink>
          </w:p>
        </w:tc>
        <w:tc>
          <w:tcPr>
            <w:tcW w:w="8280" w:type="dxa"/>
            <w:vAlign w:val="bottom"/>
            <w:gridSpan w:val="21"/>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04"/>
        </w:trPr>
        <w:tc>
          <w:tcPr>
            <w:tcW w:w="8880" w:type="dxa"/>
            <w:vAlign w:val="bottom"/>
            <w:gridSpan w:val="22"/>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Where you can find more information</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2740" w:type="dxa"/>
            <w:vAlign w:val="bottom"/>
            <w:gridSpan w:val="1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64">
              <w:r>
                <w:rPr>
                  <w:rFonts w:ascii="Arial" w:cs="Arial" w:eastAsia="Arial" w:hAnsi="Arial"/>
                  <w:sz w:val="18"/>
                  <w:szCs w:val="18"/>
                  <w:color w:val="0000EE"/>
                  <w:w w:val="90"/>
                </w:rPr>
                <w:t>Index to consolidated financial statements</w:t>
              </w:r>
            </w:hyperlink>
          </w:p>
        </w:tc>
        <w:tc>
          <w:tcPr>
            <w:tcW w:w="5840" w:type="dxa"/>
            <w:vAlign w:val="bottom"/>
            <w:gridSpan w:val="6"/>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2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78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This prospectus summary highlights certain information appearing elsewhere in this prospectus. As this is a summary, it does not contain all of the information that you should consider in making an investment decision. You should read the entire prospectus carefully, including the information under “Risk factors,” “Management’s discussion and analysis of financial condition and results of operations” and our consolidated financial statements and the related notes thereto included in this prospectus, before investing. This prospectus includes forward-looking statements that involve risks and uncertainties. See “Information regarding forward-looking statements.” In this prospectus, unless the context otherwise requires, the terms “Solid Biosciences,” “Solid,” “the company,” “we,” “us” and “our” refer, prior to the Corporate Conversion discussed herein, to Solid Biosciences, LLC and its subsidiaries, and after the Corporate Conversion, to Solid Biosciences Inc. and its subsidiaries.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Our mission is to cure Duchenne muscular dystrophy, or DMD, a genetic muscle-wasting disease predominantly affecting boys, with symptoms that usually manifest between three and five years of age. DMD is a progressive, irreversible and ultimately fatal disease that affects approximately one in every 3,500 to 5,000 live male births and has an estimated prevalence of 10,000 to 15,000 cases in the United States alone. DMD is caused by mutations in the dystrophin gene, which result in the absence or near-absence of dystrophin protein. Dystrophin protein works to strengthen muscle fibers and protect them from daily wear and tear. Without functioning dystrophin and certain associated proteins, muscles suffer excessive damage from normal daily activities and are unable to regenerate, leading to the build-up of fibrotic, or scar, and fat tissue. There is no cure for DMD and, for the vast majority of patients, there are no satisfactory symptomatic or disease-modifying treatments. Our lead product candidate, SGT-001, is a gene transfer under development to restore functional dystrophin protein expression in patients’ muscles. Based on our preclinical program that included multiple animal species of different phenotypes and genetic variations, we believe the mechanism of action of SGT-001, if our clinical trials prove to be successful, has the potential to slow or even halt the progression of DMD, regardless of the type of genetic mutation or stage of the disease.</w:t>
      </w:r>
    </w:p>
    <w:p>
      <w:pPr>
        <w:spacing w:after="0" w:line="169"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SGT-001 has been granted Rare Pediatric Disease Designation, or RPDD, in the United States and Orphan Drug Designations in both the United States and European Union. The safety and efficacy of SGT-001 are currently being evaluated in a Phase I/II clinical trial.</w:t>
      </w:r>
    </w:p>
    <w:p>
      <w:pPr>
        <w:spacing w:after="0" w:line="14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Our founders, who are personally touched by the disease, created a biotechnology company purpose-built to accelerate the discovery and development of meaningful therapies for all patients affected by DMD. Through this disease-focused business model, our research team, led by experts in DMD biology and drug development, along with key opinion leaders in DMD, continuously evaluate emerging science to identify high-potential product candidates. Our selection process includes extensive diligence and initial pharmacology research with highly specific, predefined criteria, which provide us with confidence in our development program decisions. Through this data-driven selection process, we have evaluated a number of programs and identified gene therapy as a potentially beneficial approach for DMD, and thus initiated development of our lead product candidate SGT-001. We will continue to apply this rigorous approach and reject the majority of the candidates we evaluate in our effort to develop only programs that we believe have the greatest likelihood of becoming therapies for DMD patients.</w:t>
      </w:r>
    </w:p>
    <w:p>
      <w:pPr>
        <w:spacing w:after="0" w:line="17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SGT-001 is a gene transfer candidate designed to address the underlying genetic cause of DMD by delivering a synthetic transgene that produces dystrophin-like protein that is only expressed in muscles of the body, including cardiac and respiratory muscles. The transgene is delivered via an adeno-associated virus, or AAV, vector, which also contains a muscle-specific promoter. Our vector is a modified version of an AAV, a naturally occurring, non-pathogenic virus selected for its ability to efficiently enter skeletal, diaphragm and cardiac muscle tissues. The vector will carry a synthetic dystrophin transgene construct, called microdystrophin,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055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0552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that retains the most critical components of the full-size dystrophin gene yet is small enough to fit within AAV packaging constraints. SGT-001 is designed to drive microdystrophin protein expression in affected muscles throughout the body. We have studied the efficacy, safety and durability of SGT-001 in multiple preclinical models and its functional benefits in DMD animal studies. In contrast to other therapeutic approaches that are designed to target specific mutations in the dystrophin gene, we believe SGT-001 is a mutation agnostic approach.</w:t>
      </w:r>
    </w:p>
    <w:p>
      <w:pPr>
        <w:spacing w:after="0" w:line="17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the fourth quarter of 2017, we announced the initiation of a randomized, controlled, open-label, single-ascending dose Phase I/II clinical study, called IGNITE DMD, designed to evaluate SGT-001 in ambulatory and non-ambulatory males with DMD aged four to 17 years. The primary objectives of the study are to assess the safety and tolerability of SGT-001, as well as efficacy as defined by microdystrophin protein expression. The study will also assess muscle function and mass, respiratory and cardiovascular function, serum and muscle biomarkers associated with microdystrophin production, patient reported outcomes and quality of life measures, among other endpoints. The study will enroll approximately 16 to 32 patients with DMD, who will be randomly assigned to either an active treatment group or a delayed-treatment control group. Initially, adolescents aged 12 to 17 years will receive treatment, and at a later stage of the study, children aged four to 11 years will be dosed. Efficacy will be assessed by comparing microdystrophin protein expression in muscle biopsy before treatment and 12 months after treatment for each patient. Participants in the control group who continue to meet inclusion criteria and not meet exclusion criteria will receive active treatment after 12 months. Based on results from this study, we will evaluate the need for future clinical trials that may include other patient populations, as well as the need for larger confirmatory clinical trials. If approved, we intend to commercialize SGT-001 in the United States and European Union, and we may enter into licensing agreements or strategic collaborations to commercialize the product candidate in other markets.</w:t>
      </w:r>
    </w:p>
    <w:p>
      <w:pPr>
        <w:spacing w:after="0" w:line="180"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Taking into account the prevalence and incidence of DMD and the anticipated dosing requirements for gene transfer, we anticipate that there will be a need for a substantial supply of SGT-001 for clinical trials and, if approved, for commercial markets. Through significant targeted investments to address this challenge, we believe we have generated sufficient drug product supply to initiate our first clinical trial. We continue to develop our manufacturing process to meet future clinical and commercial production needs for SGT-001.</w:t>
      </w:r>
    </w:p>
    <w:p>
      <w:pPr>
        <w:spacing w:after="0" w:line="17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While we believe DMD disease progression can be slowed or halted by gene transfer, many patients will still suffer from the manifestations of the disease, such as tissue damage to their muscles, inflammation, cardiac dysfunction and fibrosis. As part of our disease-focused business model, we are also building a portfolio of complementary disease-modifying therapies to address these manifestations. Our portfolio currently includes a preclinical biologic candidate, SB-001, a monoclonal antibody designed to reduce fibrosis and inflammation, as well as a number of emerging and complementary programs. We intend to commence preclinical studies for SB-001 in 2018.</w:t>
      </w:r>
    </w:p>
    <w:p>
      <w:pPr>
        <w:spacing w:after="0" w:line="173"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In addition to developing our pipeline of product candidates</w:t>
      </w:r>
      <w:r>
        <w:rPr>
          <w:rFonts w:ascii="Arial" w:cs="Arial" w:eastAsia="Arial" w:hAnsi="Arial"/>
          <w:sz w:val="17"/>
          <w:szCs w:val="17"/>
          <w:i w:val="1"/>
          <w:iCs w:val="1"/>
          <w:color w:val="auto"/>
        </w:rPr>
        <w:t>,</w:t>
      </w:r>
      <w:r>
        <w:rPr>
          <w:rFonts w:ascii="Arial" w:cs="Arial" w:eastAsia="Arial" w:hAnsi="Arial"/>
          <w:sz w:val="17"/>
          <w:szCs w:val="17"/>
          <w:color w:val="auto"/>
        </w:rPr>
        <w:t xml:space="preserve"> we believe it is critical to invest time and resources in tools and technologies designed to help us more effectively understand DMD, accurately monitor disease progression and assist patients in daily life. As part of this goal, we are developing biomarkers and sensors that may allow us to identify treatment targets faster, measure the therapeutic impact of potential product candidates better and reach decision points earlier. In addition, through our Solid Suit program, we are developing a line of soft, wearable assistive devices with the goal of providing functional and therapeutic benefits to DMD patients.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7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6376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seek to protect our proprietary and intellectual property position through a combination of patents, trade secret laws, proprietary know-how, continuing technological innovation, and entering into non-disclosure, confidentiality and invention assignment agreements. We have exclusively licensed three issued U.S. patents, one pending U.S. non-provisional patent application, and seven issued patents and eleven pending patent applications in foreign jurisdictions. We have filed two pending U.S. provisional patent applications. We intend to continue building out our intellectual property protection to further strengthen our position in the DMD field.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Solid Biosciences was founded in 2013 by our Chief Executive Officer, Ilan Ganot, our Chairman of the Board, Andrey Zarur, and our President, Gilad Hayeem, with the goal of developing meaningful therapies for patients with DMD. Solid is the English translation of Eytani, the Hebrew name of Ilan and Annie Ganot’s son, who was diagnosed with the disease in 2012. Our founders, unsatisfied with the existing therapeutic landscape, proceeded to raise funds to execute on our disease-focused business model. We assembled a passionate management team and scientific advisory board composed of individuals with extensive experience in DMD, gene therapy, product discovery, research and development, manufacturing, business strategy and finance.</w:t>
      </w:r>
    </w:p>
    <w:p>
      <w:pPr>
        <w:spacing w:after="0" w:line="19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2015, we began exclusively licensing the elements of the construct for SGT-001 and other elements of our gene transfer program from the University of Michigan, the University of Missouri and the University of Washington. Since then, we have continued to use our extensive network across the academic, business and patient communities to identify, vet and pursue high-potential complementary product candidates to address the needs of DMD patients.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Since our inception, we have raised private capital from a group of investors, including entities affiliated with Bain Capital Life Sciences, Biogen, JPMC Strategic Investments II Corporation, Perceptive Advisors and RA Capital, along with several additional corporate and private investors. In addition, three leading U.K.-based DMD charities provided initial seed funding for our gene transfer program in return for equity in our company. We continue to work closely with the patient advocacy community and have accepted additional contributions from several DMD charities to fund our early-stage research programs.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967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69678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Mission</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mission, which guides every aspect of our operations, is to cure DMD. Underscoring this mission, our disease-focused business model is founded on the following fundamental values:</w:t>
      </w:r>
    </w:p>
    <w:p>
      <w:pPr>
        <w:spacing w:after="0" w:line="76"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develop meaningful therapies for all patients with DMD;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bring together the leading experts in DMD science, technology, disease management and care;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guided by the needs of DMD patients.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Guided by our mission, we set out to create a company that understands DMD and develops therapies that are intended to provide meaningful benefits to DMD patients. We believe we are well positioned to execute on our mission based on the following competitive strengths:</w:t>
      </w:r>
    </w:p>
    <w:p>
      <w:pPr>
        <w:spacing w:after="0" w:line="29" w:lineRule="exact"/>
        <w:rPr>
          <w:sz w:val="20"/>
          <w:szCs w:val="20"/>
          <w:color w:val="auto"/>
        </w:rPr>
      </w:pPr>
    </w:p>
    <w:p>
      <w:pPr>
        <w:ind w:left="1060" w:right="12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Singular focus on DMD. </w:t>
      </w:r>
      <w:r>
        <w:rPr>
          <w:rFonts w:ascii="Arial" w:cs="Arial" w:eastAsia="Arial" w:hAnsi="Arial"/>
          <w:sz w:val="18"/>
          <w:szCs w:val="18"/>
          <w:color w:val="auto"/>
        </w:rPr>
        <w:t>We are singularly focused on meeting the diverse needs of all DMD patients, regardless of their genetic mutation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disease stage.</w:t>
      </w:r>
    </w:p>
    <w:p>
      <w:pPr>
        <w:spacing w:after="0" w:line="71" w:lineRule="exact"/>
        <w:rPr>
          <w:rFonts w:ascii="Arial" w:cs="Arial" w:eastAsia="Arial" w:hAnsi="Arial"/>
          <w:sz w:val="18"/>
          <w:szCs w:val="18"/>
          <w:color w:val="auto"/>
        </w:rPr>
      </w:pPr>
    </w:p>
    <w:p>
      <w:pPr>
        <w:ind w:left="1060" w:right="660" w:hanging="323"/>
        <w:spacing w:after="0" w:line="313"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Deep understanding of the impact of the disease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founded by people personally touched by DMD, and we have established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meaningful partnerships within the DMD community, which provide us with unique insights into the disease.</w:t>
      </w:r>
    </w:p>
    <w:p>
      <w:pPr>
        <w:spacing w:after="0" w:line="47" w:lineRule="exact"/>
        <w:rPr>
          <w:rFonts w:ascii="Arial" w:cs="Arial" w:eastAsia="Arial" w:hAnsi="Arial"/>
          <w:sz w:val="17"/>
          <w:szCs w:val="17"/>
          <w:color w:val="auto"/>
        </w:rPr>
      </w:pPr>
    </w:p>
    <w:p>
      <w:pPr>
        <w:ind w:left="1060" w:right="52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Rigorous product candidate selection process. </w:t>
      </w:r>
      <w:r>
        <w:rPr>
          <w:rFonts w:ascii="Arial" w:cs="Arial" w:eastAsia="Arial" w:hAnsi="Arial"/>
          <w:sz w:val="18"/>
          <w:szCs w:val="18"/>
          <w:color w:val="auto"/>
        </w:rPr>
        <w:t>We subject each potential product candidate to a highly focused, data-driven selection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 that lies at the core of our business model.</w:t>
      </w:r>
    </w:p>
    <w:p>
      <w:pPr>
        <w:spacing w:after="0" w:line="75" w:lineRule="exact"/>
        <w:rPr>
          <w:rFonts w:ascii="Arial" w:cs="Arial" w:eastAsia="Arial" w:hAnsi="Arial"/>
          <w:sz w:val="18"/>
          <w:szCs w:val="18"/>
          <w:color w:val="auto"/>
        </w:rPr>
      </w:pPr>
    </w:p>
    <w:p>
      <w:pPr>
        <w:ind w:left="1060" w:right="24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experienced management team focused on DMD. </w:t>
      </w:r>
      <w:r>
        <w:rPr>
          <w:rFonts w:ascii="Arial" w:cs="Arial" w:eastAsia="Arial" w:hAnsi="Arial"/>
          <w:sz w:val="18"/>
          <w:szCs w:val="18"/>
          <w:color w:val="auto"/>
        </w:rPr>
        <w:t>Our management team has extensive expertise in DMD, gene therapy,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discovery, research and development, manufacturing, business strategy and finance.</w:t>
      </w:r>
    </w:p>
    <w:p>
      <w:pPr>
        <w:spacing w:after="0" w:line="75" w:lineRule="exact"/>
        <w:rPr>
          <w:rFonts w:ascii="Arial" w:cs="Arial" w:eastAsia="Arial" w:hAnsi="Arial"/>
          <w:sz w:val="18"/>
          <w:szCs w:val="18"/>
          <w:color w:val="auto"/>
        </w:rPr>
      </w:pPr>
    </w:p>
    <w:p>
      <w:pPr>
        <w:ind w:left="1060" w:right="40" w:hanging="323"/>
        <w:spacing w:after="0" w:line="308"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Network of world-renowned experts advising our development efforts. </w:t>
      </w:r>
      <w:r>
        <w:rPr>
          <w:rFonts w:ascii="Arial" w:cs="Arial" w:eastAsia="Arial" w:hAnsi="Arial"/>
          <w:sz w:val="17"/>
          <w:szCs w:val="17"/>
          <w:color w:val="auto"/>
        </w:rPr>
        <w:t>We have assembled a scientific advisory board and a broad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world’s leading experts in DMD, gene therapy, biologics manufacturing, immunology and clinical development.</w:t>
      </w:r>
    </w:p>
    <w:p>
      <w:pPr>
        <w:spacing w:after="0" w:line="51"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Foundational work in scalable manufacturing processes. </w:t>
      </w:r>
      <w:r>
        <w:rPr>
          <w:rFonts w:ascii="Arial" w:cs="Arial" w:eastAsia="Arial" w:hAnsi="Arial"/>
          <w:sz w:val="18"/>
          <w:szCs w:val="18"/>
          <w:color w:val="auto"/>
        </w:rPr>
        <w:t>We are working to develop a scalable manufacturing process to meet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and commercial production needs for SGT-001.</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strategic priorities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disease-focused business model is purpose-built to identify and accelerate the discovery and development of multiple product candidates. Key elements of our strategy include the following:</w:t>
      </w:r>
    </w:p>
    <w:p>
      <w:pPr>
        <w:spacing w:after="0" w:line="76"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Rapidly advance SGT-001 through clinical trials and deliver it to patients;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advance SB-001 and emerging and complementary programs through preclinical development;</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build our product pipeline with high-potential product candidates for DMD;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scale our manufacturing process to meet clinical and commercial needs;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tools to accelerate the discovery and development of therapies for DMD;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 with the DMD community to inform our programs.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connection with the unit purchase agreement, originally entered into on March 29, 2017 and as amended, or the Senior Preferred Unit Purchase Agreement, pursuant to which we previously sold $25.0 million of Series 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47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6470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Senior Preferred Units to certain investors, we achieved certain preclinical milestones that required the holders of our Series 1 Senior Preferred Units to purchase Series 2 Senior Preferred Units. On October 26, 2017, we closed this second round of financing under the Senior Preferred Unit Purchase Agreement raising net proceeds of $55.0 million. We refer to this sale of the Series 2 Senior Preferred Units as our Series 2 Senior Preferred Financing in this prospectus. See “Certain Relationship and Related-Person Transactions—Equity Financings.”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risks described in “Risk factors” before making a decision to invest in our common stock. If any of these risks actually occurs, our business, financial condition, results of operations and prospects would likely be materially adversely affected. In that event, the trading price of our common stock could decline, and you could lose part or all of your investment. Below is a summary of some of the principal risks we face:</w:t>
      </w:r>
    </w:p>
    <w:p>
      <w:pPr>
        <w:spacing w:after="0" w:line="92" w:lineRule="exact"/>
        <w:rPr>
          <w:sz w:val="20"/>
          <w:szCs w:val="20"/>
          <w:color w:val="auto"/>
        </w:rPr>
      </w:pPr>
    </w:p>
    <w:p>
      <w:pPr>
        <w:ind w:left="1060" w:right="8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net losses since inception and anticipate that we will continue to incur net losses for the foreseeable future and may never achieve or maintain profitability.</w:t>
      </w:r>
    </w:p>
    <w:p>
      <w:pPr>
        <w:spacing w:after="0" w:line="75" w:lineRule="exact"/>
        <w:rPr>
          <w:rFonts w:ascii="Arial" w:cs="Arial" w:eastAsia="Arial" w:hAnsi="Arial"/>
          <w:sz w:val="18"/>
          <w:szCs w:val="18"/>
          <w:color w:val="auto"/>
        </w:rPr>
      </w:pPr>
    </w:p>
    <w:p>
      <w:pPr>
        <w:jc w:val="both"/>
        <w:ind w:left="1060" w:right="380" w:hanging="323"/>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Even if this offering is successful, we will need additional funding, which may not be available on acceptable terms, or at all. Failure to obtain this necessary capital when needed may force us to delay, limit or terminate our product development efforts or other operations.</w:t>
      </w:r>
    </w:p>
    <w:p>
      <w:pPr>
        <w:spacing w:after="0" w:line="29" w:lineRule="exact"/>
        <w:rPr>
          <w:rFonts w:ascii="Arial" w:cs="Arial" w:eastAsia="Arial" w:hAnsi="Arial"/>
          <w:sz w:val="16"/>
          <w:szCs w:val="16"/>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do not expect to do so for the next several years, if ever.</w:t>
      </w:r>
    </w:p>
    <w:p>
      <w:pPr>
        <w:spacing w:after="0" w:line="130"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SGT-001 is a gene transfer candidate based on a novel technology, which makes it difficult to predict the time and cost of development and of subsequently obtaining regulatory approval.</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 in preclinical studies may not be indicative of results obtained in later trials.</w:t>
      </w:r>
    </w:p>
    <w:p>
      <w:pPr>
        <w:spacing w:after="0" w:line="130" w:lineRule="exact"/>
        <w:rPr>
          <w:rFonts w:ascii="Arial" w:cs="Arial" w:eastAsia="Arial" w:hAnsi="Arial"/>
          <w:sz w:val="18"/>
          <w:szCs w:val="18"/>
          <w:color w:val="auto"/>
        </w:rPr>
      </w:pPr>
    </w:p>
    <w:p>
      <w:pPr>
        <w:ind w:left="1060" w:right="600" w:hanging="323"/>
        <w:spacing w:after="0" w:line="308"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we complete the necessary clinical trials, we cannot predict when, or if, we will obtain regulatory approval to commercialize SGT-001 or our other product candidates and the approval may be for a more narrow indication than we seek.</w:t>
      </w:r>
    </w:p>
    <w:p>
      <w:pPr>
        <w:spacing w:after="0" w:line="51" w:lineRule="exact"/>
        <w:rPr>
          <w:rFonts w:ascii="Arial" w:cs="Arial" w:eastAsia="Arial" w:hAnsi="Arial"/>
          <w:sz w:val="17"/>
          <w:szCs w:val="17"/>
          <w:color w:val="auto"/>
        </w:rPr>
      </w:pPr>
    </w:p>
    <w:p>
      <w:pPr>
        <w:ind w:left="106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we obtain and maintain approval for SGT-001 or our other product candidates from the U.S. Food and Drug Administration, or the FDA, we may never obtain approval for our product candidates outside of the United States, which would limit our market opportunities and adversely affect our business.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w:t>
      </w:r>
    </w:p>
    <w:p>
      <w:pPr>
        <w:spacing w:after="0" w:line="130" w:lineRule="exact"/>
        <w:rPr>
          <w:rFonts w:ascii="Arial" w:cs="Arial" w:eastAsia="Arial" w:hAnsi="Arial"/>
          <w:sz w:val="18"/>
          <w:szCs w:val="18"/>
          <w:color w:val="auto"/>
        </w:rPr>
      </w:pPr>
    </w:p>
    <w:p>
      <w:pPr>
        <w:ind w:left="1060" w:right="30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limited gene transfer manufacturing experience and could experience production problems and delays in obtaining regulatory approval of our manufacturing processes, which could result in delays in the development or commercialization of SGT-001 or our other product candidates.</w:t>
      </w:r>
    </w:p>
    <w:p>
      <w:pPr>
        <w:spacing w:after="0" w:line="86" w:lineRule="exact"/>
        <w:rPr>
          <w:rFonts w:ascii="Arial" w:cs="Arial" w:eastAsia="Arial" w:hAnsi="Arial"/>
          <w:sz w:val="18"/>
          <w:szCs w:val="18"/>
          <w:color w:val="auto"/>
        </w:rPr>
      </w:pPr>
    </w:p>
    <w:p>
      <w:pPr>
        <w:ind w:left="1060" w:right="10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we intend to establish our own SGT-001 manufacturing facility, we expect to utilize third parties to conduct our product manufacturing for the foreseeable future. Therefore, we are subject to the risk that these third parties may not perform satisfactorily or meet regulatory requirements.</w:t>
      </w:r>
    </w:p>
    <w:p>
      <w:pPr>
        <w:spacing w:after="0" w:line="86"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establish sales, distribution and marketing capabilities or enter into agreements with third parties to market and sell SGT-001 and our other product candidates, we will be unable to generate any product revenue.</w:t>
      </w:r>
    </w:p>
    <w:p>
      <w:pPr>
        <w:spacing w:after="0" w:line="75"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commercial success of SGT-001 and our other product candidates, if approved, will depend upon market acceptance by physicians, patients, third-party payors and others in the medical community.</w:t>
      </w:r>
    </w:p>
    <w:p>
      <w:pPr>
        <w:spacing w:after="0" w:line="75" w:lineRule="exact"/>
        <w:rPr>
          <w:rFonts w:ascii="Arial" w:cs="Arial" w:eastAsia="Arial" w:hAnsi="Arial"/>
          <w:sz w:val="18"/>
          <w:szCs w:val="18"/>
          <w:color w:val="auto"/>
        </w:rPr>
      </w:pPr>
    </w:p>
    <w:p>
      <w:pPr>
        <w:ind w:left="1060" w:right="40" w:hanging="323"/>
        <w:spacing w:after="0" w:line="308"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Negative public opinion and increased regulatory scrutiny of gene therapy may damage public perception of the safety of our SGT-001 gene transfer product candidate and adversely affect our ability to conduct our business or obtain regulatory approvals for SGT-001.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217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6221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rely heavily on our license agreements for rights to intellectual property granted to us by others to develop and commercialize SGT-001.</w:t>
      </w:r>
    </w:p>
    <w:p>
      <w:pPr>
        <w:spacing w:after="0" w:line="153" w:lineRule="exact"/>
        <w:rPr>
          <w:rFonts w:ascii="Arial" w:cs="Arial" w:eastAsia="Arial" w:hAnsi="Arial"/>
          <w:sz w:val="16"/>
          <w:szCs w:val="16"/>
          <w:color w:val="auto"/>
        </w:rPr>
      </w:pPr>
    </w:p>
    <w:p>
      <w:pPr>
        <w:ind w:left="1060" w:right="240" w:hanging="323"/>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86" w:lineRule="exact"/>
        <w:rPr>
          <w:rFonts w:ascii="Arial" w:cs="Arial" w:eastAsia="Arial" w:hAnsi="Arial"/>
          <w:sz w:val="18"/>
          <w:szCs w:val="18"/>
          <w:color w:val="auto"/>
        </w:rPr>
      </w:pPr>
    </w:p>
    <w:p>
      <w:pPr>
        <w:ind w:left="1060" w:right="40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conduct our business without infringing or otherwise violating any intellectual property rights of any third party, our ability to successfully commercialize our product candidates may be adversely affected.</w:t>
      </w:r>
    </w:p>
    <w:p>
      <w:pPr>
        <w:spacing w:after="0" w:line="75" w:lineRule="exact"/>
        <w:rPr>
          <w:rFonts w:ascii="Arial" w:cs="Arial" w:eastAsia="Arial" w:hAnsi="Arial"/>
          <w:sz w:val="18"/>
          <w:szCs w:val="18"/>
          <w:color w:val="auto"/>
        </w:rPr>
      </w:pPr>
    </w:p>
    <w:p>
      <w:pPr>
        <w:ind w:left="1060" w:right="560" w:hanging="323"/>
        <w:spacing w:after="0" w:line="286"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1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inclusion of only two years, as compared to three years, of audited financial statements in addition to any required unaudited interim financial statements with correspondingly reduced “Management’s discussion and analysis of financial condition and results of operations” disclosure;</w:t>
      </w:r>
    </w:p>
    <w:p>
      <w:pPr>
        <w:spacing w:after="0" w:line="86" w:lineRule="exact"/>
        <w:rPr>
          <w:rFonts w:ascii="Arial" w:cs="Arial" w:eastAsia="Arial" w:hAnsi="Arial"/>
          <w:sz w:val="18"/>
          <w:szCs w:val="18"/>
          <w:color w:val="auto"/>
        </w:rPr>
      </w:pPr>
    </w:p>
    <w:p>
      <w:pPr>
        <w:ind w:left="1060" w:right="48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or the Sarbanes-Oxley Act;</w:t>
      </w:r>
    </w:p>
    <w:p>
      <w:pPr>
        <w:spacing w:after="0" w:line="75" w:lineRule="exact"/>
        <w:rPr>
          <w:rFonts w:ascii="Arial" w:cs="Arial" w:eastAsia="Arial" w:hAnsi="Arial"/>
          <w:sz w:val="18"/>
          <w:szCs w:val="18"/>
          <w:color w:val="auto"/>
        </w:rPr>
      </w:pPr>
    </w:p>
    <w:p>
      <w:pPr>
        <w:ind w:left="1060" w:right="74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requiring mandatory audit firm rotation;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take advantage of these provisions until we are no longer an emerging growth company. We will remain an emerging growth company until the earliest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have taken advantage of the reduced reporting requirements in this prospectus. Accordingly, the information contained herein may be different from the information you receive from other public companies that are not emerging growth companies.</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5171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5171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were originally formed as SOLID Ventures Management, LLC in March 2013 as a Delaware limited liability company. We changed our name in June 2015 to Solid Biosciences, LLC. Prior to the effectiveness of the registration statement of which this prospectus forms a part, we will convert into a Delaware corporation pursuant to a statutory conversion and be renamed Solid Biosciences Inc. In addition, entities affiliated with certain of our unitholders will be merged with and into us. See “Corporate conversion.”</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principal executive offices are located at 161 First Street, Third Floor, Cambridge, MA 02142. Our main telephone number is (617) 337-4680. Our internet website is www.solidbio.com. The information contained in, or that can be accessed through, our website is not incorporated by reference and is not a part of this 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 notice</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 xml:space="preserve">We have registered trademarks with the U.S. Patent and Trademark Office, or USPTO, for the marks “SOLID BIOSCIENCES”, “SOLID GT” and “SOLID”. All other trademarks, service marks and trade names in this prospectus are the property of their respective owners. We have omitted the </w:t>
      </w:r>
      <w:r>
        <w:rPr>
          <w:rFonts w:ascii="Arial" w:cs="Arial" w:eastAsia="Arial" w:hAnsi="Arial"/>
          <w:sz w:val="15"/>
          <w:szCs w:val="15"/>
          <w:color w:val="auto"/>
        </w:rPr>
        <w:t>®</w:t>
      </w:r>
      <w:r>
        <w:rPr>
          <w:rFonts w:ascii="Arial" w:cs="Arial" w:eastAsia="Arial" w:hAnsi="Arial"/>
          <w:sz w:val="18"/>
          <w:szCs w:val="18"/>
          <w:color w:val="auto"/>
        </w:rPr>
        <w:t xml:space="preserve"> and ™ designations, as applicable, for the trademarks used in this prospectus.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331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5560" w:type="dxa"/>
            <w:vAlign w:val="bottom"/>
            <w:gridSpan w:val="2"/>
          </w:tcPr>
          <w:p>
            <w:pPr>
              <w:ind w:left="880"/>
              <w:spacing w:after="0"/>
              <w:rPr>
                <w:sz w:val="20"/>
                <w:szCs w:val="20"/>
                <w:color w:val="auto"/>
              </w:rPr>
            </w:pPr>
            <w:r>
              <w:rPr>
                <w:rFonts w:ascii="Arial" w:cs="Arial" w:eastAsia="Arial" w:hAnsi="Arial"/>
                <w:sz w:val="18"/>
                <w:szCs w:val="18"/>
                <w:b w:val="1"/>
                <w:bCs w:val="1"/>
                <w:color w:val="auto"/>
              </w:rPr>
              <w:t>THE OFFERING</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1820" w:type="dxa"/>
            <w:vAlign w:val="bottom"/>
          </w:tcPr>
          <w:p>
            <w:pPr>
              <w:ind w:left="820"/>
              <w:spacing w:after="0"/>
              <w:rPr>
                <w:sz w:val="20"/>
                <w:szCs w:val="20"/>
                <w:color w:val="auto"/>
              </w:rPr>
            </w:pPr>
            <w:r>
              <w:rPr>
                <w:rFonts w:ascii="Arial" w:cs="Arial" w:eastAsia="Arial" w:hAnsi="Arial"/>
                <w:sz w:val="18"/>
                <w:szCs w:val="18"/>
                <w:color w:val="auto"/>
              </w:rPr>
              <w:t>shares</w:t>
            </w:r>
          </w:p>
        </w:tc>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73"/>
        </w:trPr>
        <w:tc>
          <w:tcPr>
            <w:tcW w:w="3940" w:type="dxa"/>
            <w:vAlign w:val="bottom"/>
          </w:tcPr>
          <w:p>
            <w:pPr>
              <w:spacing w:after="0"/>
              <w:rPr>
                <w:sz w:val="20"/>
                <w:szCs w:val="20"/>
                <w:color w:val="auto"/>
              </w:rPr>
            </w:pPr>
            <w:r>
              <w:rPr>
                <w:rFonts w:ascii="Arial" w:cs="Arial" w:eastAsia="Arial" w:hAnsi="Arial"/>
                <w:sz w:val="18"/>
                <w:szCs w:val="18"/>
                <w:color w:val="auto"/>
                <w:w w:val="97"/>
              </w:rPr>
              <w:t>Common stock to be outstanding after this offering</w:t>
            </w:r>
          </w:p>
        </w:tc>
        <w:tc>
          <w:tcPr>
            <w:tcW w:w="1820" w:type="dxa"/>
            <w:vAlign w:val="bottom"/>
          </w:tcPr>
          <w:p>
            <w:pPr>
              <w:ind w:left="820"/>
              <w:spacing w:after="0"/>
              <w:rPr>
                <w:sz w:val="20"/>
                <w:szCs w:val="20"/>
                <w:color w:val="auto"/>
              </w:rPr>
            </w:pPr>
            <w:r>
              <w:rPr>
                <w:rFonts w:ascii="Arial" w:cs="Arial" w:eastAsia="Arial" w:hAnsi="Arial"/>
                <w:sz w:val="18"/>
                <w:szCs w:val="18"/>
                <w:color w:val="auto"/>
              </w:rPr>
              <w:t>shares</w:t>
            </w:r>
          </w:p>
        </w:tc>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58"/>
        </w:trPr>
        <w:tc>
          <w:tcPr>
            <w:tcW w:w="394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5560" w:type="dxa"/>
            <w:vAlign w:val="bottom"/>
            <w:gridSpan w:val="2"/>
          </w:tcPr>
          <w:p>
            <w:pPr>
              <w:ind w:left="240"/>
              <w:spacing w:after="0"/>
              <w:rPr>
                <w:sz w:val="20"/>
                <w:szCs w:val="20"/>
                <w:color w:val="auto"/>
              </w:rPr>
            </w:pPr>
            <w:r>
              <w:rPr>
                <w:rFonts w:ascii="Arial" w:cs="Arial" w:eastAsia="Arial" w:hAnsi="Arial"/>
                <w:sz w:val="18"/>
                <w:szCs w:val="18"/>
                <w:color w:val="auto"/>
                <w:w w:val="97"/>
              </w:rPr>
              <w:t>We have granted the underwriters a 30-day option to purchase up to</w:t>
            </w:r>
          </w:p>
        </w:tc>
        <w:tc>
          <w:tcPr>
            <w:tcW w:w="1520" w:type="dxa"/>
            <w:vAlign w:val="bottom"/>
            <w:gridSpan w:val="2"/>
          </w:tcPr>
          <w:p>
            <w:pPr>
              <w:ind w:left="140"/>
              <w:spacing w:after="0"/>
              <w:rPr>
                <w:sz w:val="20"/>
                <w:szCs w:val="20"/>
                <w:color w:val="auto"/>
              </w:rPr>
            </w:pPr>
            <w:r>
              <w:rPr>
                <w:rFonts w:ascii="Arial" w:cs="Arial" w:eastAsia="Arial" w:hAnsi="Arial"/>
                <w:sz w:val="18"/>
                <w:szCs w:val="18"/>
                <w:color w:val="auto"/>
                <w:w w:val="99"/>
              </w:rPr>
              <w:t>additional shares</w:t>
            </w:r>
          </w:p>
        </w:tc>
      </w:tr>
      <w:tr>
        <w:trPr>
          <w:trHeight w:val="230"/>
        </w:trPr>
        <w:tc>
          <w:tcPr>
            <w:tcW w:w="3940" w:type="dxa"/>
            <w:vAlign w:val="bottom"/>
          </w:tcPr>
          <w:p>
            <w:pPr>
              <w:spacing w:after="0"/>
              <w:rPr>
                <w:sz w:val="20"/>
                <w:szCs w:val="20"/>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w w:val="90"/>
              </w:rPr>
              <w:t>of our common stock.</w:t>
            </w:r>
          </w:p>
        </w:tc>
        <w:tc>
          <w:tcPr>
            <w:tcW w:w="3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Use of proceeds</w:t>
            </w:r>
          </w:p>
        </w:tc>
        <w:tc>
          <w:tcPr>
            <w:tcW w:w="5560" w:type="dxa"/>
            <w:vAlign w:val="bottom"/>
            <w:gridSpan w:val="2"/>
          </w:tcPr>
          <w:p>
            <w:pPr>
              <w:ind w:left="240"/>
              <w:spacing w:after="0"/>
              <w:rPr>
                <w:sz w:val="20"/>
                <w:szCs w:val="20"/>
                <w:color w:val="auto"/>
              </w:rPr>
            </w:pPr>
            <w:r>
              <w:rPr>
                <w:rFonts w:ascii="Arial" w:cs="Arial" w:eastAsia="Arial" w:hAnsi="Arial"/>
                <w:sz w:val="18"/>
                <w:szCs w:val="18"/>
                <w:color w:val="auto"/>
                <w:w w:val="93"/>
              </w:rPr>
              <w:t>We expect to receive net proceeds from this offering of approximately $</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million, or</w:t>
            </w:r>
          </w:p>
        </w:tc>
      </w:tr>
      <w:tr>
        <w:trPr>
          <w:trHeight w:val="216"/>
        </w:trPr>
        <w:tc>
          <w:tcPr>
            <w:tcW w:w="3940" w:type="dxa"/>
            <w:vAlign w:val="bottom"/>
          </w:tcPr>
          <w:p>
            <w:pPr>
              <w:spacing w:after="0"/>
              <w:rPr>
                <w:sz w:val="18"/>
                <w:szCs w:val="18"/>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rPr>
              <w:t>approximately $</w:t>
            </w:r>
          </w:p>
        </w:tc>
        <w:tc>
          <w:tcPr>
            <w:tcW w:w="5260" w:type="dxa"/>
            <w:vAlign w:val="bottom"/>
            <w:gridSpan w:val="3"/>
          </w:tcPr>
          <w:p>
            <w:pPr>
              <w:spacing w:after="0"/>
              <w:rPr>
                <w:sz w:val="20"/>
                <w:szCs w:val="20"/>
                <w:color w:val="auto"/>
              </w:rPr>
            </w:pPr>
            <w:r>
              <w:rPr>
                <w:rFonts w:ascii="Arial" w:cs="Arial" w:eastAsia="Arial" w:hAnsi="Arial"/>
                <w:sz w:val="18"/>
                <w:szCs w:val="18"/>
                <w:color w:val="auto"/>
                <w:w w:val="95"/>
              </w:rPr>
              <w:t>million if the underwriters exercise their option to purchase additional</w:t>
            </w:r>
          </w:p>
        </w:tc>
      </w:tr>
      <w:tr>
        <w:trPr>
          <w:trHeight w:val="216"/>
        </w:trPr>
        <w:tc>
          <w:tcPr>
            <w:tcW w:w="394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Arial" w:cs="Arial" w:eastAsia="Arial" w:hAnsi="Arial"/>
                <w:sz w:val="18"/>
                <w:szCs w:val="18"/>
                <w:color w:val="auto"/>
                <w:w w:val="95"/>
              </w:rPr>
              <w:t>shares of our common stock in full, assuming an initial public offering price of $</w:t>
            </w:r>
          </w:p>
        </w:tc>
        <w:tc>
          <w:tcPr>
            <w:tcW w:w="820" w:type="dxa"/>
            <w:vAlign w:val="bottom"/>
          </w:tcPr>
          <w:p>
            <w:pPr>
              <w:ind w:left="200"/>
              <w:spacing w:after="0"/>
              <w:rPr>
                <w:sz w:val="20"/>
                <w:szCs w:val="20"/>
                <w:color w:val="auto"/>
              </w:rPr>
            </w:pPr>
            <w:r>
              <w:rPr>
                <w:rFonts w:ascii="Arial" w:cs="Arial" w:eastAsia="Arial" w:hAnsi="Arial"/>
                <w:sz w:val="18"/>
                <w:szCs w:val="18"/>
                <w:color w:val="auto"/>
              </w:rPr>
              <w:t>per</w:t>
            </w:r>
          </w:p>
        </w:tc>
      </w:tr>
      <w:tr>
        <w:trPr>
          <w:trHeight w:val="216"/>
        </w:trPr>
        <w:tc>
          <w:tcPr>
            <w:tcW w:w="3940" w:type="dxa"/>
            <w:vAlign w:val="bottom"/>
          </w:tcPr>
          <w:p>
            <w:pPr>
              <w:spacing w:after="0"/>
              <w:rPr>
                <w:sz w:val="18"/>
                <w:szCs w:val="18"/>
                <w:color w:val="auto"/>
              </w:rPr>
            </w:pPr>
          </w:p>
        </w:tc>
        <w:tc>
          <w:tcPr>
            <w:tcW w:w="7080" w:type="dxa"/>
            <w:vAlign w:val="bottom"/>
            <w:gridSpan w:val="4"/>
          </w:tcPr>
          <w:p>
            <w:pPr>
              <w:ind w:left="240"/>
              <w:spacing w:after="0"/>
              <w:rPr>
                <w:sz w:val="20"/>
                <w:szCs w:val="20"/>
                <w:color w:val="auto"/>
              </w:rPr>
            </w:pPr>
            <w:r>
              <w:rPr>
                <w:rFonts w:ascii="Arial" w:cs="Arial" w:eastAsia="Arial" w:hAnsi="Arial"/>
                <w:sz w:val="18"/>
                <w:szCs w:val="18"/>
                <w:color w:val="auto"/>
                <w:w w:val="92"/>
              </w:rPr>
              <w:t>share, which is the midpoint of the price range set forth on the cover page of this prospectus,</w:t>
            </w:r>
          </w:p>
        </w:tc>
      </w:tr>
      <w:tr>
        <w:trPr>
          <w:trHeight w:val="216"/>
        </w:trPr>
        <w:tc>
          <w:tcPr>
            <w:tcW w:w="3940" w:type="dxa"/>
            <w:vAlign w:val="bottom"/>
          </w:tcPr>
          <w:p>
            <w:pPr>
              <w:spacing w:after="0"/>
              <w:rPr>
                <w:sz w:val="18"/>
                <w:szCs w:val="18"/>
                <w:color w:val="auto"/>
              </w:rPr>
            </w:pPr>
          </w:p>
        </w:tc>
        <w:tc>
          <w:tcPr>
            <w:tcW w:w="7080" w:type="dxa"/>
            <w:vAlign w:val="bottom"/>
            <w:gridSpan w:val="4"/>
          </w:tcPr>
          <w:p>
            <w:pPr>
              <w:ind w:left="240"/>
              <w:spacing w:after="0"/>
              <w:rPr>
                <w:sz w:val="20"/>
                <w:szCs w:val="20"/>
                <w:color w:val="auto"/>
              </w:rPr>
            </w:pPr>
            <w:r>
              <w:rPr>
                <w:rFonts w:ascii="Arial" w:cs="Arial" w:eastAsia="Arial" w:hAnsi="Arial"/>
                <w:sz w:val="18"/>
                <w:szCs w:val="18"/>
                <w:color w:val="auto"/>
                <w:w w:val="91"/>
              </w:rPr>
              <w:t>after deducting the underwriting discounts and commissions and estimated offering expenses</w:t>
            </w:r>
          </w:p>
        </w:tc>
      </w:tr>
      <w:tr>
        <w:trPr>
          <w:trHeight w:val="230"/>
        </w:trPr>
        <w:tc>
          <w:tcPr>
            <w:tcW w:w="3940" w:type="dxa"/>
            <w:vAlign w:val="bottom"/>
          </w:tcPr>
          <w:p>
            <w:pPr>
              <w:spacing w:after="0"/>
              <w:rPr>
                <w:sz w:val="20"/>
                <w:szCs w:val="20"/>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rPr>
              <w:t>payable by us.</w:t>
            </w:r>
          </w:p>
        </w:tc>
        <w:tc>
          <w:tcPr>
            <w:tcW w:w="3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5"/>
        </w:trPr>
        <w:tc>
          <w:tcPr>
            <w:tcW w:w="3940" w:type="dxa"/>
            <w:vAlign w:val="bottom"/>
          </w:tcPr>
          <w:p>
            <w:pPr>
              <w:spacing w:after="0"/>
              <w:rPr>
                <w:sz w:val="24"/>
                <w:szCs w:val="24"/>
                <w:color w:val="auto"/>
              </w:rPr>
            </w:pPr>
          </w:p>
        </w:tc>
        <w:tc>
          <w:tcPr>
            <w:tcW w:w="7080" w:type="dxa"/>
            <w:vAlign w:val="bottom"/>
            <w:gridSpan w:val="4"/>
          </w:tcPr>
          <w:p>
            <w:pPr>
              <w:ind w:left="240"/>
              <w:spacing w:after="0"/>
              <w:rPr>
                <w:sz w:val="20"/>
                <w:szCs w:val="20"/>
                <w:color w:val="auto"/>
              </w:rPr>
            </w:pPr>
            <w:r>
              <w:rPr>
                <w:rFonts w:ascii="Arial" w:cs="Arial" w:eastAsia="Arial" w:hAnsi="Arial"/>
                <w:sz w:val="18"/>
                <w:szCs w:val="18"/>
                <w:color w:val="auto"/>
                <w:w w:val="90"/>
              </w:rPr>
              <w:t>We intend to use the net proceeds from this offering (including any additional proceeds that we</w:t>
            </w:r>
          </w:p>
        </w:tc>
      </w:tr>
      <w:tr>
        <w:trPr>
          <w:trHeight w:val="216"/>
        </w:trPr>
        <w:tc>
          <w:tcPr>
            <w:tcW w:w="3940" w:type="dxa"/>
            <w:vAlign w:val="bottom"/>
          </w:tcPr>
          <w:p>
            <w:pPr>
              <w:spacing w:after="0"/>
              <w:rPr>
                <w:sz w:val="18"/>
                <w:szCs w:val="18"/>
                <w:color w:val="auto"/>
              </w:rPr>
            </w:pPr>
          </w:p>
        </w:tc>
        <w:tc>
          <w:tcPr>
            <w:tcW w:w="7080" w:type="dxa"/>
            <w:vAlign w:val="bottom"/>
            <w:gridSpan w:val="4"/>
          </w:tcPr>
          <w:p>
            <w:pPr>
              <w:ind w:left="240"/>
              <w:spacing w:after="0"/>
              <w:rPr>
                <w:sz w:val="20"/>
                <w:szCs w:val="20"/>
                <w:color w:val="auto"/>
              </w:rPr>
            </w:pPr>
            <w:r>
              <w:rPr>
                <w:rFonts w:ascii="Arial" w:cs="Arial" w:eastAsia="Arial" w:hAnsi="Arial"/>
                <w:sz w:val="18"/>
                <w:szCs w:val="18"/>
                <w:color w:val="auto"/>
                <w:w w:val="97"/>
              </w:rPr>
              <w:t>may receive if the underwriters exercise their option to purchase additional shares of our</w:t>
            </w:r>
          </w:p>
        </w:tc>
      </w:tr>
      <w:tr>
        <w:trPr>
          <w:trHeight w:val="216"/>
        </w:trPr>
        <w:tc>
          <w:tcPr>
            <w:tcW w:w="394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Arial" w:cs="Arial" w:eastAsia="Arial" w:hAnsi="Arial"/>
                <w:sz w:val="18"/>
                <w:szCs w:val="18"/>
                <w:color w:val="auto"/>
                <w:w w:val="93"/>
              </w:rPr>
              <w:t>common stock), together with our existing cash and cash equivalents, as follows:</w:t>
            </w:r>
          </w:p>
        </w:tc>
        <w:tc>
          <w:tcPr>
            <w:tcW w:w="8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rPr>
              <w:t>approximately $</w:t>
            </w:r>
          </w:p>
        </w:tc>
        <w:tc>
          <w:tcPr>
            <w:tcW w:w="5260" w:type="dxa"/>
            <w:vAlign w:val="bottom"/>
            <w:gridSpan w:val="3"/>
          </w:tcPr>
          <w:p>
            <w:pPr>
              <w:spacing w:after="0"/>
              <w:rPr>
                <w:sz w:val="20"/>
                <w:szCs w:val="20"/>
                <w:color w:val="auto"/>
              </w:rPr>
            </w:pPr>
            <w:r>
              <w:rPr>
                <w:rFonts w:ascii="Arial" w:cs="Arial" w:eastAsia="Arial" w:hAnsi="Arial"/>
                <w:sz w:val="18"/>
                <w:szCs w:val="18"/>
                <w:color w:val="auto"/>
              </w:rPr>
              <w:t>million to fund research and development expenses, including to</w:t>
            </w:r>
          </w:p>
        </w:tc>
      </w:tr>
      <w:tr>
        <w:trPr>
          <w:trHeight w:val="216"/>
        </w:trPr>
        <w:tc>
          <w:tcPr>
            <w:tcW w:w="3940" w:type="dxa"/>
            <w:vAlign w:val="bottom"/>
          </w:tcPr>
          <w:p>
            <w:pPr>
              <w:spacing w:after="0"/>
              <w:rPr>
                <w:sz w:val="18"/>
                <w:szCs w:val="18"/>
                <w:color w:val="auto"/>
              </w:rPr>
            </w:pPr>
          </w:p>
        </w:tc>
        <w:tc>
          <w:tcPr>
            <w:tcW w:w="7080" w:type="dxa"/>
            <w:vAlign w:val="bottom"/>
            <w:gridSpan w:val="4"/>
          </w:tcPr>
          <w:p>
            <w:pPr>
              <w:ind w:left="240"/>
              <w:spacing w:after="0"/>
              <w:rPr>
                <w:sz w:val="20"/>
                <w:szCs w:val="20"/>
                <w:color w:val="auto"/>
              </w:rPr>
            </w:pPr>
            <w:r>
              <w:rPr>
                <w:rFonts w:ascii="Arial" w:cs="Arial" w:eastAsia="Arial" w:hAnsi="Arial"/>
                <w:sz w:val="18"/>
                <w:szCs w:val="18"/>
                <w:color w:val="auto"/>
                <w:w w:val="92"/>
              </w:rPr>
              <w:t>advance SGT-001 through preliminary results from Phase I/II clinical trial activities, which we</w:t>
            </w:r>
          </w:p>
        </w:tc>
      </w:tr>
      <w:tr>
        <w:trPr>
          <w:trHeight w:val="216"/>
        </w:trPr>
        <w:tc>
          <w:tcPr>
            <w:tcW w:w="3940" w:type="dxa"/>
            <w:vAlign w:val="bottom"/>
          </w:tcPr>
          <w:p>
            <w:pPr>
              <w:spacing w:after="0"/>
              <w:rPr>
                <w:sz w:val="18"/>
                <w:szCs w:val="18"/>
                <w:color w:val="auto"/>
              </w:rPr>
            </w:pPr>
          </w:p>
        </w:tc>
        <w:tc>
          <w:tcPr>
            <w:tcW w:w="7080" w:type="dxa"/>
            <w:vAlign w:val="bottom"/>
            <w:gridSpan w:val="4"/>
          </w:tcPr>
          <w:p>
            <w:pPr>
              <w:ind w:left="240"/>
              <w:spacing w:after="0"/>
              <w:rPr>
                <w:sz w:val="20"/>
                <w:szCs w:val="20"/>
                <w:color w:val="auto"/>
              </w:rPr>
            </w:pPr>
            <w:r>
              <w:rPr>
                <w:rFonts w:ascii="Arial" w:cs="Arial" w:eastAsia="Arial" w:hAnsi="Arial"/>
                <w:sz w:val="18"/>
                <w:szCs w:val="18"/>
                <w:color w:val="auto"/>
                <w:w w:val="99"/>
              </w:rPr>
              <w:t>initiated in the fourth quarter of 2017; and the remainder for general and administrative</w:t>
            </w:r>
          </w:p>
        </w:tc>
      </w:tr>
      <w:tr>
        <w:trPr>
          <w:trHeight w:val="230"/>
        </w:trPr>
        <w:tc>
          <w:tcPr>
            <w:tcW w:w="3940" w:type="dxa"/>
            <w:vAlign w:val="bottom"/>
          </w:tcPr>
          <w:p>
            <w:pPr>
              <w:spacing w:after="0"/>
              <w:rPr>
                <w:sz w:val="20"/>
                <w:szCs w:val="20"/>
                <w:color w:val="auto"/>
              </w:rPr>
            </w:pPr>
          </w:p>
        </w:tc>
        <w:tc>
          <w:tcPr>
            <w:tcW w:w="5560" w:type="dxa"/>
            <w:vAlign w:val="bottom"/>
            <w:gridSpan w:val="2"/>
          </w:tcPr>
          <w:p>
            <w:pPr>
              <w:ind w:left="240"/>
              <w:spacing w:after="0"/>
              <w:rPr>
                <w:sz w:val="20"/>
                <w:szCs w:val="20"/>
                <w:color w:val="auto"/>
              </w:rPr>
            </w:pPr>
            <w:r>
              <w:rPr>
                <w:rFonts w:ascii="Arial" w:cs="Arial" w:eastAsia="Arial" w:hAnsi="Arial"/>
                <w:sz w:val="18"/>
                <w:szCs w:val="18"/>
                <w:color w:val="auto"/>
                <w:w w:val="91"/>
              </w:rPr>
              <w:t>expenses and other general corporate purposes. See “Use of proceeds.”</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Proposed NASDAQ symbol</w:t>
            </w:r>
          </w:p>
        </w:tc>
        <w:tc>
          <w:tcPr>
            <w:tcW w:w="7080" w:type="dxa"/>
            <w:vAlign w:val="bottom"/>
            <w:gridSpan w:val="4"/>
          </w:tcPr>
          <w:p>
            <w:pPr>
              <w:ind w:left="240"/>
              <w:spacing w:after="0"/>
              <w:rPr>
                <w:sz w:val="20"/>
                <w:szCs w:val="20"/>
                <w:color w:val="auto"/>
              </w:rPr>
            </w:pPr>
            <w:r>
              <w:rPr>
                <w:rFonts w:ascii="Arial" w:cs="Arial" w:eastAsia="Arial" w:hAnsi="Arial"/>
                <w:sz w:val="18"/>
                <w:szCs w:val="18"/>
                <w:color w:val="auto"/>
                <w:w w:val="93"/>
              </w:rPr>
              <w:t>We have applied to list our common stock on the NASDAQ Global Market under the symbol</w:t>
            </w:r>
          </w:p>
        </w:tc>
      </w:tr>
      <w:tr>
        <w:trPr>
          <w:trHeight w:val="230"/>
        </w:trPr>
        <w:tc>
          <w:tcPr>
            <w:tcW w:w="3940" w:type="dxa"/>
            <w:vAlign w:val="bottom"/>
          </w:tcPr>
          <w:p>
            <w:pPr>
              <w:spacing w:after="0"/>
              <w:rPr>
                <w:sz w:val="20"/>
                <w:szCs w:val="20"/>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rPr>
              <w:t>“SLDB.”</w:t>
            </w:r>
          </w:p>
        </w:tc>
        <w:tc>
          <w:tcPr>
            <w:tcW w:w="3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Risk factors</w:t>
            </w:r>
          </w:p>
        </w:tc>
        <w:tc>
          <w:tcPr>
            <w:tcW w:w="7080" w:type="dxa"/>
            <w:vAlign w:val="bottom"/>
            <w:gridSpan w:val="4"/>
          </w:tcPr>
          <w:p>
            <w:pPr>
              <w:ind w:left="240"/>
              <w:spacing w:after="0"/>
              <w:rPr>
                <w:sz w:val="20"/>
                <w:szCs w:val="20"/>
                <w:color w:val="auto"/>
              </w:rPr>
            </w:pPr>
            <w:r>
              <w:rPr>
                <w:rFonts w:ascii="Arial" w:cs="Arial" w:eastAsia="Arial" w:hAnsi="Arial"/>
                <w:sz w:val="18"/>
                <w:szCs w:val="18"/>
                <w:color w:val="auto"/>
                <w:w w:val="91"/>
              </w:rPr>
              <w:t>Investing in our common stock involves a high degree of risk. See “Risk factors” beginning on</w:t>
            </w:r>
          </w:p>
        </w:tc>
      </w:tr>
      <w:tr>
        <w:trPr>
          <w:trHeight w:val="216"/>
        </w:trPr>
        <w:tc>
          <w:tcPr>
            <w:tcW w:w="3940" w:type="dxa"/>
            <w:vAlign w:val="bottom"/>
          </w:tcPr>
          <w:p>
            <w:pPr>
              <w:spacing w:after="0"/>
              <w:rPr>
                <w:sz w:val="18"/>
                <w:szCs w:val="18"/>
                <w:color w:val="auto"/>
              </w:rPr>
            </w:pPr>
          </w:p>
        </w:tc>
        <w:tc>
          <w:tcPr>
            <w:tcW w:w="7080" w:type="dxa"/>
            <w:vAlign w:val="bottom"/>
            <w:gridSpan w:val="4"/>
          </w:tcPr>
          <w:p>
            <w:pPr>
              <w:ind w:left="240"/>
              <w:spacing w:after="0"/>
              <w:rPr>
                <w:sz w:val="20"/>
                <w:szCs w:val="20"/>
                <w:color w:val="auto"/>
              </w:rPr>
            </w:pPr>
            <w:r>
              <w:rPr>
                <w:rFonts w:ascii="Arial" w:cs="Arial" w:eastAsia="Arial" w:hAnsi="Arial"/>
                <w:sz w:val="18"/>
                <w:szCs w:val="18"/>
                <w:color w:val="auto"/>
                <w:w w:val="95"/>
              </w:rPr>
              <w:t>page 14 of this prospectus for a discussion of factors you should carefully consider before</w:t>
            </w:r>
          </w:p>
        </w:tc>
      </w:tr>
      <w:tr>
        <w:trPr>
          <w:trHeight w:val="230"/>
        </w:trPr>
        <w:tc>
          <w:tcPr>
            <w:tcW w:w="3940" w:type="dxa"/>
            <w:vAlign w:val="bottom"/>
          </w:tcPr>
          <w:p>
            <w:pPr>
              <w:spacing w:after="0"/>
              <w:rPr>
                <w:sz w:val="20"/>
                <w:szCs w:val="20"/>
                <w:color w:val="auto"/>
              </w:rPr>
            </w:pPr>
          </w:p>
        </w:tc>
        <w:tc>
          <w:tcPr>
            <w:tcW w:w="5560" w:type="dxa"/>
            <w:vAlign w:val="bottom"/>
            <w:gridSpan w:val="2"/>
          </w:tcPr>
          <w:p>
            <w:pPr>
              <w:ind w:left="240"/>
              <w:spacing w:after="0"/>
              <w:rPr>
                <w:sz w:val="20"/>
                <w:szCs w:val="20"/>
                <w:color w:val="auto"/>
              </w:rPr>
            </w:pPr>
            <w:r>
              <w:rPr>
                <w:rFonts w:ascii="Arial" w:cs="Arial" w:eastAsia="Arial" w:hAnsi="Arial"/>
                <w:sz w:val="18"/>
                <w:szCs w:val="18"/>
                <w:color w:val="auto"/>
              </w:rPr>
              <w:t>deciding to invest in our common stock.</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Conflicts of interest</w:t>
            </w:r>
          </w:p>
        </w:tc>
        <w:tc>
          <w:tcPr>
            <w:tcW w:w="7080" w:type="dxa"/>
            <w:vAlign w:val="bottom"/>
            <w:gridSpan w:val="4"/>
          </w:tcPr>
          <w:p>
            <w:pPr>
              <w:ind w:left="240"/>
              <w:spacing w:after="0"/>
              <w:rPr>
                <w:sz w:val="20"/>
                <w:szCs w:val="20"/>
                <w:color w:val="auto"/>
              </w:rPr>
            </w:pPr>
            <w:r>
              <w:rPr>
                <w:rFonts w:ascii="Arial" w:cs="Arial" w:eastAsia="Arial" w:hAnsi="Arial"/>
                <w:sz w:val="18"/>
                <w:szCs w:val="18"/>
                <w:color w:val="auto"/>
                <w:w w:val="95"/>
              </w:rPr>
              <w:t>Because an affiliate of J.P. Morgan Securities LLC, an underwriter in this offering, owns in</w:t>
            </w:r>
          </w:p>
        </w:tc>
      </w:tr>
      <w:tr>
        <w:trPr>
          <w:trHeight w:val="216"/>
        </w:trPr>
        <w:tc>
          <w:tcPr>
            <w:tcW w:w="3940" w:type="dxa"/>
            <w:vAlign w:val="bottom"/>
          </w:tcPr>
          <w:p>
            <w:pPr>
              <w:spacing w:after="0"/>
              <w:rPr>
                <w:sz w:val="18"/>
                <w:szCs w:val="18"/>
                <w:color w:val="auto"/>
              </w:rPr>
            </w:pPr>
          </w:p>
        </w:tc>
        <w:tc>
          <w:tcPr>
            <w:tcW w:w="7080" w:type="dxa"/>
            <w:vAlign w:val="bottom"/>
            <w:gridSpan w:val="4"/>
          </w:tcPr>
          <w:p>
            <w:pPr>
              <w:ind w:left="240"/>
              <w:spacing w:after="0"/>
              <w:rPr>
                <w:sz w:val="20"/>
                <w:szCs w:val="20"/>
                <w:color w:val="auto"/>
              </w:rPr>
            </w:pPr>
            <w:r>
              <w:rPr>
                <w:rFonts w:ascii="Arial" w:cs="Arial" w:eastAsia="Arial" w:hAnsi="Arial"/>
                <w:sz w:val="18"/>
                <w:szCs w:val="18"/>
                <w:color w:val="auto"/>
                <w:w w:val="93"/>
              </w:rPr>
              <w:t>excess of 10% of our issued and outstanding equity interests, J.P. Morgan Securities LLC is</w:t>
            </w:r>
          </w:p>
        </w:tc>
      </w:tr>
      <w:tr>
        <w:trPr>
          <w:trHeight w:val="230"/>
        </w:trPr>
        <w:tc>
          <w:tcPr>
            <w:tcW w:w="3940" w:type="dxa"/>
            <w:vAlign w:val="bottom"/>
          </w:tcPr>
          <w:p>
            <w:pPr>
              <w:spacing w:after="0"/>
              <w:rPr>
                <w:sz w:val="20"/>
                <w:szCs w:val="20"/>
                <w:color w:val="auto"/>
              </w:rPr>
            </w:pPr>
          </w:p>
        </w:tc>
        <w:tc>
          <w:tcPr>
            <w:tcW w:w="7080" w:type="dxa"/>
            <w:vAlign w:val="bottom"/>
            <w:gridSpan w:val="4"/>
          </w:tcPr>
          <w:p>
            <w:pPr>
              <w:ind w:left="240"/>
              <w:spacing w:after="0"/>
              <w:rPr>
                <w:sz w:val="20"/>
                <w:szCs w:val="20"/>
                <w:color w:val="auto"/>
              </w:rPr>
            </w:pPr>
            <w:r>
              <w:rPr>
                <w:rFonts w:ascii="Arial" w:cs="Arial" w:eastAsia="Arial" w:hAnsi="Arial"/>
                <w:sz w:val="18"/>
                <w:szCs w:val="18"/>
                <w:color w:val="auto"/>
                <w:w w:val="98"/>
              </w:rPr>
              <w:t>deemed to have a “conflict of interest” within the meaning of Rule 5121 of the Financial</w:t>
            </w:r>
          </w:p>
        </w:tc>
      </w:tr>
    </w:tbl>
    <w:p>
      <w:pPr>
        <w:ind w:left="4380" w:right="460"/>
        <w:spacing w:after="0" w:line="290" w:lineRule="auto"/>
        <w:rPr>
          <w:sz w:val="20"/>
          <w:szCs w:val="20"/>
          <w:color w:val="auto"/>
        </w:rPr>
      </w:pPr>
      <w:r>
        <w:rPr>
          <w:rFonts w:ascii="Arial" w:cs="Arial" w:eastAsia="Arial" w:hAnsi="Arial"/>
          <w:sz w:val="16"/>
          <w:szCs w:val="16"/>
          <w:color w:val="auto"/>
        </w:rPr>
        <w:t>Industry Regulatory Authority, or FINRA. Accordingly, this offering is being made in compliance with the requirements of FINRA Rule 5121. In accordance with this rule, Goldman Sachs &amp; Co. LLC has assumed the responsibilities of acting as a qualified independent underwriter and has participated in due diligence and the preparation of this prospectus and the registration statement of which this prospectus is a part. For more information, please see “Underwriting (conflicts of interest)—Conflicts of interest.”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422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4225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number of shares outstanding after this offering is based on the number of shares of our common stock outstanding as of September 30, 2017, after giving effect to the Series 2 Preferred Financing and the Corporate Conversion, and excludes:</w:t>
      </w:r>
    </w:p>
    <w:p>
      <w:pPr>
        <w:sectPr>
          <w:pgSz w:w="11900" w:h="16838" w:orient="portrait"/>
          <w:cols w:equalWidth="0" w:num="1">
            <w:col w:w="11200"/>
          </w:cols>
          <w:pgMar w:left="240" w:top="459" w:right="459" w:bottom="1440" w:gutter="0" w:footer="0" w:header="0"/>
        </w:sectPr>
      </w:pPr>
    </w:p>
    <w:p>
      <w:pPr>
        <w:spacing w:after="0" w:line="7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80" w:firstLine="540"/>
        <w:spacing w:after="0" w:line="308" w:lineRule="auto"/>
        <w:rPr>
          <w:sz w:val="20"/>
          <w:szCs w:val="20"/>
          <w:color w:val="auto"/>
        </w:rPr>
      </w:pPr>
      <w:r>
        <w:rPr>
          <w:rFonts w:ascii="Arial" w:cs="Arial" w:eastAsia="Arial" w:hAnsi="Arial"/>
          <w:sz w:val="17"/>
          <w:szCs w:val="17"/>
          <w:color w:val="auto"/>
        </w:rPr>
        <w:t>shares of our common stock that will be converted, after giving effect to the Corporate Conversion, from to certain of our employees, including certain of our executive officers, after September 30, 2017; and</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units granted</w:t>
      </w:r>
    </w:p>
    <w:p>
      <w:pPr>
        <w:spacing w:after="0" w:line="369" w:lineRule="exact"/>
        <w:rPr>
          <w:sz w:val="20"/>
          <w:szCs w:val="20"/>
          <w:color w:val="auto"/>
        </w:rPr>
      </w:pPr>
    </w:p>
    <w:p>
      <w:pPr>
        <w:sectPr>
          <w:pgSz w:w="11900" w:h="16838" w:orient="portrait"/>
          <w:cols w:equalWidth="0" w:num="3">
            <w:col w:w="800" w:space="260"/>
            <w:col w:w="8360" w:space="720"/>
            <w:col w:w="1060"/>
          </w:cols>
          <w:pgMar w:left="240" w:top="459" w:right="459" w:bottom="1440" w:gutter="0" w:footer="0" w:header="0"/>
          <w:type w:val="continuous"/>
        </w:sectPr>
      </w:pPr>
    </w:p>
    <w:p>
      <w:pPr>
        <w:ind w:left="1060" w:right="320" w:hanging="323"/>
        <w:spacing w:after="0" w:line="277"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our common stock reserved for issuance under our 2018 Omnibus Incentive Plan, or the 2018 Plan, which we expect to adopt in connection with this offering.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31"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completion of the Corporate Conversion, as a result of which all outstanding units of Solid Biosciences, LLC will be converted</w:t>
      </w:r>
    </w:p>
    <w:p>
      <w:pPr>
        <w:spacing w:after="0" w:line="35" w:lineRule="exact"/>
        <w:rPr>
          <w:sz w:val="20"/>
          <w:szCs w:val="20"/>
          <w:color w:val="auto"/>
        </w:rPr>
      </w:pPr>
    </w:p>
    <w:p>
      <w:pPr>
        <w:ind w:left="1060"/>
        <w:spacing w:after="0"/>
        <w:tabs>
          <w:tab w:leader="none" w:pos="1960" w:val="left"/>
          <w:tab w:leader="none" w:pos="6560" w:val="left"/>
        </w:tabs>
        <w:rPr>
          <w:sz w:val="20"/>
          <w:szCs w:val="20"/>
          <w:color w:val="auto"/>
        </w:rPr>
      </w:pPr>
      <w:r>
        <w:rPr>
          <w:rFonts w:ascii="Arial" w:cs="Arial" w:eastAsia="Arial" w:hAnsi="Arial"/>
          <w:sz w:val="18"/>
          <w:szCs w:val="18"/>
          <w:color w:val="auto"/>
        </w:rPr>
        <w:t>into</w:t>
      </w:r>
      <w:r>
        <w:rPr>
          <w:sz w:val="20"/>
          <w:szCs w:val="20"/>
          <w:color w:val="auto"/>
        </w:rPr>
        <w:tab/>
      </w:r>
      <w:r>
        <w:rPr>
          <w:rFonts w:ascii="Arial" w:cs="Arial" w:eastAsia="Arial" w:hAnsi="Arial"/>
          <w:sz w:val="18"/>
          <w:szCs w:val="18"/>
          <w:color w:val="auto"/>
        </w:rPr>
        <w:t>shares of common stock of Solid Biosciences Inc., on a</w:t>
      </w:r>
      <w:r>
        <w:rPr>
          <w:sz w:val="20"/>
          <w:szCs w:val="20"/>
          <w:color w:val="auto"/>
        </w:rPr>
        <w:tab/>
      </w:r>
      <w:r>
        <w:rPr>
          <w:rFonts w:ascii="Arial" w:cs="Arial" w:eastAsia="Arial" w:hAnsi="Arial"/>
          <w:sz w:val="16"/>
          <w:szCs w:val="16"/>
          <w:color w:val="auto"/>
        </w:rPr>
        <w:t>-for-one basis;</w:t>
      </w:r>
    </w:p>
    <w:p>
      <w:pPr>
        <w:spacing w:after="0" w:line="116"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initial public offering price of $</w:t>
      </w:r>
      <w:r>
        <w:rPr>
          <w:rFonts w:ascii="Arial" w:cs="Arial" w:eastAsia="Arial" w:hAnsi="Arial"/>
          <w:sz w:val="16"/>
          <w:szCs w:val="16"/>
          <w:color w:val="auto"/>
        </w:rPr>
        <w:t>per share, which is the midpoint of the price range set forth on the cover page of this prospectus; and</w:t>
      </w:r>
    </w:p>
    <w:p>
      <w:pPr>
        <w:spacing w:after="0" w:line="131" w:lineRule="exact"/>
        <w:rPr>
          <w:sz w:val="20"/>
          <w:szCs w:val="20"/>
          <w:color w:val="auto"/>
        </w:rPr>
      </w:pPr>
    </w:p>
    <w:p>
      <w:pPr>
        <w:ind w:left="740"/>
        <w:spacing w:after="0"/>
        <w:tabs>
          <w:tab w:leader="none" w:pos="1040" w:val="left"/>
          <w:tab w:leader="none" w:pos="5880" w:val="left"/>
        </w:tabs>
        <w:rPr>
          <w:sz w:val="20"/>
          <w:szCs w:val="20"/>
          <w:color w:val="auto"/>
        </w:rPr>
      </w:pPr>
      <w:r>
        <w:rPr>
          <w:rFonts w:ascii="Arial" w:cs="Arial" w:eastAsia="Arial" w:hAnsi="Arial"/>
          <w:sz w:val="18"/>
          <w:szCs w:val="18"/>
          <w:color w:val="auto"/>
        </w:rPr>
        <w:t>•</w:t>
        <w:tab/>
        <w:t>no exercise by the underwriters of their option to purchase</w:t>
      </w:r>
      <w:r>
        <w:rPr>
          <w:sz w:val="20"/>
          <w:szCs w:val="20"/>
          <w:color w:val="auto"/>
        </w:rPr>
        <w:tab/>
      </w:r>
      <w:r>
        <w:rPr>
          <w:rFonts w:ascii="Arial" w:cs="Arial" w:eastAsia="Arial" w:hAnsi="Arial"/>
          <w:sz w:val="16"/>
          <w:szCs w:val="16"/>
          <w:color w:val="auto"/>
        </w:rPr>
        <w:t>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12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56127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You should read the following summary consolidated financial data together with our consolidated financial statements and the related notes appearing at the end of this prospectus and the “Cash and capitalization,” “Selected consolidated financial data” and “Management’s discussion and analysis of financial condition and results of operations” sections of this prospectus. We have derived the consolidated statements of operations data for the years ended December 31, 2015 and 2016 from our audited consolidated financial statements appearing at the end of this prospectus. The consolidated statement of operations data for the nine months ended September 30, 2016 and 2017 and the consolidated balance sheet data as of September 30, 2017 have been derived from our unaudited consolidated financial statements appearing at the end of this prospectus, which have been prepared on the same basis as the audited consolidated financial statements. In the opinion of management, the unaudited consolidated financial statements reflect all adjustments, consisting only of normal recurring adjustments, necessary for a fair statement of the financial information in those consolidated statements. Our historical results are not necessarily indicative of results that should be expected in any future period, and our results for any interim period are not necessarily indicative of results that should be expected for any full year.</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ind w:left="434"/>
              <w:spacing w:after="0"/>
              <w:rPr>
                <w:sz w:val="20"/>
                <w:szCs w:val="20"/>
                <w:color w:val="auto"/>
              </w:rPr>
            </w:pPr>
            <w:r>
              <w:rPr>
                <w:rFonts w:ascii="Arial" w:cs="Arial" w:eastAsia="Arial" w:hAnsi="Arial"/>
                <w:sz w:val="14"/>
                <w:szCs w:val="14"/>
                <w:b w:val="1"/>
                <w:bCs w:val="1"/>
                <w:color w:val="auto"/>
                <w:w w:val="91"/>
              </w:rPr>
              <w:t>Nine months</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center"/>
              <w:ind w:right="137"/>
              <w:spacing w:after="0" w:line="149" w:lineRule="exact"/>
              <w:rPr>
                <w:sz w:val="20"/>
                <w:szCs w:val="20"/>
                <w:color w:val="auto"/>
              </w:rPr>
            </w:pPr>
            <w:r>
              <w:rPr>
                <w:rFonts w:ascii="Arial" w:cs="Arial" w:eastAsia="Arial" w:hAnsi="Arial"/>
                <w:sz w:val="14"/>
                <w:szCs w:val="14"/>
                <w:b w:val="1"/>
                <w:bCs w:val="1"/>
                <w:color w:val="auto"/>
                <w:w w:val="87"/>
              </w:rPr>
              <w:t>ended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units and per unit data)</w:t>
            </w:r>
          </w:p>
        </w:tc>
        <w:tc>
          <w:tcPr>
            <w:tcW w:w="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97"/>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20,116</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13,048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25,576</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(25,576)</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(16,855)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 of preferred unit tranche rights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Interest and other income</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(23,773)</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(38,691)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9"/>
              </w:rPr>
              <w:t xml:space="preserve">Net loss per unit attributable to common unitholders, basic and diluted </w:t>
            </w:r>
            <w:r>
              <w:rPr>
                <w:rFonts w:ascii="Arial" w:cs="Arial" w:eastAsia="Arial" w:hAnsi="Arial"/>
                <w:sz w:val="15"/>
                <w:szCs w:val="15"/>
                <w:color w:val="auto"/>
                <w:w w:val="99"/>
              </w:rPr>
              <w:t>(1)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Weighted average common units outstanding, basic and diluted </w:t>
            </w:r>
            <w:r>
              <w:rPr>
                <w:rFonts w:ascii="Arial" w:cs="Arial" w:eastAsia="Arial" w:hAnsi="Arial"/>
                <w:sz w:val="15"/>
                <w:szCs w:val="15"/>
                <w:color w:val="auto"/>
              </w:rPr>
              <w:t>(1)</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846,569</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1,698,904</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1,677,909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12,446,769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Pro forma as adjusted net loss per share </w:t>
            </w:r>
            <w:r>
              <w:rPr>
                <w:rFonts w:ascii="Arial" w:cs="Arial" w:eastAsia="Arial" w:hAnsi="Arial"/>
                <w:sz w:val="15"/>
                <w:szCs w:val="15"/>
                <w:b w:val="1"/>
                <w:bCs w:val="1"/>
                <w:color w:val="auto"/>
              </w:rPr>
              <w:t>(2)</w:t>
            </w:r>
            <w:r>
              <w:rPr>
                <w:rFonts w:ascii="Arial" w:cs="Arial" w:eastAsia="Arial" w:hAnsi="Arial"/>
                <w:sz w:val="18"/>
                <w:szCs w:val="18"/>
                <w:b w:val="1"/>
                <w:bCs w:val="1"/>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 forma as adjusted net loss per share, basic and diluted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534"/>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spacing w:after="0"/>
        <w:rPr>
          <w:sz w:val="20"/>
          <w:szCs w:val="20"/>
          <w:color w:val="auto"/>
        </w:rPr>
      </w:pPr>
      <w:r>
        <w:rPr>
          <w:rFonts w:ascii="Arial" w:cs="Arial" w:eastAsia="Arial" w:hAnsi="Arial"/>
          <w:sz w:val="18"/>
          <w:szCs w:val="18"/>
          <w:color w:val="auto"/>
        </w:rPr>
        <w:t>Pro forma as adjusted weighted average shares outstanding, 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206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2062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As of September 30, 2017</w:t>
            </w:r>
          </w:p>
        </w:tc>
        <w:tc>
          <w:tcPr>
            <w:tcW w:w="1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Actual</w:t>
            </w:r>
          </w:p>
        </w:tc>
        <w:tc>
          <w:tcPr>
            <w:tcW w:w="18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 xml:space="preserve">Pro forma </w:t>
            </w:r>
            <w:r>
              <w:rPr>
                <w:rFonts w:ascii="Arial" w:cs="Arial" w:eastAsia="Arial" w:hAnsi="Arial"/>
                <w:sz w:val="12"/>
                <w:szCs w:val="12"/>
                <w:b w:val="1"/>
                <w:bCs w:val="1"/>
                <w:color w:val="auto"/>
              </w:rPr>
              <w:t>(3)</w:t>
            </w:r>
          </w:p>
        </w:tc>
        <w:tc>
          <w:tcPr>
            <w:tcW w:w="112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Pro forma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w w:val="96"/>
              </w:rPr>
              <w:t xml:space="preserve">adjusted </w:t>
            </w:r>
            <w:r>
              <w:rPr>
                <w:rFonts w:ascii="Arial" w:cs="Arial" w:eastAsia="Arial" w:hAnsi="Arial"/>
                <w:sz w:val="12"/>
                <w:szCs w:val="12"/>
                <w:b w:val="1"/>
                <w:bCs w:val="1"/>
                <w:color w:val="auto"/>
                <w:w w:val="96"/>
              </w:rPr>
              <w:t>(2)(3)(4)</w:t>
            </w:r>
          </w:p>
        </w:tc>
        <w:tc>
          <w:tcPr>
            <w:tcW w:w="0" w:type="dxa"/>
            <w:vAlign w:val="bottom"/>
          </w:tcPr>
          <w:p>
            <w:pPr>
              <w:spacing w:after="0"/>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Cash, cash equivalents and available-for-sale securities</w:t>
            </w:r>
          </w:p>
        </w:tc>
        <w:tc>
          <w:tcPr>
            <w:tcW w:w="2100" w:type="dxa"/>
            <w:vAlign w:val="bottom"/>
            <w:gridSpan w:val="2"/>
          </w:tcPr>
          <w:p>
            <w:pPr>
              <w:jc w:val="right"/>
              <w:ind w:right="128"/>
              <w:spacing w:after="0"/>
              <w:rPr>
                <w:sz w:val="20"/>
                <w:szCs w:val="20"/>
                <w:color w:val="auto"/>
              </w:rPr>
            </w:pPr>
            <w:r>
              <w:rPr>
                <w:rFonts w:ascii="Arial" w:cs="Arial" w:eastAsia="Arial" w:hAnsi="Arial"/>
                <w:sz w:val="18"/>
                <w:szCs w:val="18"/>
                <w:color w:val="auto"/>
              </w:rPr>
              <w:t>$   29,570</w:t>
            </w:r>
          </w:p>
        </w:tc>
        <w:tc>
          <w:tcPr>
            <w:tcW w:w="1840" w:type="dxa"/>
            <w:vAlign w:val="bottom"/>
          </w:tcPr>
          <w:p>
            <w:pPr>
              <w:jc w:val="right"/>
              <w:ind w:right="474"/>
              <w:spacing w:after="0"/>
              <w:rPr>
                <w:sz w:val="20"/>
                <w:szCs w:val="20"/>
                <w:color w:val="auto"/>
              </w:rPr>
            </w:pPr>
            <w:r>
              <w:rPr>
                <w:rFonts w:ascii="Arial" w:cs="Arial" w:eastAsia="Arial" w:hAnsi="Arial"/>
                <w:sz w:val="18"/>
                <w:szCs w:val="18"/>
                <w:color w:val="auto"/>
              </w:rPr>
              <w:t>$   84,570</w:t>
            </w:r>
          </w:p>
        </w:tc>
        <w:tc>
          <w:tcPr>
            <w:tcW w:w="1120" w:type="dxa"/>
            <w:vAlign w:val="bottom"/>
          </w:tcPr>
          <w:p>
            <w:pPr>
              <w:ind w:lef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(5)</w:t>
            </w:r>
          </w:p>
        </w:tc>
        <w:tc>
          <w:tcPr>
            <w:tcW w:w="2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18,966</w:t>
            </w:r>
          </w:p>
        </w:tc>
        <w:tc>
          <w:tcPr>
            <w:tcW w:w="184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73,966</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Total assets</w:t>
            </w:r>
          </w:p>
        </w:tc>
        <w:tc>
          <w:tcPr>
            <w:tcW w:w="2100" w:type="dxa"/>
            <w:vAlign w:val="bottom"/>
            <w:gridSpan w:val="2"/>
          </w:tcPr>
          <w:p>
            <w:pPr>
              <w:jc w:val="right"/>
              <w:ind w:right="128"/>
              <w:spacing w:after="0"/>
              <w:rPr>
                <w:sz w:val="20"/>
                <w:szCs w:val="20"/>
                <w:color w:val="auto"/>
              </w:rPr>
            </w:pPr>
            <w:r>
              <w:rPr>
                <w:rFonts w:ascii="Arial" w:cs="Arial" w:eastAsia="Arial" w:hAnsi="Arial"/>
                <w:sz w:val="18"/>
                <w:szCs w:val="18"/>
                <w:color w:val="auto"/>
              </w:rPr>
              <w:t>35,445</w:t>
            </w:r>
          </w:p>
        </w:tc>
        <w:tc>
          <w:tcPr>
            <w:tcW w:w="1840" w:type="dxa"/>
            <w:vAlign w:val="bottom"/>
          </w:tcPr>
          <w:p>
            <w:pPr>
              <w:jc w:val="right"/>
              <w:ind w:right="474"/>
              <w:spacing w:after="0"/>
              <w:rPr>
                <w:sz w:val="20"/>
                <w:szCs w:val="20"/>
                <w:color w:val="auto"/>
              </w:rPr>
            </w:pPr>
            <w:r>
              <w:rPr>
                <w:rFonts w:ascii="Arial" w:cs="Arial" w:eastAsia="Arial" w:hAnsi="Arial"/>
                <w:sz w:val="18"/>
                <w:szCs w:val="18"/>
                <w:color w:val="auto"/>
              </w:rPr>
              <w:t>90,445</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units</w:t>
            </w:r>
          </w:p>
        </w:tc>
        <w:tc>
          <w:tcPr>
            <w:tcW w:w="2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69,177</w:t>
            </w:r>
          </w:p>
        </w:tc>
        <w:tc>
          <w:tcPr>
            <w:tcW w:w="184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Accumulated members’ deficit</w:t>
            </w:r>
          </w:p>
        </w:tc>
        <w:tc>
          <w:tcPr>
            <w:tcW w:w="2100" w:type="dxa"/>
            <w:vAlign w:val="bottom"/>
            <w:gridSpan w:val="2"/>
          </w:tcPr>
          <w:p>
            <w:pPr>
              <w:jc w:val="right"/>
              <w:ind w:right="128"/>
              <w:spacing w:after="0"/>
              <w:rPr>
                <w:sz w:val="20"/>
                <w:szCs w:val="20"/>
                <w:color w:val="auto"/>
              </w:rPr>
            </w:pPr>
            <w:r>
              <w:rPr>
                <w:rFonts w:ascii="Arial" w:cs="Arial" w:eastAsia="Arial" w:hAnsi="Arial"/>
                <w:sz w:val="18"/>
                <w:szCs w:val="18"/>
                <w:color w:val="auto"/>
              </w:rPr>
              <w:t>(109,771)</w:t>
            </w:r>
          </w:p>
        </w:tc>
        <w:tc>
          <w:tcPr>
            <w:tcW w:w="1840" w:type="dxa"/>
            <w:vAlign w:val="bottom"/>
          </w:tcPr>
          <w:p>
            <w:pPr>
              <w:jc w:val="right"/>
              <w:ind w:right="474"/>
              <w:spacing w:after="0"/>
              <w:rPr>
                <w:sz w:val="20"/>
                <w:szCs w:val="20"/>
                <w:color w:val="auto"/>
              </w:rPr>
            </w:pPr>
            <w:r>
              <w:rPr>
                <w:rFonts w:ascii="Arial" w:cs="Arial" w:eastAsia="Arial" w:hAnsi="Arial"/>
                <w:sz w:val="18"/>
                <w:szCs w:val="18"/>
                <w:color w:val="auto"/>
              </w:rPr>
              <w:t>(109,771)</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members’/stockholders’ equity (deficit)</w:t>
            </w:r>
          </w:p>
        </w:tc>
        <w:tc>
          <w:tcPr>
            <w:tcW w:w="21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(45,583)</w:t>
            </w:r>
          </w:p>
        </w:tc>
        <w:tc>
          <w:tcPr>
            <w:tcW w:w="184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78,594</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20" w:right="180" w:hanging="424"/>
        <w:spacing w:after="0" w:line="258"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Note 15 to our financial statements appearing at the end of this prospectus for details on the calculation of basic and diluted net loss per unit attributable to common unitholders.</w:t>
      </w:r>
    </w:p>
    <w:p>
      <w:pPr>
        <w:spacing w:after="0" w:line="1" w:lineRule="exact"/>
        <w:rPr>
          <w:rFonts w:ascii="Arial" w:cs="Arial" w:eastAsia="Arial" w:hAnsi="Arial"/>
          <w:sz w:val="18"/>
          <w:szCs w:val="18"/>
          <w:color w:val="auto"/>
        </w:rPr>
      </w:pPr>
    </w:p>
    <w:p>
      <w:pPr>
        <w:ind w:left="620" w:hanging="424"/>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 forma as adjusted gives effect to (i) our Corporate Conversion and (ii) the sale of shares of our common stock in this offering at an assumed</w:t>
      </w:r>
    </w:p>
    <w:p>
      <w:pPr>
        <w:spacing w:after="0" w:line="32" w:lineRule="exact"/>
        <w:rPr>
          <w:rFonts w:ascii="Arial" w:cs="Arial" w:eastAsia="Arial" w:hAnsi="Arial"/>
          <w:sz w:val="16"/>
          <w:szCs w:val="16"/>
          <w:color w:val="auto"/>
        </w:rPr>
      </w:pPr>
    </w:p>
    <w:p>
      <w:pPr>
        <w:ind w:left="620" w:right="140"/>
        <w:spacing w:after="0" w:line="265" w:lineRule="auto"/>
        <w:rPr>
          <w:rFonts w:ascii="Arial" w:cs="Arial" w:eastAsia="Arial" w:hAnsi="Arial"/>
          <w:sz w:val="16"/>
          <w:szCs w:val="16"/>
          <w:color w:val="auto"/>
        </w:rPr>
      </w:pPr>
      <w:r>
        <w:rPr>
          <w:rFonts w:ascii="Arial" w:cs="Arial" w:eastAsia="Arial" w:hAnsi="Arial"/>
          <w:sz w:val="17"/>
          <w:szCs w:val="17"/>
          <w:color w:val="auto"/>
        </w:rPr>
        <w:t>initial public offering price of $ per share, which is the midpoint of the price range set forth on the cover page of this prospectus, after deducting the underwriting discounts and commissions and estimated offering expenses payable by us. This pro forma as adjusted information is illustrative only and will depend on the actual initial public offering price and other terms of this offering determined at pricing.</w:t>
      </w:r>
    </w:p>
    <w:p>
      <w:pPr>
        <w:ind w:left="620" w:hanging="424"/>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 forma gives effect to the Corporate Conversion as well as the Series 2 Senior Preferred Financing. Pro forma information is illustrative only.</w:t>
      </w:r>
    </w:p>
    <w:p>
      <w:pPr>
        <w:spacing w:after="0" w:line="32" w:lineRule="exact"/>
        <w:rPr>
          <w:sz w:val="20"/>
          <w:szCs w:val="20"/>
          <w:color w:val="auto"/>
        </w:rPr>
      </w:pPr>
    </w:p>
    <w:p>
      <w:pPr>
        <w:ind w:left="200"/>
        <w:spacing w:after="0"/>
        <w:tabs>
          <w:tab w:leader="none" w:pos="600" w:val="left"/>
          <w:tab w:leader="none" w:pos="6660" w:val="left"/>
        </w:tabs>
        <w:rPr>
          <w:sz w:val="20"/>
          <w:szCs w:val="20"/>
          <w:color w:val="auto"/>
        </w:rPr>
      </w:pPr>
      <w:r>
        <w:rPr>
          <w:rFonts w:ascii="Arial" w:cs="Arial" w:eastAsia="Arial" w:hAnsi="Arial"/>
          <w:sz w:val="18"/>
          <w:szCs w:val="18"/>
          <w:color w:val="auto"/>
        </w:rPr>
        <w:t>(4)</w:t>
        <w:tab/>
        <w:t>A $1.00 increase or decrease in the assumed initial public offering price of $</w:t>
      </w:r>
      <w:r>
        <w:rPr>
          <w:sz w:val="20"/>
          <w:szCs w:val="20"/>
          <w:color w:val="auto"/>
        </w:rPr>
        <w:tab/>
      </w:r>
      <w:r>
        <w:rPr>
          <w:rFonts w:ascii="Arial" w:cs="Arial" w:eastAsia="Arial" w:hAnsi="Arial"/>
          <w:sz w:val="16"/>
          <w:szCs w:val="16"/>
          <w:color w:val="auto"/>
        </w:rPr>
        <w:t>per share, which is the midpoint of the price range set forth on</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cover page of this prospectus, would increase or decrease the pro forma as adjusted amount of each of cash, cash equivalents and</w:t>
      </w:r>
    </w:p>
    <w:p>
      <w:pPr>
        <w:spacing w:after="0" w:line="21" w:lineRule="exact"/>
        <w:rPr>
          <w:sz w:val="20"/>
          <w:szCs w:val="20"/>
          <w:color w:val="auto"/>
        </w:rPr>
      </w:pPr>
    </w:p>
    <w:p>
      <w:pPr>
        <w:ind w:left="620"/>
        <w:spacing w:after="0"/>
        <w:tabs>
          <w:tab w:leader="none" w:pos="7760" w:val="left"/>
        </w:tabs>
        <w:rPr>
          <w:sz w:val="20"/>
          <w:szCs w:val="20"/>
          <w:color w:val="auto"/>
        </w:rPr>
      </w:pPr>
      <w:r>
        <w:rPr>
          <w:rFonts w:ascii="Arial" w:cs="Arial" w:eastAsia="Arial" w:hAnsi="Arial"/>
          <w:sz w:val="18"/>
          <w:szCs w:val="18"/>
          <w:color w:val="auto"/>
        </w:rPr>
        <w:t>available-for-sale securities, working capital, total assets and total stockholders’ equity by $</w:t>
      </w:r>
      <w:r>
        <w:rPr>
          <w:sz w:val="20"/>
          <w:szCs w:val="20"/>
          <w:color w:val="auto"/>
        </w:rPr>
        <w:tab/>
      </w:r>
      <w:r>
        <w:rPr>
          <w:rFonts w:ascii="Arial" w:cs="Arial" w:eastAsia="Arial" w:hAnsi="Arial"/>
          <w:sz w:val="16"/>
          <w:szCs w:val="16"/>
          <w:color w:val="auto"/>
        </w:rPr>
        <w:t>million, assuming that the number of shares</w:t>
      </w:r>
    </w:p>
    <w:p>
      <w:pPr>
        <w:spacing w:after="0" w:line="9" w:lineRule="exact"/>
        <w:rPr>
          <w:sz w:val="20"/>
          <w:szCs w:val="20"/>
          <w:color w:val="auto"/>
        </w:rPr>
      </w:pPr>
    </w:p>
    <w:p>
      <w:pPr>
        <w:ind w:left="620"/>
        <w:spacing w:after="0" w:line="281" w:lineRule="auto"/>
        <w:rPr>
          <w:sz w:val="20"/>
          <w:szCs w:val="20"/>
          <w:color w:val="auto"/>
        </w:rPr>
      </w:pPr>
      <w:r>
        <w:rPr>
          <w:rFonts w:ascii="Arial" w:cs="Arial" w:eastAsia="Arial" w:hAnsi="Arial"/>
          <w:sz w:val="16"/>
          <w:szCs w:val="16"/>
          <w:color w:val="auto"/>
        </w:rPr>
        <w:t>offered by us, as set forth on the cover page of this prospectus, remains the same and after deducting the underwriting discounts and commissions and estimated offering expenses payable by us. An increase or decrease of 1,000,000 shares in the number of shares offered by us, as set forth on the cover page of this prospectus, would increase or decrease the pro forma as adjusted amount of each of cash, cash equivalents and available-for-</w:t>
      </w:r>
    </w:p>
    <w:p>
      <w:pPr>
        <w:spacing w:after="0" w:line="2" w:lineRule="exact"/>
        <w:rPr>
          <w:sz w:val="20"/>
          <w:szCs w:val="20"/>
          <w:color w:val="auto"/>
        </w:rPr>
      </w:pPr>
    </w:p>
    <w:p>
      <w:pPr>
        <w:ind w:left="620" w:right="260"/>
        <w:spacing w:after="0" w:line="265" w:lineRule="auto"/>
        <w:rPr>
          <w:sz w:val="20"/>
          <w:szCs w:val="20"/>
          <w:color w:val="auto"/>
        </w:rPr>
      </w:pPr>
      <w:r>
        <w:rPr>
          <w:rFonts w:ascii="Arial" w:cs="Arial" w:eastAsia="Arial" w:hAnsi="Arial"/>
          <w:sz w:val="17"/>
          <w:szCs w:val="17"/>
          <w:color w:val="auto"/>
        </w:rPr>
        <w:t>sale securities, working capital, total assets and total stockholders’ equity by $ million, assuming no change in the assumed initial public offering price per share and after deducting the underwriting discounts and commissions and estimated offering expenses payable by us.</w:t>
      </w:r>
    </w:p>
    <w:p>
      <w:pPr>
        <w:ind w:left="620" w:hanging="424"/>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prospectus includes forward-looking statements, which involve risks and uncertainties. These forward-looking statements can be identified by the use of forward-looking terminology, including the terms “believe,” “estimate,” “project,” “anticipate,” “expect,” “seek,” “predict,” “continue,” “possible,” “intend,” “may,” “might,” “will,” “could,” would” or “should” or, in each case, their negative, or other variations or comparable terminology. These forward-looking statements include all matters that are not historical facts. They appear in a number of places throughout this prospectus and include statements regarding our intentions, beliefs or current expectations concerning, among other things, our product candidates, research and development and clinical trial plans, commercialization objectives, prospects, strategies, the industry in which we operate and potential collaborations.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forward-looking statements are based upon information available to us on the date of this prospectus. Important factors that could cause our results to vary from expectations include, but are not limited to:</w:t>
      </w:r>
    </w:p>
    <w:p>
      <w:pPr>
        <w:spacing w:after="0" w:line="8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SGT-001 and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U.S. regulatory approval of SGT-001, and the timing and scope thereof;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foreign regulatory approvals, and the timing and the scope thereof;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the patient populations for SGT-001 and our other product candidates, if approved for commercial use;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manufacturing capabilities and strategy, including the scalability and commercial viability of our manufacturing methods and processes;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commercialize SGT-001 and our other product candidates, if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pricing and reimbursement of SGT-001 and any other product candidates we may develop, if approved;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establishment of sales, marketing and distribution capabilities and entry into agreements with third parties to market and sell SGT-001 or our other product candidates, if approved;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SGT-001 and any other product candidates we may develop and for which we may receive approval;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expenses, ongoing losses, future revenue, capital requirements and need for and ability to obtain additional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and our licensors’ ability to prosecute, maintain, protect and enforce our intellectual property rights for SGT-001 and our other product candidates, and the scope of such protection;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avoid and defend against intellectual property infringement, misappropriation and other claims;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competition and market development;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laws and regulations on our operations.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We caution you that forward-looking statements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are not guarantees of future performance and that our actual results of operations, financial condition, business and prospects may differ materially from those made in or suggested by the forward-looking statements contained in this prospectus. In addition, even if our results of operations, financial condition, business and prospects are consistent with the forward-looking statements contained in this prospectus, those results may not be indicative of results in subsequent periods.</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included elsewhere in this prospectus, before making an investment decision. If any of the following risks are realized, our business, financial condition, results of operations and prospects would likely be materially and adversely affected. In that event, the trading price of our common stock could decline and you could lose part or all of your investment.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since inception and anticipate that we will continue to incur net losses for the foreseeable future and may never achieve or maintain profitability.</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inception, we have incurred significant net losses. Our net losses were $6.7 million and $23.8 million for the years ended December 31, 2015 and 2016, respectively, and $38.7 million for the nine months ended September 30, 2017. As of September 30, 2017, we had an accumulated deficit of</w:t>
      </w:r>
    </w:p>
    <w:p>
      <w:pPr>
        <w:ind w:right="120"/>
        <w:spacing w:after="0" w:line="254" w:lineRule="auto"/>
        <w:rPr>
          <w:sz w:val="20"/>
          <w:szCs w:val="20"/>
          <w:color w:val="auto"/>
        </w:rPr>
      </w:pPr>
      <w:r>
        <w:rPr>
          <w:rFonts w:ascii="Arial" w:cs="Arial" w:eastAsia="Arial" w:hAnsi="Arial"/>
          <w:sz w:val="18"/>
          <w:szCs w:val="18"/>
          <w:color w:val="auto"/>
        </w:rPr>
        <w:t>$109.8 million. To date, we have devoted substantially all of our efforts to research and development, including clinical development of our gene transfer product candidate, SGT-001, as well as to building out our management team and infrastructure. We expect that it could be several years, if ever, before we have a commercialized product. We expect to continue to incur significant expenses and increasing operating losses for the foreseeable future. We anticipate that our expenses will increase substantially if, and as, we:</w:t>
      </w:r>
    </w:p>
    <w:p>
      <w:pPr>
        <w:spacing w:after="0" w:line="95"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our clinical trials of SGT-001;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arrange for manufacture of larger quantities of our product candidates for clinical development and potential commercialization;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build out new facilities or expand existing facilities to support our ongoing development activity;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or in-license other drugs, technologies and intellectual property;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 become and remain profitable, we must develop and eventually commercialize one or more product candidates with significant market potential. This will require us to be successful in a range of challenging activities, and our expenses will increase substantially as we seek to complete clinical trials of SGT-001, obtain marketing approval for SGT-001, develop and validate commercial-scale manufacturing processes, manufacture, market and sell any future product candidates for which we may obtain marketing approval and satisfy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stockholders to lose all or part of their investment.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Even if this offering is successful, we will need additional funding, which may not be available on acceptable terms, or at all. Failure to obtain this necessary capital when needed may force us to delay, limit or terminate our product development efforts or other operations.</w:t>
      </w:r>
    </w:p>
    <w:p>
      <w:pPr>
        <w:spacing w:after="0" w:line="16"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clinical trials for, and seek marketing approval for, SGT-001 and our other product candidates. In addition, if we obtain marketing approval for SGT-001 and our other product candidates, we expect to incur significant expenses related to product sales, marketing, manufacturing and distribution. Furthermore, upon the closing of this offering, we expect to incur additional costs associated with operating as a public company. While we believe that the net proceeds from this offering and our existing cash, cash equivalents and available-for-sale securities will be sufficient to fund our current operating plans through at least the next 12 months, we anticipate that we will need additional funding to complete the development of SGT-001 and our other product candidates.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and results of our current and future clinical trials of SGT-001 and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SGT-001 and our other product candidates;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laboratory testing, manufacturing, preclinical development and clinical trials for other product candidates that we may pursue in the future, if any;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constructing and validating our own manufacturing facility;</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if any, received from commercial sale of SGT-001 or our other product candidates, should any of our product candidates receive marketing approval;</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defending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 if any, will be derived from or based on sales of product candidates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SGT-001 or our other product candidates.</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conduct our business. If we raise additional funds through strategic partnerships and alliances and licensing arrangements with third parties, we may have to relinquish valuable rights to our technologies, SGT-001 or our other product candidates, or grant licenses on terms unfavorable to us.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SGT-001 and our other product candidate, SB-001, and any other product candidates that we may pursue in the future. We do not anticipate generating revenue from product sales for the next several years, if ever. Our ability to generate future revenue from product sales depends heavily on our success in:</w:t>
      </w:r>
    </w:p>
    <w:p>
      <w:pPr>
        <w:spacing w:after="0" w:line="9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completing research and development of SGT-001 and our other product candidates in a timely and successful manner;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any product candidates for which we complete clinical trials;</w:t>
      </w:r>
    </w:p>
    <w:p>
      <w:pPr>
        <w:spacing w:after="0" w:line="130" w:lineRule="exact"/>
        <w:rPr>
          <w:rFonts w:ascii="Arial" w:cs="Arial" w:eastAsia="Arial" w:hAnsi="Arial"/>
          <w:sz w:val="18"/>
          <w:szCs w:val="18"/>
          <w:color w:val="auto"/>
        </w:rPr>
      </w:pPr>
    </w:p>
    <w:p>
      <w:pPr>
        <w:ind w:left="900" w:right="74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launching and commercializing SGT-001 and any other product candidates for which we obtain regulatory and marketing approval by establishing a sales force and marketing and distribution infrastructure or, alternatively, collaborating with a commercialization partner;</w:t>
      </w:r>
    </w:p>
    <w:p>
      <w:pPr>
        <w:spacing w:after="0" w:line="29"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enhancing a commercially viable, sustainable, scalable, reproducible and transferable manufacturing process for SGT-001 and our other product candidates that is compliant with current good manufacturing practices, or cGMPs;</w:t>
      </w:r>
    </w:p>
    <w:p>
      <w:pPr>
        <w:spacing w:after="0" w:line="75"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SGT-001 and our other product candidates, if approved;</w:t>
      </w:r>
    </w:p>
    <w:p>
      <w:pPr>
        <w:spacing w:after="0" w:line="29"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market acceptance, if and when approved, of SGT-001 and our other product candidate as a viable treatment option by patients, the medical community and third-party payors;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qualifying for coverage and adequate reimbursement by government and third-party payors for SGT-001 and our other product candidates both in the U.S. and internationally;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addressing any competing technological and market developments;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protecting, enforcing and expanding our portfolio of intellectual property rights, including patents, trademarks, trade secrets and know-how;</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avoiding and defending against intellectual property infringement, misappropriation and other claims;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a development-stage company founded in 2013. Our operations to date, with respect to the development of SGT-001 and other potential product candidates, have been limited to organizing and staffing our company, business planning, raising capital, acquiring rights to our technology, identifying SGT-001 as 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potential gene transfer product candidate and undertaking preclinical studies and a clinical trial of that product candidate and establishing research and development and manufacturing collaborations. We have not yet demonstrated the ability to complete clinical trials of SGT-001 or any other product candidate, obtain marketing approvals, manufacture a commercial-scale product or conduct sales and marketing activities necessary for successful commercialization. Consequently, any predictions you make about our prospects may not be as accurate as they could be if we had a longer operating history.</w:t>
      </w: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auditors have expressed substantial doubt about our ability to continue as a going concern, which may hinder our ability to obtain further financing.</w:t>
      </w:r>
    </w:p>
    <w:p>
      <w:pPr>
        <w:spacing w:after="0" w:line="15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recurring losses from operations raise substantial doubt about our ability to continue as a going concern. As a result, our independent registered public accounting firm included an explanatory paragraph in its report on our consolidated financial statements for the year ended December 31, 2016 with respect to this uncertainty. Our ability to continue as a going concern will require us to obtain additional funding. We believe that the net proceeds from this offering and our existing cash, cash equivalents and available-for-sale securities will be sufficient to fund our current operating plans through at least the next 12 months. We have based these estimates, however, on assumptions that may prove to be wrong, and we could spend our available financial resources much faster than we currently expect and need to raise additional funds sooner than we anticipate. If we are unable to raise capital when needed or on acceptable terms, we would be forced to delay, reduce or eliminate our research and development programs and commercialization efforts.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940"/>
        <w:spacing w:after="0" w:line="286" w:lineRule="auto"/>
        <w:rPr>
          <w:sz w:val="20"/>
          <w:szCs w:val="20"/>
          <w:color w:val="auto"/>
        </w:rPr>
      </w:pPr>
      <w:r>
        <w:rPr>
          <w:rFonts w:ascii="Arial" w:cs="Arial" w:eastAsia="Arial" w:hAnsi="Arial"/>
          <w:sz w:val="17"/>
          <w:szCs w:val="17"/>
          <w:b w:val="1"/>
          <w:bCs w:val="1"/>
          <w:i w:val="1"/>
          <w:iCs w:val="1"/>
          <w:color w:val="auto"/>
        </w:rPr>
        <w:t>SGT-001 is a gene transfer candidate based on a novel technology, which makes it difficult to predict the time and cost of development and of subsequently obtaining regulatory approval. To our knowledge, only one gene transfer product has been approved in the United States for commercialization and only two such products have been approved in the European Union.</w:t>
      </w:r>
    </w:p>
    <w:p>
      <w:pPr>
        <w:spacing w:after="0" w:line="5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have concentrated our research and development efforts on SGT-001 for the treatment of DMD and our future success depends on our successful development of that product candidate. Our risk of failure is high. We may experience problems or delays in developing SGT-001. Any such problems or delays would cause unanticipated costs, and any development problems may not be solved. For example, we may uncover a previously unknown risk associated with SGT-001 that may be more problematic than we currently believe and this may prolong the period of observation required for obtaining regulatory approval or may necessitate additional clinical testing.</w:t>
      </w:r>
    </w:p>
    <w:p>
      <w:pPr>
        <w:spacing w:after="0" w:line="18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In addition, the product specifications and the clinical trial requirements of the FDA, the European Commission, the European Medicines Agency, or the EMA, and other regulatory authorities and the criteria these regulators use to determine the safety and efficacy of a product candidate vary substantially according to the type, complexity, novelty and intended use and market of such product candidate. The regulatory approval process for novel product candidates such as ours is unclear and can be more expensive and take longer than for other, better known or more extensively studied product candidates. To our knowledge, only one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transfer product, Spark Therapeutics Inc.’s Luxturna, has received FDA approval and only one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transfer product, uniQure N.V.’s Glybera, has received marketing authorization from the European Commission. As a result, it is difficult to determine how long it will take or how much it will cost to obtain regulatory approvals for SGT-001 in either the United States or the European Union. Approvals by the European Commission may not be indicative of what the FDA may require for approval and vice versa.</w:t>
      </w:r>
    </w:p>
    <w:p>
      <w:pPr>
        <w:spacing w:after="0" w:line="2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have only recently initiated our first clinical trial for SGT-001 and have not commenced preclinical studies for our other product candidates. We have never completed a clinical trial, and may be unable to do so for any product candidates we may develop, including SGT-001.</w:t>
      </w:r>
    </w:p>
    <w:p>
      <w:pPr>
        <w:spacing w:after="0" w:line="1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need to successfully complete clinical trials in order to obtain FDA approval to market SGT-001 or our other product candidates. We have only recently initiated our first clinical trial for SGT-001 , have limited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experience in preparing, submitting and prosecuting regulatory filings, and have not previously submitted a biologics license application, or BLA, for any product candidate. We cannot be sure that submission of an Investigational New Drug Application, or IND, will result in the FDA allowing clinical studies to begin or that, once begun, issues will not arise that suspend or terminate such studies. Carrying out later-stage clinical trials and the submission of a successful BLA is a complicated process. This may be particularly true for design of a pivotal trial for the treatment of DMD as the FDA has not given clear guidance as to the necessary endpoints for approval of a treatment for DMD. In addition, we have had limited interactions with the FDA and cannot be certain how many clinical trials of SGT-001 or our other product candidates will be required or how such trials should be designed. Consequently, we may be unable to successfully and efficiently execute and complete necessary clinical trials in a way that leads to BLA submission and approval of SGT-001 or our other product candidates. We may require more time and incur greater costs than our competitors and may not succeed in obtaining regulatory approvals of product candidates that we develop. Failure to commence or complete, or delays in, clinical trials, could prevent us from or delay us in commercializing SGT-001 and our other product candidates.</w:t>
      </w:r>
    </w:p>
    <w:p>
      <w:pPr>
        <w:spacing w:after="0" w:line="2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Success in preclinical studies or early clinical trials, including our recently initiated Phase I/II trial, may not be indicative of results obtained in later trials.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Results from preclinical studies or early clinical trials, including our recently initiated Phase I/II trial, are not necessarily predictive of future clinical trial results and are not necessarily indicative of final results. There is a high failure rate for gene therapy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We also may experience regulatory delays or rejections as a result of many factors, including due to changes in regulatory policy during the period of our product candidate development. Our preclinical studies for SGT-001 in animals have been limited and SGT-001 has not been tested in humans. SGT-001 or our other product candidates may fail to show the desired safety and efficacy in clinical development despite positive results in preclinical studies. This failure would cause us to abandon SGT-001 or our other product candidates.</w:t>
      </w:r>
    </w:p>
    <w:p>
      <w:pPr>
        <w:spacing w:after="0" w:line="2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Before obtaining marketing approval from regulatory authorities for the sale of SGT-001 or our other product candidates, we must conduct extensive clinical trials to demonstrate the safety and efficacy of the product candidate for its intended indications.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6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trial sites;</w:t>
      </w:r>
    </w:p>
    <w:p>
      <w:pPr>
        <w:spacing w:after="0" w:line="142" w:lineRule="exact"/>
        <w:rPr>
          <w:rFonts w:ascii="Arial" w:cs="Arial" w:eastAsia="Arial" w:hAnsi="Arial"/>
          <w:sz w:val="17"/>
          <w:szCs w:val="17"/>
          <w:color w:val="auto"/>
        </w:rPr>
      </w:pPr>
    </w:p>
    <w:p>
      <w:pPr>
        <w:ind w:left="900" w:right="2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opening clinical trial sites or obtaining required institutional review board, or IRB, or independent ethics committee approval at each clinical trial site;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recruiting suitable subjects to participate in our clinical trials, including because such trials may be placebo-controlled trials and patients are not guaranteed to receive treatment with our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by us, any CROs we engage or any other third parties to adhere to clinical trial requirements;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perform in accordance with FDA good clinical practices, or GCP, or applicable regulatory guidelines in the European Union and other countries;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SGT-001 or our other product candidates to the clinical sites, including delays by third parties with whom we have contracted to perform certain of those functions;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subjects completing participation in a trial or returning for post-treatment follow-up;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 sites or subjects dropping out of a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or after an inspection of our clinical trial operations, trial sites or manufacturing facilities;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sponsors;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Additionally, if the results of any clinical trials are inconclusive or if there are safety concerns or serious adverse events associated with SGT-001 or our other product candidates, we may:</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or fail in obtaining marketing approval for SGT-001 or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we intended or desired;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changes in the way the products are administered;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modified Risk Evaluation and Mitigation Strategy, or REMS;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sued and held liable for harm caused to patients;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product development costs will increase if we experience delays in testing or marketing approvals. In addition, if we make manufacturing or other changes to SGT-001 or our other product candidates, we may need to conduct additional studies to bridge our modified product candidates to earlier versions. We do not know whether any of our preclinical studies or clinical trials will begin as planned, will need to be restructured or will be completed on schedule, or at all. Significant preclinical or clinical study or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30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our third-party clinical trial vendors fail to comply with strict regulations, the clinical trials for SGT-001 or our other product candidates may be delayed or unsuccessful.</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do not have the personnel capacity to conduct or manage the clinical trials that will be necessary for the development of SGT-001 or our other product candidates. We will rely on third parties to assist us in managing, monitoring and conducting our clinical trials. If these third parties fail to comply with applicable regulations or do not adequately fulfill their obligations under the terms of our agreements with them, we may not be able to enter into alternative arrangements without undue delay or additional expenditures and, therefore, the clinical trials for SGT-001 or our other product candidates may be delayed or unsuccessful.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Furthermore, the FDA can be expected to inspect some or all of the clinical sites participating in our clinical trials to determine if our clinical trials are being conducted according to GCPs. If the FDA determines that these clinical sites are not in compliance with applicable regulations, we may be required to delay, repeat or terminate the clinical trials.</w:t>
      </w:r>
    </w:p>
    <w:p>
      <w:pPr>
        <w:spacing w:after="0" w:line="2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SGT-001 or our other product candidates.</w:t>
      </w:r>
    </w:p>
    <w:p>
      <w:pPr>
        <w:spacing w:after="0" w:line="6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Identifying and qualifying patients to participate in any clinical trials of SGT-001 and our other product candidate is critical to our success. The timing of any clinical trials depends on our ability to recruit patients to participate as well as complete required follow-up periods. If patients are unwilling to participate in our gene therapy studies because of negative publicity from adverse events related to the biotechnology or gene therapy fields, competitive clinical trials for similar patient populations, clinical trials in products employing our vector or our platform or for other reasons, the timeline for recruiting patients, conducting studies and obtaining regulatory approval of SGT-001 may be delayed. We may also experience delays if patients withdraw from the clinical trial or do not complete the required monitoring period. These delays could result in increased costs, delays in advancing SGT-001 or our other product candidates, delays in testing the effectiveness of SGT-001 and our other product candidates or termination of clinical trials altogether.</w:t>
      </w:r>
    </w:p>
    <w:p>
      <w:pPr>
        <w:spacing w:after="0" w:line="16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any clinical trials in a timely manner. Patient enrollment and trial completion is affected by many factors, including:</w:t>
      </w:r>
    </w:p>
    <w:p>
      <w:pPr>
        <w:spacing w:after="0" w:line="7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size of the patient population and the process for identifying subjects;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eligibility and exclusion criteria, including that some patients may have pre-existing antibodies to AAV vectors precluding them from being able to receive AAV-mediated gene transfer;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the treatment of diseases;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severity of the disease;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case of pivotal trials, the risk that patients may opt not to enroll because they are not assured treatment with our product candidate.</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is subject to numerous risks unique to conducting business in foreign countries, including:</w:t>
      </w:r>
    </w:p>
    <w:p>
      <w:pPr>
        <w:spacing w:after="0" w:line="7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absence in some countries of established groups with sufficient regulatory expertise for review of gene therapy protocols;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identifying and partnering with qualified local consultants, physicians and partners;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research and products.</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clinical trials, we cannot predict when, or if, we will obtain regulatory approval to commercialize SGT-001 or our other product candidates and the approval may be for a more narrow indication than we seek.</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cannot commercialize SGT-001 or our other product candidates until the appropriate regulatory authorities have reviewed and approved the product candidate.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regulatory review process.</w:t>
      </w:r>
    </w:p>
    <w:p>
      <w:pPr>
        <w:spacing w:after="0" w:line="19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Even if we receive regulatory approval, regulatory authorities may approve a product candidate for more limited indications than requested or they may impose significant limitations in the form of narrow indications, warnings or a Risk Evaluation and Mitigation Strategies, or REMS.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w:t>
      </w:r>
    </w:p>
    <w:p>
      <w:pPr>
        <w:spacing w:after="0" w:line="26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conduct of clinical trials, patients may experience changes in their health, including illnesses, injuries, discomforts or a fatal outcome. Often, it is not possible to determine whether the product candidate being studied caused these conditions. In addition, it is possible that as we test SGT-001 or our other product candidates in larger, longer and more extensive clinical programs, or as use of these product candidates becomes more widespread if they receive regulatory approval, illnesses, injuries, discomforts and other adverse events that were observed in earlier trials, as well as conditions that did not occur or went undetected in previous trials, will be reported by subjects. Many times, side effects are only detectable after investigational products are tested in large-scale, Phase III clinical trials or, in some cases, after they are made available to patients on a commercial scale after approval. If additional clinical experience indicates that SGT-001 or any other product candidate has side effects or causes serious or life-threatening side effects, the development of the product candidate may fail or be delayed, or, if the product candidate has received regulatory approval, such approval may be revoked.</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There have been several significant adverse side effects in gene therapy treatments in the past, including reported cases of leukemia and death seen in other trials using other vectors. While new recombinant vectors have been developed with the intent to reduce these side effects, gene therapy is still a relatively new approach to disease treatment and additional adverse side effects could develop. Patients will create antibodies to the AAV vector and a second administration of gene transfer would not be successful. There also is the potential risk of delayed adverse events following exposure to gene therapy products due to persistent biologic activity of the genetic material or other components of products used to carry the genetic material. Possible adverse side effects that may occur with treatment with gene therapy products include an immunologic reaction early after administration that could substantially limit the effectiveness of the treatment or represent safety risks for patients. Additionally, in previous clinical trials involving AAV vectors for gene therapy, some subjects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experienced the development of a positive ELISPOT test associated with T-cell responses, which is of unclear clinical translatability. If T-cells are activated, the cellular immune response system may trigger the removal of transduced cells. If our gene transfer candidate demonstrates a similar effect, we may decide or be required to halt or delay further clinical development of SGT-001.</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addition to side effects caused by SGT-001 and our other product candidates, the administration process or related procedures also can cause adverse side effects. For example, integration of AAV deoxyribonucleic acid, or DNA, into the host cell’s genome has been reported to occur. Further, our AAV delivery system has not been validated in human clinical trials previously, and if such delivery system does not meet the safety criteria or cannot provide the desired efficacy results, then we may be forced to suspend or terminate our development of SGT-001. If in the future we are unable to demonstrate that such adverse events were not caused by the administration process or related procedures, the FDA, the European Commission, the EMA or other regulatory authorities could order us to cease further development of, or deny approval of, SGT-001 or our other product candidate for any or all targeted indications. Even if we are able to demonstrate that any serious adverse events are not product-related, such occurrences could affect patient recruitment or the ability of enrolled patients to complete the trial.</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Additionally, if SGT-001 or our other product candidates receive marketing approval, the FDA could require us to adopt a REMS to ensure that the benefits outweigh the risks, which may include, among other things, a medication guide outlining the risks of the product for distribution to patients and a communication plan to health care practitioners. Furthermore, if we or others later identify undesirable side effects caused by SGT-001 or our other product candidates, several potentially significant negative consequences could result, including:</w:t>
      </w:r>
    </w:p>
    <w:p>
      <w:pPr>
        <w:spacing w:after="0" w:line="9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 candidates will remain subject to regulatory oversight.</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Even if we obtain any regulatory approval for SGT-001 or our other product candidates, we will be subject to ongoing regulatory requirements for manufacturing, labeling, packaging, storage, advertising, promotion, sampling, record-keeping and submission of safety and other post-market information. Any regulatory approvals that we receive for our product candidates may also be subject to a REMS, limitations on the approved indicated uses for which the product may be marketed or conditions of approval, or requirements for potentially costly post-marketing testing, including Phase IV clinical trials, and surveillance to monitor the quality, safety and efficacy of the product. Advertising and promotional materials must comply with FDA rules and are subject to FDA review, in addition to other potentially applicable federal and state laws.</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If we fail to comply with applicable regulatory requirements following approval of SGT-001 or our other product candidates, a regulatory authority may, among other things, suspend or withdraw regulatory approval, narrow the product label, restrict the marketing or manufacturing of the product, suspend any ongoing clinical trials or seize or detain the product or otherwise require the withdrawal of the product from the market.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Even if we obtain and maintain approval for SGT-001 or our other product candidates from the FDA, we may never obtain approval for our product candidates outside of the United States, which would limit our market opportunities and adversely affect our business.</w:t>
      </w:r>
    </w:p>
    <w:p>
      <w:pPr>
        <w:spacing w:after="0" w:line="3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Even if we receive FDA approval of SGT-001 or our other product candidates in the United States, 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Future sales of our product candidates outside of the United States will be subject to foreign regulatory requirements governing clinical trials, manufacturing and marketing approval.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We intend to submit a marketing authorization application, or MAA, to the EMA for approval of SGT-001 in the European Union, but obtaining such approval from the European Commission following the opinion of the EMA is a lengthy and expensive process.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SGT-001 or our other product candidates in certain countries.</w:t>
      </w:r>
    </w:p>
    <w:p>
      <w:pPr>
        <w:spacing w:after="0" w:line="18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Further, clinical trials conducted in one country may not be accepted by regulatory authorities in other countries. Also, regulatory approval for SGT-001 or our other product candidates may be withdrawn. If we fail to comply with the regulatory requirements, our target market will be reduced, and our ability to realize the full market potential of our product candidates will be harmed.</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requirements governing gene and cell therapy products have changed frequently and may continue to change in the future.</w:t>
      </w:r>
    </w:p>
    <w:p>
      <w:pPr>
        <w:spacing w:after="0" w:line="12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FDA has established the Office of Tissues and Advanced Therapies, or OTAT, within its Center for Biologics Evaluation and Research, or CBER, to consolidate the review of gene therapy and related products, and has established the Cellular, Tissue and Gene Therapies Advisory Committee to advise CBER in its review. Gene therapy clinical trials conducted at institutions that receive funding for recombinant DNA research from the United States National Institutes of Health, or the NIH, also are potentially subject to review by the NIH Office of Biotechnology Activities’ Recombinant DNA Advisory Committee, or the RAC; however, the NIH recently announced that the RAC will soon only publicly review clinical trials if the trials cannot be evaluated by standard oversight bodies and pose unusual risks. Although the FDA decides whether individual gene therapy protocols may proceed, the RAC public review process, if undertaken, can delay the initiation of a clinical trial, even if the FDA has reviewed the trial design and details and approved its initiation. Conversely, the FDA can put an IND on a clinical hold even if the RAC has provided a favorable review or an exemption from in-depth, public review. If we were to engage an NIH-funded institution to conduct a clinical trial, that institution’s institutional biosafety committee, or IBC, as well as its IRB would need to review the proposed clinical trial to assess the safety of the trial. In addition, adverse developments in clinical trials of gene therapy products conducted by others may cause the FDA or other oversight bodies to change the requirements for approval of our product candidates. Similarly, the EMA may issue new guidelines concerning the development and marketing authorization for gene therapy products and require that we comply with these new guidelines.</w:t>
      </w:r>
    </w:p>
    <w:p>
      <w:pPr>
        <w:spacing w:after="0" w:line="169" w:lineRule="exact"/>
        <w:rPr>
          <w:sz w:val="20"/>
          <w:szCs w:val="20"/>
          <w:color w:val="auto"/>
        </w:rPr>
      </w:pPr>
    </w:p>
    <w:p>
      <w:pPr>
        <w:ind w:right="480" w:firstLine="456"/>
        <w:spacing w:after="0" w:line="279" w:lineRule="auto"/>
        <w:rPr>
          <w:sz w:val="20"/>
          <w:szCs w:val="20"/>
          <w:color w:val="auto"/>
        </w:rPr>
      </w:pPr>
      <w:r>
        <w:rPr>
          <w:rFonts w:ascii="Arial" w:cs="Arial" w:eastAsia="Arial" w:hAnsi="Arial"/>
          <w:sz w:val="17"/>
          <w:szCs w:val="17"/>
          <w:color w:val="auto"/>
        </w:rPr>
        <w:t>In addition, ethical, social and legal concerns about gene therapy,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our product candidates are unsafe or pose a hazard could prevent us from commercializing any products. New government requirements may be established that could delay or prevent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we advance SGT-001 and our other product candidates, we will be required to consult with these regulatory and advisory groups, and comply with applicable guidelines.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SGT-001 or our other product candidates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benefit from orphan drug designation for SGT-001 or any of our product candidates.</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FDA and EMA granted SGT-001 orphan drug designation for the treatment of DMD in August 2016 and September 2016, respectively. The designation of SGT-001 as an orphan drug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 prior to our product candidate receiving exclusive marketing approval.</w:t>
      </w:r>
    </w:p>
    <w:p>
      <w:pPr>
        <w:spacing w:after="0" w:line="17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may lose orphan drug exclusivity if the FDA or EMA determines that the request for designation was materially defective or if we cannot assure sufficient quantity of the applicable drug to meet the needs of patients with DMD.</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Even if we maintain orphan drug exclusivity for SGT-001 or obtain orphan drug exclusivity for our other product candidate, the exclusivity may not effectively protect the product candidate from competition because regulatory authorities still may authorize different drugs for the same condition.</w:t>
      </w:r>
    </w:p>
    <w:p>
      <w:pPr>
        <w:spacing w:after="0" w:line="2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seek a breakthrough therapy designation for SGT-001 or our other product candidates, but we might not receive such designation, and even if we do, such designation may not lead to a faster development or regulatory review or approval process.</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seek a breakthrough therapy designation for SGT-001 or our other product candidates; however, we cannot assure you that SGT-001 or our other product candidates will meet the criteria for that designation. A breakthrough therapy is defined as a therapy that is intended, alone or in combination with one or more other therapies, to treat a serious condition, and preliminary clinical evidence indicates that the therapy may demonstrate substantial improvement over existing therapies on one or more clinically significant endpoints, such as substantial treatment effects observed early in clinical development. For therapies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priority review if supported by clinical data at the time the new drug application is submitted to the FDA.</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candidates qualify as breakthrough therapies, the FDA may later decide that the product candidate no longer meets the conditions for qualification or decide that the time period for FDA review or approval will not be shortened.</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FDA has granted RPDD to SGT-001; however, a BLA for SGT-001 may not meet the eligibility criteria for a priority review voucher upon approval.</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FDA has granted RPDD to SGT-001. RPDD does not guarantee that a BLA for such drug will meet the eligibility criteria for a rare pediatric disease priority review voucher at the time the application is approved. We will need to request a rare pediatric disease priority review voucher in our BLA for SGT-001. The use of a priority review voucher allows for a drug to be reviewed by the FDA within six months. However, the FDA may determine that a BLA for SGT-001 does not meet the eligibility criteria for a priority review voucher upon approval.</w:t>
      </w:r>
    </w:p>
    <w:p>
      <w:pPr>
        <w:spacing w:after="0" w:line="2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seek fast track designation for SGT-001 or our other product candidates, but we might not receive such designation, and even if we do, such designation may not actually lead to a faster development or regulatory review or approval process.</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a therapy is intended for the treatment of a serious condition and nonclinical or clinical data demonstrate the potential to address unmet medical need for this condition, a drug sponsor may apply for FDA fast track designation. If we seek fast track designation for a product candidate, we may not receive it from the FDA.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seek priority review designation for SGT-001 or our other product candidates, but we might not receive such designation, and even if we do, such designation may not lead to a faster development or regulatory review or approval process.</w:t>
      </w:r>
    </w:p>
    <w:p>
      <w:pPr>
        <w:spacing w:after="0" w:line="6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however, we cannot assume that SGT-001 or our other product candidates will meet the criteria for that designation.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We face significant competition and our competitors may achieve regulatory approval before us or develop therapies that are more advanced or effective than ours, which may adversely affect our ability to successfully market or commercialize SGT-001 or our other product candidates.</w:t>
      </w:r>
    </w:p>
    <w:p>
      <w:pPr>
        <w:spacing w:after="0" w:line="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operate in a highly competitive segment of the biopharmaceutical market. We face competition from many different sources, including larger and better-funded pharmaceutical, specialty pharmaceutical and biotechnology companies, as well as from academic institutions, government agencies and private and public research institutions. Our product candidates, if successfully developed and approved, will compete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established therapies as well as with new treatments that may be introduced by our competitors. There are a variety of product candidates, including gene therapies, in development for DMD. 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Our commercial opportunity could be reduced or eliminated if competitors develop and commercialize products that are safer, more effective, have fewer or less severe side effects, are more convenient or are less expensive than any product candidate that we may develop.</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aware of several companies focused on developing gene therapies in various indications, as well as several companies addressing other methods for modifying genes and regulating gene expression. Any advances in gene therapy technology made by a competitor may be used to develop therapies that could compete against SGT-001.</w:t>
      </w:r>
    </w:p>
    <w:p>
      <w:pPr>
        <w:spacing w:after="0" w:line="2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fail to capitalize on other potential product candidates that may represent a greater commercial opportunity or for which there is a greater likelihood of success.</w:t>
      </w:r>
    </w:p>
    <w:p>
      <w:pPr>
        <w:spacing w:after="0" w:line="6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success of our business depends upon our ability to develop and commercialize SGT-001 and our other product candidates. Because we have limited resources, we may forego or delay pursuit of opportunities with certain programs or product candidates or for indications that later prove to have greater commercial potential than SGT-001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If any of these events occur, we may be forced to abandon our development efforts with respect to a particular product candidate or fail to develop a potentially successful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manufacturing and commercialization of SGT-001 and our other product candidates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not be successful in finding strategic collaborators for continuing development of SGT-001 or our other product candidates or successfully commercializing or competing in the market for certain indications.</w:t>
      </w:r>
    </w:p>
    <w:p>
      <w:pPr>
        <w:spacing w:after="0" w:line="62"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intend to establish strategic partnerships for developing SGT-001 or our other product candidates due to capital costs required to develop, manufacture and commercialize our product candidates. We may not be successful in our efforts to establish such strategic partnerships or other alternative arrangements because our research and development pipeline may be insufficient, SGT-001 may be deemed to be at too early of a stage of development for collaborative effort or third parties may not view SGT-001 as having the requisite potential to demonstrate safety and efficacy. We cannot be certain that, following a strategic transaction, we will achieve an economic or business benefit that justifies such transaction.</w:t>
      </w:r>
    </w:p>
    <w:p>
      <w:pPr>
        <w:spacing w:after="0" w:line="17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reduce or delay the development of a product candidate, delay its potential commercialization, reduce the scope of any sales or marketing activities or increase our expenditures and undertake development, manufacturing or commercialization activities independently. If we elect to fund our own independent development or commercialization activities, we will need to obtain additional expertise and additional capital, which may not be available to us on acceptable terms or at all. If we fail to enter into collaborations and do not have sufficient funds or expertise to undertake the necessary development, manufacturing and commercialization activities, we may not be able to further develop SGT-001 or our other product candidates.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We have limited gene transfer manufacturing experience and could experience production problems and delays in obtaining regulatory approval of our manufacturing processes, which could result in delays in the development or commercialization of SGT-001 or our other product candidates.</w:t>
      </w:r>
    </w:p>
    <w:p>
      <w:pPr>
        <w:spacing w:after="0" w:line="16"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manufacturing process we use to produce SGT-001 is complex and has not been validated for commercial use. We have no experience manufacturing SGT-001 and our other product candidates. Building our own manufacturing facility will require substantial additional investment, will be time-consuming and may be subject to delays, including those resulting from compliance with regulatory requirements. In addition, building a manufacturing facility may cost more than we currently anticipate. Although we intend to establish our own manufacturing facility to support a commercial launch, if we are unable to do so, we may be unable to produce commercial materials or meet demand, if any should develop, for SGT-001 and our other product candidates. Any such failure could delay or prevent our commercialization of SGT-001 or our other product candidates.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production of SGT-001 requires processing steps that are more complex than those required for most chemical pharmaceuticals. Moreover, unlike chemical pharmaceuticals, the physical and chemical properties of a gene transfer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that SGT-001 is made strictly and consistently in compliance with the process. As a result of the limited number of FDA approvals for gene transfer products to date, the timeframe required for us to obtain approval for a cGMP gene therapy manufacturing facility in the United States is uncertain. We must supply all necessary documentation in support of a BLA or other MAA on a timely basis and must adhere to the FDA’s and the European Union’s cGMP requirements before SGT-001 and our other product candidates can obtain marketing approval. In order to obtain approval, we will need to ensure that all of our processes, methods and equipment are compliant with cGMP, and perform extensive audits of contract laboratories, manufacturers and suppliers.</w:t>
      </w:r>
    </w:p>
    <w:p>
      <w:pPr>
        <w:spacing w:after="0" w:line="18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currently rely on a third-party manufacturer for our SGT-001 supply, and our agreement with that manufacturer expires at the end of 2018. We do not currently have a backup manufacturer for SGT-001 supply for clinical trials, and have not selected a manufacturer or backup manufacturer for SGT-001 supply for commercial sale. In order to produce sufficient quantities of SGT-001 for future clinical trials and initial U.S. commercial demand, we will need to increase the scale of our manufacturing process at our third-party manufacturers, as well as through our own planned commercial-scale manufacturing facility. We may not be able to enter into arrangements with additional third-party manufacturers on favorable terms or at all. We may need to change our current manufacturing process. We may not be able to produce sufficient quantities of SGT-001 due to several factors, including equipment malfunctions, facility contamination, material shortages or contamination, natural disasters, disruption in utility services, human error or disruptions in the operations of our suppliers. If supply from a manufacturing facility is interrupted, there could be a significant disruption in commercial supply of SGT-001 or our other product candidates.</w:t>
      </w:r>
    </w:p>
    <w:p>
      <w:pPr>
        <w:spacing w:after="0" w:line="19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a regulatory authority may impose restrictions relative to that product, the manufacturing facility or us, including requiring recall or withdrawal of the product from the market or suspension of manufacturing.</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agency authorizes its release. Lot failures or product recalls could cause us to delay or abandon clinical trials or product launches.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We also may encounter problems hiring and retaining the experienced specialist scientific, quality control and manufacturing personnel needed to operate our manufacturing process, which could result in delays in our production or difficulties in maintaining compliance with applicable regulatory requirements.</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programs. Problems in our manufacturing process or facilities also could restrict our ability to meet market demand for SGT-001, our other product candidates or future product candidates.</w:t>
      </w:r>
    </w:p>
    <w:p>
      <w:pPr>
        <w:spacing w:after="0" w:line="29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Although we intend to establish our own SGT-001 manufacturing facility, we expect to utilize third parties to conduct our product manufacturing for the foreseeable future. Therefore, we are subject to the risk that these third parties may not perform satisfactorily or meet regulatory requirements.</w:t>
      </w:r>
    </w:p>
    <w:p>
      <w:pPr>
        <w:spacing w:after="0" w:line="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Until such time as we establish a manufacturing facility that has been properly validated to comply with FDA cGMP requirements, we will not be able to independently manufacture material for our current and future clinical programs. For clinical trials of SGT-001, we intend to utilize materials manufactured by cGMP compliant third-party suppliers. Even following our establishment of a validated cGMP manufacturing facility, we intend to maintain our current and additional third-party manufacturing capabilities in order to provide multiple sources of supply. In the event that the establishment of our own manufacturing facility is delayed and if these third-party manufacturers do not successfully carry out their contractual duties, meet expected deadlines or manufacture SGT-001 in accordance with regulatory requirements or if there are disagreements between us and these third-party manufacturers, we may not be able to complete, or may be delayed in completing, the preclinical studies required to support future IND submissions and the clinical trials required for approval of SGT-001. In such instances, we may need to locate an appropriate replacement third-party relationship, which may not be readily available or on acceptable terms, which would cause additional delay or increased expense prior to the approval of our product candidates.</w:t>
      </w:r>
    </w:p>
    <w:p>
      <w:pPr>
        <w:spacing w:after="0" w:line="167"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Additionally, we rely on our third-party manufacturers for their compliance with the cGMP and their maintenance of adequate quality control, quality assurance and qualified personnel. Furthermore, all of our third-party suppliers and manufacturers are engaged with other companies to supply and/or manufacture materials or products for such companies, which exposes them to regulatory risks for the production of such materials and products. FDA inspections may identify compliance issues at third-party manufacturer facilities or at the facilities of third-party suppliers that may disrupt production or distribution, or require substantial resources to correct and prevent recurrence of any deficiencies, and could result in fines or penalties by regulatory authorities. In addition, discovery of problems with a product or the failure to comply with applicable requirements may result in restrictions on a product, manufacturer or holder of an approved BLA, including withdrawal or recall of the product from the market or other voluntary, FDA-initiated or judicial action, including fines, injunctions, civil penalties, license revocations, seizure, total or partial suspension of production or criminal penalties, any of which could significantly and adversely affect supplies of our product candidates.</w:t>
      </w:r>
    </w:p>
    <w:p>
      <w:pPr>
        <w:spacing w:after="0" w:line="18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we do not currently have long-term supply or manufacturing arrangements in place for the production of SGT-001 at commercial scale. Although we intend to establish additional sources for long-term supply, including our own commercial-scale cGMP-compliant manufacturing facility and one or more third-party manufacturers, if the gene therapy industry were to grow, we may encounter increasing competition for the materials necessary for the production of SGT-001. We may experience difficulties in scaling up production beyond clinical batches. Furthermore, demand for third-party cGMP manufacturing facilities may grow at a faster rate than existing manufacturing capacity, which could disrupt our ability to find and retain third-party manufacturers capable of producing sufficient quantities of SGT-001 for future clinical trials or to meet initial commercial demand in the United States. We currently rely, and expect to continue to rely, on additional third parties to manufacture materials for our product candidates and to perform quality testing. Even following our establishment of our own cGMP-compliant manufacturing capabilities, we intend to maintain third-party manufacturers for these materials, as well as to serve as additional sources of SGT-001, which will expose us to risks including:</w:t>
      </w:r>
    </w:p>
    <w:p>
      <w:pPr>
        <w:spacing w:after="0" w:line="87"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control of manufacturing activities;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certain CMOs to produce our product candidates in the necessary quantities, or in compliance with current cGMP or in compliance with pertinent regulatory requirements and within our planned time frame and cost parameters;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suppliers caused by conditions unrelated to our business or operations, including the bankruptcy of the manufacturer or supplier.</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SGT-001 or our other product candidates. Some of these events could be the basis for FDA action, including injunction, recall, seizure or total or partial suspension of product manufacture.</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SGT-001 and our other product candidates, we will be unable to generate any product revenue.</w:t>
      </w:r>
    </w:p>
    <w:p>
      <w:pPr>
        <w:spacing w:after="0" w:line="62"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currently have no sales, distribution or marketing organization. To successfully commercialize any product candidate that may result from our development programs,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SGT-001 and our other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 funded sales, distribution and marketing operations to recruit, hire, train and retain marketing and sales personnel. We also face competition in our search for third parties to assist us with the sales and marketing efforts of SGT-001 and our other product candidates. Without an internal team or the support of a third party to perform marketing and sales functions, we may be unable to compete successfully against these more established companies.</w:t>
      </w:r>
    </w:p>
    <w:p>
      <w:pPr>
        <w:spacing w:after="0" w:line="2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establish medical affairs capabilities, we will be unable to establish an educated market of physicians to administer SGT-001 or our other product candidates.</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currently have no medical affairs team. If we are unable to successfully build a medical affairs team to address scientific and medical questions and provide expert guidance and education in the application, administration and utilization of SGT-001 and our other product candidates to physicians, we may not be able to establish an educated market for our products. The establishment and development of our own medical affairs team will be expensive and time-consuming and could delay any product launch. Moreover, we cannot be certain that we will be able to successfully develop this capability.</w:t>
      </w:r>
    </w:p>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SGT-001 are smaller than we believe they are, our revenue prospects may be adversely affected and our business may suffer.</w:t>
      </w:r>
    </w:p>
    <w:p>
      <w:pPr>
        <w:spacing w:after="0" w:line="62"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We currently focus our research and product development on treatments for DMD. Our understanding of the patient population with this disease is based on estimates in published literature and by DMD foundations. These estimates may prove to be incorrect and new studies may reduce the estimated incidence or prevalence of this disease. The number of patients in the United States, the European Union and elsewhere may turn out to be lower than expected, may not be otherwise amenable to treatment with our product candidate or patients may become increasingly difficult to identify and access.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Further, there are several factors that could contribute to making the actual number of patients who receive SGT-001 less than the potentially addressable market. These include the lack of widespread availability of, and limited reimbursement for, new therapies in many underdeveloped markets. Further, the severity of the progression of a degenerative disease such as DMD up to the time of treatment will likely diminish the therapeutic benefit conferred by a gene therapy due to irreversible cell damage.</w:t>
      </w:r>
    </w:p>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Certain patients’ immune systems might prohibit the successful delivery of certain gene therapy products, thereby potentially limiting treatment outcomes for these patients.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with many AAV-mediated gene therapy approaches, certain patients’ immune systems might prohibit the successful delivery of certain gene therapy products, thereby potentially limiting treatment outcomes of these patients. While we are working to better understand seroprevalence as it relates to gene therapies for DMD, the exact DMD-wide seroprevalence is currently unknown and it varies by AAV serotype and age. We may not be able to address this potentially limiting factor for gene therapy as a treatment for certain patients.</w:t>
      </w:r>
    </w:p>
    <w:p>
      <w:pPr>
        <w:spacing w:after="0" w:line="29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commercial success of SGT-001, if approved, will depend upon market acceptance by physicians, patients, third-party payors and others in the medical community.</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Even with the requisite approvals from the FDA in the United States, the European Commission in the European Union and other regulatory authorities internationally, the commercial success of SGT-001 will depend, in part, on the acceptance of physicians, patients and health care payors of gene therapy products in general, and SGT-001 in particular, as medically necessary, cost-effective and safe. Any product that we commercialize may not gain acceptance by physicians, patients, health care payors and others in the medical community due to ethical, social, medical and legal concerns. If these products do not achieve an adequate level of acceptance, we may not generate significant product revenue and may not become profitable. The degree of market acceptance of gene therapy products and, in particular, SGT-001, if approved for commercial sale, will depend on multiple factors, including:</w:t>
      </w:r>
    </w:p>
    <w:p>
      <w:pPr>
        <w:spacing w:after="0" w:line="7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safety of SGT-001 as demonstrated in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potential and perceived advantages of SGT-001 over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SGT-001 is approved by the FDA or the European Commission;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physicians to prescribe new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products to meet market demand;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publicity concerning our product candidates or competing products and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favorable third-party payor coverage and adequate reimbursement.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efforts to educate the medical community and third-party payors on the benefits of SGT-001 and our other product candidates may require significant resources and may never be successful. Such efforts may require more resources than are typically required due to the complexity and uniqueness of our potential product candidates. If SGT-001 or our other product candidates are approved but fail to achieve market acceptance among physicians, patients or third-party payors, we will not be able to generate significant revenue from any such product.</w:t>
      </w:r>
    </w:p>
    <w:p>
      <w:pPr>
        <w:spacing w:after="0" w:line="29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Our gene transfer approach utilizes a vector derived from a virus, which may be perceived as unsafe or may result in unforeseen adverse events. Negative public opinion and increased regulatory scrutiny of gene therapy may damage public perception of the safety of our SGT-001 gene transfer product candidate and adversely affect our ability to conduct our business or obtain regulatory approvals for SGT-001.</w:t>
      </w:r>
    </w:p>
    <w:p>
      <w:pPr>
        <w:spacing w:after="0" w:line="5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Gene transfer remains a novel technology and public perception may be influenced by claims that gene transfer is unsafe, and gene transfer may not gain the acceptance of the public or the medical community. In particular, our success will depend upon physicians who specialize in the treatment of DMD prescribing treatments that involve the use of SGT-001 in lieu of, or in addition to, other treatments with which they are more familiar and for which greater clinical data may be available. More restrictive government regulations or negative public opinion may delay or impair the development and commercialization of SGT-001 or demand for any product candidate we may develop. A public backlash developed against gene therapy following the death of a patient in 1999 during a gene therapy trial of research subjects with ornithine transcarbamylase, or OTC, deficiency, a rare disorder in which the liver lacks a functional copy of the OTC gene. The death of the trial subject was due to complications of adenovirus vector administration. Dr. James M. Wilson, chair of our Scientific Advisory Board, was a co-investigator of the 1999 trial while he was Director of the Institute for Human Gene Therapy of the University of Pennsylvania. Serious adverse events in our clinical trials, or other clinical trials involving gene transfer products or our competitors’ products, even if not ultimately attributable to the relevant product candidates, and the resulting publicity, could result in increased government regulation, unfavorable public perception, potential regulatory delays in the testing or approval of SGT-001, stricter labeling requirements for SGT-001 if approved and a decrease in demand for SGT-001.</w:t>
      </w:r>
    </w:p>
    <w:p>
      <w:pPr>
        <w:spacing w:after="0" w:line="2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time-consuming remedial measures.</w:t>
      </w:r>
    </w:p>
    <w:p>
      <w:pPr>
        <w:spacing w:after="0" w:line="62"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w:t>
      </w:r>
    </w:p>
    <w:p>
      <w:pPr>
        <w:spacing w:after="0" w:line="29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Given the nature of biologics manufacturing, there is a risk of contamination in our manufacturing processes. Any contamination could materially adversely affect our ability to produce SGT-001 on schedule and could cause reputational damage.</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SGT-001 could adversely impact or disrupt the commercial manufacturing or the production of clinical material, which could materially and adversely affect our development timelines.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7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There is significant uncertainty related to third-party coverage and reimbursement of newly approved products. We expect the cost of a single administration of gene transfer products, such as those we are developing, to be substantial, when and if they achieve regulatory approval. We expect that coverage and reimbursement by government and private payors will be essential for most patients to be able to afford these treatments. Accordingly, sales of SGT-001 will depend substantially, both domestically and abroad, on the extent to which the costs of SGT-001 will be paid by health maintenance, managed care, pharmacy benefit and similar health 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95"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Obtaining coverage and reimbursement for a product from third-party payors is a time-consuming and costly process that could require us to provide to the payor supporting scientific, clinical and cost-effectiveness data. If coverage and reimbursement are not available, or are available only at limited levels, we may not be able to successfully commercialize SGT-001 and our other product candidates. Even if coverage is provided, the approved reimbursement amount may not be adequate to realize a sufficient return on our investment.</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 our knowledge, no gene transfer product has been approved for coverage and reimbursement by the Centers for Medicare &amp; Medicaid Services, or the CMS, the agency responsible for administering the Medicaid program. It is difficult to predict what the CMS will decide with respect to coverage and reimbursement for fundamentally novel products such as ours, as there is no body of established practices and precedents for these types of products either in the United States or the European Union. For example, several cancer drugs have been approved for reimbursement in the United States and have not been approved for reimbursement in certain European Union member states and vice versa. It is difficult to predict what third-party payors will decide with respect to the coverage and reimbursement for SGT-001 and our other product candidates.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 if any.</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general, the prices of therapeutics outside the United States are substantially lower than in the United States. Other countries may allow companies to fix their own prices for therapeutics, but monitor and control company profits. Additional foreign price controls or other changes in pricing regulations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product revenue.</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Additionally, in countries where the pricing of gene therapy products is subject to governmental control, pricing negotiations with governmental authorities can take considerable time after the receipt of marketing approval for a product.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high-priced member states, can further reduce prices. To obtain reimbursement or pricing approval in some countries, we may be required to conduct a clinical trial that compares the cost-effectiveness of our product candidate to other available therapies. Reimbursement of our products may be unavailable or limited in scope or amount, which would adversely affect our revenue, if any.</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SGT-001 and our other product candidates outside of the United States, in particular in the European Union, a variety of risks associated with international operations could materially adversely affect our business.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that we will be subject to additional risks in commercializing SGT-001 and our other product candidates outside the United States, including:</w:t>
      </w:r>
    </w:p>
    <w:p>
      <w:pPr>
        <w:spacing w:after="0" w:line="154"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therapeutics in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material supply or manufacturing capabilities abroad;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failure to comply with applicable foreign regulatory requirements may result in, among other things, fines, suspension, variation or withdrawal of regulatory approvals, product recalls, seizure of products, operating restrictions and criminal prosecution.</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We may evaluate various acquisitions and strategic collaborations, including licensing or acquiring complementary products, intellectual property rights, technologies or businesses. Any potential acquisition or strategic collaboration may entail numerous risks, including:</w:t>
      </w:r>
    </w:p>
    <w:p>
      <w:pPr>
        <w:spacing w:after="0" w:line="5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75"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acquisition or strategic collaboration;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collaboration or even to offset transaction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employees, consultants and advisors and to attract, retain and motivate qualified personnel.</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highly dependent on members of our executive team, the loss of whose services may adversely impact the achievement of our objectives. While we have entered into employment agreements with certain of our executive officers, any of them could leave our employment at any time. We currently do not have “key person” insurance on any of our employees. The loss of the services of one or more of our current employees might impede the achievement of our research, development and commercialization objectives.</w:t>
      </w:r>
    </w:p>
    <w:p>
      <w:pPr>
        <w:spacing w:after="0" w:line="18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SGT-001 and any other product candidate that is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any future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30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 accurate information to the FDA, the EMA and other regulatory authorities, comply with health care fraud and abuse laws and regulations in the United States and abroad, report financial information or data accurately or disclose unauthorized activities to us. In particular, sales, marketing and business arrangements in the health care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including insider trading,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Our business and financial prospects could be affected by changes in health care spending and policy in the United States and abroad. We operate in a highly regulated industry and new laws or judicial decisions, or new interpretations of existing laws or decisions, related to health care availability, the method of delivery or payment for health care products and services could negatively impact our business, operations and financial condition.</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For example, in the United States there is significant interest in promoting health care reform, as evidenced by the enactment in the United States of the Patient Protection and Affordable Care Act and the companion Health Care and Education Reconciliation Act in 2010, or the Health Care Reform Law. The Health Care Reform Law increased federal oversight of private health insurance plans and included a number of provisions designed to reduce Medicare expenditures and the cost of health care generally, to reduce fraud and abuse, and to provide access to increased health coverage.</w:t>
      </w:r>
    </w:p>
    <w:p>
      <w:pPr>
        <w:spacing w:after="0" w:line="1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Health Care Reform Law also imposed substantial changes to the U.S. system for paying for health care, including programs to extend medical benefits to millions of individuals who have lacked insurance coverage. Generally, implementation of the Health Care Reform Law has thus far included significant cost-saving, revenue and payment reduction measures with respect to, for example, several government health care programs that might cover our products in the United States, should they be commercialized, including Medicaid and Medicare. Additional downward pricing pressure associated with the Health Care Reform Law includes that the Health Care Reform Law established and provided significant funding for a Patient-Centered Outcomes Research Institute to coordinate and fund Comparative Effectiveness Research, as those terms are defined in the Health Care Reform Law. While the stated intent of Comparative Effectiveness Research is to develop information to guide providers to the most efficacious therapies, outcomes of Comparative Effectiveness Research could influence the reimbursement or coverage for therapies that are determined to be less cost-effective than others. Should any of our products be approved for sale, but then determined to be less cost-effective than alternative therapies, the levels of reimbursement for these products, or the willingness to reimburse at all, could be adversely impacted.</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Another provision of the Health Care Reform Law, generally referred to as the Physician Payment Sunshine Act or Open Payments Program, has imposed new reporting and disclosure requirements for pharmaceutical and medical device manufacturers and distributors with certain FDA-approved products, such as approved vaccines, with regard to payments or other transfers of value made to certain U.S. health care practitioners, such as physicians and academic medical centers, and with regard to certain ownership interests held by physicians in reporting entities. The CMS publishes information from these reports on a publicly available website, including amounts transferred and the physician and teaching hospital identities.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Under the Physician Payment Sunshine Act, we are required to collect and report detailed information regarding certain financial relationships we have with physicians and teaching hospitals. Our compliance with these rules may also impose additional costs.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President and the majorities of both houses of Congress have stated their intention to repeal and replace the Health Care Reform Law although recent efforts to do so have failed. The uncertain status of the Health Care Reform Law ability to may have a negative impact on our business.</w:t>
      </w:r>
    </w:p>
    <w:p>
      <w:pPr>
        <w:spacing w:after="0" w:line="12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have been a number of federal and state legislative changes made over the last few years regarding the pricing of pharmaceutical and biologic products. Concerns about drug pricing have been expressed by members of Congress and the President.</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health care payors of to contain or reduce costs of health care may adversely affect:</w:t>
      </w:r>
    </w:p>
    <w:p>
      <w:pPr>
        <w:spacing w:after="0" w:line="92"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demand for any product candidates for which we may obtain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will be subject, directly or indirectly, to federal and state health care fraud and abuse laws, false claims laws, health information privacy and security laws, and other health care laws and regulations. If we are unable to comply, or have not fully complied, with such laws, we could face substantial penalties.</w:t>
      </w:r>
    </w:p>
    <w:p>
      <w:pPr>
        <w:spacing w:after="0" w:line="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obtain FDA approval for SGT-001 or our other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laws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99" w:lineRule="exact"/>
        <w:rPr>
          <w:sz w:val="20"/>
          <w:szCs w:val="20"/>
          <w:color w:val="auto"/>
        </w:rPr>
      </w:pPr>
    </w:p>
    <w:p>
      <w:pPr>
        <w:ind w:left="900" w:right="140" w:hanging="325"/>
        <w:spacing w:after="0" w:line="255"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 care program, such as the Medicare and Medicaid programs. This statute has been interpreted to apply to arrangements between pharmaceutical manufacturers on the one hand, and prescribers, purchasers and formulary managers on the other. The Health Care Reform Law amended the intent requirement of the federal Anti-Kickback Statute. A person or entity no longer needs to have actual knowledge of this statute or specific intent to violate it;</w:t>
      </w:r>
    </w:p>
    <w:p>
      <w:pPr>
        <w:spacing w:after="0" w:line="94"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64" w:lineRule="auto"/>
        <w:rPr>
          <w:sz w:val="20"/>
          <w:szCs w:val="20"/>
          <w:color w:val="auto"/>
        </w:rPr>
      </w:pPr>
      <w:r>
        <w:rPr>
          <w:rFonts w:ascii="Arial" w:cs="Arial" w:eastAsia="Arial" w:hAnsi="Arial"/>
          <w:sz w:val="18"/>
          <w:szCs w:val="18"/>
          <w:color w:val="auto"/>
        </w:rPr>
        <w:t>payment or approval from Medicare, Medicaid or other government payors that are false or fraudulent.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87" w:lineRule="exact"/>
        <w:rPr>
          <w:sz w:val="20"/>
          <w:szCs w:val="20"/>
          <w:color w:val="auto"/>
        </w:rPr>
      </w:pPr>
    </w:p>
    <w:p>
      <w:pPr>
        <w:ind w:left="900" w:right="26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a person from knowingly and willfully executing a scheme or from making false or fraudulent statements to defraud any health care benefit program, regardless of the payor (e.g., public or private);</w:t>
      </w:r>
    </w:p>
    <w:p>
      <w:pPr>
        <w:spacing w:after="0" w:line="86" w:lineRule="exact"/>
        <w:rPr>
          <w:rFonts w:ascii="Arial" w:cs="Arial" w:eastAsia="Arial" w:hAnsi="Arial"/>
          <w:sz w:val="18"/>
          <w:szCs w:val="18"/>
          <w:color w:val="auto"/>
        </w:rPr>
      </w:pPr>
    </w:p>
    <w:p>
      <w:pPr>
        <w:ind w:left="900" w:hanging="325"/>
        <w:spacing w:after="0" w:line="297"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63" w:lineRule="exact"/>
        <w:rPr>
          <w:rFonts w:ascii="Arial" w:cs="Arial" w:eastAsia="Arial" w:hAnsi="Arial"/>
          <w:sz w:val="16"/>
          <w:szCs w:val="16"/>
          <w:color w:val="auto"/>
        </w:rPr>
      </w:pPr>
    </w:p>
    <w:p>
      <w:pPr>
        <w:ind w:left="900" w:right="100" w:hanging="325"/>
        <w:spacing w:after="0" w:line="279"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federal transparency laws, including the federal Physician Payment Sunshine Act, that require certain manufacturers of drugs, devices, biologics and medical supplies for which payment is available under Medicare, Medicaid or the Children’s Health Insurance Program, with specific exceptions, to report annually to the CMS information related to: (i) payments or other “transfers of value” made to physicians and teaching hospitals and (ii) ownership and investment interests held by physicians and their immediate family members;</w:t>
      </w:r>
    </w:p>
    <w:p>
      <w:pPr>
        <w:spacing w:after="0" w:line="76" w:lineRule="exact"/>
        <w:rPr>
          <w:rFonts w:ascii="Arial" w:cs="Arial" w:eastAsia="Arial" w:hAnsi="Arial"/>
          <w:sz w:val="17"/>
          <w:szCs w:val="17"/>
          <w:color w:val="auto"/>
        </w:rPr>
      </w:pPr>
    </w:p>
    <w:p>
      <w:pPr>
        <w:ind w:left="900" w:right="160" w:hanging="325"/>
        <w:spacing w:after="0" w:line="279"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state laws that require drug manufacturers to report information related to payments and other transfers of value to physicians and other health 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 and</w:t>
      </w:r>
    </w:p>
    <w:p>
      <w:pPr>
        <w:spacing w:after="0" w:line="76"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w:t>
      </w:r>
    </w:p>
    <w:p>
      <w:pPr>
        <w:spacing w:after="0" w:line="15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we may run afoul of one or more of the requirements.</w:t>
      </w: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6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face an inherent risk of product liability exposure related to the testing of SGT-001, our other product candidates and any future product candidate in preclinical studies and clinical trials and may face an even greater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risk if we commercialize any product candidate that we may develop. If we cannot successfully defend ourselves against claims that our product candidates caused injuries, we could incur substantial liabilities. Regardless of merit or eventual outcome, liability claims may result in:</w:t>
      </w:r>
    </w:p>
    <w:p>
      <w:pPr>
        <w:spacing w:after="0" w:line="5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 that we may develop;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anticipate that we will need to increase our insurance coverage each time we commence a clinical trial and if we successfully commercialize any product candidate. Insurance coverage is increasingly expensive. We may not be able to maintain insurance coverage at a reasonable cost or in an amount adequate to satisfy any liability that may arise.</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viruses and other biologic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We also could incur significant costs associated with civil or criminal fines and penalties. We do not carry specific biological or hazardous waste insurance coverage, and our property, casualty and general liability insurance policies specifically exclude coverage for damages and fines arising from biological or hazardous waste exposure or contamination. 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Accordingly, in the event of contamination or injury, we could be held liable for damages or be penalized with fines in an amount exceeding our resources, and our clinical trials or regulatory approvals could be suspended.</w:t>
      </w:r>
    </w:p>
    <w:p>
      <w:pPr>
        <w:spacing w:after="0" w:line="180"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w:t>
      </w:r>
    </w:p>
    <w:p>
      <w:pPr>
        <w:spacing w:after="0" w:line="2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contractors or consultants, may fail or suffer security breaches, which could result in a material disruption of our product development.</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Despite the implementation of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While we are not aware of any such material system failure, accident or security breach to date, if such an event were to occur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preclinical studies or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SGT-001 and our other product candidates could be delayed.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heavily rely on certain in-licensed patents and other intellectual property rights in connection with our development of SGT-001 and may be required to acquire or license additional patents or other intellectual property rights to continue to develop and commercialize SGT-001.</w:t>
      </w:r>
    </w:p>
    <w:p>
      <w:pPr>
        <w:spacing w:after="0" w:line="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ability to develop and commercialize SGT-001 and other product candidates is heavily dependent on licenses to patent rights and other intellectual property granted to us by third parties. In particular, we have licensed certain patents and patent applications from the University of Michigan, the University of Missouri and the University of Washington that are important or necessary to the development of SGT-001 and other elements of our gene transfer program. Our existing license agreements impose, and we expect that future license agreements will impose, various diligence, development and commercialization obligations, milestone payments, royalties and other obligations on us. If we fail to comply with our obligations under these agreements, we may be subject to damages, which may be significant, and the licensor may have the right to terminate the license, in which event we may not be able to develop or market product candidates or technologies covered by the license, including SGT-001. In addition, certain of these license agreements are not assignable by us without the consent of the respective licensor, which may have an adverse effect on our ability to engage in certain transactions.</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our existing license agreements, we do not have, and under future license agreements we may not have, the right to control the preparation, filing and prosecution of patent applications, or the maintenance, enforcement and defense of the patents and patent applications that we license from third parties. For example, under our inbound license agreements with the University of Michigan, the University of Missouri and the University of Washington, each of the applicable licensors controls the prosecution of patent applications and the maintenance of patents and patent applications. Therefore, we cannot be certain that these patents and applications will be prosecuted, maintained, enforced and defended in a manner consistent with the best interests of our business. If our licensors fail to maintain, enforce or defend such patents, or lose rights to those patents or patent applications, the rights we have licensed may be reduced or eliminated and our right to develop and commercialize any of our product candidates that are the subject of such licensed rights, including SGT-001, could be adversely affected. For more information, see “Business—Strategic partnerships and collaborations/licenses.”</w:t>
      </w:r>
    </w:p>
    <w:p>
      <w:pPr>
        <w:spacing w:after="0" w:line="16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Moreover, licenses to additional third-party intellectual property, technology and materials are required for our development programs but may not be available in the future or may not be available on commercially reasonable terms. For example, we are aware of certain third-party patents related to certain microdystrophin constructs, which, if in force at the time of SGT-001’s commercialization, may be claimed by third parties to cover SGT-001. In addition, third parties may claim that the AAV vector we are developing for use in SGT-001 are covered by patents held by them. We believe that we would have valid defenses to any such claims; however, if any such claims were ultimately successful, we might require a license to continue to use and sell SGT-001 and such AAV vector. Such licenses may not be available on commercially reasonable terms, or at all. Moreover, even if we are able to obtain such licenses, they may only be non-exclusive, which could permit competitors and other third parties to use the same intellectual property in competition with us. If we are unable to successfully obtain rights to any third-party intellectual property rights that are required for the development and commercialization of SGT-001 or any of our other product candidates, and such third-party intellectual property rights are successfully asserted against us, we may be liable for damages, which may be significant, and we may be required to cease the development and commercialization of SGT-001 or our other product candidates.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success depends, in large part, on our and our licensors’ ability to seek, obtain, maintain, enforce and defend patent rights in the United States and other countries with respect to SGT-001, our other product candidates and our future innovation related to our manufacturing technology. Our licensors and we have sought, and we intend to continue to seek to protect our proprietary position by filing patent applications in the United States and, in at least some cases, one or more countries outside the United States related to SGT-001 and certain other product candidates that are important to our business. However, we cannot predict whether the patent applications we and our licensors are currently pursuing will issue as patents or whether the claims of any issued patents will provide us with a competitive advantage.</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Moreover, we currently do not own any issued patents or pending non-provisional patent applications and we only own two provisional patent applications in the United States. Each of these provisional patent applications is not eligible to become an issued patent until, among other things, we file a non-provisional patent application within 12 months of the filing date of each provisional patent application. If we do not timely file a non-provisional patent application in respect of a provisional patent application, we may lose our priority date with respect to such provisional patent application and any patent protection on the inventions disclosed in such provisional patent application. While we intend to timely file non-provisional patent applications relating to our provisional patent applications, we cannot predict whether such future patent applications will result in the issuance of patents that effectively protect any of our product candidates or will effectively prevent others from commercializing competitive products.</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also currently do not own or license any issued patents or pending patent applications with respect to our product candidate SB-001. While we have an option to negotiate a license for issued patents and pending patent applications relating to such product candidate, we may not exercise our option in a timely manner or at all, or satisfy any conditions upon which our option to such patents and patent applications is contingent. In addition, the third party granting us such option may breach our option agreement and license such patents and patent applications to other third parties, including our competitors, before we exercise our option. In any event, even if we exercise such option, we are still required to negotiate and enter into a definitive agreement pursuant to which we could license rights to the optioned patents and we may be unable to enter into such a definitive agreement within the required timeframe or under terms that are acceptable to us. If we are unable to do so, the party who has granted us our option may offer the patent rights to other parties. If we are unable to secure a license to any issued patents and pending patent applications relating to SB-001, we may need to cease our development of such product candidate.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file, prosecute, maintain, enforce, defend or license all patents that are necessary to our business.</w:t>
      </w:r>
    </w:p>
    <w:p>
      <w:pPr>
        <w:spacing w:after="0" w:line="11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The patent prosecution process is expensive, time-consuming and complex, and we and our licensors may not be able to file, prosecute, maintain, enforce, defend or license all necessary or desirable patents and patent applications at a reasonable cost or in a timely manner.</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It is also is currently unknown what claims may, if ever, issue from pending applications included in our patent rights. Additionally, certain of our in-licensed U.S. patent rights lack corresponding foreign patents or patent applications, and therefore we will be unable to obtain patent protection for our product candidates in certain jurisdictions. We or our licensors may not be able to obtain or maintain patent protection with respect to SGT-001 or our other product candidates.</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licensed patents or future owned patents.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Patent applications included in our current and future patent rights may not result in patents being issued that protect our product candidates, effectively prevent others from commercializing competitive products or otherwise provide any competitive advantage. In fact, patent applications may not issue as patents at all. Even assuming patents issue from patent applications in which we have rights, changes in either the patent laws or interpretation of the patent laws in the United States and other jurisdictions may diminish the value of our patents or narrow the scope of our patent protection.</w:t>
      </w:r>
    </w:p>
    <w:p>
      <w:pPr>
        <w:spacing w:after="0" w:line="165"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Other parties have developed products that may be related or competitive to our own and such parties may have filed or may file patent applications, or may have received or may receive patents, claiming inventions that may overlap or conflict with those claimed in our patent applications or issued patents. We may not be aware of all third-party intellectual property rights potentially relating to SGT-001, SB-001 or our other current or future product candidates. In addition, we cannot provide any assurances that any of the inventions disclosed in our patent applications will be found to be patentable, including over third-party or our own prior art patents, publications or other disclosures, or will issue as patents. Even if our patent applications issue as patents, we cannot provide any assurances that such patents will not be challenged or ultimately held to be invalid or unenforceable. Publications of discoveries in the scientific literature often lag behind the actual discoveries, and patent applications in the United States and in other jurisdictions are typically not published until</w:t>
      </w:r>
    </w:p>
    <w:p>
      <w:pPr>
        <w:spacing w:after="0" w:line="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18 months after filing, or, in some cases, at all. Therefore, we cannot know with certainty whether the inventors of our licensed patents and applications were the first to make the inventions claimed in those patents or pending patent applications, or that they were the first to file for patent protection of such inventions. Similarly, should we own any issued patents or patent applications in the future, we may not be certain that we were the first to file for patent protection for the inventions claimed in such patents or patent applications. Furthermore, given the differences in patent laws in the United States, Europe and other foreign jurisdictions, for example, the availability of grace periods for filing patent applications and what can be considered as prior art, we cannot make any assurances that any claims in our pending and future patent applications in the United States or other jurisdictions will issue, or if they do issue, whether they will issue in a form that provides us with any meaningful competitive advantage. Similarly, we cannot make any assurances that if the patentability, validity, enforceability or scope of our pending or future patents and patent applications in the United States or foreign jurisdictions are challenged by any third party, that the claims of such pending or future patents and patent applications will survive any such challenge in a form that provides us with any meaningful competitive advantage. For example, we are aware of certain third-party patents and publications related to certain microdystrophin constructs. While we believe that our owned or in-licensed patents and patent applications claim novel and non-obvious features of microdystrophin constructs that are not described in such third-party patents or publications, such third-party patents and publications may have earlier priority or publication dates and may be asserted as prior art against our owned or in-licensed patents and applications. Any such challenge, if successful, could limit or eliminate patent protection for our products and product candidates or otherwise materially harm our business. As a result, the issuance, scope, validity, enforceability and commercial value of our patent rights cannot be predicted with any certainty.</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may own in the future do issue as patents, they may not issue in a form that will provide us with any meaningful protection, prevent competitors or other third parties from competing with us or otherwise provide us with any competitive advantage.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Any patents that we license or may own in the future may be challenged, narrowed, circumvented, or invalidated by third parties. Consequently, we do not know whether any of our product candidates will be protectable or remain protected by valid and enforceable patents. Our competitors or other third parties may be able to circumvent our patents by developing similar or alternative products in a non-infringing manner.</w:t>
      </w:r>
    </w:p>
    <w:p>
      <w:pPr>
        <w:spacing w:after="0" w:line="16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degree of patent protection we require to successfully compete in the marketplace may be unavailable. We cannot provide any assurances that any of the patents or patent applications included in our patent rights include or will include claims with a scope sufficient to protect SGT-001 and our other product candidates or otherwise provide any competitive advantage. In addition, the laws of foreign countries may not protect our proprietary rights to the same extent as the laws of the United States. Furthermore, patents have a limited lifespan. In the United States, the natural expiration of a patent is generally twenty years after it is filed. Certain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patent rights may not provide us with adequate and continuing patent protection sufficient to exclude others from commercializing products similar or identical to our product candidates, including biosimilar versions of such products.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licensed patents, and any patents we may own in the future, may be challenged, narrowed, invalidated or held unenforceable.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Even if we acquire patent protection that we expect should enable us to maintain some competitive advantage, third parties, including competitors, may challenge the validity, enforceability or scope thereof, which may result in such patents being narrowed, invalidated or held unenforceable. In litigation, a competitor could claim that our in-licensed patents or any patents we may own in the future are not valid or enforceable for a number of reasons. If a court agrees, we would lose our rights to those challenged patents.</w:t>
      </w:r>
    </w:p>
    <w:p>
      <w:pPr>
        <w:spacing w:after="0" w:line="18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Even if issued, the issuance of a patent is not conclusive as to its inventorship, scope, validity or enforceability, and our current and future patent rights may be challenged in the courts or patent offices in the United States and abroad. For example, we may be subject to a third-party submission of prior art to the USPTO challenging the validity of one or more claims of patents included in our patent rights. Such submissions may also be made prior to a patent’s issuance, precluding the granting of a patent based on one of the pending patent applications included in our patent rights. We may become involved in opposition, derivation, revocation, reexamination, post-grant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challenging one or more patents included in our patent rights. For example, competitors may claim that they invented the inventions claimed in patents or patent applications included in our patent rights, such as the microdystrophin we use in SGT-001, prior to the inventors of such patents or patent applications, or may have filed one or more patent applications before the filing of the patents or patent applications included in our patent rights. A competitor who can establish an earlier filing or invention date may also assert that we are infringing their patents and that we therefore cannot practice our technology related to our product candidates as claimed in the patents or patent applications included in our patent rights. Competitors may also contest patents or patent applications included in our patent rights by showing that the claimed subject matter was not patent-eligible, was not novel or was obvious or that the patent claims failed any other requirement for patentability or enforceability. In addition, we may in the future be subject to claims by our or our licensors’ current or former employees or consultants asserting an ownership right in the patents or patent applications included in our patent rights as an inventor or co-inventor, as a result of the work they performed.</w:t>
      </w:r>
    </w:p>
    <w:p>
      <w:pPr>
        <w:spacing w:after="0" w:line="18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therapeutics, without payment to us, or could limit the duration of the patent protection covering our product candidates. Such challenges may also result in our inability to manufacture or commercialize our product candidates without infringing third-party patent rights, and we may be required to obtain a license from third parties, which may not be available on commercially reasonable terms or at all, or we may need to cease the development, manufacture and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commercialization of one or more of our product candidates. In addition, if the breadth or strength of protection provided by the patents and patent applications included in our patent rights is threatened, it could dissuade companies from collaborating with us to license, develop or commercialize current or future product candidates. Such proceedings also may result in substantial cost and require significant time from our scientists and management, even if the eventual outcome is favorable to us.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Even if they are unchallenged, the patents and pending patent applications included in our patent rights may not provide us with any meaningful protection or prevent competitors from designing around our patent claims to circumvent our patent rights by developing similar or alternative therapeutics in a non-infringing manner. For example, a third party may develop a competitive therapeutic that provides benefits similar to one or more of our product candidates but that uses a vector or an expression construct that falls outside the scope of our patent protection. If the patent protection provided by the patents and patent applications we license or pursue with respect to our product candidates is not sufficiently broad to impede such competition, our ability to successfully commercialize our product candidates could be negatively affected.</w:t>
      </w:r>
    </w:p>
    <w:p>
      <w:pPr>
        <w:spacing w:after="0" w:line="28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3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currently depend, and will continue to depend, on our license, collaboration and other similar agreements. Further development and commercialization of SGT-001 and our other current and future product candidates may require us to enter into additional license, collaboration or other similar agreements.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our licenses or material relationships are terminated or breached, we may:</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lose our rights to develop and market SGT-001 or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lose patent protection for SGT-001 or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experience significant delays in the development or commercialization of SGT-001 or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be able to obtain any other licenses on acceptable terms, if at all;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liability for damages.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risks apply to any agreements that we may enter into in the future for SGT-001 and our other current and future product candidates.</w:t>
      </w:r>
    </w:p>
    <w:p>
      <w:pPr>
        <w:spacing w:after="0" w:line="33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funding obligations. Also, pursuant to the terms of many of these license agreements, when and if commercial sales of a licensed product commence, we must pay royalties to our licensors on net sales of the respective licensed products.</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one or more of these same third parties or from others to advance our research or allow our commercialization of SGT-001 or other product candidates. It is possible that we may be unable to obtain additional licenses at a reasonable cost or on reasonable terms, if at all. In that event, we may be required to expend significant time and resources to redesign SGT-001, our other product candidates or the methods for manufacturing them or to develop or license replacement products, all of which may not be feasible on a technical or commercial basis. If we are unable to do so, we may be unable to develop or commercialize SGT-001 or our other product candidates. We cannot provide any assurances that third-party patents or other intellectual property rights do not exist that might be enforced against our manufacturing methods, product candidates or any technologies we may develop, resulting in either an injunction prohibiting our manufacture or sales, or, with respect to our sales, an obligation on our part to pay royalties and/or other forms of compensation to third parties.</w:t>
      </w:r>
    </w:p>
    <w:p>
      <w:pPr>
        <w:spacing w:after="0" w:line="166"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each of our existing license agreements, and we expect in our future agreements, patent prosecution of our licensed technology is controlled solely by the licensor, and we may be required to reimburse the licensor for their costs of patent prosecution.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Further, in each of our license agreements our licensors have the first right to bring any actions against any third party for infringing on the patents we have licensed. Our license agreements also require us to meet development thresholds to maintain the license, including establishing a set timeline for developing and commercializing product candidates. Disputes may arise regarding intellectual property subject to our licensing agreements, including:</w:t>
      </w:r>
    </w:p>
    <w:p>
      <w:pPr>
        <w:spacing w:after="0" w:line="83"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extent to which our products or processes infringe on intellectual property of the licensor that is not subject to the licensing agreement;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know-how resulting from the joint creation or use of intellectual property by our licensors and us and our partners;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priority of invention of licensed patented inventions.</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disputes over intellectual property that we have licensed prevent or impair our ability to maintain our current licensing arrangements on acceptable terms, we may be unable to successfully develop and commercialize SGT-001 or our other product candidates. In spite of our best efforts, our licensors might conclude that we have materially breached our license agreements and might therefore terminate the license agreements, thereby resulting in disputes or litigation, which could cause us to incur substantial costs and distract management’s time, and if we are unsuccessful, we could lose our ability to develop and commercialize products covered by these license agreements. If these licenses are ultimately terminated by the licensor, or if the underlying patents fail to provide the intended exclusivity, competitors would have the freedom to seek regulatory approval of, and to market, products identical to ours.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Our commercial success depends upon our ability and the ability of our future collaborators to develop, manufacture, market and sell SGT-001 and our other current and future product candidates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or our licensors may in the future become party to, or be threatened with, adversarial proceedings or litigation regarding intellectual property rights with respect to SGT-001 or our other product candidates, including interference proceedings, post 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before the USPTO. Our competitors or other third parties may assert infringement claims against us, alleging that, among other things, our therapeutics, manufacturing methods, formulations or administration methods are covered by their patents.</w:t>
      </w:r>
    </w:p>
    <w:p>
      <w:pPr>
        <w:spacing w:after="0" w:line="17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Given the vast number of patents in our field of technology, we cannot be certain or guarantee that a court would hold that SGT-001 or any of our other product candidates does not infringe an existing patent or a patent that may be granted in the future. Many companies and institutions have filed, and continue to file, patent applications related to gene therapy and related manufacturing methods.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may later result in issued patents that may be infringed by the manufacture, use, sale or importation of our product candidates and we may or may not be aware of such patents. If a patent holder believes the manufacture, use, sale or importation of one of our product candidates infringes its patent, the patent holder may sue us even if we have licensed other patent protection for our product candidates. Moreover, we may face patent infringement claims from non-practicing entities that have no relevant product revenue and against whom our licensed patent portfolio may therefore have no deterrent effect.</w:t>
      </w:r>
    </w:p>
    <w:p>
      <w:pPr>
        <w:spacing w:after="0" w:line="18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which we may need a license to develop and commercialize SGT-001 and our other product candidates.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product candidates.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product candidates.</w:t>
      </w:r>
    </w:p>
    <w:p>
      <w:pPr>
        <w:spacing w:after="0" w:line="178"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or other intellectual property rights against us. For example, as discussed above, third parties may claim that the microdystrophin or the AAV vector we are developing for use in SGT-001 is covered by patents held by them. Even if we believe such claim, or other intellectual property claims alleged by third parties are without merit, there is no assurance that we would be successful in defending such claims. A court of competent jurisdiction could hold that these third-party patents are valid, enforceable and infringed, which could materially and adversely affect our ability to commercialize SGT-001 or our other product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candidates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Similarly, there is no assurance that a court of competent jurisdiction would find that SGT-001 or our other product candidates did not infringe a third-party patent.</w:t>
      </w:r>
    </w:p>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If we are found, or believe there is a risk that we may be found, to infringe, misappropriate or otherwise violate a third party’s intellectual property rights, and we are unsuccessful in demonstrating that such intellectual property rights are invalid or unenforceable, we could be required or may choose to obtain a license from such third party to continue developing, manufacturing and marketing our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product candidate, including SGT-001. In addition, we could be found liable for monetary damages, including treble damages and attorneys’ fees, if we are found to have willfully infringed a patent or other intellectual property right. A finding of infringement, misappropriation or other violation of intellectual property rights, or claims that we have done so, could prevent us from manufacturing and commercializing our product candidates or force us to cease some or all of our business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time-consuming. Competitors may infringe patents that we may own in the future or the patents of our licensing partners or we may be required to defend against claims of infringement. Even if resolved in our favor, litigation or other legal proceedings relating to intellectual property claims may cause us to incur significant expenses and could distract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necessary rights to SGT-001 or our other product candidates through acquisitions and in-licenses.</w:t>
      </w:r>
    </w:p>
    <w:p>
      <w:pPr>
        <w:spacing w:after="0" w:line="129"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We currently have certain rights to intellectual property, through licenses from third parties, to develop SGT-001. Because development and commercialization of our current and future product candidates may require the use of additional proprietary rights held by these or other third parties, the growth of our business may depend, in part, on our ability to acquire, in-license or use these additional proprietary rights. We may be unable to acquire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or in-license any compositions, methods of use, processes or other intellectual property rights from third parties that we identify as necessary for SGT-001 or our other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6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may collaborate with non-profit and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required timeframe or under terms that are acceptable to us. If we are unable to do so, the institution may offer the intellectual property rights to other parties, potentially blocking our ability to pursue our program.</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SGT-001 or our other product candidates.</w:t>
      </w:r>
    </w:p>
    <w:p>
      <w:pPr>
        <w:spacing w:after="0" w:line="279"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and/or applications will be due to be paid to the USPTO and various government patent agencies outside of the United States over the lifetime of our licensed patents and applications and any patents and patent applications we may own in the future. The USPTO and various non-U.S. government patent agencies require compliance with several procedural, documentary, fee payment and other similar provisions during the patent application process. We employ reputable intellectual property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29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Some intellectual property that we have in-licensed may have been discovered through government-funded programs and thus may be subject to federal regulations such as “march-in” rights, certain reporting requirements, and a preference for U.S. manufacturing. Compliance with such regulations may limit our exclusive rights, and limit our ability to contract with non-U.S. manufacturers.</w:t>
      </w:r>
    </w:p>
    <w:p>
      <w:pPr>
        <w:spacing w:after="0" w:line="57"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Some of the intellectual property rights we have licensed, including such rights licensed from the University of Michigan, the University of Missouri and the University of Washington, are stated to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Filing, prosecuting, maintaining, enforcing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certain of our in-licensed U.S. patents lack corresponding foreign patents or patent applications. For example, the issued U.S. patents we license from the University of Michigan do not have any corresponding foreign patents or patent applications. Thus, we will not have the opportunity to obtain patent protection for the subject matter of such patents outside the United States.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inventions in jurisdictions where we and our licensors have not pursued and obtained patent protection to develop their own products and may export otherwise infringing products to territories where we have patent protection, but where enforcement is not as strong as it is in the United States. These products may compete with our product candidates and our patents or other intellectual property rights may not be effective or sufficient to prevent them from competing.</w:t>
      </w:r>
    </w:p>
    <w:p>
      <w:pPr>
        <w:spacing w:after="0" w:line="16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rights, particularly those relating to biotechnology products, which could make it difficult for us to stop the infringement of our patents, if pursued and obtained, or the marketing of competing products in violation of our intellectual property and proprietary rights generally. Proceedings to enforce our intellectual property and proprietary rights in foreign jurisdictions could (i) result in substantial costs and divert our efforts and attention from other aspects of our business, (ii) put our patents at risk of being invalidated or interpreted narrowly and our patent applications at risk of not issuing and (iii)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relating to SGT-001 or our other product candidates could be found invalid or unenforceable if challenged.</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If one of our licensing partners or we initiate legal proceedings against a third party to enforce a patent relating to SGT-001 or our other product candidates, the defendant could counterclaim that the patent covering our product candidate is invalid or unenforceable. In patent litigation in the United States, defendant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counterclaims alleging invalidity or unenforceability are commonplace. Grounds for a validity challenge could be an alleged failure to meet any of several statutory requirements, including lack of novelty, obviousness, written description, non-enablement or failure to claim patent eligible subject matter.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proceedings, derivation proceedings and equivalent proceedings in foreign jurisdictions (e.g., opposition proceedings). Such proceedings could result in the revocation or cancellation of or amendment to our licensed patents and any patents we may own in the future in such a way that they no longer cover SGT-001 or our other product candidates. The outcome following legal assertions of invalidity and unenforceability is unpredictable. With respect to the validity question, for example, we cannot be certain that there is no invalidating prior art, of which the patent examiner, we or our licensing partners were unaware during prosecution. If a defendant were to prevail on a legal assertion of invalidity or unenforceability, we could lose at least part, and perhaps all, of the patent protection on SGT-001 or our other product candidates or technologies.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the discovery and development processes of SGT-001 and our other product candidates that involve proprietary know-how, information or technology that is not covered by patents. Our manufacturing process is protected by trade secrets. However, trade secrets can be difficult to protect and some courts inside and outside the United States are less willing or unwilling to protect trade secrets.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seek to protect our proprietary know-how, trade secrets and processes, in part, by entering into confidentiality agreements and, if applicable, material transfer agreements, consulting agreements or other similar agreements with our employees, consultants, scientific advisors, CROs, manufacturers and contractors. These agreements typically limit the rights of third parties to use or disclose our confidential information. However, we may not be able to prevent the unauthorized disclosure or use of our technical know-how or other trade secrets by the parties to these agreements, despite the existence generally of confidentiality agreements and other contractual restrictions. We cannot guarantee that we have entered into such agreements with each party that may have or have had access to our trade secrets or proprietary processes. Monitoring unauthorized uses and disclosures is difficult and we do not know whether the steps we have taken to protect our proprietary know-how and trade secrets will be effective. If any of our employees, collaborators, CROs, manufacturers, consultants, advisors and other third parties who are parties to these agreements breaches or violates the terms of any of these agreements, we may not have adequate remedies for any such breach or violation. Enforcing a claim that a party illegally disclosed or misappropriated a trade secret is difficult, expensive, and time-consuming, and the outcome is unpredictable. As a result, we could lose our trade secrets. We also seek to preserve the integrity and confidentiality of our data and trade secrets by maintaining physical security of our premises and physical and electronic security of our information technology systems. While we have confidence in these security measures, they may still be breached, and we may not have adequate remedies for any breach.</w:t>
      </w:r>
    </w:p>
    <w:p>
      <w:pPr>
        <w:spacing w:after="0" w:line="16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addition, our trade secrets may otherwise become known or be independently discovered by competitors. Competitors could purchase our product candidates, if approved, and attempt to replicate some or all of the competitive advantages we derive from our development efforts, willfully infringe, misappropriate or otherwise violate our intellectual property rights, design around our protected know-how and trade secrets, or develop their own competitive technologies that fall outside of our intellectual property rights. If any of our trade secrets were to be lawfully obtained or independently developed by a competitor, we would have no right to prevent them, or those to whom they communicate such trade secrets, from using that technology or information to compete with us. If our trade secrets are not adequately protected so as to protect our market against competitors’ products and technologies, our competitive position could be adversely affected.</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Certain of our employees, consultants or advisors are currently, or were previously, employed at universities or other biotechnology or pharmaceutical companies, including our competitors or potential competitors, as well as our academic partners.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and may prevent us from successfully commercializing our product candidates. Moreover, any such litigation or the threat of such litigation may adversely affect our ability to hire employees or contract with independent contractors. A loss of key personnel or their work product could hamper or prevent our ability to commercialize our product candidates. Even if we are successful in defending against such claims, litigation could result in substantial costs and be a distraction to management.</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Moreover, individuals executing agreements with us may have preexisting or competing obligations to a third party, such as an academic institution, and thus an agreement with us may be ineffective in perfecting ownership of inventions developed by that individual.</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Prior to March 2013 in the United States, assuming that other requirements for patentability are met, the first to make the claimed invention was entitled to the patent, while outside the United States, the first to file a patent application was entitled to the patent. After March 2013, under the Leahy-Smith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through various post-grant proceedings administered by the USPTO.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as, among other reasons, the USPTO must still implement various regulations. However, the Leahy-Smith Act and its implementation could increase the uncertainties and costs surrounding the prosecution of our patent applications and the enforcement or defense of our issued patents.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been decided by the Supreme Court of the United States, or the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 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patent claim amounts to significantly more than the natural principle itself should be rejected as directed to patent-ineligible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may be patent-eligible.</w:t>
      </w:r>
    </w:p>
    <w:p>
      <w:pPr>
        <w:spacing w:after="0" w:line="16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 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6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7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for patents relating to SGT-001 or our other product candidates, our business may be materially harmed.</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Depending upon the timing, duration and specifics of any FDA marketing approval of SGT-001 and our other product candidates, one or more U.S. patents that we license or may own in the future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based on the first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regulatory approval for a particular drug or biologic.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be able to enter the market sooner.</w:t>
      </w:r>
    </w:p>
    <w:p>
      <w:pPr>
        <w:spacing w:after="0" w:line="3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and our business may be adversely affected.</w:t>
      </w:r>
    </w:p>
    <w:p>
      <w:pPr>
        <w:spacing w:after="0" w:line="6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registered trademarks with the USPTO for the marks “SOLID BIOSCIENCES”, “SOLID GT” and “SOLID”. Once registered,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900" w:right="16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in the future;</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make the inventions covered by the issued patent or pending patent applications that we license or may own in the future;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current and future license partners or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or duplicate any of our processes without infringing our owned or licensed intellectual property rights;</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others may circumvent our regulatory exclusivities, such as by pursuing approval of a competitive product candidate via the traditional approval pathway based on their own clinical data, rather than relying on the abbreviated pathway provided for biosimilar applicants;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issued patents that we hold rights to now or in the future may be held invalid or unenforceable, including as a result of legal challenges by our competitors;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have access to the same intellectual property rights licensed to us;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will maintain the ability to control all matters submitted to our stockholders for approval.</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Assuming the sale by us of shares of common stock in this offering (or shares if the underwriters exercise their option to purchase additional shares in full), our executive officers, directors and stockholders who owned more than 5% of our outstanding common stock before this offering will, in the aggregate, beneficially own shares representing approximately % of our capital stock upon completion of this offering. As a result, if these stockholders were to act together, they would be able to control all matters submitted to our stockholders for approval, as well as our management and affairs. For example, these persons, if they act together, would control the election of directors and approval of any merger, consolidation or sale of all or substantially all of our assets. This concentration of voting power could delay or prevent an acquisition of our company on terms that other stockholders may desire or result in management of our company with which our public stockholders disagree.</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performing well.</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Sales of a substantial number of shares of our common stock in the public market could occur at any time, subject to certain restrictions described</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below. These sales, or the perception in the market that holders of a large number of shares intend to sell shares, could reduce the market price of our common</w:t>
      </w:r>
    </w:p>
    <w:p>
      <w:pPr>
        <w:spacing w:after="0" w:line="3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stock. After this offering, we will have outstanding shares of common stock based on the number of shares outstanding as of , 2017. This includes the shares that we are selling in this offering, which may be resold in the public market immediately without restriction, unless purchased by our</w:t>
      </w:r>
    </w:p>
    <w:p>
      <w:pPr>
        <w:spacing w:after="0" w:line="281" w:lineRule="auto"/>
        <w:rPr>
          <w:sz w:val="20"/>
          <w:szCs w:val="20"/>
          <w:color w:val="auto"/>
        </w:rPr>
      </w:pPr>
      <w:r>
        <w:rPr>
          <w:rFonts w:ascii="Arial" w:cs="Arial" w:eastAsia="Arial" w:hAnsi="Arial"/>
          <w:sz w:val="16"/>
          <w:szCs w:val="16"/>
          <w:color w:val="auto"/>
        </w:rPr>
        <w:t>affiliates. The remaining shares are currently restricted as a result of securities laws or lock-up agreements but will be able to be sold after the offering as described in the “Shares eligible for future sale” and “Underwriting” sections of this prospectus. Moreover, after this offering, holders of an aggregate of</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approximately shares of our common stock will have rights, subject to some conditions, to require us to file registration statements covering their shares or to include their shares in registration statements that we may file for ourselves or other stockholders. In addition, million shares reserved for</w:t>
      </w:r>
    </w:p>
    <w:p>
      <w:pPr>
        <w:ind w:right="20"/>
        <w:spacing w:after="0" w:line="254" w:lineRule="auto"/>
        <w:rPr>
          <w:sz w:val="20"/>
          <w:szCs w:val="20"/>
          <w:color w:val="auto"/>
        </w:rPr>
      </w:pPr>
      <w:r>
        <w:rPr>
          <w:rFonts w:ascii="Arial" w:cs="Arial" w:eastAsia="Arial" w:hAnsi="Arial"/>
          <w:sz w:val="18"/>
          <w:szCs w:val="18"/>
          <w:color w:val="auto"/>
        </w:rPr>
        <w:t>future issuance under our 2018 Plan will become eligible for sale in the public market in the future, subject to certain legal and contractual limitations. We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J.P. Morgan Securities LLC, Goldman Sachs &amp; Co. LLC and Leerink Partners LLC may, in their sole discretion, release all or some portion of the shares subject to lock-up agreements at any time and for any reason.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11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initial public offering price of our common stock will be substantially higher than the net tangible book value per share of our common stock. Therefore, if you purchase shares of our common stock in this offering, you will pay a price per share that substantially exceeds our net tangible book value</w:t>
      </w:r>
    </w:p>
    <w:p>
      <w:pPr>
        <w:spacing w:after="0" w:line="281" w:lineRule="auto"/>
        <w:rPr>
          <w:sz w:val="20"/>
          <w:szCs w:val="20"/>
          <w:color w:val="auto"/>
        </w:rPr>
      </w:pPr>
      <w:r>
        <w:rPr>
          <w:rFonts w:ascii="Arial" w:cs="Arial" w:eastAsia="Arial" w:hAnsi="Arial"/>
          <w:sz w:val="16"/>
          <w:szCs w:val="16"/>
          <w:color w:val="auto"/>
        </w:rPr>
        <w:t>per share after this offering. Based on an assumed initial public offering price of $ per share, which is the midpoint of the price range set forth on the cover page of this prospectus, you will experience immediate dilution of $ per share, representing the difference between our pro forma net tangible book</w:t>
      </w:r>
    </w:p>
    <w:p>
      <w:pPr>
        <w:spacing w:after="0" w:line="1"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value per share after giving effect to this offering at the assumed initial public offering price. In addition, purchasers of common stock in this offering will have contributed approximately % of the aggregate price paid by all purchasers of our stock but will own only approximately % of our common stock outstanding after this offering. See “Dilution.”</w:t>
      </w:r>
    </w:p>
    <w:p>
      <w:pPr>
        <w:spacing w:after="0" w:line="2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or pharmaceutical companies in particular, has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92"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of SGT-001 or our other product candidates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the European Union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 candidates, or our clinical development programs and our commercialization efforts;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our development timelines;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inability to obtain or delays in obtaining adequate product supply for any approved product or inability to do so at acceptable prices;</w:t>
      </w:r>
    </w:p>
    <w:p>
      <w:pPr>
        <w:spacing w:after="0" w:line="142" w:lineRule="exact"/>
        <w:rPr>
          <w:rFonts w:ascii="Arial" w:cs="Arial" w:eastAsia="Arial" w:hAnsi="Arial"/>
          <w:sz w:val="17"/>
          <w:szCs w:val="17"/>
          <w:color w:val="auto"/>
        </w:rPr>
      </w:pPr>
    </w:p>
    <w:p>
      <w:pPr>
        <w:ind w:left="900" w:right="26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class-action litigation often has been instituted against that company. Such litigation, if instituted against us, could cause us to incur substantial costs to defend such claims and divert management’s attention and resources.</w:t>
      </w:r>
    </w:p>
    <w:p>
      <w:pPr>
        <w:spacing w:after="0" w:line="2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for our common stock will be determined through negotiations with the underwriters. Although we have applied to have our common stock listed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this offering; (iii) the date on which we have issued more than $1 billion in nonconvertible debt during the previous three years; and (iv) the date on which we are deemed to be a large accelerated filer under the rules of the SEC. For so long as we remain an EGC, we are permitted and intend to rely on exemptions from certain disclosure requirements that are applicable to other public companies that are not emerging growth companies. These exemptions include:</w:t>
      </w:r>
    </w:p>
    <w:p>
      <w:pPr>
        <w:spacing w:after="0" w:line="99"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30" w:lineRule="exact"/>
        <w:rPr>
          <w:rFonts w:ascii="Arial" w:cs="Arial" w:eastAsia="Arial" w:hAnsi="Arial"/>
          <w:sz w:val="18"/>
          <w:szCs w:val="18"/>
          <w:color w:val="auto"/>
        </w:rPr>
      </w:pPr>
    </w:p>
    <w:p>
      <w:pPr>
        <w:ind w:left="900" w:right="72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2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public company, and particularly after we are no longer an EGC, we will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once we are no longer an EGC,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9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spacing w:after="0" w:line="39"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our stock price.</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connection with the audits of our consolidated financial statements as of and for the years ended December 31, 2015 and December 31, 2016, we identified material weaknesses in our internal control over financial reporting. The material weaknesses we identified were as follows:</w:t>
      </w:r>
    </w:p>
    <w:p>
      <w:pPr>
        <w:spacing w:after="0" w:line="76" w:lineRule="exact"/>
        <w:rPr>
          <w:sz w:val="20"/>
          <w:szCs w:val="20"/>
          <w:color w:val="auto"/>
        </w:rPr>
      </w:pPr>
    </w:p>
    <w:p>
      <w:pPr>
        <w:ind w:left="900" w:right="4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our inability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to consistently establish appropriate authorities and responsibilities in pursuit of our financial reporting objectives, as demonstrated by, among other things, our insufficient segregation of duties in our finance and accounting functions. This material weakness contributed to the additional material weaknesses detailed below.</w:t>
      </w:r>
    </w:p>
    <w:p>
      <w:pPr>
        <w:spacing w:after="0" w:line="87" w:lineRule="exact"/>
        <w:rPr>
          <w:sz w:val="20"/>
          <w:szCs w:val="20"/>
          <w:color w:val="auto"/>
        </w:rPr>
      </w:pPr>
    </w:p>
    <w:p>
      <w:pPr>
        <w:ind w:left="900" w:right="12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Additionally, we did not design and maintain controls over the appropriate cut-off, classification and presentation of accounts and disclosures in the financial statements.</w:t>
      </w:r>
    </w:p>
    <w:p>
      <w:pPr>
        <w:spacing w:after="0" w:line="92" w:lineRule="exact"/>
        <w:rPr>
          <w:rFonts w:ascii="Arial" w:cs="Arial" w:eastAsia="Arial" w:hAnsi="Arial"/>
          <w:sz w:val="18"/>
          <w:szCs w:val="18"/>
          <w:color w:val="auto"/>
        </w:rPr>
      </w:pPr>
    </w:p>
    <w:p>
      <w:pPr>
        <w:ind w:left="900" w:right="30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processes and controls to analyze, account for and disclose complex transactions. Specifically, we did not design and maintain controls to analyze, account for and disclose complex transactions, including variable interest entities, preferred units, the preferred unit tranche right and equity-based compensation.</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Each of the control deficiencies could result in a misstatement of our accounts or disclosures that would result in a material misstatement of our annual or interim consolidated financial statements that would not be prevented or detected, and accordingly, we determined that these control deficiencies constitute material weaknesses.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These material weaknesses also resulted in a restatement of our previously issued 2015 annual consolidated financial statements and adjustments to our 2016 annual consolidated financial statements, which were recorded prior to their issuance.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in the process of implementing measures designed to improve our internal control over financial reporting and remediate the control deficiencies that led to the material weaknesses, including hiring additional finance and accounting personnel and initiating design and implementation of our financial control environment, including the establishment of formal accounting policies and procedures, financial reporting controls and controls to account for and disclose complex transactions.</w:t>
      </w:r>
    </w:p>
    <w:p>
      <w:pPr>
        <w:spacing w:after="0" w:line="18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share price may decline as a result.</w:t>
      </w:r>
    </w:p>
    <w:p>
      <w:pPr>
        <w:spacing w:after="0" w:line="303"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and our bylaws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Provisions in our corporate charter and our bylaws that will become effective prior to the effectiveness of the registration statement of which this prospectus forms a part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7"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our board are elected at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the approval of the holders of at least two-thirds of the votes that all our stockholders would be entitled to cast to amend or repeal certain provisions of our charter or bylaws.</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8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Our charter will provide that the Court of Chancery of the State of Delaware is the exclusive forum for certain litigation that may be initiated by our stockholders, which could limit our stockholders’ ability to obtain a favorable judicial forum for such disputes with us or our directors, officers or employees.</w:t>
      </w:r>
    </w:p>
    <w:p>
      <w:pPr>
        <w:spacing w:after="0" w:line="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charter that we expect it to be in effect prior to the effectiveness of the registration statement of which this prospectus forms a part will provide that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DGCL, our charter or our bylaws or (iv)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charter to be inapplicable or unenforceable in an action, we may incur additional costs associated with resolving such action in other jurisdictions.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300" w:type="dxa"/>
            <w:vAlign w:val="bottom"/>
            <w:gridSpan w:val="2"/>
          </w:tcPr>
          <w:p>
            <w:pPr>
              <w:ind w:left="3520"/>
              <w:spacing w:after="0"/>
              <w:rPr>
                <w:sz w:val="20"/>
                <w:szCs w:val="20"/>
                <w:color w:val="auto"/>
              </w:rPr>
            </w:pPr>
            <w:r>
              <w:rPr>
                <w:rFonts w:ascii="Arial" w:cs="Arial" w:eastAsia="Arial" w:hAnsi="Arial"/>
                <w:sz w:val="18"/>
                <w:szCs w:val="18"/>
                <w:b w:val="1"/>
                <w:bCs w:val="1"/>
                <w:color w:val="auto"/>
              </w:rPr>
              <w:t>USE OF PROCEEDS</w:t>
            </w:r>
          </w:p>
        </w:tc>
        <w:tc>
          <w:tcPr>
            <w:tcW w:w="15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18"/>
        </w:trPr>
        <w:tc>
          <w:tcPr>
            <w:tcW w:w="5820" w:type="dxa"/>
            <w:vAlign w:val="bottom"/>
            <w:gridSpan w:val="2"/>
          </w:tcPr>
          <w:p>
            <w:pPr>
              <w:ind w:left="460"/>
              <w:spacing w:after="0"/>
              <w:rPr>
                <w:sz w:val="20"/>
                <w:szCs w:val="20"/>
                <w:color w:val="auto"/>
              </w:rPr>
            </w:pPr>
            <w:r>
              <w:rPr>
                <w:rFonts w:ascii="Arial" w:cs="Arial" w:eastAsia="Arial" w:hAnsi="Arial"/>
                <w:sz w:val="18"/>
                <w:szCs w:val="18"/>
                <w:color w:val="auto"/>
                <w:w w:val="93"/>
              </w:rPr>
              <w:t>We expect to receive net proceeds from this offering of approximately $</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million, or approximately $</w:t>
            </w:r>
          </w:p>
        </w:tc>
        <w:tc>
          <w:tcPr>
            <w:tcW w:w="3100" w:type="dxa"/>
            <w:vAlign w:val="bottom"/>
          </w:tcPr>
          <w:p>
            <w:pPr>
              <w:ind w:left="180"/>
              <w:spacing w:after="0"/>
              <w:rPr>
                <w:sz w:val="20"/>
                <w:szCs w:val="20"/>
                <w:color w:val="auto"/>
              </w:rPr>
            </w:pPr>
            <w:r>
              <w:rPr>
                <w:rFonts w:ascii="Arial" w:cs="Arial" w:eastAsia="Arial" w:hAnsi="Arial"/>
                <w:sz w:val="18"/>
                <w:szCs w:val="18"/>
                <w:color w:val="auto"/>
                <w:w w:val="93"/>
              </w:rPr>
              <w:t>million if the underwriters exercise their</w:t>
            </w:r>
          </w:p>
        </w:tc>
      </w:tr>
      <w:tr>
        <w:trPr>
          <w:trHeight w:val="230"/>
        </w:trPr>
        <w:tc>
          <w:tcPr>
            <w:tcW w:w="6660" w:type="dxa"/>
            <w:vAlign w:val="bottom"/>
            <w:gridSpan w:val="3"/>
          </w:tcPr>
          <w:p>
            <w:pPr>
              <w:spacing w:after="0"/>
              <w:rPr>
                <w:sz w:val="20"/>
                <w:szCs w:val="20"/>
                <w:color w:val="auto"/>
              </w:rPr>
            </w:pPr>
            <w:r>
              <w:rPr>
                <w:rFonts w:ascii="Arial" w:cs="Arial" w:eastAsia="Arial" w:hAnsi="Arial"/>
                <w:sz w:val="18"/>
                <w:szCs w:val="18"/>
                <w:color w:val="auto"/>
                <w:w w:val="96"/>
              </w:rPr>
              <w:t>option to purchase additional shares in full (assuming an initial public offering price of $</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w w:val="90"/>
              </w:rPr>
              <w:t>per share, which is the midpoint of the price range set forth on</w:t>
            </w:r>
          </w:p>
        </w:tc>
      </w:tr>
    </w:tbl>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cover page of this prospectus), after deducting the underwriting discounts and commissions and estimated offering expenses payable by us.</w:t>
      </w:r>
    </w:p>
    <w:p>
      <w:pPr>
        <w:spacing w:after="0" w:line="222"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After giving effect to the $55 million of net proceeds received in October 2017 from the Series 2 Preferred Financing, as of September 30, 2017, we had cash, cash equivalents and available-for-sale securities of $84.6 million. We intend to use the net proceeds from this offering, together with our existing cash and cash equivalents, as follows:</w:t>
      </w:r>
    </w:p>
    <w:p>
      <w:pPr>
        <w:spacing w:after="0" w:line="87" w:lineRule="exact"/>
        <w:rPr>
          <w:sz w:val="20"/>
          <w:szCs w:val="20"/>
          <w:color w:val="auto"/>
        </w:rPr>
      </w:pPr>
    </w:p>
    <w:p>
      <w:pPr>
        <w:ind w:left="900" w:right="56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 million to fund research and development expenses, including to advance SGT-001 through preliminary results from Phase I/II clinical trial activities, which we initiated in the fourth quarter of 2017;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remainder for general and administrative expenses and other general corporate purposes.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Based on our current operational plans and assumptions, we expect that the net proceeds from this offering, combined with our current cash, cash</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equivalents and available-for-sale securities, will be sufficient to fund operations through and enable us to advance SGT-001 through preliminary results from our planned Phase I/II clinical trial activities, which we initiated in the fourth quarter of 2017. We will need to raise additional capital in order to complete the Phase I/II clinical trials and any potential future trials that may be required by regulatory authorities.</w:t>
      </w:r>
    </w:p>
    <w:p>
      <w:pPr>
        <w:spacing w:after="0" w:line="19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expected use of net proceeds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 We believe opportunities may exist from time to time to expand our current business through the acquisition or in-license of complementary product candidates. While we have no current agreements for any specific acquisitions or in-licenses at this time, we may use a portion of the net proceeds for these purposes.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amounts and timing of our actual expenditures will depend on numerous factors, including the progress of our clinical trials and other development and commercialization efforts for SGT-001,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46"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240" w:top="459" w:right="6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CONVERSION</w:t>
      </w:r>
    </w:p>
    <w:p>
      <w:pPr>
        <w:spacing w:after="0" w:line="22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currently operate as a Delaware limited liability company under the name Solid Biosciences, LLC. Prior to the effectiveness of the registration statement of which this prospectus forms a part, Solid Biosciences, LLC will convert into a Delaware corporation pursuant to a statutory conversion and change its name to Solid Biosciences Inc. In addition, special purpose entities formed solely for the purpose of holding membership interests in our limited liability company will be merged with and into us. In this prospectus, we refer to all of the transactions related to our conversion to a corporation and the mergers described above as the Corporate Conversion.</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conjunction with the Corporate Conversion, all of our outstanding units will be converted into an aggregate of shares of our common stock (which includes shares of restricted stock). The number of shares of common stock and the number of shares of restricted stock issuable in connection with the Corporate Conversion will be determined pursuant to the applicable provisions of the plan of conversion.</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connection with the Corporate Conversion, Solid Biosciences Inc. will continue to hold all property and assets of Solid Biosciences, LLC and will assume all of the debts and obligations of Solid Biosciences, LLC. Solid Biosciences Inc. will be governed by a certificate of incorporation filed with the Delaware Secretary of State and bylaws, the material portions of which are described under the heading “Description of capital stock.” On the effective date of the Corporate Conversion, the members of the board of managers of Solid Biosciences, LLC will become the members of Solid Biosciences Inc.’s board of directors and the officers of Solid Biosciences, LLC will become the officers of Solid Biosciences Inc.</w:t>
      </w:r>
    </w:p>
    <w:p>
      <w:pPr>
        <w:spacing w:after="0" w:line="17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purpose of the Corporate Conversion is to reorganize our corporate structure so that the top-tier entity in our corporate structure—the entity that is offering common stock to the public in this offering—is a corporation rather than a limited liability company and so that our existing investors will own our common stock rather than membership units in a limited liability company.</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Except as otherwise noted herein, the consolidated financial statements included elsewhere in this prospectus are those of Solid Biosciences, LLC and its combined operations. We do not expect that the Corporate Conversion will have a material effect on the results of our core operations.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AND 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describes our cash, cash equivalents and available-for-sale securities and capitalization as of September 30, 2017:</w:t>
      </w:r>
    </w:p>
    <w:p>
      <w:pPr>
        <w:spacing w:after="0" w:line="154"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 pro forma basis to give effect to the Corporate Conversion and the Series 2 Preferred Financing; and</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on a pro forma as adjusted basis to additionally give effect to the sale of shares of our common stock in this offering, assuming an initial public offering price of $ per share, which is the midpoint of the price range set forth on the cover page of this prospectus, after deducting the underwriting discounts and commissions and estimated offering expenses payable by us.</w:t>
      </w:r>
    </w:p>
    <w:p>
      <w:pPr>
        <w:spacing w:after="0" w:line="181"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jc w:val="both"/>
        <w:ind w:right="480" w:firstLine="456"/>
        <w:spacing w:after="0" w:line="264" w:lineRule="auto"/>
        <w:rPr>
          <w:sz w:val="20"/>
          <w:szCs w:val="20"/>
          <w:color w:val="auto"/>
        </w:rPr>
      </w:pPr>
      <w:r>
        <w:rPr>
          <w:rFonts w:ascii="Arial" w:cs="Arial" w:eastAsia="Arial" w:hAnsi="Arial"/>
          <w:sz w:val="18"/>
          <w:szCs w:val="18"/>
          <w:color w:val="auto"/>
        </w:rPr>
        <w:t>You should read the following information together with the information contained under the headings “Selected consolidated financial data” and “Management’s discussion and analysis of financial condition and results of operations” and our consolidated financial statements and the related notes appearing at the end of this prospectus.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As of September 30, 2017</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Actual</w:t>
            </w:r>
          </w:p>
        </w:tc>
        <w:tc>
          <w:tcPr>
            <w:tcW w:w="460" w:type="dxa"/>
            <w:vAlign w:val="bottom"/>
          </w:tcPr>
          <w:p>
            <w:pPr>
              <w:spacing w:after="0"/>
              <w:rPr>
                <w:sz w:val="10"/>
                <w:szCs w:val="10"/>
                <w:color w:val="auto"/>
              </w:rPr>
            </w:pPr>
          </w:p>
        </w:tc>
        <w:tc>
          <w:tcPr>
            <w:tcW w:w="14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4"/>
              </w:rPr>
              <w:t xml:space="preserve">Pro forma </w:t>
            </w:r>
            <w:r>
              <w:rPr>
                <w:rFonts w:ascii="Arial" w:cs="Arial" w:eastAsia="Arial" w:hAnsi="Arial"/>
                <w:sz w:val="12"/>
                <w:szCs w:val="12"/>
                <w:b w:val="1"/>
                <w:bCs w:val="1"/>
                <w:color w:val="auto"/>
                <w:w w:val="94"/>
              </w:rPr>
              <w:t>(1)(2)</w:t>
            </w:r>
          </w:p>
        </w:tc>
        <w:tc>
          <w:tcPr>
            <w:tcW w:w="160" w:type="dxa"/>
            <w:vAlign w:val="bottom"/>
          </w:tcPr>
          <w:p>
            <w:pPr>
              <w:spacing w:after="0"/>
              <w:rPr>
                <w:sz w:val="10"/>
                <w:szCs w:val="10"/>
                <w:color w:val="auto"/>
              </w:rPr>
            </w:pPr>
          </w:p>
        </w:tc>
        <w:tc>
          <w:tcPr>
            <w:tcW w:w="88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gridSpan w:val="3"/>
            <w:vMerge w:val="continue"/>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 xml:space="preserve">as adjusted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cash equivalents and available-for-sale securities</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29,570</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84,570</w:t>
            </w: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gridSpan w:val="2"/>
            <w:vMerge w:val="restart"/>
          </w:tcPr>
          <w:p>
            <w:pPr>
              <w:spacing w:after="0"/>
              <w:rPr>
                <w:sz w:val="20"/>
                <w:szCs w:val="20"/>
                <w:color w:val="auto"/>
              </w:rPr>
            </w:pPr>
            <w:r>
              <w:rPr>
                <w:rFonts w:ascii="Arial" w:cs="Arial" w:eastAsia="Arial" w:hAnsi="Arial"/>
                <w:sz w:val="18"/>
                <w:szCs w:val="18"/>
                <w:color w:val="auto"/>
              </w:rPr>
              <w:t>Redeemable preferred units</w:t>
            </w:r>
          </w:p>
        </w:tc>
        <w:tc>
          <w:tcPr>
            <w:tcW w:w="19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69,177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19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360"/>
              <w:spacing w:after="0"/>
              <w:rPr>
                <w:sz w:val="20"/>
                <w:szCs w:val="20"/>
                <w:color w:val="auto"/>
              </w:rPr>
            </w:pPr>
            <w:r>
              <w:rPr>
                <w:rFonts w:ascii="Arial" w:cs="Arial" w:eastAsia="Arial" w:hAnsi="Arial"/>
                <w:sz w:val="18"/>
                <w:szCs w:val="18"/>
                <w:color w:val="auto"/>
              </w:rPr>
              <w:t>Series A, B, C and D common units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64,191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ind w:left="360"/>
              <w:spacing w:after="0"/>
              <w:rPr>
                <w:sz w:val="20"/>
                <w:szCs w:val="20"/>
                <w:color w:val="auto"/>
              </w:rPr>
            </w:pPr>
            <w:r>
              <w:rPr>
                <w:rFonts w:ascii="Arial" w:cs="Arial" w:eastAsia="Arial" w:hAnsi="Arial"/>
                <w:sz w:val="18"/>
                <w:szCs w:val="18"/>
                <w:color w:val="auto"/>
                <w:w w:val="95"/>
              </w:rPr>
              <w:t>Accumulated members’ deficit</w:t>
            </w:r>
          </w:p>
        </w:tc>
        <w:tc>
          <w:tcPr>
            <w:tcW w:w="19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(109,771)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members’ deficit</w:t>
            </w:r>
          </w:p>
        </w:tc>
        <w:tc>
          <w:tcPr>
            <w:tcW w:w="19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(45,583)</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9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50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$0.001 par value per share (no shares authorized, issued and</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actual;</w:t>
            </w:r>
          </w:p>
        </w:tc>
        <w:tc>
          <w:tcPr>
            <w:tcW w:w="1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shares authorized,</w:t>
            </w:r>
          </w:p>
        </w:tc>
        <w:tc>
          <w:tcPr>
            <w:tcW w:w="28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shares issued and</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pro forma;</w:t>
            </w:r>
          </w:p>
        </w:tc>
        <w:tc>
          <w:tcPr>
            <w:tcW w:w="1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authorized,</w:t>
            </w:r>
          </w:p>
        </w:tc>
        <w:tc>
          <w:tcPr>
            <w:tcW w:w="2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shares issued and</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outstanding, pro forma as adjusted)</w:t>
            </w:r>
          </w:p>
        </w:tc>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500" w:type="dxa"/>
            <w:vAlign w:val="bottom"/>
            <w:gridSpan w:val="5"/>
          </w:tcPr>
          <w:p>
            <w:pPr>
              <w:ind w:left="360"/>
              <w:spacing w:after="0" w:line="201" w:lineRule="exact"/>
              <w:rPr>
                <w:sz w:val="20"/>
                <w:szCs w:val="20"/>
                <w:color w:val="auto"/>
              </w:rPr>
            </w:pPr>
            <w:r>
              <w:rPr>
                <w:rFonts w:ascii="Arial" w:cs="Arial" w:eastAsia="Arial" w:hAnsi="Arial"/>
                <w:sz w:val="18"/>
                <w:szCs w:val="18"/>
                <w:color w:val="auto"/>
              </w:rPr>
              <w:t>Preferred stock, $0.001 par value per share (no shares authorized, issued and</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ind w:left="540"/>
              <w:spacing w:after="0"/>
              <w:rPr>
                <w:sz w:val="20"/>
                <w:szCs w:val="20"/>
                <w:color w:val="auto"/>
              </w:rPr>
            </w:pPr>
            <w:r>
              <w:rPr>
                <w:rFonts w:ascii="Arial" w:cs="Arial" w:eastAsia="Arial" w:hAnsi="Arial"/>
                <w:sz w:val="18"/>
                <w:szCs w:val="18"/>
                <w:color w:val="auto"/>
              </w:rPr>
              <w:t>outstanding, actual;</w:t>
            </w: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shares authorized, none issued and outstanding, pro</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3"/>
          </w:tcPr>
          <w:p>
            <w:pPr>
              <w:ind w:left="540"/>
              <w:spacing w:after="0"/>
              <w:rPr>
                <w:sz w:val="20"/>
                <w:szCs w:val="20"/>
                <w:color w:val="auto"/>
              </w:rPr>
            </w:pPr>
            <w:r>
              <w:rPr>
                <w:rFonts w:ascii="Arial" w:cs="Arial" w:eastAsia="Arial" w:hAnsi="Arial"/>
                <w:sz w:val="18"/>
                <w:szCs w:val="18"/>
                <w:color w:val="auto"/>
              </w:rPr>
              <w:t>forma and pro forma as adjusted)</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9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9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19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78,594</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19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23,594</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78,594</w:t>
            </w: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 w:hanging="452"/>
        <w:spacing w:after="0" w:line="279"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connection with the Corporate Conversion, preferred units, Series A, B, C and D common units and members’ accumulated deficit will be reduced to zero to reflect the elimination of all outstanding units and other interests in Solid Biosciences, LLC and corresponding adjustments will be reflected as common stock, additional paid-in capital, stockholders’ accumulated deficit, stockholders’ accumulated other comprehensive loss and total stockholders’ equity of Solid Biosciences Inc. The pro forma and pro forma as adjusted information is illustrative only.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table sets forth the number of shares of common stock and restricted common stock that will be issued in connection with the Corporate Conversion and the consummation of this offering to holders of our Series A, B, C, and D common units:</w:t>
      </w:r>
    </w:p>
    <w:p>
      <w:pPr>
        <w:spacing w:after="0" w:line="19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Shares of common stock to be issued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-119380</wp:posOffset>
            </wp:positionV>
            <wp:extent cx="550545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Series A common units</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Series B vested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560"/>
        <w:spacing w:after="0"/>
        <w:rPr>
          <w:sz w:val="20"/>
          <w:szCs w:val="20"/>
          <w:color w:val="auto"/>
        </w:rPr>
      </w:pPr>
      <w:r>
        <w:rPr>
          <w:rFonts w:ascii="Arial" w:cs="Arial" w:eastAsia="Arial" w:hAnsi="Arial"/>
          <w:sz w:val="18"/>
          <w:szCs w:val="18"/>
          <w:color w:val="auto"/>
        </w:rPr>
        <w:t>Series C common units</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Series D vested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1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Shares of restricted common stock to be issued for:</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Series B unvested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560"/>
        <w:spacing w:after="0"/>
        <w:rPr>
          <w:sz w:val="20"/>
          <w:szCs w:val="20"/>
          <w:color w:val="auto"/>
        </w:rPr>
      </w:pPr>
      <w:r>
        <w:rPr>
          <w:rFonts w:ascii="Arial" w:cs="Arial" w:eastAsia="Arial" w:hAnsi="Arial"/>
          <w:sz w:val="18"/>
          <w:szCs w:val="18"/>
          <w:color w:val="auto"/>
        </w:rPr>
        <w:t>Series D unvested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5715</wp:posOffset>
            </wp:positionV>
            <wp:extent cx="4032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you invest in our common stock, your ownership interest will be diluted to the extent of the difference between the initial public offering price in this offering per share of our common stock and the pro forma as adjusted net tangible book value per share of our common stock upon consummation of this offering. Net tangible book value per share represents the book value of our total tangible assets less the book value of our total liabilities divided by the number of shares of common stock then issued and outstanding.</w:t>
      </w:r>
    </w:p>
    <w:p>
      <w:pPr>
        <w:spacing w:after="0" w:line="18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After giving effect to the Series 2 Preferred Financing and the Corporate Conversion, pro forma net tangible book value as of September 30, 2017 was $ million, or $ per share based on shares of our common stock outstanding. After giving effect to our sale of shares of common stock in this offering, at an assumed initial public offering price of $ per share, (the midpoint of the price range set forth on the cover page of this</w:t>
      </w:r>
    </w:p>
    <w:p>
      <w:pPr>
        <w:spacing w:after="0"/>
        <w:rPr>
          <w:sz w:val="20"/>
          <w:szCs w:val="20"/>
          <w:color w:val="auto"/>
        </w:rPr>
      </w:pPr>
      <w:r>
        <w:rPr>
          <w:rFonts w:ascii="Arial" w:cs="Arial" w:eastAsia="Arial" w:hAnsi="Arial"/>
          <w:sz w:val="16"/>
          <w:szCs w:val="16"/>
          <w:color w:val="auto"/>
        </w:rPr>
        <w:t>prospectus), and after deducting the underwriting discounts and commissions and estimated offering expenses payable by us, our pro forma as adjusted net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gridSpan w:val="2"/>
          </w:tcPr>
          <w:p>
            <w:pPr>
              <w:spacing w:after="0"/>
              <w:rPr>
                <w:sz w:val="20"/>
                <w:szCs w:val="20"/>
                <w:color w:val="auto"/>
              </w:rPr>
            </w:pPr>
            <w:r>
              <w:rPr>
                <w:rFonts w:ascii="Arial" w:cs="Arial" w:eastAsia="Arial" w:hAnsi="Arial"/>
                <w:sz w:val="18"/>
                <w:szCs w:val="18"/>
                <w:color w:val="auto"/>
                <w:w w:val="96"/>
              </w:rPr>
              <w:t>tangible book value as of September 30, 2017 would have been $</w:t>
            </w:r>
          </w:p>
        </w:tc>
        <w:tc>
          <w:tcPr>
            <w:tcW w:w="1140" w:type="dxa"/>
            <w:vAlign w:val="bottom"/>
          </w:tcPr>
          <w:p>
            <w:pPr>
              <w:spacing w:after="0"/>
              <w:rPr>
                <w:sz w:val="20"/>
                <w:szCs w:val="20"/>
                <w:color w:val="auto"/>
              </w:rPr>
            </w:pPr>
            <w:r>
              <w:rPr>
                <w:rFonts w:ascii="Arial" w:cs="Arial" w:eastAsia="Arial" w:hAnsi="Arial"/>
                <w:sz w:val="18"/>
                <w:szCs w:val="18"/>
                <w:color w:val="auto"/>
              </w:rPr>
              <w:t>million, or $</w:t>
            </w:r>
          </w:p>
        </w:tc>
        <w:tc>
          <w:tcPr>
            <w:tcW w:w="5220" w:type="dxa"/>
            <w:vAlign w:val="bottom"/>
            <w:gridSpan w:val="6"/>
          </w:tcPr>
          <w:p>
            <w:pPr>
              <w:ind w:left="120"/>
              <w:spacing w:after="0"/>
              <w:rPr>
                <w:sz w:val="20"/>
                <w:szCs w:val="20"/>
                <w:color w:val="auto"/>
              </w:rPr>
            </w:pPr>
            <w:r>
              <w:rPr>
                <w:rFonts w:ascii="Arial" w:cs="Arial" w:eastAsia="Arial" w:hAnsi="Arial"/>
                <w:sz w:val="18"/>
                <w:szCs w:val="18"/>
                <w:color w:val="auto"/>
              </w:rPr>
              <w:t>per share (assuming no exercise of the underwriters’ option to</w:t>
            </w:r>
          </w:p>
        </w:tc>
        <w:tc>
          <w:tcPr>
            <w:tcW w:w="0" w:type="dxa"/>
            <w:vAlign w:val="bottom"/>
          </w:tcPr>
          <w:p>
            <w:pPr>
              <w:spacing w:after="0"/>
              <w:rPr>
                <w:sz w:val="1"/>
                <w:szCs w:val="1"/>
                <w:color w:val="auto"/>
              </w:rPr>
            </w:pPr>
          </w:p>
        </w:tc>
      </w:tr>
      <w:tr>
        <w:trPr>
          <w:trHeight w:val="216"/>
        </w:trPr>
        <w:tc>
          <w:tcPr>
            <w:tcW w:w="7980" w:type="dxa"/>
            <w:vAlign w:val="bottom"/>
            <w:gridSpan w:val="4"/>
          </w:tcPr>
          <w:p>
            <w:pPr>
              <w:spacing w:after="0"/>
              <w:rPr>
                <w:sz w:val="20"/>
                <w:szCs w:val="20"/>
                <w:color w:val="auto"/>
              </w:rPr>
            </w:pPr>
            <w:r>
              <w:rPr>
                <w:rFonts w:ascii="Arial" w:cs="Arial" w:eastAsia="Arial" w:hAnsi="Arial"/>
                <w:sz w:val="18"/>
                <w:szCs w:val="18"/>
                <w:color w:val="auto"/>
                <w:w w:val="92"/>
              </w:rPr>
              <w:t>purchase additional shares of our common stock). This represents an immediate and substantial dilution of $</w:t>
            </w:r>
          </w:p>
        </w:tc>
        <w:tc>
          <w:tcPr>
            <w:tcW w:w="3440" w:type="dxa"/>
            <w:vAlign w:val="bottom"/>
            <w:gridSpan w:val="5"/>
          </w:tcPr>
          <w:p>
            <w:pPr>
              <w:ind w:left="180"/>
              <w:spacing w:after="0"/>
              <w:rPr>
                <w:sz w:val="20"/>
                <w:szCs w:val="20"/>
                <w:color w:val="auto"/>
              </w:rPr>
            </w:pPr>
            <w:r>
              <w:rPr>
                <w:rFonts w:ascii="Arial" w:cs="Arial" w:eastAsia="Arial" w:hAnsi="Arial"/>
                <w:sz w:val="18"/>
                <w:szCs w:val="18"/>
                <w:color w:val="auto"/>
              </w:rPr>
              <w:t>per share to new investors purchasing</w:t>
            </w:r>
          </w:p>
        </w:tc>
        <w:tc>
          <w:tcPr>
            <w:tcW w:w="0" w:type="dxa"/>
            <w:vAlign w:val="bottom"/>
          </w:tcPr>
          <w:p>
            <w:pPr>
              <w:spacing w:after="0"/>
              <w:rPr>
                <w:sz w:val="1"/>
                <w:szCs w:val="1"/>
                <w:color w:val="auto"/>
              </w:rPr>
            </w:pPr>
          </w:p>
        </w:tc>
      </w:tr>
      <w:tr>
        <w:trPr>
          <w:trHeight w:val="230"/>
        </w:trPr>
        <w:tc>
          <w:tcPr>
            <w:tcW w:w="6200" w:type="dxa"/>
            <w:vAlign w:val="bottom"/>
            <w:gridSpan w:val="3"/>
          </w:tcPr>
          <w:p>
            <w:pPr>
              <w:spacing w:after="0"/>
              <w:rPr>
                <w:sz w:val="20"/>
                <w:szCs w:val="20"/>
                <w:color w:val="auto"/>
              </w:rPr>
            </w:pPr>
            <w:r>
              <w:rPr>
                <w:rFonts w:ascii="Arial" w:cs="Arial" w:eastAsia="Arial" w:hAnsi="Arial"/>
                <w:sz w:val="18"/>
                <w:szCs w:val="18"/>
                <w:color w:val="auto"/>
                <w:w w:val="94"/>
              </w:rPr>
              <w:t>common stock in this offering. The following table illustrates this dilution per share:</w:t>
            </w:r>
          </w:p>
        </w:tc>
        <w:tc>
          <w:tcPr>
            <w:tcW w:w="1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380" w:type="dxa"/>
            <w:vAlign w:val="bottom"/>
            <w:gridSpan w:val="4"/>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9"/>
              </w:rPr>
              <w:t>Pro forma net tangible book value per share as of September 30, 2017</w:t>
            </w:r>
          </w:p>
        </w:tc>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Increase in pro forma net tangible book value per share attributable to this offering</w:t>
            </w:r>
          </w:p>
        </w:tc>
        <w:tc>
          <w:tcPr>
            <w:tcW w:w="17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4"/>
          </w:tcPr>
          <w:p>
            <w:pPr>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18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380" w:type="dxa"/>
            <w:vAlign w:val="bottom"/>
            <w:gridSpan w:val="4"/>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following table summarizes, on a pro forma as adjusted basis as of September 30, 2017, the differences between the number of shares of common stock purchased from us, the total consideration paid and the average price per share paid by existing stockholders and to be paid by the new investors</w:t>
      </w:r>
    </w:p>
    <w:p>
      <w:pPr>
        <w:ind w:right="80"/>
        <w:spacing w:after="0" w:line="255" w:lineRule="auto"/>
        <w:rPr>
          <w:sz w:val="20"/>
          <w:szCs w:val="20"/>
          <w:color w:val="auto"/>
        </w:rPr>
      </w:pPr>
      <w:r>
        <w:rPr>
          <w:rFonts w:ascii="Arial" w:cs="Arial" w:eastAsia="Arial" w:hAnsi="Arial"/>
          <w:sz w:val="18"/>
          <w:szCs w:val="18"/>
          <w:color w:val="auto"/>
        </w:rPr>
        <w:t>purchasing shares of common stock in this offering, at an assumed initial public offering price of $ per share, which is the midpoint of the price range set forth on the cover page of this prospectus, before deducting the underwriting discounts and commissions and estimated offering expenses payable by us in connection with this offering.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Shares purchased</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 consideration</w:t>
            </w:r>
          </w:p>
        </w:tc>
        <w:tc>
          <w:tcPr>
            <w:tcW w:w="620" w:type="dxa"/>
            <w:vAlign w:val="bottom"/>
            <w:vMerge w:val="restart"/>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4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60" w:type="dxa"/>
            <w:vAlign w:val="bottom"/>
            <w:tcBorders>
              <w:bottom w:val="single" w:sz="8" w:color="auto"/>
            </w:tcBorders>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price per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4"/>
                <w:szCs w:val="4"/>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85"/>
              </w:rPr>
              <w:t>Percent</w:t>
            </w: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vMerge w:val="restart"/>
          </w:tcPr>
          <w:p>
            <w:pPr>
              <w:jc w:val="right"/>
              <w:ind w:right="530"/>
              <w:spacing w:after="0"/>
              <w:rPr>
                <w:sz w:val="20"/>
                <w:szCs w:val="20"/>
                <w:color w:val="auto"/>
              </w:rPr>
            </w:pPr>
            <w:r>
              <w:rPr>
                <w:rFonts w:ascii="Arial" w:cs="Arial" w:eastAsia="Arial" w:hAnsi="Arial"/>
                <w:sz w:val="14"/>
                <w:szCs w:val="14"/>
                <w:b w:val="1"/>
                <w:bCs w:val="1"/>
                <w:color w:val="auto"/>
                <w:w w:val="85"/>
              </w:rPr>
              <w:t>Percent</w:t>
            </w: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investors</w:t>
            </w:r>
          </w:p>
        </w:tc>
        <w:tc>
          <w:tcPr>
            <w:tcW w:w="1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New investors in this offering</w:t>
            </w: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88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88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060" w:type="dxa"/>
            <w:vAlign w:val="bottom"/>
            <w:gridSpan w:val="2"/>
          </w:tcPr>
          <w:p>
            <w:pPr>
              <w:ind w:left="44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5340" w:type="dxa"/>
            <w:vAlign w:val="bottom"/>
            <w:gridSpan w:val="12"/>
          </w:tcPr>
          <w:p>
            <w:pPr>
              <w:ind w:left="180"/>
              <w:spacing w:after="0"/>
              <w:rPr>
                <w:sz w:val="20"/>
                <w:szCs w:val="20"/>
                <w:color w:val="auto"/>
              </w:rPr>
            </w:pPr>
            <w:r>
              <w:rPr>
                <w:rFonts w:ascii="Arial" w:cs="Arial" w:eastAsia="Arial" w:hAnsi="Arial"/>
                <w:sz w:val="18"/>
                <w:szCs w:val="18"/>
                <w:color w:val="auto"/>
                <w:w w:val="90"/>
              </w:rPr>
              <w:t>per share of common stock, which is the midpoint of the price range set</w:t>
            </w:r>
          </w:p>
        </w:tc>
        <w:tc>
          <w:tcPr>
            <w:tcW w:w="0" w:type="dxa"/>
            <w:vAlign w:val="bottom"/>
          </w:tcPr>
          <w:p>
            <w:pPr>
              <w:spacing w:after="0"/>
              <w:rPr>
                <w:sz w:val="1"/>
                <w:szCs w:val="1"/>
                <w:color w:val="auto"/>
              </w:rPr>
            </w:pPr>
          </w:p>
        </w:tc>
      </w:tr>
      <w:tr>
        <w:trPr>
          <w:trHeight w:val="216"/>
        </w:trPr>
        <w:tc>
          <w:tcPr>
            <w:tcW w:w="9660" w:type="dxa"/>
            <w:vAlign w:val="bottom"/>
            <w:gridSpan w:val="11"/>
          </w:tcPr>
          <w:p>
            <w:pPr>
              <w:spacing w:after="0"/>
              <w:rPr>
                <w:sz w:val="20"/>
                <w:szCs w:val="20"/>
                <w:color w:val="auto"/>
              </w:rPr>
            </w:pPr>
            <w:r>
              <w:rPr>
                <w:rFonts w:ascii="Arial" w:cs="Arial" w:eastAsia="Arial" w:hAnsi="Arial"/>
                <w:sz w:val="18"/>
                <w:szCs w:val="18"/>
                <w:color w:val="auto"/>
                <w:w w:val="92"/>
              </w:rPr>
              <w:t>forth on the cover page of this prospectus, would increase (decrease) total consideration paid by new investors in this offering by $</w:t>
            </w:r>
          </w:p>
        </w:tc>
        <w:tc>
          <w:tcPr>
            <w:tcW w:w="1760" w:type="dxa"/>
            <w:vAlign w:val="bottom"/>
            <w:gridSpan w:val="4"/>
          </w:tcPr>
          <w:p>
            <w:pPr>
              <w:ind w:left="120"/>
              <w:spacing w:after="0"/>
              <w:rPr>
                <w:sz w:val="20"/>
                <w:szCs w:val="20"/>
                <w:color w:val="auto"/>
              </w:rPr>
            </w:pPr>
            <w:r>
              <w:rPr>
                <w:rFonts w:ascii="Arial" w:cs="Arial" w:eastAsia="Arial" w:hAnsi="Arial"/>
                <w:sz w:val="18"/>
                <w:szCs w:val="18"/>
                <w:color w:val="auto"/>
              </w:rPr>
              <w:t>and would increase</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w w:val="91"/>
              </w:rPr>
              <w:t>(decrease) the average price per share paid by new investors by $</w:t>
            </w:r>
          </w:p>
        </w:tc>
        <w:tc>
          <w:tcPr>
            <w:tcW w:w="6540" w:type="dxa"/>
            <w:vAlign w:val="bottom"/>
            <w:gridSpan w:val="13"/>
          </w:tcPr>
          <w:p>
            <w:pPr>
              <w:ind w:left="180"/>
              <w:spacing w:after="0"/>
              <w:rPr>
                <w:sz w:val="20"/>
                <w:szCs w:val="20"/>
                <w:color w:val="auto"/>
              </w:rPr>
            </w:pPr>
            <w:r>
              <w:rPr>
                <w:rFonts w:ascii="Arial" w:cs="Arial" w:eastAsia="Arial" w:hAnsi="Arial"/>
                <w:sz w:val="18"/>
                <w:szCs w:val="18"/>
                <w:color w:val="auto"/>
                <w:w w:val="95"/>
              </w:rPr>
              <w:t>, assuming the number of shares of common stock offered, as set forth on the cover</w:t>
            </w:r>
          </w:p>
        </w:tc>
        <w:tc>
          <w:tcPr>
            <w:tcW w:w="0" w:type="dxa"/>
            <w:vAlign w:val="bottom"/>
          </w:tcPr>
          <w:p>
            <w:pPr>
              <w:spacing w:after="0"/>
              <w:rPr>
                <w:sz w:val="1"/>
                <w:szCs w:val="1"/>
                <w:color w:val="auto"/>
              </w:rPr>
            </w:pPr>
          </w:p>
        </w:tc>
      </w:tr>
    </w:tbl>
    <w:p>
      <w:pPr>
        <w:ind w:right="80"/>
        <w:spacing w:after="0" w:line="255" w:lineRule="auto"/>
        <w:rPr>
          <w:sz w:val="20"/>
          <w:szCs w:val="20"/>
          <w:color w:val="auto"/>
        </w:rPr>
      </w:pPr>
      <w:r>
        <w:rPr>
          <w:rFonts w:ascii="Arial" w:cs="Arial" w:eastAsia="Arial" w:hAnsi="Arial"/>
          <w:sz w:val="18"/>
          <w:szCs w:val="18"/>
          <w:color w:val="auto"/>
        </w:rPr>
        <w:t>page of this prospectus, remains the same and without deducting the underwriting discounts and commissions and offering expenses payable by us in connection with this offering. If the underwriters exercise in full their option to purchase additional shares of our common stock in the offering, the following will occur:</w:t>
      </w:r>
    </w:p>
    <w:p>
      <w:pPr>
        <w:sectPr>
          <w:pgSz w:w="11900" w:h="16838" w:orient="portrait"/>
          <w:cols w:equalWidth="0" w:num="1">
            <w:col w:w="11420"/>
          </w:cols>
          <w:pgMar w:left="240" w:top="459" w:right="239" w:bottom="1440" w:gutter="0" w:footer="0" w:header="0"/>
        </w:sectPr>
      </w:pPr>
    </w:p>
    <w:p>
      <w:pPr>
        <w:spacing w:after="0" w:line="9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our common stock held by new investors will increase to</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of the total number of shares of our common</w:t>
      </w:r>
    </w:p>
    <w:p>
      <w:pPr>
        <w:spacing w:after="0" w:line="46" w:lineRule="exact"/>
        <w:rPr>
          <w:sz w:val="20"/>
          <w:szCs w:val="20"/>
          <w:color w:val="auto"/>
        </w:rPr>
      </w:pPr>
    </w:p>
    <w:p>
      <w:pPr>
        <w:sectPr>
          <w:pgSz w:w="11900" w:h="16838" w:orient="portrait"/>
          <w:cols w:equalWidth="0" w:num="4">
            <w:col w:w="640" w:space="260"/>
            <w:col w:w="5900" w:space="720"/>
            <w:col w:w="240" w:space="220"/>
            <w:col w:w="3440"/>
          </w:cols>
          <w:pgMar w:left="240" w:top="459" w:right="2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stock outstanding after this offering; and</w:t>
      </w:r>
    </w:p>
    <w:p>
      <w:pPr>
        <w:sectPr>
          <w:pgSz w:w="11900" w:h="16838" w:orient="portrait"/>
          <w:cols w:equalWidth="0" w:num="1">
            <w:col w:w="11420"/>
          </w:cols>
          <w:pgMar w:left="240" w:top="459" w:right="239" w:bottom="1440" w:gutter="0" w:footer="0" w:header="0"/>
          <w:type w:val="continuous"/>
        </w:sectPr>
      </w:pPr>
    </w:p>
    <w:p>
      <w:pPr>
        <w:spacing w:after="0" w:line="13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pro forma as adjusted net tangible book value would be $</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per share and the dilution to new investors in this offering would be $</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per</w:t>
      </w:r>
    </w:p>
    <w:p>
      <w:pPr>
        <w:spacing w:after="0" w:line="46" w:lineRule="exact"/>
        <w:rPr>
          <w:sz w:val="20"/>
          <w:szCs w:val="20"/>
          <w:color w:val="auto"/>
        </w:rPr>
      </w:pPr>
    </w:p>
    <w:p>
      <w:pPr>
        <w:sectPr>
          <w:pgSz w:w="11900" w:h="16838" w:orient="portrait"/>
          <w:cols w:equalWidth="0" w:num="4">
            <w:col w:w="640" w:space="260"/>
            <w:col w:w="4400" w:space="360"/>
            <w:col w:w="5000" w:space="360"/>
            <w:col w:w="400"/>
          </w:cols>
          <w:pgMar w:left="240" w:top="459" w:right="239" w:bottom="1440" w:gutter="0" w:footer="0" w:header="0"/>
          <w:type w:val="continuous"/>
        </w:sectPr>
      </w:pPr>
    </w:p>
    <w:p>
      <w:pPr>
        <w:ind w:left="900"/>
        <w:spacing w:after="0"/>
        <w:rPr>
          <w:sz w:val="20"/>
          <w:szCs w:val="20"/>
          <w:color w:val="auto"/>
        </w:rPr>
      </w:pPr>
      <w:r>
        <w:rPr>
          <w:rFonts w:ascii="Arial" w:cs="Arial" w:eastAsia="Arial" w:hAnsi="Arial"/>
          <w:sz w:val="18"/>
          <w:szCs w:val="18"/>
          <w:color w:val="auto"/>
        </w:rPr>
        <w:t>share.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to require additional capital to fund our current and future operating plans. To the extent additional capital is raised through the sale of equity or convertible debt securities, the issuance of these securities could result in further dilution to our stockholders. See “Risk factors—Risks related to this offering and ownership of our common stock—If you purchase shares of common stock in this offering, you will suffer immediate dilution of your investment.”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the related notes appearing at the end of this prospectus and the “Cash and capitalization” and “Management’s discussion and analysis of financial condition and results of operations” sections of this prospectus. We have derived the consolidated statements of operations data for the years ended December 31, 2015 and 2016 and the consolidated balance sheet data as of December 31, 2015 and 2016 from our audited consolidated financial statements appearing at the end of this prospectus. The consolidated statements of operations data for the nine months ended September 30, 2016 and 2017 and the consolidated balance sheet data as of September 30, 2017 have been derived from our unaudited consolidated financial statements appearing at the end of this prospectus and have been prepared on the same basis as the audited financial statements. In the opinion of management, the unaudited consolidated financial statements reflect all adjustments, consisting only of normal recurring adjustments, necessary for a fair statement of the financial information in those consolidated statements. Our historical results are not necessarily indicative of results that should be expected in any future period, and our results for any interim period are not necessarily indicative of results that should be expected for any full year.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vMerge w:val="restart"/>
          </w:tcPr>
          <w:p>
            <w:pPr>
              <w:jc w:val="right"/>
              <w:ind w:right="74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units and per unit data)</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0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113"/>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Revenue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20,116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13,048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25,576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16,855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(6,564)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(16,855)</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 of preferred unit tranche rights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Interest and other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(23,773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(15,254)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Solid Biosciences, LLC</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(13,783)</w:t>
            </w:r>
          </w:p>
        </w:tc>
        <w:tc>
          <w:tcPr>
            <w:tcW w:w="4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(37,631)</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unitholders</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(17,230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(12,585)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loss per unit attributable to common unitholders, basic and diluted </w:t>
            </w:r>
            <w:r>
              <w:rPr>
                <w:rFonts w:ascii="Arial" w:cs="Arial" w:eastAsia="Arial" w:hAnsi="Arial"/>
                <w:sz w:val="15"/>
                <w:szCs w:val="15"/>
                <w:color w:val="auto"/>
              </w:rPr>
              <w:t>(1)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(7.50)</w:t>
            </w:r>
          </w:p>
        </w:tc>
        <w:tc>
          <w:tcPr>
            <w:tcW w:w="4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Weighted average common units outstanding, basic and diluted </w:t>
            </w:r>
            <w:r>
              <w:rPr>
                <w:rFonts w:ascii="Arial" w:cs="Arial" w:eastAsia="Arial" w:hAnsi="Arial"/>
                <w:sz w:val="15"/>
                <w:szCs w:val="15"/>
                <w:color w:val="auto"/>
              </w:rPr>
              <w:t>(1)</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846,569</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1,698,904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1,677,909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12,446,769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7"/>
            <w:vMerge w:val="restart"/>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7"/>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cash equivalents and available-for-sale securities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420"/>
              <w:spacing w:after="0"/>
              <w:rPr>
                <w:sz w:val="20"/>
                <w:szCs w:val="20"/>
                <w:color w:val="auto"/>
              </w:rPr>
            </w:pPr>
            <w:r>
              <w:rPr>
                <w:rFonts w:ascii="Arial" w:cs="Arial" w:eastAsia="Arial" w:hAnsi="Arial"/>
                <w:sz w:val="18"/>
                <w:szCs w:val="18"/>
                <w:color w:val="auto"/>
              </w:rPr>
              <w:t>$ 55,387</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4"/>
              </w:rPr>
              <w:t>$ 37,658</w:t>
            </w:r>
          </w:p>
        </w:tc>
        <w:tc>
          <w:tcPr>
            <w:tcW w:w="260" w:type="dxa"/>
            <w:vAlign w:val="bottom"/>
          </w:tcPr>
          <w:p>
            <w:pPr>
              <w:spacing w:after="0"/>
              <w:rPr>
                <w:sz w:val="18"/>
                <w:szCs w:val="18"/>
                <w:color w:val="auto"/>
              </w:rPr>
            </w:pPr>
          </w:p>
        </w:tc>
        <w:tc>
          <w:tcPr>
            <w:tcW w:w="4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41,772</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33,099</w:t>
            </w: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420"/>
              <w:spacing w:after="0"/>
              <w:rPr>
                <w:sz w:val="20"/>
                <w:szCs w:val="20"/>
                <w:color w:val="auto"/>
              </w:rPr>
            </w:pPr>
            <w:r>
              <w:rPr>
                <w:rFonts w:ascii="Arial" w:cs="Arial" w:eastAsia="Arial" w:hAnsi="Arial"/>
                <w:sz w:val="18"/>
                <w:szCs w:val="18"/>
                <w:color w:val="auto"/>
              </w:rPr>
              <w:t>55,696</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40,636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units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61,697</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71,649</w:t>
            </w: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Accumulated members’ deficit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8"/>
                <w:szCs w:val="18"/>
                <w:color w:val="auto"/>
              </w:rPr>
              <w:t>(67,711)</w:t>
            </w:r>
          </w:p>
        </w:tc>
        <w:tc>
          <w:tcPr>
            <w:tcW w:w="1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(84,941)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(109,771)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(19,925)</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(37,886)</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58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15 to our financial statements appearing at the end of this prospectus for details on the calculation of basic and diluted net loss per unit attributable to common unitholders.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consolidated results of operations together with the “Selected consolidated financial data” section of this prospectus and our consolidated financial statements and the related notes included at the end of this prospectus. This discussion and other parts of this prospectus contain forward-looking statements that involve risks and uncertainties, such as statements of our plans, objectives, expectations and intentions.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mission is to cure Duchenne muscular dystrophy, or DMD, a genetic muscle-wasting disease predominantly affecting boys, with symptoms that usually manifest between three and five years of age. DMD is a progressive, irreversible and ultimately fatal disease that affects approximately one in every 3,500 to 5,000 live male births and has an estimated prevalence of 10,000 to 15,000 cases in the United States alone. DMD is caused by mutations in the dystrophin gene, which result in the absence or near-absence of dystrophin protein. Dystrophin protein works to strengthen muscle fibers and protect them from daily wear and tear. Without functioning dystrophin and certain associated proteins, muscles suffer excessive damage from normal daily activities and are unable to regenerate, leading to the build-up of fibrotic, or scar, and fat tissue. There is no cure for DMD and, for the vast majority of patients, there are no satisfactory symptomatic or disease-modifying treatments. Our lead product candidate, SGT-001, is a gene transfer under development to restore functional dystrophin protein expression in patients’ muscles. Based on our preclinical program that included multiple animal species of different phenotypes and genetic variations, we believe the mechanism of action of SGT-001, if our clinical trials prove to be successful, has the potential to slow or even halt the progression of DMD, regardless of the type of genetic mutation or stage of the disease.</w:t>
      </w:r>
    </w:p>
    <w:p>
      <w:pPr>
        <w:spacing w:after="0" w:line="17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Since our inception, we have devoted substantial resources to identifying and developing SGT-001 and our other product candidates, developing our manufacturing processes, organizing and staffing our company and providing general and administrative support for these operations. We have incurred significant losses every year since our inception. We do not have any products approved for sale. To date, we have not generated any revenue. Our ability to eventually generate any product revenue sufficient to achieve profitability will depend on the successful development, approval and eventual commercialization of SGT-001 and our other product candidates. We intend to commercialize SGT-001 in the United States and European Union and may enter into licensing agreements or strategic collaborations in other markets. If we generate product sales or enter into licensing agreements or strategic collaborations, we expect that any revenue we generate will fluctuate from quarter to quarter and year to year as a result of the timing and amount of any product sales, license fees, milestone payments and other payments. If we fail to complete the development of SGT-001 and our other product candidates in a timely manner or obtain regulatory approval of them, our ability to generate future revenue, and our results of operations and financial position, would be materially adversely affected.</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Due to our significant research and development expenditures, licensing and patenting investment, and general and administrative costs associated with our operations, we have generated substantial operating losses in each period since inception. Our net losses were $6.7 million and $23.8 million for the years ended December 31, 2015 and 2016, respectively, and were $15.3 million and $38.7 million for the nine months ended September 30, 2016 and 2017, respectively. As of September 30, 2017, we had an accumulated deficit of $109.8 million.</w:t>
      </w:r>
    </w:p>
    <w:p>
      <w:pPr>
        <w:spacing w:after="0" w:line="18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As we seek to develop and commercialize SGT-001 and our other product candidates, we anticipate that our expenses will increase significantly and that we will need substantial additional funding to support our continuing operations. Until such time as we can generate significant revenue from product sales, if ever, we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expect to finance our operations through a combination of public or private equity financings, debt financings or other sources, which may include licensing agreements or strategic collaborations. We may be unable to raise additional funds or enter into such agreements or arrangements when needed on favorable terms, if at all. If we fail to raise capital or enter into such agreements as and when needed, we may have to significantly delay, scale back or discontinue the development or commercialization of SGT-001 or our other product candidates.</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determine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its report on our consolidated financial statements for the year ended December 31, 2016, our independent registered public accounting firm included an explanatory paragraph stating that our recurring losses from operations since inception and required additional funding to finance our operations raise substantial doubt about our ability to continue as a going concern.</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October 26, 2017, we completed the sale of 4,886,000 Series 2 Senior Preferred Units at a price of $11.26 per unit in exchange for net proceeds of $55.0 million.</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September 30, 2017, we had cash, cash equivalents and available-for-sale securities of $29.6 million. We believe that the anticipated net proceeds from this offering, together with our existing cash, cash equivalents and available-for-sale securities as well as the proceeds from the sale of the Series 2 Senior Preferred Units in October 2017, will enable us to fund our operating expenses and capital expenditure requirements through at least the next 12 months. We have based this estimate on assumptions that may prove to be wrong, and we could exhaust our available capital resources sooner than we expect. See “—Liquidity and capital resources.”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recapitalization</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historically owned 100% of the voting units of our wholly owned subsidiary, Solid GT, LLC, or Solid GT, and the results of Solid GT are included in our consolidated financial statements. Solid GT was organized in Delaware in August 2014 and was engaged in the business of developing disease-modifying interventions for DMD through gene therapy. In November 2015, Solid GT issued voting units to new investors, which decreased our voting ownership in Solid GT to 77%. We consolidated the results of Solid GT as we owned a majority voting interest in Solid GT and we directed the activities of Solid GT.</w:t>
      </w:r>
    </w:p>
    <w:p>
      <w:pPr>
        <w:spacing w:after="0" w:line="18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Net loss attributable to non-controlling interests in our consolidated statement of operations and comprehensive loss consists of the portion of the net income or loss of Solid GT that is not allocated to us. Changes in the amount of net loss attributable to non-controlling interests are directly impacted by changes in the net income or loss of Solid GT. On March 29, 2017, we merged the operations of Solid GT into the company and Solid GT ceased to exist as a separate legal entity. As a result, for periods subsequent to March 29, 2017, we no longer report any non-controlling interests related to Solid GT.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conversion</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currently operate as a Delaware limited liability company, under the name Solid Biosciences, LLC. Prior to the effectiveness of the registration statement of which this prospectus forms a part, Solid Biosciences, LLC will convert into a Delaware corporation pursuant to a statutory conversion and change its name to Solid Biosciences Inc. In addition, entities formed solely for the purpose of holding membership interests in our limited liability company will be merged with and into us. As a result of the Corporate Conversion, the holders of the Series 1 and 2 Senior Preferred, Junior Preferred Units, Series A, B, C and D Common Units of Solid Biosciences, LLC will become holders of common stock of Solid Biosciences Inc.</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purpose of the Corporate Conversion is to reorganize our structure so that the entity that is offering our common stock to the public in this offering is a corporation rather than a limited liability company and so that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existing investors will own our common stock rather than equity interests in a limited liability company. For further information regarding the Corporate Conversion, see “Corporate conversion.” References in this prospectus to our capitalization and other matters pertaining to our equity and shares prior to the Corporate Conversion relate to the capitalization and equity and shares of Solid Biosciences, LLC, and after the Corporate Conversion, to Solid Biosciences Inc.</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consolidated financial statements included elsewhere in this prospectus are those of Solid Biosciences, LLC and its subsidiaries. We do not expect that the Corporate Conversion will have a material effect on the results of our core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not generated any revenue as we do not have any approved products and do not expect to generate any revenue from the sale of our products for the next few years. If our development efforts for SGT-001 or our other product candidates are successful and result in marketing approval or if we enter into collaboration or license agreements with third parties, we may generate revenue in the future from a combination of product sales or payments from those collaboration or license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classify our operating expenses into two categories: research and development, and general and administrative expenses. Personnel costs, including salaries, benefits, bonuses and equity-based compensation expense, comprise a significant component of each of these expense categories. We allocate expenses associated with personnel costs based on the nature of work associated with these resources.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SGT-001 and our other product candidates and include:</w:t>
      </w:r>
    </w:p>
    <w:p>
      <w:pPr>
        <w:spacing w:after="0" w:line="76" w:lineRule="exact"/>
        <w:rPr>
          <w:sz w:val="20"/>
          <w:szCs w:val="20"/>
          <w:color w:val="auto"/>
        </w:rPr>
      </w:pPr>
    </w:p>
    <w:p>
      <w:pPr>
        <w:ind w:left="900" w:right="180" w:hanging="446"/>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CROs, that conduct research and preclinical activities on our behalf as well as contract manufacturing organizations, or CMOs, that manufacture SGT-001 and our other product candidates for use in our preclinical and clinical trials;</w:t>
      </w:r>
    </w:p>
    <w:p>
      <w:pPr>
        <w:spacing w:after="0" w:line="86"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equity-based compensation expense, for personnel engaged in research and development functions;</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of outside consultants, engaged to assist in our research and development activities, including their fees, equity-based compensation and related travel expenses;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incurred in seeking regulatory approval of SGT-001 and our other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expenses incurred under our intellectual property licenses;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facility-related research and development expenses, which include direct depreciation costs and allocated expenses for rent and maintenance of facilities and other operating costs.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expense research and development expenses as incurred. We recognize costs for certain development activities, such as preclinical research and development, based on an evaluation of the progress to completion of specific tasks using information and data provided to us by our vendors, collaborators and third-party service providers.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typically use our employee and infrastructure resources across our product candidates. We track outsourced development costs and milestone payments made under our licensing arrangements by product candidates, but we do not allocate personnel costs, license payments made under our licensing arrangements or other internal costs to product candidates on a program-specific basis. These costs are included in unallocated research and development expenses in the table below.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by product candidates for the respective periods: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Nine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8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months</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50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10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SGT-001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$1,940</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$13,891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$17,508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 product candidates</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233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4,192</w:t>
            </w: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20,116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13,048</w:t>
            </w: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cannot determine with certainty the duration, costs and timing of clinical trials of SGT-001 and our other product candidates or if, when or to what extent we will generate revenue from the commercialization and sale of any our product candidates for which we obtain marketing approval or our other research and development expenses. We may never succeed in obtaining marketing approval for any of our product candidates. The duration, costs and timing of clinical trials and development of our product candidates will depend on a variety of factors, including:</w:t>
      </w:r>
    </w:p>
    <w:p>
      <w:pPr>
        <w:spacing w:after="0" w:line="77" w:lineRule="exact"/>
        <w:rPr>
          <w:sz w:val="20"/>
          <w:szCs w:val="20"/>
          <w:color w:val="auto"/>
        </w:rPr>
      </w:pPr>
    </w:p>
    <w:p>
      <w:pPr>
        <w:ind w:left="900" w:right="10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any clinical trials of SGT-001 or other product candidates and other research and development activities that we may conduct;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uncertainties in clinical trial design and patient enrollment or drop out or discontinuation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additional studies requested by regulatory agencies;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and receipt of any marketing approvals;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225"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proceed with clinical trials for SGT-001, initiate clinical trials for product candidates other than SGT-001 and continue to identify and develop additional product candidates.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equity-based compensation, for personnel in our executive, finance,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office facilities and other operating costs.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expect that our general and administrative expenses will increase in the future as we increase our general and administrative personnel headcount to support our research and development activities and activities related to the potential commercialization of SGT-001 and our other product candidate. We also expect to incur increased expenses associated with being a 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Revaluation of preferred unit tranche rights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Included in the terms of the Redeemable Preferred Unit Purchase Agreement was a right, which we refer to as the Redeemable Preferred Tranche Right, granted to the holders of the Redeemable Preferred Units issued in December 2013. The Redeemable Preferred Tranche Right obligates the holders to purchase, and provides the holders with the right to purchase, additional redeemable preferred units under certain circumstances. The Redeemable Preferred Tranche Right was transferrable by the investors.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terms of the Series 1 Senior Preferred Unit Purchase Agreement, as amended on September 1, 2017, also contained a right, which we refer to as the Series 1 Tranche Right. The Series 1 Tranche Right obligates the holders of the Series 1 Senior Preferred Units to purchase 1,973,430 Series 2 Senior Preferred Units at a purchase price of $12.67 per unit in the event the Company achieves certain preclinical milestones. In addition, the holders of a majority of the Series 1 Senior Preferred Units have the right to require the holders of the Series 1 Senior Preferred Units to purchase the Series 2 Senior Preferred Units at any time prior to December 1, 2017. The Series 1 Tranche Right is subject to certain transfer rights.</w:t>
      </w:r>
    </w:p>
    <w:p>
      <w:pPr>
        <w:spacing w:after="0" w:line="173"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We concluded that the Redeemable Preferred Tranche Right and the Series 1 Tranche Right, together the Tranche Rights, met the definition of a freestanding financial instrument as the Tranche Rights were legally detachable and separately exercisable from the Redeemable Preferred Units and the Series 1 Senior Preferred Units. Therefore, we allocated the net proceeds between the Tranche Rights and the Redeemable Preferred Units or the Series 1 Senior Preferred Units. The Tranche Rights were initially recorded at fair value and are re-measured at fair value each reporting period. Changes in the fair market value are recognized as a component of other income (expense), net, in the consolidated statements of operations.</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October 2016, the Redeemable Preferred Tranche Right was settled with the closing of the Redeemable Preferred Unit financing. In October 2017, the Series 1 Tranche Right was settled in connection with the closing of the Series 2 Senior Preferred Financing.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Interest income consists of interest income earned on our cash, cash equivalents and available-for-sale securities. Our interest income has not been significant due to low investment balances and low interest earned on those balances.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We have received funding from charitable organizations, which are not considered to be an ongoing major or central part of our business. The amounts received are recorded as other income as services are performed and research expenses are incurred in the consolidated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Since our inception in 2013, we have been organized as a Delaware limited liability company for federal and state income tax purposes and treated as a partnership for U.S. income tax purposes. As such, we are not viewed as a taxpaying entity in any jurisdiction and do not require a provision for income taxes. Each member of our company is responsible for the tax liability, if any, related to its proportionate share of our taxable income.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After consummation of this offering, we will be treated as a corporation for U.S. income tax purposes and thus will become subject to U.S. federal, state and local income taxes and will be taxed at the prevailing corporate tax rates. Among other things, we may begin to generate net operating losses at the corporate level. We will account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will account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appearing at the end of this prospectus, we believe that the following accounting policies are those most critical to the judgments and estimates used in the preparation of our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open contract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consolidated financial statements based on facts and circumstances known to us at that time. Examples of estimated accrued research and development expenses include fees paid to:</w:t>
      </w:r>
    </w:p>
    <w:p>
      <w:pPr>
        <w:spacing w:after="0" w:line="95"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CROs in connection with performing research activities on our behalf and conducting preclinical studies on our behalf;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vendors related to product manufacturing and development and distribution of preclinical supplies;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third parties under our intellectual property licenses.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base our expenses related to preclinical studies on our estimates of the services received and efforts expended pursuant to quotes and contracts with multiple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Tranche Rights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measure the fair value of the Tranche Rights based on the fair value of the tranche rights at inception and remeasure their fair value at each reporting date until settled. Changes in the fair market value are recognized as a component of other income (expense), net in the consolidated statement of operations. As there has been no public market for our preferred units, the estimated fair value of our preferred units has been determined from our most recently available third-party valuations of preferred units.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also known as the Practice Aid. Our preferred unit valuations were prepared using a market approach based on the most recent round of equity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and an option-pricing method, or OPM, with the exception of the December 6, 2016 valuation, which was performed using the hybrid method and the expected probability of closing a financing round. The hybrid method was used in anticipation of an equity financing transaction, which had not closed as of the valuation date. The OPM treats preferred units and common units as call options on the total equity value of a company, with exercise prices based on the value thresholds at which the allocation among the various holders of a company’s securities changes. The hybrid method is a probability-weighed expected return method, or PWERM, where the equity value in one or more scenarios is calculated using OPM. The PWERM is a scenario-based methodology that estimates the fair value of preferred units based upon an analysis of future values for the company, assuming various outcomes. The preferred unit value is based on the probability-weighted present value of expected future investment returns considering each of the possible outcomes available as well as the rights of each class of units. The values of the preferred units under each outcome is probability weighted to arrive at an indication of value for the common units. The OPM and hybrid methods were selected to properly account for the limited liability company structure.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Certain of our employees and consultants have received grants of common units in our company. These awards are accounted for in accordance with guidance prescribed for accounting for equity-based compensation. Based on this guidance and the terms of the awards, the awards are equity classified. The common units receive distributions only if a threshold, that is equivalent to the overall value of our company on the grant date, is exceeded. The threshold impacts the fair value of our common units because as the overall value of our company increases, common units with a lower threshold have a higher per unit fair value than common units subject to higher thresholds because proceeds are distributed in an order of priority in accordance with our limited liability company agreement.</w:t>
      </w:r>
    </w:p>
    <w:p>
      <w:pPr>
        <w:spacing w:after="0" w:line="19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are a private company with no active public market for our common equity. Therefore, we have periodically determined the overall value of our company and the estimated per share fair value of our common equity at their various dates using contemporaneous valuations performed in accordance with the guidance outlined in the Practice Aid. Once a public trading market for our common stock has been established in connection with the completion of this offering, it will no longer be necessary for us to estimate the fair value of our common stock in connection with our accounting for equity awards we may grant, as the fair value of our common stock will be its public market trading price.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60" w:firstLine="456"/>
        <w:spacing w:after="0" w:line="308" w:lineRule="auto"/>
        <w:rPr>
          <w:sz w:val="20"/>
          <w:szCs w:val="20"/>
          <w:color w:val="auto"/>
        </w:rPr>
      </w:pPr>
      <w:r>
        <w:rPr>
          <w:rFonts w:ascii="Arial" w:cs="Arial" w:eastAsia="Arial" w:hAnsi="Arial"/>
          <w:sz w:val="17"/>
          <w:szCs w:val="17"/>
          <w:color w:val="auto"/>
        </w:rPr>
        <w:t>For financial reporting purposes, we performed common unit valuations with the assistance of a third-party specialist, for the years ended December 31, 2014, 2015 and 2016 and for each quarter in the period from January 1, 2016 through September 30, 2017.</w:t>
      </w:r>
    </w:p>
    <w:p>
      <w:pPr>
        <w:spacing w:after="0" w:line="14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common unit valuations were prepared using a market approach based on the most recent round of equity financing and an OPM, with the exception of the December 6, 2016 valuation, which was performed using the hybrid method and the expected probability of closing a financing round. The hybrid method was used in anticipation of an anticipated equity financing transaction, which had not closed as of the valuation date. The OPM treats common units and preferred units as call options on the total equity value of a company, with exercise prices based on the value thresholds at which the allocation among the various holders of a company’s securities changes. Under this method, the common unit has value only if the funds available for distribution to stockholders exceeded the value of the preferred stock liquidation preference at the time of the liquidity event, such as a strategic sale, merger or public offering. The hybrid method is a PWERM where the equity value in one or more scenarios is calculated using an OPM. The PWERM is a scenario-based methodology that estimates the fair value of common units based upon an analysis of future values for the company, assuming various outcomes. The common unit value is based on the probability-weighted present value of expected future investment returns considering each of the possible outcomes available as well as the rights of each class of units. The values of the common unit under each outcome is probability weighted to arrive at an indication of value for the common unit. The OPM and hybrid methods were selected to properly account for the limited liability company structure.</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connection with the preparation of valuations of our common units, our management and valuation specialists collectively used various objective and subjective factors to determine the fair value of our common unit as of each grant date, including:</w:t>
      </w:r>
    </w:p>
    <w:p>
      <w:pPr>
        <w:spacing w:after="0" w:line="76" w:lineRule="exact"/>
        <w:rPr>
          <w:sz w:val="20"/>
          <w:szCs w:val="20"/>
          <w:color w:val="auto"/>
        </w:rPr>
      </w:pPr>
    </w:p>
    <w:p>
      <w:pPr>
        <w:ind w:left="900" w:right="14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prices at which we sold preferred units and the superior rights and preferences of the preferred units relative to our common units at the time of each grant;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progress of our research and development programs, including the status and results of preclinical studies for our product candidates;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units and preferred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sale of our company in light of prevailing market conditions;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analysis of initial public offerings and the market performance of similar companies in the biopharmaceutical industry.</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units and our equity-based compensation expense could have been materially different.</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Once a public trading market for our common stock has been established in connection with this offering, it will no longer be necessary for our board of directors to estimate the fair value of our common stock in connection with our accounting for equity awards we may grant, as the fair value of our common stock will be determined based on the quoted market price of our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2016 and 2017</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2016 and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w w:val="98"/>
              </w:rPr>
              <w:t>Nine months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9"/>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7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2"/>
                <w:szCs w:val="12"/>
                <w:color w:val="auto"/>
              </w:rPr>
            </w:pPr>
          </w:p>
        </w:tc>
        <w:tc>
          <w:tcPr>
            <w:tcW w:w="660" w:type="dxa"/>
            <w:vAlign w:val="bottom"/>
            <w:tcBorders>
              <w:top w:val="single" w:sz="8" w:color="auto"/>
            </w:tcBorders>
            <w:gridSpan w:val="4"/>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9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13,048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27,959</w:t>
            </w:r>
          </w:p>
        </w:tc>
        <w:tc>
          <w:tcPr>
            <w:tcW w:w="2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3,807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11,737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7,930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16,855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39,696</w:t>
            </w:r>
          </w:p>
        </w:tc>
        <w:tc>
          <w:tcPr>
            <w:tcW w:w="2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6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5"/>
              </w:rPr>
              <w:t>(16,855)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0"/>
              </w:rPr>
              <w:t>(39,696)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(22,841)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tcPr>
          <w:p>
            <w:pPr>
              <w:ind w:left="360"/>
              <w:spacing w:after="0"/>
              <w:rPr>
                <w:sz w:val="20"/>
                <w:szCs w:val="20"/>
                <w:color w:val="auto"/>
              </w:rPr>
            </w:pPr>
            <w:r>
              <w:rPr>
                <w:rFonts w:ascii="Arial" w:cs="Arial" w:eastAsia="Arial" w:hAnsi="Arial"/>
                <w:sz w:val="18"/>
                <w:szCs w:val="18"/>
                <w:color w:val="auto"/>
              </w:rPr>
              <w:t>Revaluation of preferred unit tranche rights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(1,231)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908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1,601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9"/>
                <w:szCs w:val="19"/>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(15,254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(38,691</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(23,437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4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(decrease)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9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SGT-001</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2"/>
              </w:rPr>
              <w:t>$17,508</w:t>
            </w: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product candidates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490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1,167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920" w:type="dxa"/>
            <w:vAlign w:val="bottom"/>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158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13,048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27,959</w:t>
            </w:r>
          </w:p>
        </w:tc>
        <w:tc>
          <w:tcPr>
            <w:tcW w:w="26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6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5"/>
              </w:rPr>
              <w:t>$ 14,911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Research and development expenses for the nine months ended September 30, 2016 were $13.0 million, compared to $27.9 million for the nine months ended September 30, 2017. The increase of $14.9 million in research and development costs was due to a $9.2 million increase in preclinical research and manufacturing costs related to our lead product candidate SGT-001, $0.7 million increase in costs related to our other product candidates and $5.0 million increase in unallocated research and development costs due primarily to increased compensation and headcount.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General and administrative expenses were $3.8 million for the nine months ended September 30, 2016, compared to $11.7 million for the nine months ended September 30, 2017. The increase of $7.9 million was primarily due to in an increase in equity-based compensation of $3.6 million, an increase of $2.4 million in professional fees related to preparation for this offering, an increase of $1.5 million in personnel-related expenses and an increase of</w:t>
      </w:r>
    </w:p>
    <w:p>
      <w:pPr>
        <w:jc w:val="both"/>
        <w:ind w:right="60"/>
        <w:spacing w:after="0" w:line="255" w:lineRule="auto"/>
        <w:rPr>
          <w:sz w:val="20"/>
          <w:szCs w:val="20"/>
          <w:color w:val="auto"/>
        </w:rPr>
      </w:pPr>
      <w:r>
        <w:rPr>
          <w:rFonts w:ascii="Arial" w:cs="Arial" w:eastAsia="Arial" w:hAnsi="Arial"/>
          <w:sz w:val="18"/>
          <w:szCs w:val="18"/>
          <w:color w:val="auto"/>
        </w:rPr>
        <w:t>$0.4 million of other corporate expenses. The increase in equity-based compensation of $3.6 million during the nine months ended September 30, 2017 was primarily due to a charge associated with the exchange of certain of our vested common units in connection with the recapitalization of our company and our merger with Solid GT on March 29, 2017.</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Revaluation of preferred unit tranche rights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revaluation of the Redeemable Preferred Tranche Right resulted in a gain of $1.2 million for the nine months ended September 30, 2016 due to a decrease in the fair value of the preferred units. The Redeemable Preferred Tranche Right expired in October 2016. We issued the Series 1 Tranche Right on March 29, 2017. The revaluation of the Series 1 Tranche Right resulted in a loss of $0.1 million due to an increase in the fair value of the Series 1 units.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Interest remained consistent at $0.3 million and $0.2 million for the nine months ended September 30, 2016 and for the nine months ended September 30,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Other income for the nine months ended September 30, 2016 was $0.2 million compared to $0.9 million for the nine months ended September 30, 2017. The increase of $0.7 million was due to income from charitable organizations. We do not expect these contributions to significantly increase in future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2015 and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61"/>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100" w:type="dxa"/>
            <w:vAlign w:val="bottom"/>
            <w:vMerge w:val="continue"/>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4"/>
              <w:spacing w:after="0"/>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20,116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5,460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25,576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Loss from operations</w:t>
            </w:r>
          </w:p>
        </w:tc>
        <w:tc>
          <w:tcPr>
            <w:tcW w:w="234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(6,564)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0"/>
              </w:rPr>
              <w:t>(25,576)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(19,012)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Revaluation of preferred unit tranche rights</w:t>
            </w: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1,163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000" w:type="dxa"/>
            <w:vAlign w:val="bottom"/>
            <w:gridSpan w:val="4"/>
            <w:shd w:val="clear" w:color="auto" w:fill="CCEEFF"/>
          </w:tcPr>
          <w:p>
            <w:pPr>
              <w:jc w:val="right"/>
              <w:ind w:right="4"/>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3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23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(6,664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(23,773</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(17,109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020" w:type="dxa"/>
            <w:vAlign w:val="bottom"/>
            <w:gridSpan w:val="2"/>
            <w:vMerge w:val="continue"/>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90"/>
              </w:rPr>
              <w:t>Year ended</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00" w:type="dxa"/>
            <w:vAlign w:val="bottom"/>
            <w:gridSpan w:val="2"/>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100" w:type="dxa"/>
            <w:vAlign w:val="bottom"/>
            <w:vMerge w:val="continue"/>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SGT-001</w:t>
            </w: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2"/>
              </w:rPr>
              <w:t>$13,891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$ 11,951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product candidates</w:t>
            </w: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233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2500" w:type="dxa"/>
            <w:vAlign w:val="bottom"/>
            <w:gridSpan w:val="2"/>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4,192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20,116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$ 15,924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340" w:type="dxa"/>
            <w:vAlign w:val="bottom"/>
            <w:vMerge w:val="restart"/>
          </w:tcPr>
          <w:p>
            <w:pPr>
              <w:jc w:val="right"/>
              <w:ind w:right="147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Research and development expenses for the year ended December 31, 2015 were $4.2 million, compared to $20.1 million for the year ended December 31, 2016. The increase of $15.9 million in research and development costs was due to a $12.0 million increase in preclinical research and manufacturing costs related to our lead product candidate, SGT-001, $0.8 million increase in costs related to our other product candidates due to increased discovery costs, and $3.2 million increase in unallocated research and development costs due primarily to increased compensation and headcount, the full year impact of employees hired in 2015 and an increase of $0.6 million in equity-based compensation.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General and administrative expenses were $2.4 million for the year ended December 31, 2015, compared to $5.5 million for the year ended December 31, 2016. The increase of $3.1 million was due to an increase of $1.8 million in compensation and related costs due to increased headcount and new hires, $0.7 million in legal and accounting fees, $0.2 million in facilities costs due to new corporate and research space, and $0.4 million of other corporate-related costs. The increase in professional fees was due to increases in the use of accounting consultants and in legal fees.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Revaluation of preferred unit tranche rights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revaluation of the Redeemable Preferred Tranche Right resulted in a loss of $0.1 million for the year ended December 31, 2015 compared to a gain of $1.2 million for the year ended December 31, 2016. The increase of $1.3 million was due to a decrease in the underlying preferred units during the year ended December 31, 2016. The Redeemable Preferred Tranche Right expired in October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was less than $0.1 million for the year ended December 31, 2015, compared to $0.4 million for the year ended December 31, 2016. The increase of $0.3 million was due to increased cash, cash equivalents and available-for-sale securities for the year ended December 31, 2016 compared to the year ended December 31,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There was no other income for the year ended December 31, 2015 compared to $0.3 million for the year ended December 31, 2016. The increase of $0.3 million was due to income from charitable organizations. We do not expect these contributions to significantly increase.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date, we have financed our operations primarily through private placements of preferred units. Through September 30, 2017, we raised an aggregate of $89.6 million of gross proceeds from our sales of preferred units, which includes $25.0 million from our sale of our Series 1 Senior Preferred Units on March 29, 2017. On October 26, 2017, we raised an additional $55.0 million from our sale of our Series 2 Senior Preferred Units in the Series 2 Senior Preferred Financing.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2017, we had cash, cash equivalents and available-for-sale securities of $29.6 million and had no debt outstanding.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7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(4,204)</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$(20,120)</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$(14,546)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(29,242)</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(26,806)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(4,217)</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(9,866)</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13,260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51,592</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23,321</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20,582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(20,917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(24,412)</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During the nine months ended September 30, 2017, operating activities used $29.2 million of cash, primarily resulting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net loss of $38.7 million offset by non-cash charges of $5.0 million due primarily to equity-based compensation of $4.5 million, which included $3.4 million associated with the exchange of Series A common units into Series B and D common units, and cash provided by changes in our operating assets and liabilities of $4.5 million. Net cash provided by changes in our operating assets and liabilities during the nine months ended September 30, 2017 consisted of a decrease in prepaid expenses and other currents assets of $1.1 million due to the timing of prepaid research and development expense payments and net increase in accounts payable and accrued expenses of $3.3 million due to the timing of payments and the increase in the overall activity of the company.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nine months ended September 30, 2016, operating activities used $14.5 million of cash, primarily resulting from our net loss of</w:t>
      </w:r>
    </w:p>
    <w:p>
      <w:pPr>
        <w:spacing w:after="0" w:line="23"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$15.3 million offset by net non-cash adjustments of $0.4 million, due primarily to equity-based compensation of $1.1 million and amortization of premiums on the company’s available-for-sale securities of $0.4 million, partially offset by a $1.2 million gain on revaluation of our Redeemable Preferred Tranche Right, and net cash provided by changes in our operating assets and liabilities of $0.3 million during the nine months ended September 30, 2016. Net cash provided by changes in operating assets and liabilities consisted primarily of a $2.6 million increase in accounts payable, accrued expenses and other current liabilities, partially offset by a $2.2 million increase in prepaid expenses and other current assets. The increase in accounts payable, accrued expenses and other current liabilities was largely due to increased preclinical activities. The increase in prepaid expenses and other current assets was largely due to the payment of preclinical activities in advance of the related research and development.</w:t>
      </w:r>
    </w:p>
    <w:p>
      <w:pPr>
        <w:spacing w:after="0" w:line="18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During the year ended December 31, 2016, operating activities used $20.1 million of cash, primarily resulting from our net loss of $23.8 million offset by non-cash charges of $0.9 million and cash provided by changes in our operating assets and liabilities of $2.8 million. Non-cash charges of $0.9 million represented equity-based compensation expense of $1.5 million and amortization of premiums on available-for-sale securities of $0.5 million, offset by</w:t>
      </w:r>
    </w:p>
    <w:p>
      <w:pPr>
        <w:spacing w:after="0" w:line="252" w:lineRule="auto"/>
        <w:rPr>
          <w:sz w:val="20"/>
          <w:szCs w:val="20"/>
          <w:color w:val="auto"/>
        </w:rPr>
      </w:pPr>
      <w:r>
        <w:rPr>
          <w:rFonts w:ascii="Arial" w:cs="Arial" w:eastAsia="Arial" w:hAnsi="Arial"/>
          <w:sz w:val="18"/>
          <w:szCs w:val="18"/>
          <w:color w:val="auto"/>
        </w:rPr>
        <w:t>$1.1 million of gains on the revaluation of our Redeemable Preferred Tranche Right due to a decrease in the fair value of the underlying preferred units for the year ended December 31, 2016. Net cash provided by changes in our operating assets and liabilities during the year ended December 31, 2016 consisted of an increase of $4.8 million in accounts payable, accrued expenses and other current liabilities, partially offset by a $2.0 million increase in prepaid expenses and other current assets. The increase in accounts payable, accrued expenses and other current liabilities was largely due to an increase of preclinical trial-related expenses. The increase in prepaid expenses and other current assets was primarily due to the payment of preclinical activities in advance of the related research and development.</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year ended December 31, 2015, operating activities used $4.2 million of cash, primarily resulting from our net loss of $6.7 million, partially offset by non-cash charges of $0.9 million due primarily to $0.7 million of equity-based compensation expense, and cash provided by changes in our operating assets and liabilities of $1.6 million. Net cash provided by changes in our operating assets and liabilities during the year ended December 31, 2015 consisted of a $1.9 million increase in accounts payable, accrued expenses and other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current liabilities, partially offset by a $0.3 million increase in prepaid expenses and other current assets. The increase in accounts payable, accrued expenses and other current liabilities was largely due to an increase of preclinical trial-related expenses. The increase in prepaid expenses and other current assets was primarily due to the payment of preclinical activities in advance of the related research and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During the nine months ended September 30, 2017, investing activities provided $13.3 million of cash, consisting primarily from the net proceeds on the sale and maturity of available-for-sale securities partially offset by purchases of property and equipment.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nine months ended September 30, 2016, investing activities used $9.9 million of cash, consisting primarily of net purchases of available-for-sale securities and to a lesser extent the acquisition of property and equipment.</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the year ended December 31, 2016, investing activities used $4.2 million of cash, consisting primarily of net purchases of investments and to a lesser extent the acquisition of property and equipment.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year ended December 31, 2015, investing activities used $26.8 million of cash, consisting primarily of net purchases of investments.</w:t>
      </w:r>
    </w:p>
    <w:p>
      <w:pPr>
        <w:spacing w:after="0" w:line="23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expect that purchases of property and equipment will increase over the next several years resulting from our expected move into a new office and laboratory facility in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During the nine months ended September 30, 2017, net cash provided by financing activities was $23.3 million, primarily due to the proceeds from our sale of Series 1 Senior Preferred Units of $25.0 million partially offset by payments made in connection with our proposed initial public offering.</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nine months ended September 30, 2016, there was no cash provided by or used in financing activities.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year ended December 31, 2016, net cash provided by financing activities was $3.4 million, due to the proceeds from our sale of Redeemable Preferred Units.</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During the year ended December 31, 2015, net cash provided by financing activities was $51.6 million, due to the proceeds from our sales of Redeemable Preferred Units of $6.8 million and net proceeds of $44.8 million from the issuance of non-controlling interests in our consolidated subsidiary Solid GT.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expect our expenses to increase substantially in connection with our ongoing development activities related to SGT-001. In addition, commencing upon the closing of this offering, we expect to incur additional costs associated with operating as a public company. We expect that our expenses will increase substantially if and as we:</w:t>
      </w:r>
    </w:p>
    <w:p>
      <w:pPr>
        <w:spacing w:after="0" w:line="87"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conduct our additional preclinical research of SGT-001 and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other product candidate;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arrange for manufacture of larger quantities of our product candidates for clinical development and potential commercialization;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build out new facilities or expand existing facilities to support our ongoing development activity;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acquire or in-license other drugs and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October 26, 2017, we completed the sale of 4,886,000 Series 2 Senior Preferred Units at a price of $11.26 per unit in exchange for net proceeds of $55.0 million.</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September 30, 2017, we had cash, cash equivalents and available-for-sale securities of $29.6 million. We believe that the anticipated net proceeds from this offering, together with our existing cash, cash equivalents and available-for-sale securities, as well as the proceeds from the sales of the Series 2 Senior Preferred Units in October 2017 will enable us to fund our operating expenses and capital expenditure requirements through at least the next</w:t>
      </w:r>
    </w:p>
    <w:p>
      <w:pPr>
        <w:ind w:right="300"/>
        <w:spacing w:after="0" w:line="261" w:lineRule="auto"/>
        <w:rPr>
          <w:sz w:val="20"/>
          <w:szCs w:val="20"/>
          <w:color w:val="auto"/>
        </w:rPr>
      </w:pPr>
      <w:r>
        <w:rPr>
          <w:rFonts w:ascii="Arial" w:cs="Arial" w:eastAsia="Arial" w:hAnsi="Arial"/>
          <w:sz w:val="18"/>
          <w:szCs w:val="18"/>
          <w:color w:val="auto"/>
        </w:rPr>
        <w:t>12 months. We have based this estimate on assumptions that may prove to be wrong, and we could exhaust our available capital resources sooner than we expect.</w:t>
      </w:r>
    </w:p>
    <w:p>
      <w:pPr>
        <w:spacing w:after="0" w:line="18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of the numerous risks and uncertainties associated with the development of SGT-001 and other product candidates and programs and because the extent to which we may enter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p>
      <w:pPr>
        <w:spacing w:after="0" w:line="92"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progress and results of our planned clinical trials of SGT-001 and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SGT-001 and our other product candidates;</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manufacturing, preclinical development and clinical trials for other product candidates that we may pursue in the future, if any;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associated with constructing and validating our own manufacturing facility;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revenue, if any, received from commercial sale of SGT-001 or other product candidates, should any of our product candidates receive marketing approval;</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defending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We intend to supply our clinical development program for SGT-001 with drug product produced at a cGMP compliant facility located at one of our CDMO partners. We intend to establish the capability and capacity to supply SGT-001 at commercial scale from multiple sources, including eventually building our own GMP facility to ensure redundancy and reliability. We expect that such a facility would require capital expenditures of between $35 to $45 million to commence operations. We expect to finalize plans to potentially build our own GMP facility after we have initial data from our Phase I/II clinical trials for SGT-001.</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products for which we may obtain marketing approval. In addition, our product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73"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equity securities, your ownership interest may be diluted. Any debt or preferred equity financing, if available, may involve agreements that include restrictive covenants that may limit our ability to take specific actions, such as incurring additional debt, making capital expenditures or declaring dividends, which could adversely impact our ability to conduct our business, and may require the issuance of warrants, which could potentially dilute existing stockholders’ ownership interests.</w:t>
      </w:r>
    </w:p>
    <w:p>
      <w:pPr>
        <w:spacing w:after="0" w:line="173"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If we raise additional funds through licensing agreements and strategic collaborations with third parties, we may have to relinquish valuable rights to our technology, future revenue streams, research programs, or product candidates or grant licenses on terms that may not be favorable to us. If we are unable to raise additional funds, we may be required to delay, limit, reduce and/or terminate development of our product candidates or any future commercialization efforts or grant rights to develop and market product candidates that we would otherwise prefer to develop and market ourselves.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2016 and the effects that such obligations are expected to have on our liquidity and cash flows in future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4"/>
                <w:szCs w:val="14"/>
                <w:b w:val="1"/>
                <w:bCs w:val="1"/>
                <w:color w:val="auto"/>
              </w:rPr>
              <w:t>Payments due by period</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0"/>
                <w:szCs w:val="10"/>
                <w:color w:val="auto"/>
              </w:rPr>
            </w:pP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1 - 3</w:t>
            </w: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4 - 5</w:t>
            </w:r>
          </w:p>
        </w:tc>
        <w:tc>
          <w:tcPr>
            <w:tcW w:w="46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3"/>
              </w:rPr>
              <w:t>Years</w:t>
            </w:r>
          </w:p>
        </w:tc>
        <w:tc>
          <w:tcPr>
            <w:tcW w:w="46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3"/>
              </w:rPr>
              <w:t>Years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7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5"/>
                <w:szCs w:val="15"/>
                <w:color w:val="auto"/>
              </w:rPr>
              <w:t>(1)</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313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$ 25</w:t>
            </w: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60" w:right="140" w:hanging="452"/>
        <w:spacing w:after="0" w:line="31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minimum payments due for our lease of office and laboratory space in Cambridge, Massachusetts under an operating lease agreement that, as amended, expires in January 2018. Amounts exclude office and laboratory space in Cambridge, Massachusetts, for which we entered into a lease in May 2017 and amended during the third quarter of 2017, which extends through April 2018, at a monthly amount of $136,000.</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various agreements with third-party licensors, we have agreed to make milestone payments and pay royalties to third parties based on specific milestones. We have not included any such contingent payment obligations in the table above as the amount, timing and likelihood of such payments are not known. See “Business—Strategic partnerships and collaborations/licenses.”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enter into contracts in the normal course of business with CROs and CMOs for clinical trials, preclinical research studies and testing, manufacturing and other services and products for operating purposes. These contracts do not contain any minimum purchase commitments and are cancelable by us upon prior notice of 30 days and, as a result, are not included in the table of contractual obligations above. Payments due upon cancelation consist only of payments for services provided and expenses incurred up to the date of cancelation.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audit of our consolidated financial statements as of and for the years ended December 31, 2015 and 2016, we identified material weaknesses in our internal control over financial reporting. 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generally accepted accounting principles. 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The material weaknesses that we identified were as follows:</w:t>
      </w:r>
    </w:p>
    <w:p>
      <w:pPr>
        <w:spacing w:after="0" w:line="98" w:lineRule="exact"/>
        <w:rPr>
          <w:sz w:val="20"/>
          <w:szCs w:val="20"/>
          <w:color w:val="auto"/>
        </w:rPr>
      </w:pPr>
    </w:p>
    <w:p>
      <w:pPr>
        <w:ind w:left="900" w:right="20" w:hanging="325"/>
        <w:spacing w:after="0" w:line="255"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our inability to consistently establish appropriate authorities and responsibilities in pursuit of our financial reporting objectives, as demonstrated by, among other things, our insufficient segregation of duties in our finance and accounting functions. This material weakness contributed to the additional material weaknesses detailed below.</w:t>
      </w:r>
    </w:p>
    <w:p>
      <w:pPr>
        <w:spacing w:after="0" w:line="98"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Additionally, we did not design and maintain controls over the appropriate cut-off, classification and presentation of accounts and disclosures in the financial statements.</w:t>
      </w:r>
    </w:p>
    <w:p>
      <w:pPr>
        <w:spacing w:after="0" w:line="92"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processes and controls to analyze, account for and disclose complex transactions. Specifically, we did not design and maintain controls to analyze, account for and disclose complex transactions, including variable interest entities, preferred units, the preferred unit tranche right and equity-based compensation.</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in the process of implementing measures designed to improve our internal control over financial reporting and remediate the control deficiencies that led to the material weaknesses, including hiring additional finance and accounting personnel and initiating design and implementation of our financial control environment, including the establishment of formal accounting policies and procedures, financial reporting controls and controls to account for and disclose complex transactions.</w:t>
      </w:r>
    </w:p>
    <w:p>
      <w:pPr>
        <w:spacing w:after="0" w:line="187"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We, and our independent registered public accounting firm, were not required to perform an evaluation of our internal control over financial reporting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 after the completion of this offering. See “Risk factors—We have identified material weaknesses in our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consolidated financial statements appearing at the end of this prospectus, such standards will not have a material impact on our consolidated financial statements or do not otherwise apply to our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We are exposed to market risk related to changes in interest rates. As of September 30, 2017, our available-for-sale securities consisted of corporate bond securities and U.S. government agency securities that have contractual maturities of one year or less. Our primary exposure to market risk is interest income sensitivity, which is affected by changes in the general level of U.S. interest rates. However, because of the short-term nature of our portfolio, an immediate 10% change in market interest rates would not have a material impact on the fair market value of our investment portfolio or on our financial position or results of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mission is to cure Duchenne muscular dystrophy, or DMD, a genetic muscle-wasting disease predominantly affecting boys, with symptoms that usually manifest between three and five years of age. DMD is a progressive, irreversible and ultimately fatal disease that affects approximately one in every 3,500 to 5,000 live male births and has an estimated prevalence of 10,000 to 15,000 cases in the United States alone. DMD is caused by mutations in the dystrophin gene, which result in the absence or near-absence of dystrophin protein. Dystrophin protein works to strengthen muscle fibers and protect them from daily wear and tear. Without functioning dystrophin and certain associated proteins, muscles suffer excessive damage from normal daily activities and are unable to regenerate, leading to the build-up of fibrotic, or scar, and fat tissue. There is no cure for DMD and, for the vast majority of patients, there are no satisfactory symptomatic or disease-modifying treatments. Our lead product candidate, SGT-001, is a gene transfer under development to restore functional dystrophin protein expression in patients’ muscles. Based on our preclinical program that included multiple animal species of different phenotypes and genetic variations, we believe the mechanism of action of SGT-001, if our clinical trials prove to be successful, has the potential to slow or even halt the progression of DMD, regardless of the type of genetic mutation or stage of the disease.</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SGT-001 has been granted Rare Pediatric Disease Designation, or RPDD, in the United States and Orphan Drug Designations in both the United States and European Union. The safety and efficacy of SGT-001 are currently being evaluated in a Phase I/II clinical trial.</w:t>
      </w:r>
    </w:p>
    <w:p>
      <w:pPr>
        <w:spacing w:after="0" w:line="17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For patients suffering from DMD, symptoms usually begin to manifest between three and five years of age, when they fail to reach developmental milestones or experience motor function challenges, such as difficulty walking or climbing stairs. As the disease progresses, patients with DMD experience frequent falls; can no longer run, play sports or perform most daily functions; and are further weakened by physical activity. By their early teens, DMD patients typically lose their ability to walk and ultimately become dependent on a wheelchair for mobility. By their 20s, patients essentially become paralyzed from the neck down and require a ventilator to breathe. Though disease severity and life expectancy vary, a DMD patient’s quality of life dramatically decreases over time, with death typically occurring by early adulthood from either cardiac or respiratory complications.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founders, who are personally touched by the disease, created a biotechnology company purpose-built to accelerate the discovery and development of meaningful therapies for all patients affected by DMD. Through this disease-focused business model, our research team, led by experts in DMD biology and drug development, along with key opinion leaders in DMD, continuously evaluate emerging science to identify high-potential product candidates. Our selection process includes extensive diligence and initial pharmacology research with highly specific, predefined criteria, which provide us with confidence in our development program decisions. Through this data-driven selection process, we have evaluated a number of programs and identified gene therapy as a potentially beneficial approach for DMD, and thus initiated development of our lead product candidate SGT-001. We will continue to apply this rigorous approach and reject the majority of the candidates we evaluate in our effort to develop only programs that we believe have the greatest likelihood of becoming therapies for DMD patients.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SGT-001 is our lead gene transfer candidate. Gene transfer, a type of gene therapy, is designed to address diseases caused by mutated genes through the delivery of functional versions of those genes, called transgenes. The transgenes are then utilized by the body to produce proteins that are absent or not functional prior to treatment, potentially offering long-lasting beneficial clinical effects. SGT-001 is designed to address the underlying genetic cause of DMD by delivering a synthetic transgene that produces dystrophin-like protein that is only expressed in muscles of the body, including cardiac and respiratory muscles. The transgene is delivered via an AAV vector, which also contains a muscle-specific promoter. Our vector is a modified version of an AAV, a naturally occurring, non-pathogenic virus selected for its ability to efficiently enter skeletal, diaphragm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cardiac muscle tissues. The vector will carry a synthetic dystrophin transgene construct, called microdystrophin, that retains the most critical components of the full-size dystrophin gene yet is small enough to fit within AAV packaging constraints. SGT-001 is designed to drive microdystrophin protein expression in affected muscles throughout the body. We have studied the efficacy, safety and durability of SGT-001 in multiple preclinical models and its functional benefits in DMD animal studies. In contrast to other therapeutic approaches that are designed to target specific mutations in the dystrophin gene, we believe SGT-001 is a mutation agnostic approach.</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fourth quarter of 2017, we announced the initiation of a randomized, controlled, open-label, single-ascending dose Phase I/II clinical study, called IGNITE DMD, which is designed to evaluate SGT-001 in ambulatory and non-ambulatory males with DMD aged four to 17 years. The primary objectives of the study are to assess the safety and tolerability of SGT-001, as well as efficacy as defined by microdystrophin protein expression. The study will also assess muscle function and mass, respiratory and cardiovascular function, serum and muscle biomarkers associated with microdystrophin production, patient reported outcomes and quality of life measures, among other endpoints. The study will enroll approximately 16 to 32 patients with DMD, who will be randomly assigned to either an active treatment group or a delayed treatment group. Initially, adolescents aged 12 to 17 years will receive treatment and, at a later stage of the study, children aged four to 11 years will be dosed. Efficacy will be assessed by comparing microdystrophin protein expression in muscle biopsy before treatment and 12 months after treatment for each patient. Participants in the control group who continue to meet inclusion criteria and not meet exclusion criteria will receive active treatment after 12 months. Based on results from this study, we will evaluate the need for future clinical trials that may include other patient populations, as well as the need for larger confirmatory clinical trials. If approved, we intend to commercialize SGT-001 in the United States and European Union, and we may enter into licensing agreements or strategic collaborations to commercialize the product candidate in other markets.</w:t>
      </w:r>
    </w:p>
    <w:p>
      <w:pPr>
        <w:spacing w:after="0" w:line="17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Taking into account the prevalence and incidence of DMD and the anticipated dosing requirements for gene transfer, we anticipate that there will be a need for a substantial supply of SGT-001 for clinical trials and, if approved, for commercial markets. Through significant targeted investments to address this challenge, we believe we have generated sufficient drug product supply to initiate our first clinical trial. We continue to develop our manufacturing process to meet future clinical and commercial production needs for SGT-001.</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While we believe DMD disease progression can be slowed or halted by gene transfer, many patients will still suffer from the manifestations of the disease, such as tissue damage to their muscles, inflammation, cardiac dysfunction and fibrosis. As part of our disease-focused business model, we are also building a portfolio of complementary disease modifying therapies to address these manifestations. Our portfolio currently includes a preclinical biologic candidate, SB-001, a monoclonal antibody designed to reduce fibrosis and inflammation, as well as a number of emerging and complementary programs. We intend to commence preclinical studies for SB-001 in 2018.</w:t>
      </w:r>
    </w:p>
    <w:p>
      <w:pPr>
        <w:spacing w:after="0" w:line="18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addition to developing our pipeline of product candidates</w:t>
      </w:r>
      <w:r>
        <w:rPr>
          <w:rFonts w:ascii="Arial" w:cs="Arial" w:eastAsia="Arial" w:hAnsi="Arial"/>
          <w:sz w:val="18"/>
          <w:szCs w:val="18"/>
          <w:i w:val="1"/>
          <w:iCs w:val="1"/>
          <w:color w:val="auto"/>
        </w:rPr>
        <w:t>,</w:t>
      </w:r>
      <w:r>
        <w:rPr>
          <w:rFonts w:ascii="Arial" w:cs="Arial" w:eastAsia="Arial" w:hAnsi="Arial"/>
          <w:sz w:val="18"/>
          <w:szCs w:val="18"/>
          <w:color w:val="auto"/>
        </w:rPr>
        <w:t xml:space="preserve"> we believe it is critical to invest time and resources in tools and technologies designed to help us more effectively understand DMD, accurately monitor disease progression and assist patients in daily life. As part of this goal, we are developing biomarkers and sensors that may allow us to identify treatment targets faster, measure the therapeutic impact of potential product candidates better and reach decision points earlier. In addition, through our Solid Suit program, we are developing a line of soft, wearable assistive devices with the goal of providing functional and therapeutic benefits to DMD patients.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13985" cy="21266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seek to protect our proprietary and intellectual property position through a combination of patents, trade secret laws, proprietary know-how, continuing technological innovation, and entering into non-disclosure, confidentiality and invention assignment agreements. We have exclusively licensed three issued U.S. patents, one pending U.S. non-provisional patent application, and seven issued patents and eleven pending patent applications in foreign jurisdictions. We have filed two pending U.S. provisional patent applications. We intend to continue building out our intellectual property protection to further strengthen our position in the DMD field.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Solid Biosciences was founded in 2013 by our Chief Executive Officer, Ilan Ganot, our Chairman of the Board, Andrey Zarur, and our President, Gilad Hayeem, with the goal of developing meaningful therapies for patients with DMD. Solid is the English translation of Eytani, the Hebrew name of Ilan and Annie Ganot’s son, who was diagnosed with the disease in 2012. Our founders, unsatisfied with the existing therapeutic landscape, proceeded to raise funds to execute on our disease-focused business model. We assembled a passionate management team and scientific advisory board composed of individuals with extensive experience in DMD, gene therapy, product discovery, research and development, manufacturing, business strategy and finance.</w:t>
      </w:r>
    </w:p>
    <w:p>
      <w:pPr>
        <w:spacing w:after="0" w:line="15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2015, we began exclusively licensing the elements of the construct for SGT-001 and other elements of our gene transfer program from the University of Michigan, the University of Missouri and the University of Washington. Since then, we have continued to use our extensive network across the academic, business and patient communities to identify, vet and pursue high-potential complementary product candidates to address the needs of DMD patients.</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Since our inception, we have raised private capital from a group of investors, including entities affiliated with Bain Capital Life Sciences, Biogen, JPMC Strategic Investments II Corporation, Perceptive Advisors and RA Capital, along with several additional corporate and private investors. In addition, three leading U.K.-based DMD charities provided initial seed funding for our gene transfer program in return for equity in our company. We continue to work closely with the patient advocacy community and have accepted additional contributions from several DMD charities to fund our early-stage research programs.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mission, which guides every aspect of our operations, is to cure DMD. Underscoring this mission, our disease-focused business model is founded on the following fundamental values:</w:t>
      </w:r>
    </w:p>
    <w:p>
      <w:pPr>
        <w:spacing w:after="0" w:line="76"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 and develop meaningful therapies for all patients with DMD;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bring together the leading experts in DMD, science, technology, disease management and care;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 guided by the needs of DMD patients.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Guided by our mission, we set out to create a company that understands DMD and develops therapies that are intended to provide meaningful benefits to DMD patients. We believe we are well positioned to execute on our mission based on the following competitive strengths:</w:t>
      </w:r>
    </w:p>
    <w:p>
      <w:pPr>
        <w:spacing w:after="0" w:line="52" w:lineRule="exact"/>
        <w:rPr>
          <w:sz w:val="20"/>
          <w:szCs w:val="20"/>
          <w:color w:val="auto"/>
        </w:rPr>
      </w:pPr>
    </w:p>
    <w:p>
      <w:pPr>
        <w:ind w:left="900" w:right="280" w:hanging="325"/>
        <w:spacing w:after="0" w:line="34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Singular focus on DMD. </w:t>
      </w:r>
      <w:r>
        <w:rPr>
          <w:rFonts w:ascii="Arial" w:cs="Arial" w:eastAsia="Arial" w:hAnsi="Arial"/>
          <w:sz w:val="16"/>
          <w:szCs w:val="16"/>
          <w:color w:val="auto"/>
        </w:rPr>
        <w:t>We are singularly focused on meeting the diverse needs of all DMD patients, regardless of their genetic mutation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disease stage. Our product candidates target the underlying cause of DMD, as well as address the multiple manifestations of the disease.</w:t>
      </w:r>
    </w:p>
    <w:p>
      <w:pPr>
        <w:spacing w:after="0" w:line="25" w:lineRule="exact"/>
        <w:rPr>
          <w:rFonts w:ascii="Arial" w:cs="Arial" w:eastAsia="Arial" w:hAnsi="Arial"/>
          <w:sz w:val="16"/>
          <w:szCs w:val="16"/>
          <w:color w:val="auto"/>
        </w:rPr>
      </w:pPr>
    </w:p>
    <w:p>
      <w:pPr>
        <w:ind w:left="900" w:right="160" w:hanging="325"/>
        <w:spacing w:after="0" w:line="314"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Deep understanding of the impact of the disease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founded by people personally touched by DMD, and we have established meaningful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partnerships within the DMD community. We believe our frequent interactions with patients and caregivers and our understanding of the day-to-day impact of the disease give us a deep sense of urgency, as well as knowledge of our stakeholders and their needs.</w:t>
      </w:r>
    </w:p>
    <w:p>
      <w:pPr>
        <w:spacing w:after="0" w:line="51" w:lineRule="exact"/>
        <w:rPr>
          <w:rFonts w:ascii="Arial" w:cs="Arial" w:eastAsia="Arial" w:hAnsi="Arial"/>
          <w:sz w:val="16"/>
          <w:szCs w:val="16"/>
          <w:color w:val="auto"/>
        </w:rPr>
      </w:pPr>
    </w:p>
    <w:p>
      <w:pPr>
        <w:ind w:left="900" w:hanging="325"/>
        <w:spacing w:after="0" w:line="297"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Rigorous product candidate selection process. </w:t>
      </w:r>
      <w:r>
        <w:rPr>
          <w:rFonts w:ascii="Arial" w:cs="Arial" w:eastAsia="Arial" w:hAnsi="Arial"/>
          <w:sz w:val="16"/>
          <w:szCs w:val="16"/>
          <w:color w:val="auto"/>
        </w:rPr>
        <w:t>We subject each potential product candidate to a highly focused, data-driven selection process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lies at the core of our business model. Our selection process includes extensive diligence and initial pharmacology research with highly-specific, predefined criteria that led us to initiate development of our lead gene transfer candidate, SGT-001, our preclinical disease modifying candidate, SB-001, and emerging and complementary programs from among a significant number of potential therapies that we evaluated. We are technology-agnostic and seek only to advance and invest in product candidates that we believe have the greatest potential for success.</w:t>
      </w:r>
    </w:p>
    <w:p>
      <w:pPr>
        <w:spacing w:after="0" w:line="63" w:lineRule="exact"/>
        <w:rPr>
          <w:rFonts w:ascii="Arial" w:cs="Arial" w:eastAsia="Arial" w:hAnsi="Arial"/>
          <w:sz w:val="16"/>
          <w:szCs w:val="16"/>
          <w:color w:val="auto"/>
        </w:rPr>
      </w:pPr>
    </w:p>
    <w:p>
      <w:pPr>
        <w:jc w:val="both"/>
        <w:ind w:left="900" w:right="600" w:hanging="325"/>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experienced management team focused on DMD. </w:t>
      </w:r>
      <w:r>
        <w:rPr>
          <w:rFonts w:ascii="Arial" w:cs="Arial" w:eastAsia="Arial" w:hAnsi="Arial"/>
          <w:sz w:val="18"/>
          <w:szCs w:val="18"/>
          <w:color w:val="auto"/>
        </w:rPr>
        <w:t>Our management team has extensive expertise in DMD, gene therapy,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discovery, research and development, manufacturing, business strategy and finance, with proven track records at organizations including Johnson &amp; Johnson, Pfizer, Philips Healthcare, Roche, Harvard University and the NIH.</w:t>
      </w:r>
    </w:p>
    <w:p>
      <w:pPr>
        <w:spacing w:after="0" w:line="86"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Network of world-renowned experts advising our development efforts. </w:t>
      </w:r>
      <w:r>
        <w:rPr>
          <w:rFonts w:ascii="Arial" w:cs="Arial" w:eastAsia="Arial" w:hAnsi="Arial"/>
          <w:sz w:val="18"/>
          <w:szCs w:val="18"/>
          <w:color w:val="auto"/>
        </w:rPr>
        <w:t>We have assembled a scientific advisory board and a broad network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world’s leading experts in DMD, gene therapy, biologics manufacturing, immunology and clinical development. We believe this center of excellence provides us with unparalleled access to the latest, most transformative ideas and therapeutic approaches to address the needs of DMD patients.</w:t>
      </w:r>
    </w:p>
    <w:p>
      <w:pPr>
        <w:spacing w:after="0" w:line="92"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Foundational work in scalable manufacturing processes. </w:t>
      </w:r>
      <w:r>
        <w:rPr>
          <w:rFonts w:ascii="Arial" w:cs="Arial" w:eastAsia="Arial" w:hAnsi="Arial"/>
          <w:sz w:val="18"/>
          <w:szCs w:val="18"/>
          <w:color w:val="auto"/>
        </w:rPr>
        <w:t>We are working to develop a scalable manufacturing process for SGT-001. 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early investment in our manufacturing process will enable us to scale production at the quantities needed to carry out clinical trials and to supply commercial markets, with a reduced risk of delay and unexpected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priorities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Our disease-focused business model is purpose-built to identify and accelerate the discovery and development of multiple product candidates. Key elements of our strategy include the following:</w:t>
      </w:r>
    </w:p>
    <w:p>
      <w:pPr>
        <w:spacing w:after="0" w:line="76" w:lineRule="exact"/>
        <w:rPr>
          <w:sz w:val="20"/>
          <w:szCs w:val="20"/>
          <w:color w:val="auto"/>
        </w:rPr>
      </w:pPr>
    </w:p>
    <w:p>
      <w:pPr>
        <w:ind w:left="900" w:right="2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advance SGT-001 through clinical trials and deliver it to patients. </w:t>
      </w:r>
      <w:r>
        <w:rPr>
          <w:rFonts w:ascii="Arial" w:cs="Arial" w:eastAsia="Arial" w:hAnsi="Arial"/>
          <w:sz w:val="18"/>
          <w:szCs w:val="18"/>
          <w:color w:val="auto"/>
        </w:rPr>
        <w:t>We initiated a Phase I/II clinical trial to assess the safety and efficacy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SGT-001 in the fourth quarter of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The FDA has granted SGT-001 RPDD, and both the FDA and EMA have granted the candidate Orphan Drug Designation for the treatment of DMD. If approved, we intend to commercialize SGT-001 in the United States and European Union, and we may enter into licensing agreements or strategic collaborations to commercialize the product in other markets.</w:t>
      </w:r>
    </w:p>
    <w:p>
      <w:pPr>
        <w:spacing w:after="0" w:line="87" w:lineRule="exact"/>
        <w:rPr>
          <w:sz w:val="20"/>
          <w:szCs w:val="20"/>
          <w:color w:val="auto"/>
        </w:rPr>
      </w:pPr>
    </w:p>
    <w:p>
      <w:pPr>
        <w:ind w:left="900" w:right="160" w:hanging="325"/>
        <w:spacing w:after="0" w:line="308"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advance SB-001 through preclinical development. </w:t>
      </w:r>
      <w:r>
        <w:rPr>
          <w:rFonts w:ascii="Arial" w:cs="Arial" w:eastAsia="Arial" w:hAnsi="Arial"/>
          <w:sz w:val="17"/>
          <w:szCs w:val="17"/>
          <w:color w:val="auto"/>
        </w:rPr>
        <w:t>We intend to advance our initial disease-modifying therapy candidate, SB-001,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aimed at addressing fibrosis and inflammation. We currently intend to commence preclinical studies for SB-001 in 2018.</w:t>
      </w:r>
    </w:p>
    <w:p>
      <w:pPr>
        <w:spacing w:after="0" w:line="51" w:lineRule="exact"/>
        <w:rPr>
          <w:rFonts w:ascii="Arial" w:cs="Arial" w:eastAsia="Arial" w:hAnsi="Arial"/>
          <w:sz w:val="17"/>
          <w:szCs w:val="17"/>
          <w:color w:val="auto"/>
        </w:rPr>
      </w:pPr>
    </w:p>
    <w:p>
      <w:pPr>
        <w:ind w:left="900" w:right="60" w:hanging="325"/>
        <w:spacing w:after="0" w:line="25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build our product pipeline with high-potential product candidates for DMD. </w:t>
      </w:r>
      <w:r>
        <w:rPr>
          <w:rFonts w:ascii="Arial" w:cs="Arial" w:eastAsia="Arial" w:hAnsi="Arial"/>
          <w:sz w:val="18"/>
          <w:szCs w:val="18"/>
          <w:color w:val="auto"/>
        </w:rPr>
        <w:t>Leveraging our network of world-renowned DMD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experts and rigorous product candidate selection process, we intend to identify and develop additional high-potential product candidates. These include the next generation of gene therapies, such as novel promoters, vectors and transgenes, as well as additional complementary disease-modifying therapies. We will continue to seek to protect and control the intellectual property, development and commercialization of our product candidates.</w:t>
      </w:r>
    </w:p>
    <w:p>
      <w:pPr>
        <w:spacing w:after="0" w:line="93"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scale our manufacturing process to meet clinical and commercial needs. </w:t>
      </w:r>
      <w:r>
        <w:rPr>
          <w:rFonts w:ascii="Arial" w:cs="Arial" w:eastAsia="Arial" w:hAnsi="Arial"/>
          <w:sz w:val="18"/>
          <w:szCs w:val="18"/>
          <w:color w:val="auto"/>
        </w:rPr>
        <w:t>We intend to supply our clinical development program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SGT-001 with drug product produced at a cGMP compliant facility located at one of our Contract Development Manufacturing Organization, or CDMO, partners. Our in-house scientists will continue to work to increase the productivity and efficiency of our manufacturing process. We intend to establish the capability and capacity to supply SGT-001 at commercial scale from multiple sources, including eventually building our own GMP facility to ensure redundancy and reliability.</w:t>
      </w:r>
    </w:p>
    <w:p>
      <w:pPr>
        <w:spacing w:after="0" w:line="93"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tools to accelerate the discovery and development of therapies for DMD. </w:t>
      </w:r>
      <w:r>
        <w:rPr>
          <w:rFonts w:ascii="Arial" w:cs="Arial" w:eastAsia="Arial" w:hAnsi="Arial"/>
          <w:sz w:val="18"/>
          <w:szCs w:val="18"/>
          <w:color w:val="auto"/>
        </w:rPr>
        <w:t>We believe it is critical to invest time and resources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tools that are designed to help us more effectively measure disease progression and the therapeutic impact of our product candidates. We are focused on developing biomarkers and sensors that will allow us to identify treatment targets faster, measure the therapeutic impact of potential product candidates better and reach decision points earlier.</w:t>
      </w:r>
    </w:p>
    <w:p>
      <w:pPr>
        <w:spacing w:after="0" w:line="92" w:lineRule="exact"/>
        <w:rPr>
          <w:rFonts w:ascii="Arial" w:cs="Arial" w:eastAsia="Arial" w:hAnsi="Arial"/>
          <w:sz w:val="18"/>
          <w:szCs w:val="18"/>
          <w:color w:val="auto"/>
        </w:rPr>
      </w:pPr>
    </w:p>
    <w:p>
      <w:pPr>
        <w:jc w:val="both"/>
        <w:ind w:left="900" w:right="220" w:hanging="325"/>
        <w:spacing w:after="0" w:line="286"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Partner with the DMD community to inform our programs</w:t>
      </w:r>
      <w:r>
        <w:rPr>
          <w:rFonts w:ascii="Arial" w:cs="Arial" w:eastAsia="Arial" w:hAnsi="Arial"/>
          <w:sz w:val="17"/>
          <w:szCs w:val="17"/>
          <w:color w:val="auto"/>
        </w:rPr>
        <w:t>. We will continue to work with and listen closely to key stakeholders in the DMD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community, including scientists, academic experts and patients and their families. This will allow us to remain guided by the needs of patients and inform future development programs and strategies to bring approved therapies to the community.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Duchenne muscular dystrophy</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DMD is an X-chromosome-linked, muscle-wasting disease, predominantly affecting boys. Progressive, irreversible and ultimately fatal, DMD occurs in approximately one in every 3,500 to 5,000 live male births and has an estimated prevalence of 10,000 to 15,000 cases in the United States alone. In DMD, mutations in the dystrophin gene result in the body’s inability to produce functioning dystrophin protein, which works to strengthen muscle fibers and protect them from daily wear and tear. Dystrophin protein also serves as the cornerstone of the dystrophin glycoprotein complex, or DGC, a group of proteins that links the inner and outer components of muscle cells to ensure proper muscle function.</w:t>
      </w:r>
    </w:p>
    <w:p>
      <w:pPr>
        <w:spacing w:after="0" w:line="173"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Without dystrophin and the DGC, muscles suffer excessive damage from normal daily activities and are unable to regenerate, leading to the build-up of scar and fat tissue. More than 1,000 dystrophin gene mutations, which can be inherited or can occur spontaneously, have been identified in people with DMD.</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patients suffering from DMD, symptoms usually begin to manifest between three and five years of age, when they fail to reach developmental milestones or experience motor function challenges, such as difficulty walking or climbing stairs. Muscle wasting initially presents in the legs and pelvic area, then in the muscles of the shoulders, neck and arms. As the disease progresses, patients with DMD experience frequent falls, can no longer run, play sports or perform most daily functions, and are further weakened by physical activity. In addition to physical challenges, DMD also commonly involves cognitive difficulties and behavioral challenges.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By their early teens, DMD patients typically lose their ability to walk and become dependent on a wheelchair for mobility. By their 20s, patients essentially become paralyzed from the neck down and require a ventilator to breathe. Though disease severity and life expectancy vary, a patient’s quality of life dramatically decreases over time, with death typically occurring by early adulthood from either cardiac or respiratory complications.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 for effective therapies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cure for DMD and, for the vast majority of patients, there are no satisfactory symptomatic or disease-modifying treatments.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Glucocorticoid treatment, the current standard-of-care, has been shown to temporarily improve muscle strength, prolong the period of ambulation and slow the progression of DMD. However, glucocorticoid use is associated with well-known adverse events, such as severe weight gain, stunted growth, weakening of bone structure and metabolic dysfunctions, among others. The most commonly used glucocorticoids include prednisone and deflazacort (EMFLAZA). Deflazacort has been commercially available in several countries outside of the United States and was recently approved in the United States for the treatment of DMD.</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recent years, certain regulators have conditionally approved two new therapies, eteplirsen (EXONDYS 51) and ataluren (Translarna), which target specific mutations in the dystrophin gene. These therapies are indicated for only a small portion of the DMD patient population, and their respective efficacy profiles still need to be fully understood.</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Eteplirsen is an antisense oligonucleotide indicated for DMD patients who have a confirmed mutation of the dystrophin gene amenable to exon 51 skipping, which affects approximately 13% of DMD patients. Eteplirsen is administered as a weekly intravenous infusion. In 2016, Eteplirsen was granted accelerated approval from the FDA based on an increase in dystrophin in skeletal muscle observed in some patients who received the therapy. However, the FDA concluded that a clinical benefit, including improved motor function, has not been established. Eteplirsen is still under review by regulatory authorities outside of the United States.</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Ataluren is a small molecule indicated for the treatment of patients who have DMD resulting from nonsense mutations in the dystrophin gene, which also affect approximately 13% of DMD patients. In 2014, ataluren received conditional marketing authorization from the European Commission, and has since been approved in several other countries outside of the United States. Ataluren’s indication is currently limited to ambulatory patients five years of age and older. In October 2017, the FDA issued a complete response letter (CRL) for the NDA for Ataluren.</w:t>
      </w:r>
    </w:p>
    <w:p>
      <w:pPr>
        <w:spacing w:after="0" w:line="17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Current best practices for treating DMD patients also dictate a multidisciplinary approach to disease management, which includes physical and occupational therapy to preserve strength, function and flexibility, orthopedic management to reduce the risk of scoliosis and other bone and joint problems, pulmonary, cardiac and gastrointestinal management, and psychosocial management to support behavior and learning.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Burden of disease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Despite recent therapeutic advances, DMD represents a significant societal and economic burden. The economic burden, estimated at $1.2 billion annually in the United States (excluding costly mortality and end-of-life care expenses), includes costs associated with hospital admissions, medication, frequent doctor visits and investment in assistive devices, as well as indirect costs related to productivity losses for the caregivers and costs due to pain, anxiety and social handicap. Of this amount, approximately 45% is represented by indirect costs. Only a small proportion of DMD patients are employed and many caregivers reduce their hours or stop working altogether to care for their children, who progressively require more help with everyday tasks, such as eating, dressing and using the bathroom. In some cases, patients also experience serious mental health issues that require additional support and treatment.</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459" w:right="3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Solid’s 360-degree solution</w:t>
      </w:r>
    </w:p>
    <w:p>
      <w:pPr>
        <w:spacing w:after="0" w:line="121" w:lineRule="exact"/>
        <w:rPr>
          <w:sz w:val="20"/>
          <w:szCs w:val="20"/>
          <w:color w:val="auto"/>
        </w:rPr>
      </w:pPr>
    </w:p>
    <w:p>
      <w:pPr>
        <w:jc w:val="both"/>
        <w:ind w:right="500" w:firstLine="456"/>
        <w:spacing w:after="0" w:line="342" w:lineRule="auto"/>
        <w:rPr>
          <w:sz w:val="20"/>
          <w:szCs w:val="20"/>
          <w:color w:val="auto"/>
        </w:rPr>
      </w:pPr>
      <w:r>
        <w:rPr>
          <w:rFonts w:ascii="Arial" w:cs="Arial" w:eastAsia="Arial" w:hAnsi="Arial"/>
          <w:sz w:val="16"/>
          <w:szCs w:val="16"/>
          <w:color w:val="auto"/>
        </w:rPr>
        <w:t>We aim to address the full spectrum of DMD disease manifestation, from its underlying genetic cause to other disorders that result from disease progression. We are advancing corrective therapies, disease-modifying therapies and assistive devices, as well as tools to accelerate drug development.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transfer—A corrective therapy</w:t>
      </w:r>
    </w:p>
    <w:p>
      <w:pPr>
        <w:spacing w:after="0" w:line="12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Gene therapy is a therapeutic approach that aims to address diseases caused by gene mutations. A gene is a portion of DNA that provides the instructions for the body to construct proteins that perform functions needed for life. Genes are prone to mutations, which can either be inherited or occur spontaneously. While many mutations are harmless, some lead to the absence of crucial proteins, resulting in serious genetic diseases like DMD.</w:t>
      </w:r>
    </w:p>
    <w:p>
      <w:pPr>
        <w:spacing w:after="0" w:line="14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Gene transfer, a type of gene therapy, is designed to address diseases caused by mutated genes through the delivery of functional versions of those genes, called transgenes. The transgenes are then utilized by the body to produce proteins that are absent or not functional prior to treatment, potentially offering long-lasting beneficial effects.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gene transfer candidate typically includes three essential components:</w:t>
      </w:r>
    </w:p>
    <w:p>
      <w:pPr>
        <w:spacing w:after="0" w:line="131"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vector—a vehicle that delivers a transgene to cells in the body;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transgene—a functional gene intended to produce a functional protein;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promoter—a specialized DNA sequence that directs cells to produce the protein in specific tissues.</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have focused our initial efforts on gene transfer because we believe it has the greatest potential to address the root cause of DMD: the absence or near-absence of dystrophin protein. If successful, we believe gene transfer can slow or stop the progression of DMD in a majority of patients, irrespective of their genetic mutation, by producing long-term, muscle-specific expression of a functional dystrophin-like protein.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SGT-001</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SGT-001, our lead gene transfer candidate, is under investigation for its ability to preserve muscle function in DMD patients after a single administration. The SGT-001 construct is comprised of a functional transgene that is delivered via an adeno-associated viral vector containing a muscle-specific promoter.</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i w:val="1"/>
          <w:iCs w:val="1"/>
          <w:color w:val="auto"/>
        </w:rPr>
        <w:t xml:space="preserve">Vector: </w:t>
      </w:r>
      <w:r>
        <w:rPr>
          <w:rFonts w:ascii="Arial" w:cs="Arial" w:eastAsia="Arial" w:hAnsi="Arial"/>
          <w:sz w:val="17"/>
          <w:szCs w:val="17"/>
          <w:color w:val="auto"/>
        </w:rPr>
        <w:t>The vector is a modified version of a naturally occurring, non-pathogenic virus called AAV. Vectors derived from AAVs are modified to no</w:t>
      </w:r>
      <w:r>
        <w:rPr>
          <w:rFonts w:ascii="Arial" w:cs="Arial" w:eastAsia="Arial" w:hAnsi="Arial"/>
          <w:sz w:val="17"/>
          <w:szCs w:val="17"/>
          <w:i w:val="1"/>
          <w:iCs w:val="1"/>
          <w:color w:val="auto"/>
        </w:rPr>
        <w:t xml:space="preserve"> </w:t>
      </w:r>
      <w:r>
        <w:rPr>
          <w:rFonts w:ascii="Arial" w:cs="Arial" w:eastAsia="Arial" w:hAnsi="Arial"/>
          <w:sz w:val="17"/>
          <w:szCs w:val="17"/>
          <w:color w:val="auto"/>
        </w:rPr>
        <w:t>longer self-replicate, yet retain their ability to effectively introduce new genetic material directly into patients’ cells. AAV vectors have been extensively studied in human clinical trials in multiple disease indications. There are several subtypes of AAV vectors that differ based on the proteins that make up their outer shells, or capsids. These capsids have affinities for different sites in the body. We selected the AAV9 serotype capsid for clinical development based on our preclinical data, which demonstrated the capsid’s ability to enter skeletal, diaphragm and cardiac muscle tissues.</w:t>
      </w:r>
    </w:p>
    <w:p>
      <w:pPr>
        <w:spacing w:after="0" w:line="173"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i w:val="1"/>
          <w:iCs w:val="1"/>
          <w:color w:val="auto"/>
        </w:rPr>
        <w:t xml:space="preserve">Transgene: </w:t>
      </w:r>
      <w:r>
        <w:rPr>
          <w:rFonts w:ascii="Arial" w:cs="Arial" w:eastAsia="Arial" w:hAnsi="Arial"/>
          <w:sz w:val="18"/>
          <w:szCs w:val="18"/>
          <w:color w:val="auto"/>
        </w:rPr>
        <w:t>Dystrophin, the largest gene in the body, exceeds the carrying capacity of AAV vectors. To overcome this challenge, we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the SGT-001 transgene, a synthetic, dystrophin-like gene that fits into AAV and has the ability to drive functional protein expression in skeletal, diaphragm and cardiac muscle tissue.</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concept of a modified therapeutic dystrophin gene originated from research on Becker muscular dystrophy, or BMD, where researchers discovered that certain BMD patients had mutations in the dystrophin gene that drove expression of a functional form of dystrophin protein, allowing patients to live relatively normal lives. This discovery led scientists to engineer a number of synthetic, dystrophin transgene constructs, called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microdystrophins, that retained only the most critical components of the full-size dystrophin gene yet were small enough to fit within AAV packaging constraints. There are several types of microdystrophins that differ based on the configuration of their components. Microdystrophins were subsequently demonstrated to functionally protect muscle in mouse models of DMD.</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SGT-001 microdystrophin construct, which is our lead clinical candidate for DMD, is based on three decades of development and optimization work at the University of Michigan, University of Missouri and University of Washington. In preclinical studies, Jeffrey Chamberlain, Ph.D., from the University of Washington, and Dongsheng Duan, Ph.D., from the University of Missouri, identified a proprietary configuration of genetic components that, when administered systemically, produces functional microdystrophin protein expression that not only stabilizes muscle membranes and protects muscle against injury, but also simultaneously restores the localization of DGC to the muscle membrane, notably increasing neuronal nitric oxide synthase, or nNOS, concentration. In subsequent published studies, Dr. Duan demonstrated in animal models that, in comparison to earlier configurations, nNOS-restoring microdystrophins were more effective in improving muscle function and blood circulation.</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 xml:space="preserve">Promoter: </w:t>
      </w:r>
      <w:r>
        <w:rPr>
          <w:rFonts w:ascii="Arial" w:cs="Arial" w:eastAsia="Arial" w:hAnsi="Arial"/>
          <w:sz w:val="18"/>
          <w:szCs w:val="18"/>
          <w:color w:val="auto"/>
        </w:rPr>
        <w:t>The expression of the SGT-001 microdystrophin transgene is regulated by a modified, synthetic muscle-specific promoter cassette called</w:t>
      </w:r>
      <w:r>
        <w:rPr>
          <w:rFonts w:ascii="Arial" w:cs="Arial" w:eastAsia="Arial" w:hAnsi="Arial"/>
          <w:sz w:val="18"/>
          <w:szCs w:val="18"/>
          <w:i w:val="1"/>
          <w:iCs w:val="1"/>
          <w:color w:val="auto"/>
        </w:rPr>
        <w:t xml:space="preserve"> </w:t>
      </w:r>
      <w:r>
        <w:rPr>
          <w:rFonts w:ascii="Arial" w:cs="Arial" w:eastAsia="Arial" w:hAnsi="Arial"/>
          <w:sz w:val="18"/>
          <w:szCs w:val="18"/>
          <w:color w:val="auto"/>
        </w:rPr>
        <w:t>CK8, which is derived from the naturally occurring muscle creatine kinase promoter. Regulatory cassettes, such as CK8, are used to prompt gene expression specifically in muscle tissues. In comparison to other regulatory cassettes, we chose CK8 due to its small size and its ability to drive microdystrophin transgene expression in skeletal, diaphragm and cardiac muscle tissues. In our preclinical studies in small and large animal models, CK8 restricted microdystrophin transgene expression to these muscles.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SGT-001 preclinical program</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comprehensive preclinical program for SGT-001 is comprised of studies that inform efficacy, durability and safety, as well as dose response and the kinetics of transgene expression. Our program includes three different animal species: mice, dogs and non-human primates, or NHPs. Our preclinical studies were performed by third-party collaborators over the last three years.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Well established mouse and dog disease models for DMD offered us the opportunity to better evaluate the potential translatability of SGT-001 to humans. While studies in dystrophic mice, such as the mdx mouse, provide important efficacy rationale, we chose to perform additional functional studies in dystrophic dogs because they exhibit a more severe dystrophic phenotype and progress similarly to human patients at earlier stages of the disease. Dog models enabled us to assess various endpoints, including biodistribution, expression, durability and function in a large animal species.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135255</wp:posOffset>
            </wp:positionV>
            <wp:extent cx="4553585" cy="36017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53585"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Because DMD is a disease defined by a lack of dystrophin protein, it is important to reliably detect microdystrophin expression in muscle after SGT-001 treatment. As part of our core preclinical program, we developed well characterized and well recognized analytic approaches to confirm transgene expression and localization, using the following assays:</w:t>
      </w:r>
    </w:p>
    <w:p>
      <w:pPr>
        <w:spacing w:after="0" w:line="87"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Immunofluorescence: A qualitative method to determine if a transgene is expressed and localized to muscle membrane.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Western blot: A recognized method to quantify dystrophin expression, which is a validated biomarker.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Mass spectrometry: A highly sensitive analytical method to quantify transgene expression.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also employed immunofluorescence to confirm if our microdystrophin construct restored the DGC, including key proteins such as sarcoglycan and nNOS.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 in dystrophic mice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Multiple studies in both dystrophic, or mdx, and healthy, or wild-type, mice have demonstrated that a single intravenous administration of SGT-001 induces measurable levels of microdystrophin protein expression. In 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studies, microdystrophin protein expression was measured using immunofluorescence, Western blot and mass spectrometry.</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an mdx dose-response study, a clear dose-dependent pattern of transgene expression was observed at day 28 by all three assays. As an example, at a dose of 1E14 vg/kg, transgene expression as quantified by positive immunoflouresence staining in the quadriceps and heart muscle tissues was 50% and 80% of the full-length dystrophin levels quantified in healthy wild-type control muscles. Similar levels of microdystrophin expression were found in all mdx studies completed to date. Efficacy studies performed in dystrophic mice treated with SGT-001 demonstrated significant, dose-responsive improvements in both muscle morphology and multiple physiological parameters. In a blinded efficacy study performed in mdx mice dosed at approximately six weeks of age, SGT-001 treatment showed a statistically significant improvement in grip strength, which assesses arm and leg strength, at multiple doses.</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using a treadmill exhaustion assay, the total distance run by the SGT-001-treated mdx mice was approximately two- to fifteen-fold longer compared to the untreated mice at all time points five-weeks post-dose.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134620</wp:posOffset>
            </wp:positionV>
            <wp:extent cx="2400935" cy="24098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0093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 xml:space="preserve">At study termination, muscle force was measured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in the extensor digitorum longus muscle in all animals. SGT-001-treated mdx mice, dosed at either 2E14 or 4.5E14 vg/kg, exhibited a 1.3-fold increase in specific muscle force over untreated controls when compared to the untreated mdx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182245</wp:posOffset>
            </wp:positionV>
            <wp:extent cx="2769870" cy="2693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6987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 second efficacy study employing a more severe dystrophic mouse model, or DBA/2J-mdx, a version of SGT-001 was administered at a dose of 1E15 vg/kg. Treated mice exhibited functional results that were similar to untreated wild-type animals. In the SGT-001-treated DBA/2J-mdx mice, the specific muscle force was similar to wild-type mice. Further, the treated animals were protected against muscle damage associated with eccentric contractions, a type of contraction related to muscle lengthening under load that is known to be highly damaging to dystrophic muscles. In contrast, untreated DBA/2J-mdx mice showed significantly reduced specific force and no protection against eccentric contraction induced muscle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212725</wp:posOffset>
            </wp:positionV>
            <wp:extent cx="2924175" cy="2710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2417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459" w:right="3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 in dystrophic dogs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Two independent studies in dystrophic dogs assessed durability of microdystrophin expression and efficacy, respectively. These studies were performed in two distinct dystrophic dog models (mixed breed dystrophic dogs, or cDMD, and Golden Retriever Muscular Dystrophy, or GRMD), collectively encompassing a number of genetic mutations that lead to the absence of dystrophin protein. This enabled us to assess SGT-001 across multiple mutations, which is more reflective of the composition of the DMD patient population. Both studies used a canine-optimized version of the microdystrophin gene.</w:t>
      </w:r>
    </w:p>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 long-term dose-ranging study, five three-month-old, juvenile cDMD dogs received an intravenous dose of either 5E13 vg/kg (n=1), 1E14 vg/kg (n=2), 3E14 vg/kg (n=1) or 5E14 vg/kg (n=1). In this study, muscle biopsies were collected from the skeletal muscles at one, three, six, 12, 16, 20, 24 and 30 months after injection. Robust transgene expression was detected by immunofluorescence at all time points and at all the dose levels. In animals dosed with 1E14 vg/kg, approximately 70-90% of the muscle fibers were positive for microdystrophin. In treated muscle samples, transgene expression was associated with stabilization of the DGC, including nNOS. All doses were well tolerated and there was no observed immune response to the transgene. This study is currently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-5080</wp:posOffset>
            </wp:positionV>
            <wp:extent cx="3344545" cy="2186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44545"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blinded dose-ranging study in the GRMD model assessed the general safety and efficacy of the canine construct of SGT-001. The three dose levels (1E13, 1E14 and 2E14 vg/kg) were administered at three months of age and animals were followed for three months following administration. All doses were well tolerated and there was no observed immune response to the transgene.</w:t>
      </w:r>
    </w:p>
    <w:p>
      <w:pPr>
        <w:spacing w:after="0" w:line="18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Dose-dependent transgene expression was detected in interim biopsies of skeletal muscles at day 28 and 45 and at the end of the study at day 91 in skeletal, diaphragm and cardiac muscles. A blinded histological evaluation of the muscle tissue revealed a reduction of dystrophic pathology at the higher dose levels. In the mid- and high-dose groups, all muscles biopsied at the end of the study exhibited improved pathology compared to low dose and untreated controls. Biodistribution studies demonstrated dose dependent transgene expression that was only detectable in the muscle tissues.</w:t>
      </w:r>
    </w:p>
    <w:p>
      <w:pPr>
        <w:spacing w:after="0" w:line="15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observed dose response was detectable by both immunofluorescence and Western blot. Quantification by Western blot averaged less than 10% of wild-type in the low-dose (1E13 vg/kg) animals. In the mid-dose animals, the level of expression among the skeletal muscles ranged from an average of approximately 20% to approximately 50% of wild-type control muscles. At 2E14 vg/kg, the level of expression ranged from 30% to 70% of wild-type dystrophin. This data also correlates to quantification of microdystrophin via mass spectrometry.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SGT-001 transgene expression dose response and correlation to improved histopathology in the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GRMD model (n = 3/dose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160020</wp:posOffset>
            </wp:positionV>
            <wp:extent cx="4425315" cy="3387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425315"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Dose-dependent, sustained expression of microdystrophin not only correlated with histological improvements in muscle, but also provided statistically significant improvements in measures of muscle function. At day 90, muscle force generation was improved in both the 1E14 vg/kg and 2E14 vg/kg cohorts, indicating that the microdystrophin produced by SGT-001 is highly protective in a large animal dystrophic species.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20"/>
          </w:cols>
          <w:pgMar w:left="24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 of SGT-001 on muscle strength in the GRMD model 90 days post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24441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398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efficacy data collectively described above in both dystrophic mouse and dog models was incorporated into an overall nonclinical model to inform dose selection for our clinical program.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comparability</w:t>
      </w:r>
    </w:p>
    <w:p>
      <w:pPr>
        <w:spacing w:after="0" w:line="117"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 xml:space="preserve">As part of our manufacturing process development, we have run comparability studies at each stage of our process scale-up. These comparability studies were carried out using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mouse models to ensure that our drug product produced at different scales is comparable to each other.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part of our preclinical program, we performed necessary Good Laboratory Practices, or GLP, toxicology studies to establish the overall safety profile of SGT-001 in wild-type mice and NHPs. No evidence of test article-related toxicity was observed for up to 13 weeks after systemic administration of SGT-001 in either species.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SGT-001</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developing SGT-001 for the treatment of DMD through a single intravenous administration. In the fourth quarter of 2017, we announced the initiation of IGNITE DMD, a randomized, controlled, open-label, single-ascending dose Phase I/II clinical study designed to evaluate SGT-001 in ambulatory and non-ambulatory males with DMD aged four to 17 years. The study is currently enrolling patients at our first clinical site in the United States. We intend to initiate the clinical trial at additional sites in the United States and abroad.</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primary objectives of IGNITE DMD are to assess the safety and tolerability of SGT-001, as well as efficacy as defined by microdystrophin protein expression. The study will also assess muscle function and mass, respiratory and cardiovascular function, serum and muscle biomarkers associated with microdystrophin production, patient reported outcomes and quality of life measures, among other endpoints. The study will enroll 16 to 32 patients with DMD. Key inclusion criteria include: established clinical diagnosis of DMD and documented dystrophin gene mutation predictive of DMD phenotype; anti-AAV9 antibodies below pre-specified thresholds; stable cardiac and pulmonary function; and a stable daily dose of oral corticosteroids ³ 24 weeks. There is no restriction based on a patient’s underlying dystrophin gene mutation.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Study participants will be randomly assigned to either an active treatment group or a delayed treatment control group. The selection of our starting dose was based on safety and efficacy data observed in our preclinical studies. Dose escalation between cohorts and decisions regarding study progression will occur after review by the Data Safety Monitoring Board, or DSMB. Adolescents aged 12 to 17 years will be treated initially, followed by children aged four to 11 years. Efficacy will be assessed by comparing microdystrophin protein expression in muscle biopsy before and 12 months after treatment for each patient. Other endpoints will be compared against the control group. The delayed treatment control group will be rolled into an active treatment phase after 12 months, as long as participants continue to meet the study’s exclusion and inclusion criteria and not meet its exclusion criteria. Long-term follow up will continue per regulatory guidelines.</w:t>
      </w:r>
    </w:p>
    <w:p>
      <w:pPr>
        <w:spacing w:after="0" w:line="189"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Based on results from this initial study, we will evaluate the need for future clinical trials that may include other patient populations, as well as the need for larger confirmatory trials.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SGT-001</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prevalence and incidence of DMD, combined with average patient weight and anticipated dosing requirements for SGT-001, result in a substantial supply need for clinical trials and, if approved, for commercial markets. To address this challenge, we developed a manufacturing process that we believe will be scalable to meet clinical and commercial production needs for SGT-001.</w:t>
      </w:r>
    </w:p>
    <w:p>
      <w:pPr>
        <w:spacing w:after="0" w:line="181"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Our suspension-based process is founded on seminal work by scientists at the University of Florida and has been optimized for manufacturability by our internal process development scientists with the support of CDMO partners. The process consists of three steps. First, we produce two replication-incompetent Herpes Simplex Virus, or HSV, stocks, one containing our microdystropin construct and the other containing the critical elements of the AAV9. We then use these two HSV stocks to coinfect suspension-adapted human embryonic kidney cells (HEK-293), which are then purified and concentrated in our downstream process to produce our gene transfer candidate. Our team has developed the analytical testing methods needed to support consistency and strict standards of quality and potency. We believe that this approach will increase our speed of development, ensure consistent quality and regulatory compliance, and reduce the risk of delay or unexpected production costs.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status and plans for clinical and commercial scale-up</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believe that our investment in our scalable manufacturing process over the last three years will allow us to minimize the need for changes throughout clinical development and upon commercialization, while ensuring supply at the high volume required at all stages. We intend to supply our clinical development program for SGT-001 with drug product produced at a cGMP-compliant facility located at a partner CDMO, which is currently operating at 250-liter scale. Our in-house scientists will continue to work to increase the productivity and efficiency of our manufacturing process. To support success, we intend to establish the capability and capacity to supply SGT-001 at commercial scale from multiple sources, including eventually building our own GMP facility to ensure redundancy and reliability.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Complementary disease-modifying therapies</w:t>
      </w:r>
    </w:p>
    <w:p>
      <w:pPr>
        <w:spacing w:after="0" w:line="121"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While we believe DMD disease progression can be slowed or halted by gene transfer, many patients will still suffer from the manifestations of the disease, such as tissue damage to their muscles, inflammation, cardiac dysfunction and fibrosis. We are building a portfolio of complementary disease-modifying therapies designed to address these manifestations.</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portfolio currently includes SB-001, a preclinical biologic product candidate that is aimed at addressing fibrosis, as well as several emerging and complementary programs. We have chosen to focus our efforts on these programs following rigorous preclinical testing and our assessment of clinical potential given natural human modifiers. If initial preclinical studies are successful, we envision initiating additional studies for our disease-modifying programs in combination with SGT-001. We continue to assess additional emerging therapeutic</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approaches from academia and industry through our highly focused product candidate selection process to further build our portfolio.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SB-001 (LTBP4)</w:t>
      </w:r>
    </w:p>
    <w:p>
      <w:pPr>
        <w:spacing w:after="0" w:line="11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SB-001 is a monoclonal antibody intended to reduce fibrosis and inflammation. It is designed to target and stabilize the LTBP4 protein. LTBP4 is highly expressed in muscle and, when stable, prevents fibrosis and inflammation by inhibiting the activation of the TGF-beta pathway.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SB-001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27444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0573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rationale for targeting LTBP4 originated from observations in DMD natural history studies. Researchers found that subsets of patients with genetic variants in the LTBP4 gene maintained their ability to walk longer compared to patients in the study who did not. Researchers discovered that these genetic variants lead to reduced TGF-beta signaling. Elizabeth McNally, M.D., Ph.D., Director of the Center for Genetic Medicine at Northwestern University, hypothesized that stabilization of the LTBP4 protein in DMD patients could mimic the effect.</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order to assess the efficacy of potential human antibody clinical candidates in preclinical models, mice expressing the human version of LTBP4 were crossed with mdx mice to generate a DMD model that expressed human LTBP4 (hLTBP4:mdx). Preliminary studies showed that the hLTBP4:mdx animals treated with an anti-LTBP4 antibody showed significantly lower levels of fibrosis and inflammation due to the stabilization of the LTBP4 protein.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partnership with Dr. McNally and Adimab LLC, SB-001 development efforts are underway to optimize lead candidate human immunoglobulin G, or IgG, antibodies directed against LTBP4. Additional selection and characterization are being employed to obtain high affinity antibodies. We plan to conduct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biodistribution and safety studies utilizing these human antibodies in hLTBP4:mdx mice beginning in 2018, following final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antibody characterization and scale-up of manufacturing efforts.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Tools to accelerate discovery and development</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believe it is critical to invest time and research into tools designed to help us more effectively measure disease progression and the therapeutic impact of our product candidates. We are focused on developing biomarkers and sensors that will allow us to identify treatment targets faster, better measure the therapeutic impact of potential product candidates and reach therapeutic decision points earlier.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Blood-based and imaging biomarkers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working to identify non-invasive blood-based and imaging biomarkers that could potentially reduce or eliminate the need for muscle biopsies in clinical trials, reducing stress on patients and allowing better evaluation of potential product candidates. We are developing a platform technology that may enable the non-invasive measurement of changes associated with increased dystrophin and dystrophin-like protein expression in DMD patients by using established imaging techniques. We are also currently using leading, robust platforms to perform extensive analysis on blood-based samples to establish molecular signatures based on various stages of DMD disease progression.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Sensor-less mobility tracking</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are working to develop naturalistic motor function measurement at home with an ambient measurement system, which is based on sensors such as Microsoft Kinect. This system uses infrared technology to detect body movement and is designed to collect mobility data for DMD patients without requiring wearable sensors. If successful, this new non-invasive technology would enable us to understand in greater detail the therapeutic impact of potential product candidates as they relate to everyday activities, and could provide information to establish and measure clinical endpoints in future clinical trials.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Assistive devices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Suit</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We are currently developing a line of soft, wearable assistive devices that may have both functional and therapeutic benefits, with the goal of helping patients perform day-to-day activities with greater ease and preserving their muscle function. We refer to these devices as the Solid Suit. This work is being done in collaboration with technology innovators and engineering and disease experts, and is informed by input from the patient community. The Solid Suit utilizes cutting-edge technologies to power soft, light-weight comfortable exoskeletons with the potential to offset muscle fatigue and augment muscle strength. We are developing the Solid Suit in three separate components, two of which are currently in prototype development.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for our product candidates, including SGT-001, and other know-how, to operate without infringing, misappropriating or otherwise violating the intellectual property rights of others, and to prevent others from infringing, misappropriating or otherwise violating our intellectual property rights. We also rely on patents, trade secrets, know-how and continuing technological innovation to develop and maintain our proprietary and intellectual property position.</w:t>
      </w:r>
    </w:p>
    <w:p>
      <w:pPr>
        <w:spacing w:after="0" w:line="1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As of December 15, 2017, we owned two pending U.S. provisional patent applications and have exclusively licensed three issued U.S. patents, one pending U.S. non-provisional patent application, and seven granted patents and eleven pending patent applications in foreign jurisdictions. The issued U.S. patents are projected to expire between 2021 and 2028, excluding any patent term adjustments and any patent term extensions, and any U.S. patents that may issue from the pending U.S. non-provisional patent application and U.S. provisional patent applications (assuming U.S. non-provisional patent applications are timely filed with respect to such provisional patent applications and all other applicable requirements are satisfied) would be projected to expire between 2036 and 2038, excluding any patent term adjustments and any patent term extensions.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With respect to our gene transfer programs, we exclusively licensed patent families that relate to microdystrophin genes. With respect to SGT-001, we exclusively licensed one issued U.S. patent and one pending U.S. non-provisional patent application, which generally claim the structural elements of SGT-001 and the promoter sequence used in SGT-001. This issued U.S. patent is projected to expire in 2028, excluding any patent term adjustments and any patent term extensions. We also own one pending U.S. provisional patent application relating to SGT-001. Any U.S. patents that may issue from the pending U.S. non-provisional patent application and our pending U.S. provisional patent application (assuming a U.S. non-provisional patent application is timely filed with respect to such provisional patent application and all other applicable requirements are satisfied) would be projected to expire between 2036 and 2038, excluding any patent term adjustments and any patent term extensions. Substantive prosecution of our provisional patent application has not yet commenced at the USPTO. Our provisional patent application is not eligible to become an issued patent until, among other things, we file a non-provisional patent application within 12 months of the filing date of our provisional patent application. If we do not timely file the non-provisional patent application, we may lose our priority date with respect to our provisional patent application and any patent protection on the inventions disclosed in our provisional patent application. While we intend to file a non-provisional patent application, we cannot predict whether such future patent application will result in the issuance of a patent that effectively protects SGT-001, or if such issued patent or any of our licensor’s issued patents will effectively prevent others from commercializing competitive products. In any event, patent prosecution is a lengthy process, during which the scope of the claims initially submitted for examination by the USPTO offices are often significantly narrowed by the time they issue, if they issue at all.</w:t>
      </w:r>
    </w:p>
    <w:p>
      <w:pPr>
        <w:spacing w:after="0" w:line="17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With respect to SB-001, we do not currently own or in-license any issued patents or patent applications relating to such product candidate. We have an option to negotiate for licenses of certain patents and patent applications relating to SB-001 from Ikaika Therapeutics, LLC. If we exercise such option, Ikaika Therapeutics, LLC is only required to negotiate the terms of a potential license agreement with us for certain specified periods of time and we may be unable to enter into such a definitive license agreement within the required timeframe or under terms that are acceptable to us. If we are unable to enter into such a definitive license agreement, we will not have any license to such patents and patent applications.</w:t>
      </w:r>
    </w:p>
    <w:p>
      <w:pPr>
        <w:spacing w:after="0" w:line="17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subject to certain limitations and provided statutory and regulatory requirements are met (for more information, please see “Business—U.S. patent term restoration and marketing exclusivity”). In the future, if and when our product candidates receive approval from the FDA or foreign regulatory authorities, we expect to apply for patent term extensions on issued patents we may obtain in the future covering those products, depending upon the length of the clinical trials for each product and other factors. There can be no assurance that any of our pending patent applications will issue or that we will benefit from any patent term extension or favorable adjustment to the term of any of our patents.</w:t>
      </w:r>
    </w:p>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with other biotechnology and pharmaceutical companies, our ability to maintain and solidify our proprietary and intellectual property position for our product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178"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We also seek trademark protection in the United States and internationally where available and when appropriate. We currently own U.S. federal registrations for the marks SOLID, SOLID GT and SOLID BIOSCIENCES and a European Union registration for the mark SOLID GT.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partnerships and collaborations/licenses: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 funding obligations. Also, pursuant to the terms of many of these license agreements, when and if commercial sales of a licensed product commence, we must pay royalties to our licensors on net sales of the respective licensed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Washington License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2015, we entered into a license agreement with the University of Washington, acting through UW CoMotion, under which we obtained an exclusive, royalty-bearing, sublicensable, worldwide license under certain patent applications owned by the University of Washington relating to novel micro-dystrophins to develop, manufacture, and commercialize products for use in the treatment of DMD and related disease indications caused by a lack of functional dystrophin. We have the right to grant sublicenses to third parties contingent upon written approval by the University of Washington prior to executing such sublicense, which approval may not be unreasonably withheld.</w:t>
      </w:r>
    </w:p>
    <w:p>
      <w:pPr>
        <w:spacing w:after="0" w:line="18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consideration for the rights granted by the agreement, we paid a one-time, non-refundable license fee, which was recorded as a research and development expense in 2015. We are required to reimburse the University of Washington for costs incurred in applying for, prosecuting and maintaining patents and pay up to an aggregate of approximately $1 million upon the achievement of certain milestones. There were no milestones achieved as of December 31, 2015 and 2016 and September 30, 2017. We must also pay royalties of a low single digit percentage of future sales by us and our sublicensees of products developed under the licensed patent rights. In addition, we must pay an annual maintenance fee until certain milestones are achieved, at which time a minimum annual royalty requirement will replace such maintenance fee and will apply to us and our sublicensees.</w:t>
      </w:r>
    </w:p>
    <w:p>
      <w:pPr>
        <w:spacing w:after="0" w:line="16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We are obligated to use our commercially reasonable efforts, consistent with sound and reasonable business practices and judgment, to commercialize the inventions covered by the licensed patent rights and to make and sell products based on that patent as soon as practicable and maximize sales thereof.</w:t>
      </w:r>
    </w:p>
    <w:p>
      <w:pPr>
        <w:spacing w:after="0" w:line="124"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University of Washington controls the prosecution and maintenance of the licensed patents in consultation with us and at our expense. In countries in which we have not requested prosecution or maintenance of licensed patents, the University of Washington may prosecute and maintain such licensed patents at its own cost. We have the first right to enforce such licensed patents at our expense. However, we may not enter into any settlement in any manner relating to the licensed patents without the University of Washington’s prior written consent.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license agreement remains in effect until the expiration of the last-to-expire patent licensed under the agreement. We may terminate the agreement at any time upon providing sixty days’ written notice to the University of Washington. The University of Washington may terminate the agreement upon our uncured, material breach of the agreement or if we enter into an insolvency-related event.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University of Missouri License Agreement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2015, we entered into a license agreement with the Curators of the University of Missouri, or the University of Missouri, a public corporation of Missouri, under which we obtained an exclusive, royalty-bearing, sublicensable, worldwide license under certain patents and patent applications owned by the University of Missouri relating to a novel synthetic microdystrophin gene to make, sell and distribute products for use in the treatment of DMD and related disease indications resulting from a lack of functional dystrophin.</w:t>
      </w:r>
    </w:p>
    <w:p>
      <w:pPr>
        <w:spacing w:after="0" w:line="18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consideration for the rights granted by the agreement, we paid a one-time, non-refundable license fee, which was recorded as a research and development expense in 2015. We are required to reimburse the University of Missouri for costs incurred in applying for, prosecuting and maintaining the licensed patents and pay up to an aggregate of approximately $1 million upon the achievement of certain milestones for each product developed based on the licensed patents. There were no milestones achieved as of December 31, 2015 and 2016 and September 30, 2017. We must pay a royalty of a low single digit percentage of future sales by us or our sublicensees of products developed using the licensed patents. In addition, we must pay an annual maintenance fee until certain milestones are achieved, after which time a minimum annual royalty will replace such maintenance fee.</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Under the agreement, we granted the University of Missouri a non-exclusive, royalty-free, irrevocable, paid-up license, with the right to grant sublicenses to non-profit, academic, educational or governmental institutions, to practice and use improvements made by us using the licensed patent rights, solely for non-commercial research purposes.</w:t>
      </w:r>
    </w:p>
    <w:p>
      <w:pPr>
        <w:spacing w:after="0" w:line="181" w:lineRule="exact"/>
        <w:rPr>
          <w:sz w:val="20"/>
          <w:szCs w:val="20"/>
          <w:color w:val="auto"/>
        </w:rPr>
      </w:pPr>
    </w:p>
    <w:p>
      <w:pPr>
        <w:jc w:val="both"/>
        <w:ind w:right="420" w:firstLine="456"/>
        <w:spacing w:after="0" w:line="342" w:lineRule="auto"/>
        <w:rPr>
          <w:sz w:val="20"/>
          <w:szCs w:val="20"/>
          <w:color w:val="auto"/>
        </w:rPr>
      </w:pPr>
      <w:r>
        <w:rPr>
          <w:rFonts w:ascii="Arial" w:cs="Arial" w:eastAsia="Arial" w:hAnsi="Arial"/>
          <w:sz w:val="16"/>
          <w:szCs w:val="16"/>
          <w:color w:val="auto"/>
        </w:rPr>
        <w:t>We are obligated to use our reasonable best efforts to introduce products based on the licensed patent rights into the commercial market as soon as possible, consistent with sound and reasonable business practices and judgment, and thereafter to keep such products reasonably available to the public.</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University of Missouri controls the prosecution and maintenance of the licensed patents in consultation with us and at our expense. In countries in which we have not requested prosecution or maintenance of licensed patents, the University of Missouri may prosecute and maintain such licensed patents at its own cost. We have the first right to enforce such licensed patents at our expense. However, any settlement, consent judgment or other voluntary disposition of litigation that materially limits the scope, validity or enforceability of the licensed patent or admits fault or wrongdoing on the part of the University of Missouri must be pre-approved in writing by the University of Missouri.</w:t>
      </w:r>
    </w:p>
    <w:p>
      <w:pPr>
        <w:spacing w:after="0" w:line="18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license agreement remains in effect until the expiration of the last-to-expire patent or the abandonment of the last to be abandoned patent application licensed under the agreement. The University of Missouri may terminate the agreement, or render the license granted thereunder non-exclusive, in individual countries if we and our sublicensees fail to achieve certain milestones. We may terminate the license agreement at any time upon providing six months’ written notice to the University of Missouri and paying a termination fee. Each of the University of Missouri and we may also terminate the agreement for an uncured default or breach of the agreement by the other party. Our ability to cure such breach only applies to the first two notices of such breach provided by the University of Missouri, and thereafter, the University of Missouri may terminate the agreement for our default or breach of the agreement upon thirty days’ written notice without an opportunity to cure such default or breach.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University of Michigan License Agreement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2016, we entered into a license agreement with the Regents of the University of Michigan, or the University of Michigan, a constitutional corporation of Michigan, under which we obtained an exclusive, royalty-bearing, sublicensable, worldwide license to make, sell and distribute products under certain patents owned by the University of Michigan related to microdystrophin and utrophin spectrin-like nucleic acid sequences for any use that, but for this agreement, would comprise an infringement of a valid claim included in the licensed patent rights.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consideration for the rights granted by the agreement, we paid a one-time license fee and a separate fee to cover past patent prosecution costs. We recorded the upfront license fee as a research and development expense in 2016. We are required to reimburse the University of Michigan for costs incurred in applying for, prosecuting and maintaining patents, and pay up to an aggregate of approximately $1 million upon the achievement of certain milestones. There were no milestones achieved as of December 31, 2016 and September 30, 2017. We must also pay a royalty on future sales by us or our sublicensees of products developed using the licensed rights, with a minimum annual royalty after certain milestones are achieved. In addition, we must pay an annual maintenance fee in any year in which the minimum annual royalty is not reached.</w:t>
      </w:r>
    </w:p>
    <w:p>
      <w:pPr>
        <w:spacing w:after="0" w:line="178"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Under the agreement, the University of Michigan reserves for itself and its affiliates the right to use the licensed rights for non-commercial research, public service, internal and educational purposes and the right to grant the same limited non-commercial rights to other non-profit research institutions.</w:t>
      </w:r>
    </w:p>
    <w:p>
      <w:pPr>
        <w:spacing w:after="0" w:line="124"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We are obligated to use commercially reasonable efforts to bring one or more products based on the licensed patents to market through a diligence program for utilizing the licensed patents, to continue diligent marketing efforts throughout the term of the agreement, and to make reasonable amounts of such products commercially available, in each case consistent with prudent business practices and judgment.</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University of Michigan controls the prosecution and maintenance of the licensed patents in consultation with us and at our expense. In countries in which we have not requested prosecution or maintenance of licensed patents, the University of Michigan may prosecute and maintain such licensed patents at its own cost. We have the first right to enforce such licensed patents at our expense. However, we may only enter into a settlement with the advice and consent of the University of Michigan.</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license agreement remains in effect until the expiration of the last-to-expire patent licensed under the agreement. The University of Michigan may terminate the agreement upon our uncured material breach of the agreement, including failure to make required payments under the agreement or to achieve certain milestones, or if we become insolvent or bankrupt. We may terminate the license agreement at any time upon providing sixty days’ written notice to the University of Michigan.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Harvard College License Agreements</w:t>
      </w:r>
    </w:p>
    <w:p>
      <w:pPr>
        <w:spacing w:after="0" w:line="117" w:lineRule="exact"/>
        <w:rPr>
          <w:sz w:val="20"/>
          <w:szCs w:val="20"/>
          <w:color w:val="auto"/>
        </w:rPr>
      </w:pPr>
    </w:p>
    <w:p>
      <w:pPr>
        <w:jc w:val="both"/>
        <w:ind w:right="660" w:firstLine="456"/>
        <w:spacing w:after="0" w:line="264" w:lineRule="auto"/>
        <w:rPr>
          <w:sz w:val="20"/>
          <w:szCs w:val="20"/>
          <w:color w:val="auto"/>
        </w:rPr>
      </w:pPr>
      <w:r>
        <w:rPr>
          <w:rFonts w:ascii="Arial" w:cs="Arial" w:eastAsia="Arial" w:hAnsi="Arial"/>
          <w:sz w:val="18"/>
          <w:szCs w:val="18"/>
          <w:color w:val="auto"/>
        </w:rPr>
        <w:t>In 2016 and 2017, we entered into license agreements with the President and Fellows of Harvard College, or Harvard College, under which we obtained non-exclusive, royalty-bearing, sublicensable, worldwide licenses to use certain intellectual property owned by Harvard College to develop, manufacture, and commercialize products for use in the treatment of DMD.</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consideration for the rights granted by each agreement, we paid one-time, non-refundable license fees, which were recorded as a research and development expense in 2016 and 2017. We are required to pay an annual license maintenance fee until certain milestones are achieved, after which time the annual maintenance fee will increase annually. Such annual maintenance fees will further increase if we grant certain rights to a sublicensee or strategic partner with whom we collaborate on the development and commercialization of licensed products. The annual maintenance fees are creditable against royalty payments. We also must pay milestone payments within thirty days after achieving certain milestones. There were no milestones achieved as of December 31, 2016 and September 30, 2017 under either agreement. We must pay a royalty on future sales by us or our sublicensees of products developed using the licensed technology.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license agreements each remain in effect for an initial term of fifteen years, with automatic three-year renewal periods thereafter unless one of the parties provides notice of non-renewal. We may terminate the license agreements at any time upon providing sixty days’ written notice to Harvard College. Harvard College may terminate the agreements in the event we become bankrupt or insolvent. Both Harvard College and we may also terminate the agreements for an uncured material breach of the agreements by the other party.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2016, we entered into a license agreement with a biotechnology company, or the Licensor. In consideration for obtaining a non-exclusive, royalty-free, worldwide license to use certain technologies and associated know-how to develop our product candidates, we paid a one-time, non-refundable license fee. This fee was recorded as a research and development expense in 2016. The license agreement will remain effective in perpetuity unless earlier terminated. The Licensor has the right to terminate the agreement upon our material, uncured breach of the agreement or in the event that it determines that continued performance of the agreement may violate any laws. We are obligated to diligently pursue regulatory approval necessary for the development, manufacture and sale of the licensed products. We have the right to terminate the agreement at any time upon providing thirty days’ written notice to the Licensor.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biotechnology and pharmaceutical industries are characterized by rapidly changing technologies, significant competition and a strong emphasis on intellectual property. This is also true in treatments of DMD, as well as in gene therapy. While we believe that our focus, strength of team, expertise in gene therapy, scientific knowledge and intellectual property provide us with competitive advantages, we face competition from several different sources, including large and small biopharmaceutical companies, academic research institutions, government agencies and public and private research institutions. Not only must we compete with other companies that are focused on gene transfer technology, but any product candidates that we successfully develop and commercialize will compete with existing therapies and new therapies that may become available in the future.</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Many of our competitors have significantly greater financial resources and expertise in research and development, manufacturing, preclinical testing, clinical trials, regulatory approvals and product marketing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aware of several companies and research institutions focused on developing systemic gene transfers for DMD, including Pfizer Inc. and Sarepta Therapeutics, Inc. Any advances in gene transfer technology made by a competitor may be used to develop therapies that could compete with our lead product candidate.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our gene transfer product candidate, the main competitors are:</w:t>
      </w:r>
    </w:p>
    <w:p>
      <w:pPr>
        <w:spacing w:after="0" w:line="13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are aware that Pfizer Inc. is developing PF-06939926, an AAV-mediated microdystrophin gene transfer.</w:t>
      </w:r>
    </w:p>
    <w:p>
      <w:pPr>
        <w:spacing w:after="0" w:line="130" w:lineRule="exact"/>
        <w:rPr>
          <w:rFonts w:ascii="Arial" w:cs="Arial" w:eastAsia="Arial" w:hAnsi="Arial"/>
          <w:sz w:val="18"/>
          <w:szCs w:val="18"/>
          <w:color w:val="auto"/>
        </w:rPr>
      </w:pPr>
    </w:p>
    <w:p>
      <w:pPr>
        <w:ind w:left="900" w:right="200" w:hanging="325"/>
        <w:spacing w:after="0" w:line="279"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are aware that Sarepta Therapeutics, Inc. has entered into a research and option agreement with Nationwide Children’s Hospital for AAVrh74.MHCK7.micro-Dystrophin, its AAV-mediated microdystrophin gene transfer program. In November 2017, Sarepta announced that Nationwide Children’s Hospital received clearance from the FDA for its IND application to initiate a Phase I/II clinical trial designed to assess the safety and tolerability of AAVrh74.MHCK7.micro-Dystrophin in individuals with DMD.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6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aware that Sarepta Therapeutics, Inc. and Genethon have entered into a research collaboration to develop an AAV-mediated microdystrophin gene transfer.</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addition to the investigational gene transfer programs discussed above, there are two therapies, which are intended to be disease modifying, that are currently approved for DMD by certain regulators. These products are eteplirsen (EXONDYS 51) and ataluren (Translarna), each of which is indicated for approximately 13% of DMD patients.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 and product approval</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United States, biologic products including gene therapy products, such as our lead product candidate, are regulated by the FDA under the Federal Food, Drug, and Cosmetic Act, or FD&amp;C Act, and the Public Health Service Act, or PHS Act, as well as by other federal, state and local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 products. FDA approval must be obtained before conducting human clinical testing of biologic products. Additionally, each clinical trial protocol for a gene therapy product candidate is reviewed by the FDA and, in limited instances, the NIH through its RAC. FDA approval also must be obtained before marketing of biologic products.</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Within the FDA, the CBER regulates gene therapy products. Within CBER, the review of gene therapy and related products is consolidated in the OTAT and the FDA has established the Cellular, Tissue and Gene Therapies Advisory Committee to advise CBER on its reviews. CBER works closely with the NIH and the RAC, which makes recommendations to the NIH on gene therapy issues and engages in a public discussion of scientific, safety, ethical and societal issues related to proposed and ongoing gene therapy protocols. Although the FDA has not yet approved any human gene therapy product for sale, it has provided guidance for the development of gene therapy products. This guidance includes a growing body of guidance documents on chemistry, manufacturing and control, or CMC, clinical investigations and other areas of gene therapy development, all of which are intended to facilitate the industry’s development of gene therapy products.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 products development process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required by the FDA before a biologic product may be marketed in the United States generally involves the following:</w:t>
      </w:r>
    </w:p>
    <w:p>
      <w:pPr>
        <w:spacing w:after="0" w:line="131" w:lineRule="exact"/>
        <w:rPr>
          <w:sz w:val="20"/>
          <w:szCs w:val="20"/>
          <w:color w:val="auto"/>
        </w:rPr>
      </w:pPr>
    </w:p>
    <w:p>
      <w:pPr>
        <w:ind w:left="900" w:right="30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completion of preclinical laboratory tests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according to the FDA’s GLPs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submission to the FDA of an application for an IND, which allows human clinical trials to begin unless the FDA objects within 30 days;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approval by an IRB reviewing each clinical site before each clinical trial may be initiated;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approval by an IBC assessing the safety of the clinical research and identifying any potential risk to public health or the environment;</w:t>
      </w:r>
    </w:p>
    <w:p>
      <w:pPr>
        <w:spacing w:after="0" w:line="142" w:lineRule="exact"/>
        <w:rPr>
          <w:rFonts w:ascii="Arial" w:cs="Arial" w:eastAsia="Arial" w:hAnsi="Arial"/>
          <w:sz w:val="17"/>
          <w:szCs w:val="17"/>
          <w:color w:val="auto"/>
        </w:rPr>
      </w:pPr>
    </w:p>
    <w:p>
      <w:pPr>
        <w:ind w:left="900" w:right="320" w:hanging="325"/>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performance of adequate and well controlled human clinical trials according to the FDA’s regulations commonly referred to as GCPs and any additional requirements for the protection of human research subjects and their health information, to establish the safety and efficacy of the proposed biologic product for its intended use;</w:t>
      </w:r>
    </w:p>
    <w:p>
      <w:pPr>
        <w:spacing w:after="0" w:line="86"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preparation and submission to the FDA of a BLA, for marketing approval that includes substantive evidence of safety, purity and potency from results of preclinical testing and clinical trials, and detailed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information about the CMC for the product, reports of the outcomes and full data sets of the clinical trials and proposed labeling and packaging for the product;</w:t>
      </w:r>
    </w:p>
    <w:p>
      <w:pPr>
        <w:spacing w:after="0" w:line="76"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if applicable;</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 product candidate is produced to assess compliance with cGMP requirements and to assure that the facilities, methods and controls are adequate to preserve the biologic product candidate’s identity, safety, strength, quality and purity;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BLA;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 of user fees;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 xml:space="preserve">Before testing any biologic product candidate in humans, including a gene therapy product candidate, the product candidate must undergo preclinical testing. Preclinical tests, also referred to as nonclinical studies, include laboratory evaluations of product chemistry, toxicity and formulation, as well as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studies to assess the potential safety and activity of the product candidate and to establish a rationale for therapeutic use. The conduct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nonclinical studies must comply with federal regulations and requirements, including GLPs.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 gene therapy trial is conducted at, or sponsored by, institutions receiving NIH funding for recombinant DNA research, prior to the submission of an IND to the FDA, a protocol and related documents must be submitted to, and the study registered with, the NIH Office of Biotechnology Activities, or OBA, pursuant to the NIH Guidelines for Research Involving Recombinant DNA Molecules, or NIH Guidelines. Compliance with the NIH Guidelines is mandatory for investigators at institutions receiving NIH funds for research involving recombinant DNA. However, many companies and other institutions, not otherwise subject to the NIH Guidelines, voluntarily follow them. NIH is responsible for convening the RAC that discusses protocols that raise 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website and may be accessed by the public.</w:t>
      </w:r>
    </w:p>
    <w:p>
      <w:pPr>
        <w:spacing w:after="0" w:line="16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clinical trial sponsor must submit the results of the preclinical tests, together with manufacturing information, analytical data, any available clinical data or literature and a proposed clinical protocol, to the FDA as part of the IND. Some preclinical tests may continue even after the IND is submitted. The IND automatically becomes effective 30 days after receipt by the FDA, unless the FDA places the clinical trial on a clinical hold. In such a case, the IND sponsor and the FDA must resolve any outstanding concerns before the clinical trial can begin. With gene therapy protocols, if the FDA allows the IND to proceed, but the RAC decides that full public review of the protocol is warranted, the FDA will request at the completion of its IND review that the sponsor delays initiation of the protocol until after completion of the RAC review process. The FDA also may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under an IND</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Clinical trials involve the administration of the biologic product candidate to healthy volunteers or patients under the supervision of qualified investigators, generally physicians not employed by, or under the control of, the trial sponsor. Clinical trials are conducted under written study protocols detailing, among other things, the objectives of the clinical trial, dosing procedures, subject selection and exclusion criteria, and the parameters to be used to monitor subject safety, including stopping rules that assure a clinical trial will be stopped if certain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 Clinical trials involving recombinant DNA also must be reviewed by an IBC a local institutional committee that reviews and oversees basic and clinical research and utilizes recombinant DNA at that institution. The IBC assesses the safety of the research and identifies any potential risk to public health or the environment.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900" w:right="240" w:hanging="325"/>
        <w:spacing w:after="0" w:line="25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Phase I</w:t>
      </w:r>
      <w:r>
        <w:rPr>
          <w:rFonts w:ascii="Arial" w:cs="Arial" w:eastAsia="Arial" w:hAnsi="Arial"/>
          <w:sz w:val="18"/>
          <w:szCs w:val="18"/>
          <w:color w:val="auto"/>
        </w:rPr>
        <w:t>. The biologic product is initially introduced into a small group of healthy human subjects and tested for safety, dosage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distribution, excretion and, if possible, to gain an early understanding of its effectiveness. In the case of some product candidates for severe or life-threatening diseases, especially when the product candidate may be too inherently toxic to ethically administer to healthy volunteers, the initial human testing is often conducted in patients. Phase I clinical trials of gene therapies are typically conducted in patients rather than healthy volunteers.</w:t>
      </w:r>
    </w:p>
    <w:p>
      <w:pPr>
        <w:spacing w:after="0" w:line="93"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Phase II</w:t>
      </w:r>
      <w:r>
        <w:rPr>
          <w:rFonts w:ascii="Arial" w:cs="Arial" w:eastAsia="Arial" w:hAnsi="Arial"/>
          <w:sz w:val="18"/>
          <w:szCs w:val="18"/>
          <w:color w:val="auto"/>
        </w:rPr>
        <w:t>. The biologic product candidate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86" w:lineRule="exact"/>
        <w:rPr>
          <w:rFonts w:ascii="Arial" w:cs="Arial" w:eastAsia="Arial" w:hAnsi="Arial"/>
          <w:sz w:val="18"/>
          <w:szCs w:val="18"/>
          <w:color w:val="auto"/>
        </w:rPr>
      </w:pPr>
    </w:p>
    <w:p>
      <w:pPr>
        <w:ind w:left="900" w:right="60" w:hanging="325"/>
        <w:spacing w:after="0" w:line="297"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Phase III</w:t>
      </w:r>
      <w:r>
        <w:rPr>
          <w:rFonts w:ascii="Arial" w:cs="Arial" w:eastAsia="Arial" w:hAnsi="Arial"/>
          <w:sz w:val="16"/>
          <w:szCs w:val="16"/>
          <w:color w:val="auto"/>
        </w:rPr>
        <w:t>. Phase III clinical trials are commonly referred to as “pivotal” studies, which typically denotes a study that presents the data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FDA or other relevant regulatory agency will use to determine whether or not to approve a biologic product. In Phase III studies, the biologic product is administered to an expanded patient population, generally at multiple geographically dispersed clinical trial sites in adequate and well controlled clinical trials to generate sufficient data to statistically confirm the potency and safety of the product for approval. These clinical trials are intended to establish the overall risk/benefit ratio of the product candidate and provide an adequate basis for product labeling.</w:t>
      </w:r>
    </w:p>
    <w:p>
      <w:pPr>
        <w:spacing w:after="0" w:line="158"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Post-approval clinical trials, sometimes referred to as Phase IV clinical trials, may be conducted after initial approval. These clinical trials are used to gain additional experience from the treatment of patients in the intended therapeutic indication, particularly for long-term safety follow-up.</w:t>
      </w:r>
    </w:p>
    <w:p>
      <w:pPr>
        <w:spacing w:after="0" w:line="14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Written IND safety reports must be promptly submitted to the FDA, the NIH and the investigators for serious and unexpected adverse events, any findings from other trials,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laboratory tests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73"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FDA or the sponsor or its DSMB may suspend a clinical trial at any time on various grounds, including a finding that the research subjects or patients are being exposed to an unacceptable health risk. Similarly, an IRB</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can suspend or terminate approval of a clinical trial at its institution if the clinical trial is not being conducted in accordance with the IRB’s requirements or if the biologic product candidate has been associated with unexpected serious harm to patients.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 for gene therapy clinical trials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addition to the regulations discussed above, there are a number of additional standards that apply to clinical trials involving the use of gene therapy. The FDA has issued various guidance documents regarding gene therapies, which outline additional factors that the FDA will consider at each of the above stages of development, which relate to, among other things: the proper preclinical assessment of gene therapies; the CMC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ten years of annual queries, either in person or by questionnaire.</w:t>
      </w:r>
    </w:p>
    <w:p>
      <w:pPr>
        <w:spacing w:after="0" w:line="178"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The NIH and the FDA have a publicly accessible database, the Genetic Modification Clinical Research Information System, which includes information on gene therapy trials and serves as an electronic tool to facilitate the reporting and analysis of adverse events on these trials.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cGMP requirements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Manufacturers of biologics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BLA, and may extend to requiring withdrawal of the product from the market. The FDA will not approve a BLA unless it determines that the manufacturing processes and facilities are in compliance with cGMP requirements and adequate to assure consistent production of the product within required specification.</w:t>
      </w:r>
    </w:p>
    <w:p>
      <w:pPr>
        <w:spacing w:after="0" w:line="17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Concurrent with clinical trials, companies usually complete additional preclinical studies and must also develop additional information about the physical characteristics of the biologic product candidate as well as finalize a process for manufacturing the product candidate in commercial quantities in accordance with cGMP requirements. To help reduce the risk of the introduction of adventitious agents or of causing other adverse events with the use of biologic products, the PHS Act emphasizes the importance of manufacturing control for products whose attributes cannot be precisely defined. The manufacturing process must be capable of consistently producing quality batches of the product candidate and, among other requirements, the sponsor must develop methods for testing the identity, strength, quality, potency and purity of the final biologic product. Additionally, appropriate packaging must be selected and tested and stability studies must be conducted to demonstrate that the biologic product candidate does not undergo unacceptable deterioration over its shelf life.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After the completion of clinical trials of a biologic product, FDA approval of a BLA must be obtained before commercial marketing of the biologic product. The BLA must include results of product development, laboratory and animal studies, human studies, information on the manufacture and composition of the product, proposed labeling and other relevant information. In addition, under the Pediatric Research Equity Act, a BLA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supplement to a BLA must contain data to assess the safety and effectiveness of the biologic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Prescription Drug User Fee Act, or PDUFA, as amended, each BLA must be accompanied by a significant user fee. According to the FDA’s fee schedule, effective from October 1, 2017 through September 30, 2018, the user fee for an application requiring clinical data, such as a new drug application, is $2,421,495. PDUFA also imposes an annual product fee for biologics and an annual establishment fee on facilities used to manufacture prescription biologics.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FDA reviews a BLA within 60 days of submission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 product approval process, the FDA also will determine whether a REMS, is necessary to assure the safe use of the biologic product.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A REMS could include medication guides, physician communication plans and elements to assure safe use, such as restricted distribution methods, patient registries and other risk minimization tools. If the FDA concludes a REMS is needed, the sponsor of the BLA must submit a proposed REMS; the FDA will not approve the BLA without a REMS, if required.</w:t>
      </w:r>
    </w:p>
    <w:p>
      <w:pPr>
        <w:spacing w:after="0" w:line="169" w:lineRule="exact"/>
        <w:rPr>
          <w:sz w:val="20"/>
          <w:szCs w:val="20"/>
          <w:color w:val="auto"/>
        </w:rPr>
      </w:pPr>
    </w:p>
    <w:p>
      <w:pPr>
        <w:jc w:val="both"/>
        <w:ind w:right="160" w:firstLine="456"/>
        <w:spacing w:after="0" w:line="276" w:lineRule="auto"/>
        <w:rPr>
          <w:sz w:val="20"/>
          <w:szCs w:val="20"/>
          <w:color w:val="auto"/>
        </w:rPr>
      </w:pPr>
      <w:r>
        <w:rPr>
          <w:rFonts w:ascii="Arial" w:cs="Arial" w:eastAsia="Arial" w:hAnsi="Arial"/>
          <w:sz w:val="17"/>
          <w:szCs w:val="17"/>
          <w:color w:val="auto"/>
        </w:rPr>
        <w:t>Before approving a BLA, the FDA will inspect the facilities at which the product candidate is manufactured. The FDA will not approve the product candidate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 cGMP, GLP and GCP compliance requires significant expenditure of time, money and effort in the areas of training, recordkeeping, production and quality control.</w:t>
      </w:r>
    </w:p>
    <w:p>
      <w:pPr>
        <w:spacing w:after="0" w:line="173"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how we would interpret the same data. On the basis of the BLA and accompanying information, including the results of the inspection of the manufacturing facilities, the FDA may issue an approval letter or a complete response letter. An approval letter authorizes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commercial marketing of the biologic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will issue an approval letter.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9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sometimes referred to as Phase IV clinical trials, designed to further assess a biologic product’s safety and effectiveness, and testing and surveillance programs to monitor the safety of approved products that have been commercialized.</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FDA has agreed to specified performance goals in the review of BLAs under the PDUFA. One such goal is to review standard BLAs in ten months after the FDA accepts the BLA for filing, and priority BLAs in six months,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Under the Biologics Price Competition and Innovation Act, or BPCIA, which was part of the Health Care Reform Law, biologics, such as our product candidates, may be eligible for pediatric exclusivity, an incentive intended to encourage medical product research for children. Pediatric exclusivity, if granted, adds six months to existing exclusivity periods applicable to biological products under the BPCIA—namely, the four-year period during which the FDA will not consider an application for a biosimilar product, and the 12-year period during which the FDA will not approve a biosimilar application. This six-month exclusivity, which runs from the end of these exclusivity protection periods, may be granted based on the voluntary completion of a pediatric trial in accordance with an FDA-issued “written request” for such a trial.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Under the Orphan Drug Act, the FDA may designate a biologic product as an “orphan drug” if it is intended to treat a rare disease or condition (generally meaning that it affects fewer than 200,000 individuals in the United States, or more in cases in which there is no reasonable expectation that the cost of developing and making a biologic product available in the United States for treatment of the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a product with orphan status receives the first FDA approval for the disease or condition for which it has such designation, the product is entitled to orphan product exclusivity, meaning that the FDA may not approve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any other applications to market the same drug or biologic product for the same indication for seven years, except in limited circumstances, such as a showing of clinical superiority to the product with orphan exclusivity or if the party holding the exclusivity fails to assure the availability of sufficient quantities of the drug to meet the needs of patients with the disease or condition for which the drug was designated. Competitors, however, may receive approval of different products for the same indication for which the orphan product has exclusivity or obtain approval for the same product but for a different indication for which the orphan product has exclusivity. Orphan medicinal product status in the European Union has similar, but not identical, benefits.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FDA is authorized to expedite the review of BLAs in several ways. Under the Fast Track program, the sponsor of a biologic product candidate may request the FDA to designate the product for a specific indication as a Fast Track product concurrent with or after the filing of the IND. Biologic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BLA before the application is complete, a process known as rolling review.</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76" w:lineRule="exact"/>
        <w:rPr>
          <w:sz w:val="20"/>
          <w:szCs w:val="20"/>
          <w:color w:val="auto"/>
        </w:rPr>
      </w:pPr>
    </w:p>
    <w:p>
      <w:pPr>
        <w:ind w:left="900" w:right="100" w:hanging="325"/>
        <w:spacing w:after="0" w:line="276"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Breakthrough therapy designation. </w:t>
      </w:r>
      <w:r>
        <w:rPr>
          <w:rFonts w:ascii="Arial" w:cs="Arial" w:eastAsia="Arial" w:hAnsi="Arial"/>
          <w:sz w:val="17"/>
          <w:szCs w:val="17"/>
          <w:color w:val="auto"/>
        </w:rPr>
        <w:t>To qualify for the breakthrough therapy program, product candidates must be intended to treat a serious or</w:t>
      </w:r>
      <w:r>
        <w:rPr>
          <w:rFonts w:ascii="Arial" w:cs="Arial" w:eastAsia="Arial" w:hAnsi="Arial"/>
          <w:sz w:val="17"/>
          <w:szCs w:val="17"/>
          <w:i w:val="1"/>
          <w:iCs w:val="1"/>
          <w:color w:val="auto"/>
        </w:rPr>
        <w:t xml:space="preserve"> </w:t>
      </w:r>
      <w:r>
        <w:rPr>
          <w:rFonts w:ascii="Arial" w:cs="Arial" w:eastAsia="Arial" w:hAnsi="Arial"/>
          <w:sz w:val="17"/>
          <w:szCs w:val="17"/>
          <w:color w:val="auto"/>
        </w:rPr>
        <w:t>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77" w:lineRule="exact"/>
        <w:rPr>
          <w:rFonts w:ascii="Arial" w:cs="Arial" w:eastAsia="Arial" w:hAnsi="Arial"/>
          <w:sz w:val="17"/>
          <w:szCs w:val="17"/>
          <w:color w:val="auto"/>
        </w:rPr>
      </w:pPr>
    </w:p>
    <w:p>
      <w:pPr>
        <w:ind w:left="900" w:right="220" w:hanging="325"/>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Priority review</w:t>
      </w:r>
      <w:r>
        <w:rPr>
          <w:rFonts w:ascii="Arial" w:cs="Arial" w:eastAsia="Arial" w:hAnsi="Arial"/>
          <w:sz w:val="18"/>
          <w:szCs w:val="18"/>
          <w:color w:val="auto"/>
        </w:rPr>
        <w:t>. A product candidate is eligible for priority review if it treats a serious condition and, if approved, it would be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in the safety or effectiveness of the treatment, diagnosis or prevention compared to marketed products. FDA aims to complete its review of priority review applications within six months as opposed to 10 months for standard review.</w:t>
      </w:r>
    </w:p>
    <w:p>
      <w:pPr>
        <w:spacing w:after="0" w:line="86" w:lineRule="exact"/>
        <w:rPr>
          <w:rFonts w:ascii="Arial" w:cs="Arial" w:eastAsia="Arial" w:hAnsi="Arial"/>
          <w:sz w:val="18"/>
          <w:szCs w:val="18"/>
          <w:color w:val="auto"/>
        </w:rPr>
      </w:pPr>
    </w:p>
    <w:p>
      <w:pPr>
        <w:ind w:left="900" w:right="80" w:hanging="325"/>
        <w:spacing w:after="0" w:line="271"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Accelerated approval. </w:t>
      </w:r>
      <w:r>
        <w:rPr>
          <w:rFonts w:ascii="Arial" w:cs="Arial" w:eastAsia="Arial" w:hAnsi="Arial"/>
          <w:sz w:val="17"/>
          <w:szCs w:val="17"/>
          <w:color w:val="auto"/>
        </w:rPr>
        <w:t>Drug or biologic products studied for their safety and effectiveness in treating serious or life-threatening illnesses and that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w:t>
      </w:r>
    </w:p>
    <w:p>
      <w:pPr>
        <w:spacing w:after="0" w:line="17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Fast Track designation, breakthrough therapy designation and accelerated approval do not change the standards for approval but may expedite the development or approval process.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After regulatory approval of a product is obtained, there may be a number of post-approval requirements. For example, as a condition of approval of a BLA, the FDA may require post-marketing testing and surveillance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 monitor the product’s safety or efficacy. In addition, holders of an approved BLA are required to keep extensive records, to report certain adverse reactions and production problems to the FDA, to provide updated safety and efficacy information and to comply with requirements concerning advertising and promotional labeling for their products. Also, quality control and manufacturing procedures must continue to conform to cGMP regulations and practices, as well as the manufacturing conditions of approval set forth in the BLA. The FDA periodically inspects manufacturing facilities to assess compliance with cGMP, which impose certain procedural, substantive and recordkeeping requirements. Accordingly, manufacturers must continue to expend time, money and effort in the area of production and quality control to maintain compliance with cGMP and other aspects of regulatory compliance.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Depending upon the timing, duration and specifics of FDA approval of product candidates, some of a sponsor’s U.S. patents may be eligible for limited patent term extension under the Hatch-Waxman Amendments. The Hatch-Waxman Amendments permit a patent restoration term of up to five years as compensation for patent terms lost during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plus the time between the submission date of a BLA and the approval of that application. Only one patent applicable to an approved biologic product is eligible for the extension, the application for the extension must be submitted prior to the expiration of the patent, and only those claims covering the approved drug, a method for using it or a method for manufacturing it may be extended. Moreover, a given patent may only be extended once based on a single product. The USPTO in consultation with the FDA, reviews and approves the application for any patent term extension or restoration.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U.S.</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addition to regulations in the United States, a variety of regulations in other jurisdictions govern, among other things, clinical trials and any commercial sales and distribution of biologic products. Because biologically sourced materials are subject to unique contamination risks, their use may be restricted in some countries.</w:t>
      </w:r>
    </w:p>
    <w:p>
      <w:pPr>
        <w:spacing w:after="0" w:line="18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Whether or not a sponsor obtains FDA approval for a product, a sponsor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request for a Clinical Trial Authorization, or CTA, must be submitted to the competent regulatory authorities and the competent Ethics Committees in the European Union Member States in which the clinical trial takes place, much like FDA and the IRB, respectively. Once the CTA request is approved in accordance with the European Union and the European Union Member State’s requirements, clinical trial development may proceed.</w:t>
      </w:r>
    </w:p>
    <w:p>
      <w:pPr>
        <w:spacing w:after="0" w:line="189"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The EMA launched the PRIority MEdicines, or PRIME, initiative in March 2016 to foster research and development of medicines that may offer a major therapeutic advantage over existing treatments, or benefit patients without treatment options. PRIME aims to strengthen clinical trial designs to facilitate the generation of high-quality data for the evaluation of an application for marketing authorization. To be accepted for PRIME, a medicine has to show its potential to benefit patients with unmet medical needs based on preclinical and/or early clinical data. These medicines are considered priority medicines within the European Union.</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an investigational candidate has been selected for PRIME, developers are assigned a rapporteur from the Committee for Medicinal Products for Human Use, or CHMP, to provide continuous support and help to build knowledge ahead of a MAA. A multidisciplinary group of experts will provide broader guidance on the overall development plan and regulatory strategy of the product. Companies are also eligible for accelerated assessment at the time of their regulatory application.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specific circumstances, E.U. legislation on Conditional Marketing Authorizations for Medicinal Products for Human Use, or conditional marketing authorization, enables applicants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the risk-benefit balance of the product candidate is positive, it is likely that the applicant will be in a position to provide the required comprehensive clinical trial data, the product fulfills unmet medical needs and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w:t>
      </w:r>
    </w:p>
    <w:p>
      <w:pPr>
        <w:spacing w:after="0" w:line="192"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requirements and processes governing the conduct of clinical trials, product licensing, pricing and reimbursement vary from country to country. In all cases, the clinical trials are conducted in accordance with GCPs and the applicable regulatory requirements of the country or countries in which the clinical trial is performed, as well as the ethical principles that have their origin in the Declaration of Helsinki (whichever provides the greater protection to the clinical trial participants).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regulations affecting certain federally funded programs, such as Medicare and Medicaid: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Manufacturers with products that are reimbursed by U.S. federally funded programs such as Medicare and Medicaid are subject to regulation by CMS and enforcement by the U.S. Department of Health and Human Services Office of the Inspector General, or HHS OIG. In the event our product candidates are approved, regulation by CMS and enforcement by HHS OIG would be relevant to us. Some of these laws, referred to as false claims laws, prohibit the submission or causing the submission of false or fraudulent claims for reimbursement to federal, state and other health care payors and programs. Other laws, referred to as anti-kickback laws, prohibit soliciting, offering, receiving or paying remuneration in order to induce the referral of a patient or ordering, purchasing, leasing or arranging for, or recommending ordering, purchasing or leasing of, items or services that are paid for by federal, state and other health care payors and programs.</w:t>
      </w:r>
    </w:p>
    <w:p>
      <w:pPr>
        <w:spacing w:after="0" w:line="18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federal Anti-Kickback Law prohibits providers and others from directly or indirectly soliciting, receiving, offering or paying any remuneration with the intent of generating referrals or orders for services or items covered by a government health care program. Many states have enacted similar laws. Courts have interpreted this law very broadly, including by holding that a violation has occurred if even one purpose of the remuneration is to generate referrals, even if there are other lawful purposes. There are statutory and regulatory exceptions, or safe harbors, that outline arrangements that are deemed lawful. However, the fact that an arrangement does not fall within a safe harbor does not necessarily render the conduct illegal under the Anti-Kickback Law. In sum, even common business arrangements, such as discounted terms and volume incentives for customers in a position to recommend or choose drugs for patients, such as physicians and hospitals, can result in substantial legal penalties, including, among others, exclusion from Medicare and Medicaid programs, and arrangements with referral sources must be structured with care to comply with applicable requirements. Also, certain business practices, such as payment of consulting fees to health care providers, sponsorship of educational or research grants, charitable donations, interactions with health care providers that prescribe products for uses not approved by the FDA and financial support for continuing medical education programs, must be conducted within narrowly prescribed and controlled limits to avoid the possibility of wrongfully influencing health care providers to prescribe or purchase particular products or as a reward for past prescribing. Violations of the Anti-Kickback Law may be punished by civil and criminal penalties or exclusion from participation in federal health care programs, including Medicare and Medicaid.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It is a violation of the FCA for any entity to present or cause to be presented knowingly false claims for payment to the federal government. In addition, the Health Care Reform Law amended the FCA to create a cause of action against any person who knowingly makes a false statement material to an obligation to pay money to the government or knowingly conceals or improperly decreases an obligation to pay or transmit money or property to the government. For the purposes of these recent amendments, an obligation includes an identified overpayment, which is defined broadly to include any funds that a person receives or retains under Medicare and Medicaid to which the person, after applicable reconciliation, is not entitled. The FCA is commonly used to sue those who submit allegedly false Medicare or Medicaid claims, as well as those who induce or assist others to submit a false claim. False claims can result not only from non-compliance with the express requirements of applicable governmental reimbursement programs, such as Medicaid or Medicare, but also from non-compliance with other laws, such as the Anti-Kickback Law or laws that require quality care in service delivery. The fraud and abuse regulations have been subject to varying interpretations, as well as heightened enforcement activity over the past few years, and significant enforcement activity has been the result of relators, who serve as whistleblowers by filing complaints in the name of the United States (and if applicable, particular states) under federal and state false claims laws. Under the federal FCA, relators can be entitled to receive up to 30% of total recoveries. Also, violations of the FCA can result in treble damages and civil penalties. Most states have adopted similar state false claims laws, and these state laws have their own penalties that may be in addition to federal FCA penalties.</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Health Care Reform Law significantly strengthened the federal FCA and federal Anti-Kickback Law provisions, which could lead to the possibility of increased whistleblower or relator suits, and among other things made clear that a federal Anti-Kickback Law violation can be a basis for federal FCA liability.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also subject to regulation under the Occupational Safety and Health Act, the Environmental Protection Act, the Toxic Substances Control Act, the Resource Conservation and Recovery Act and other present and potential federal, state or local regulations. These and other laws govern our use, handling and disposal of various biological and chemical substances used in, and waste generated by, our operations. Our research and development involves the controlled use of hazardous materials, chemicals and viruses.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of December 1, 2017, we had 58 full-time employees, 19 of whom hold Ph.D. or M.D. degrees, 22 of whom are engaged in research and development activities, four of whom are engaged in clinical and regulatory activities and 32 of whom are engaged in business development, legal, finance, information systems, human resources or administrative support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lease our corporate headquarters, which consists of approximately 6,000 square feet in Cambridge, Massachusetts. Our lease expires in January 2018. We also lease approximately 6,000 square feet of additional office and laboratory space in Cambridge, Massachusetts, as well as several smaller office spaces. We are currently exploring a future location for our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From time to time, we may be involved in various legal proceedings arising out of our operations. We are not currently a party to any legal proceedings that, in the opinion of our management, are likely to have a material adverse effect on our business, financial condition, results of operations or prospects. Regardless of outcome, litigation can have an adverse impact on us because of defense and settlement costs, diversion of management resources and other factors.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names, ages and positions of our executive officers and directors as of December 1,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4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140" w:type="dxa"/>
            <w:vAlign w:val="bottom"/>
          </w:tcPr>
          <w:p>
            <w:pPr>
              <w:spacing w:after="0"/>
              <w:rPr>
                <w:sz w:val="16"/>
                <w:szCs w:val="16"/>
                <w:color w:val="auto"/>
              </w:rPr>
            </w:pPr>
          </w:p>
        </w:tc>
        <w:tc>
          <w:tcPr>
            <w:tcW w:w="5840" w:type="dxa"/>
            <w:vAlign w:val="bottom"/>
            <w:gridSpan w:val="3"/>
          </w:tcPr>
          <w:p>
            <w:pPr>
              <w:ind w:left="140"/>
              <w:spacing w:after="0"/>
              <w:rPr>
                <w:sz w:val="20"/>
                <w:szCs w:val="20"/>
                <w:color w:val="auto"/>
              </w:rPr>
            </w:pPr>
            <w:r>
              <w:rPr>
                <w:rFonts w:ascii="Arial" w:cs="Arial" w:eastAsia="Arial" w:hAnsi="Arial"/>
                <w:sz w:val="14"/>
                <w:szCs w:val="14"/>
                <w:b w:val="1"/>
                <w:bCs w:val="1"/>
                <w:color w:val="auto"/>
              </w:rPr>
              <w:t>Position(s) held</w:t>
            </w:r>
          </w:p>
        </w:tc>
      </w:tr>
      <w:tr>
        <w:trPr>
          <w:trHeight w:val="20"/>
        </w:trPr>
        <w:tc>
          <w:tcPr>
            <w:tcW w:w="3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2"/>
        </w:trPr>
        <w:tc>
          <w:tcPr>
            <w:tcW w:w="38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760" w:type="dxa"/>
            <w:vAlign w:val="bottom"/>
          </w:tcPr>
          <w:p>
            <w:pPr>
              <w:spacing w:after="0"/>
              <w:rPr>
                <w:sz w:val="15"/>
                <w:szCs w:val="15"/>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Ilan Ganot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Co-founder, Chief Executive Officer and Director</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Gilad Hayeem</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Co-founder, President and Director</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Alvaro Amorrortu</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Chief Operating Officer</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Carl Morris, Ph.D.</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Chief Scientific Officer</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Joel Schneider, Ph.D.</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w w:val="90"/>
              </w:rPr>
              <w:t>Chief Technology Officer and Head of Exploratory Research and Development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Jorge A. Quiroz, M.D.</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Chief Medical Officer</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Jennifer Ziolkowski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 Treasurer and Assistant Secretary</w:t>
            </w:r>
          </w:p>
        </w:tc>
      </w:tr>
      <w:tr>
        <w:trPr>
          <w:trHeight w:val="310"/>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Andrey Zarur, Ph.D.</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Co-founder and Chairman of the Board of Directors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Matthew Arnold</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Robert Huffines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Adam Koppel, M.D., Ph.D.</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Rajeev Shah</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Adam Stone</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Lynne Sullivan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280" w:firstLine="456"/>
        <w:spacing w:after="0" w:line="293" w:lineRule="auto"/>
        <w:rPr>
          <w:sz w:val="20"/>
          <w:szCs w:val="20"/>
          <w:color w:val="auto"/>
        </w:rPr>
      </w:pPr>
      <w:r>
        <w:rPr>
          <w:rFonts w:ascii="Arial" w:cs="Arial" w:eastAsia="Arial" w:hAnsi="Arial"/>
          <w:sz w:val="16"/>
          <w:szCs w:val="16"/>
          <w:i w:val="1"/>
          <w:iCs w:val="1"/>
          <w:color w:val="auto"/>
        </w:rPr>
        <w:t xml:space="preserve">Ilan Ganot </w:t>
      </w:r>
      <w:r>
        <w:rPr>
          <w:rFonts w:ascii="Arial" w:cs="Arial" w:eastAsia="Arial" w:hAnsi="Arial"/>
          <w:sz w:val="16"/>
          <w:szCs w:val="16"/>
          <w:color w:val="auto"/>
        </w:rPr>
        <w:t>is one of our co-founders and has served as our Chief Executive Officer and as a member of our board of directors since our inception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2013. Previously, Mr. Ganot served as an investment banker at JPMorgan Chase &amp; Co. from September 2011 to September 2013. From October 2008 to August 2011, Mr. Ganot served as a banker at Nomura Securities Co., Ltd., and from September 2003 to September 2008, at Lehman Brothers. Mr. Ganot received his M.B.A. from London Business School and holds law and business degrees from the Interdisciplinary Center Herzliya, Israel. Mr. Ganot also practiced corporate law in Israel and was a Captain in the Israeli Defense Forces. He is qualified to serve on our board of directors because of his personal dedication to improving treatments available for DMD patients and his extensive leadership experience in the financial sector.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Gilad Hayeem </w:t>
      </w:r>
      <w:r>
        <w:rPr>
          <w:rFonts w:ascii="Arial" w:cs="Arial" w:eastAsia="Arial" w:hAnsi="Arial"/>
          <w:sz w:val="17"/>
          <w:szCs w:val="17"/>
          <w:color w:val="auto"/>
        </w:rPr>
        <w:t>is one of our co-founders and has served as our President and as a member of our board of directors since our inception in</w:t>
      </w:r>
    </w:p>
    <w:p>
      <w:pPr>
        <w:spacing w:after="0" w:line="35"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2013. Mr. Hayeem also has served as Chief Executive Officer of Waverly Capital, a family office, since January 2012. Mr. Hayeem received his M.B.A. from City, University of London and his undergraduate degree from the University of Leeds. Mr. Hayeem is qualified to serve on our board of directors because of his extensive knowledge of our company based on his role as co-founder and President and his extensive leadership experience.</w:t>
      </w:r>
    </w:p>
    <w:p>
      <w:pPr>
        <w:spacing w:after="0" w:line="6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Alvaro Amorrortu </w:t>
      </w:r>
      <w:r>
        <w:rPr>
          <w:rFonts w:ascii="Arial" w:cs="Arial" w:eastAsia="Arial" w:hAnsi="Arial"/>
          <w:sz w:val="17"/>
          <w:szCs w:val="17"/>
          <w:color w:val="auto"/>
        </w:rPr>
        <w:t>has served as our Chief Operating Officer since January 2017. Mr. Amorrortu served as our Senior Vice President of Operations from</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2015 to December 2016. Prior to joining us, he served as Vice President of Consulting for IMS Health from July 2015 to November 2015 and Vice President of Campbell Alliance (InVentiv Health Consulting) from July 2012 to June 2015. He was at the Monitor Group, a management consulting firm, from April 2003 to May 2012 where he held various positions, including Associate Partner. From 1995 to 2000, Mr. Amorrortu gained significant experience in project engineering and managing food-processing manufacturing facilities through various positions at Molinos Rio de la Plata and Trigalia (subsidiaries of Bunge Group and Cargill, respectively). Mr. Amorrortu received his M.B.A. from The Wharton School of the University of Pennsylvania and received an M.S. from the Instituto Tecnologico de Buenos Aires, Argentina.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Carl Morris, Ph.D. </w:t>
      </w:r>
      <w:r>
        <w:rPr>
          <w:rFonts w:ascii="Arial" w:cs="Arial" w:eastAsia="Arial" w:hAnsi="Arial"/>
          <w:sz w:val="17"/>
          <w:szCs w:val="17"/>
          <w:color w:val="auto"/>
        </w:rPr>
        <w:t>has served as our Chief Scientific Officer since June 2017, and previously served as our Senior Vice President of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from September 2015 to June 2017. Prior to joining us, Dr. Morris held various leadership positions within Pfizer Inc.’s Rare Disease Research Unit from January 2010 to August 2015, including serving as a Senior Director, Director and Senior Principal Scientist. Prior to Pfizer, Dr. Morris held various positions within the Tissue Repair unit at Wyeth Pharmaceuticals, Inc. Dr. Morris was an Assistant Professor at Boston University School of Medicine and a founding faculty member of the Muscle and Aging Research Unit. He is also co-founder and a member of the board of directors of Breed Nutrition Inc. Dr. Morris holds a B.A. in Biology from Franklin Pierce College and a Ph.D. in Physiology from UCLA.</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 xml:space="preserve">Joel Schneider, Ph.D. </w:t>
      </w:r>
      <w:r>
        <w:rPr>
          <w:rFonts w:ascii="Arial" w:cs="Arial" w:eastAsia="Arial" w:hAnsi="Arial"/>
          <w:sz w:val="18"/>
          <w:szCs w:val="18"/>
          <w:color w:val="auto"/>
        </w:rPr>
        <w:t>has served as our Chief Technology Officer and Head of Exploratory Research and Development since June 2017. Dr. Schneider</w:t>
      </w:r>
      <w:r>
        <w:rPr>
          <w:rFonts w:ascii="Arial" w:cs="Arial" w:eastAsia="Arial" w:hAnsi="Arial"/>
          <w:sz w:val="18"/>
          <w:szCs w:val="18"/>
          <w:i w:val="1"/>
          <w:iCs w:val="1"/>
          <w:color w:val="auto"/>
        </w:rPr>
        <w:t xml:space="preserve"> </w:t>
      </w:r>
      <w:r>
        <w:rPr>
          <w:rFonts w:ascii="Arial" w:cs="Arial" w:eastAsia="Arial" w:hAnsi="Arial"/>
          <w:sz w:val="18"/>
          <w:szCs w:val="18"/>
          <w:color w:val="auto"/>
        </w:rPr>
        <w:t>also served as an Analyst from March 2014 to March 2015, a Director from March 2015 to January 2017 and our Vice President of Research and Development from January 2017 to June 2017. Prior to joining Solid, Dr. Schneider completed a postdoctoral fellowship at Harvard University in the Department of Stem Cell and Regenerative Biology from January 2013 to 2014. He holds a Ph.D. in Cell Biology and Molecular Medicine from Rutgers University and a B.A. in Biology from Brandeis University.</w:t>
      </w:r>
    </w:p>
    <w:p>
      <w:pPr>
        <w:spacing w:after="0" w:line="18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Jorge A. Quiroz, M.D. </w:t>
      </w:r>
      <w:r>
        <w:rPr>
          <w:rFonts w:ascii="Arial" w:cs="Arial" w:eastAsia="Arial" w:hAnsi="Arial"/>
          <w:sz w:val="18"/>
          <w:szCs w:val="18"/>
          <w:color w:val="auto"/>
        </w:rPr>
        <w:t>has served as our Chief Medical Officer since January 2016. Prior to joining us, Dr. Quiroz served as the Head of</w:t>
      </w:r>
      <w:r>
        <w:rPr>
          <w:rFonts w:ascii="Arial" w:cs="Arial" w:eastAsia="Arial" w:hAnsi="Arial"/>
          <w:sz w:val="18"/>
          <w:szCs w:val="18"/>
          <w:i w:val="1"/>
          <w:iCs w:val="1"/>
          <w:color w:val="auto"/>
        </w:rPr>
        <w:t xml:space="preserve"> </w:t>
      </w:r>
      <w:r>
        <w:rPr>
          <w:rFonts w:ascii="Arial" w:cs="Arial" w:eastAsia="Arial" w:hAnsi="Arial"/>
          <w:sz w:val="18"/>
          <w:szCs w:val="18"/>
          <w:color w:val="auto"/>
        </w:rPr>
        <w:t>Neurodevelopment &amp; Psychiatry, Translational Medicine Neurosciences at F. Hoffmann-La Roche AG from 2014 and, prior to that, as Head of Psychiatry from 2012 to 2014 and Translational Medicine Leader from 2009 to 2011 at Hoffmann-La Roche. From 2007 to 2009, he served as the Director of Johnson &amp; Johnson’s Pharmaceutical Research &amp; Development LLC and from 2005 to 2007 he served as its Associate Director. Dr. Quiroz holds a medical degree from the Pontifical Catholic University of Chile and he completed his medical training as a Research Fellow at the Laboratory of Molecular Pathophysiology, Mood and Anxiety Disorders Program, at the NIH in Bethesda, Maryland from February 2001 to May 2005. He is board certified in Psychiatry by the National Commission for Certification of Medical Specialties. He also holds an M.B.A. dual degree from Columbia University and the London Business School.</w:t>
      </w:r>
    </w:p>
    <w:p>
      <w:pPr>
        <w:spacing w:after="0" w:line="19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 xml:space="preserve">Jennifer Ziolkowski </w:t>
      </w:r>
      <w:r>
        <w:rPr>
          <w:rFonts w:ascii="Arial" w:cs="Arial" w:eastAsia="Arial" w:hAnsi="Arial"/>
          <w:sz w:val="17"/>
          <w:szCs w:val="17"/>
          <w:color w:val="auto"/>
        </w:rPr>
        <w:t>has served as our Chief Financial Officer, Treasurer and Assistant Secretary since May 2017. Prior to joining us, she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Head of Sales Operations, North America for Philips Healthcare from 2014 to 2017 and as its Senior Director of Finance, North America from 2012 to 2014. Ms. Ziolkowski served as Controller of Medical Consumables and Sensors from 2010 to 2012, Director of Finance of Imaging Systems from 2008 to 2010, Senior Director of Finance and Corporate Controller from 2007 to 2008 at TransMedics, Inc. and held various finance and corporate development leadership positions at Cytyc Corporation, a medical technology company, from 2001 to 2007. From 1996 to 2001, Ms. Ziolkowski gained significant experience at PricewaterhouseCoopers LLP where she served as a Senior Transaction Services Consultant and as Audit Senior and Staff in the Boston Technology Group. Ms. Ziolkowski holds a B.S. in Accounting from Boston College and is a Certified Public Accountant.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 xml:space="preserve">Andrey Zarur, Ph.D. </w:t>
      </w:r>
      <w:r>
        <w:rPr>
          <w:rFonts w:ascii="Arial" w:cs="Arial" w:eastAsia="Arial" w:hAnsi="Arial"/>
          <w:sz w:val="18"/>
          <w:szCs w:val="18"/>
          <w:color w:val="auto"/>
        </w:rPr>
        <w:t>is one of our co-founders and has served as the Chairman of our board of directors since our inception in 2013. Dr. Zarur</w:t>
      </w:r>
      <w:r>
        <w:rPr>
          <w:rFonts w:ascii="Arial" w:cs="Arial" w:eastAsia="Arial" w:hAnsi="Arial"/>
          <w:sz w:val="18"/>
          <w:szCs w:val="18"/>
          <w:i w:val="1"/>
          <w:iCs w:val="1"/>
          <w:color w:val="auto"/>
        </w:rPr>
        <w:t xml:space="preserve"> </w:t>
      </w:r>
      <w:r>
        <w:rPr>
          <w:rFonts w:ascii="Arial" w:cs="Arial" w:eastAsia="Arial" w:hAnsi="Arial"/>
          <w:sz w:val="18"/>
          <w:szCs w:val="18"/>
          <w:color w:val="auto"/>
        </w:rPr>
        <w:t>co-founded GreenLight Biosciences in August 2008, and currently serves as its Chairman and Chief Executive Officer. From January 2006 to August 2014, he served as Managing General Partner of Kodiak Venture Partners. Dr. Zarur is also Chairman of the board for Lumicell Inc. Dr. Zarur holds an M.S. and a Ph.D. from Massachusetts Institute of Technology and an undergraduate degree from Universidad Nacional Autónoma de México. Mr. Zarur is qualified to serve on our board of directors based on his over 20 years of experience in leading companies from clinical-stage drug development to global commercialization.</w:t>
      </w:r>
    </w:p>
    <w:p>
      <w:pPr>
        <w:spacing w:after="0" w:line="193"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i w:val="1"/>
          <w:iCs w:val="1"/>
          <w:color w:val="auto"/>
        </w:rPr>
        <w:t xml:space="preserve">Matthew Arnold </w:t>
      </w:r>
      <w:r>
        <w:rPr>
          <w:rFonts w:ascii="Arial" w:cs="Arial" w:eastAsia="Arial" w:hAnsi="Arial"/>
          <w:sz w:val="18"/>
          <w:szCs w:val="18"/>
          <w:color w:val="auto"/>
        </w:rPr>
        <w:t>is a founding member of Solid and has served as a member of our board of directors since our inception in 2013. A former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since 2009, Mr. Arnold has been actively working with startup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businesses in the United Kingdom and Europe, primarily in the technology and clean tech sectors. He holds an M.S. from the University of Virginia and a B.A. from Duke University. Mr. Arnold is qualified to serve on our board of directors because of his extensive management and board experience with startup companies and his background in finance.</w:t>
      </w:r>
    </w:p>
    <w:p>
      <w:pPr>
        <w:spacing w:after="0" w:line="18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i w:val="1"/>
          <w:iCs w:val="1"/>
          <w:color w:val="auto"/>
        </w:rPr>
        <w:t xml:space="preserve">Robert Huffines </w:t>
      </w:r>
      <w:r>
        <w:rPr>
          <w:rFonts w:ascii="Arial" w:cs="Arial" w:eastAsia="Arial" w:hAnsi="Arial"/>
          <w:sz w:val="16"/>
          <w:szCs w:val="16"/>
          <w:color w:val="auto"/>
        </w:rPr>
        <w:t>has served as a member of our board of directors since December 2013. Mr. Huffines joined J.P. Morgan in 1992 and currently serves</w:t>
      </w:r>
      <w:r>
        <w:rPr>
          <w:rFonts w:ascii="Arial" w:cs="Arial" w:eastAsia="Arial" w:hAnsi="Arial"/>
          <w:sz w:val="16"/>
          <w:szCs w:val="16"/>
          <w:i w:val="1"/>
          <w:iCs w:val="1"/>
          <w:color w:val="auto"/>
        </w:rPr>
        <w:t xml:space="preserve"> </w:t>
      </w:r>
      <w:r>
        <w:rPr>
          <w:rFonts w:ascii="Arial" w:cs="Arial" w:eastAsia="Arial" w:hAnsi="Arial"/>
          <w:sz w:val="16"/>
          <w:szCs w:val="16"/>
          <w:color w:val="auto"/>
        </w:rPr>
        <w:t>as the Global Chairman of Investment Banking, a position he has held since February 2017. Throughout his career at J.P. Morgan, Mr. Huffines has held various leadership positions, including serving as Co-Head of the Global Healthcare Investment Banking Group from 2002 to 2010 and Vice Chairman from 2011 to January 2017. Mr. Huffines received an M.B.A. from the University of Virginia and a B.A. from the University of North Carolina. Mr. Huffines is qualified to serve on our board of directors based on his over 25 years of experience advising healthcare companies and his leadership experience.</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Adam Koppel, M.D., Ph.D. </w:t>
      </w:r>
      <w:r>
        <w:rPr>
          <w:rFonts w:ascii="Arial" w:cs="Arial" w:eastAsia="Arial" w:hAnsi="Arial"/>
          <w:sz w:val="17"/>
          <w:szCs w:val="17"/>
          <w:color w:val="auto"/>
        </w:rPr>
        <w:t>has served as a member of our board of directors since October 2017. Dr. Koppel rejoined Bain Capital in 2016 as a</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Director of Bain Capital Life Sciences. He initially joined Bain Capital Public Equity in 2003 where he was a leader within the healthcare sector until mid-2014. During the period mid-2014 to mid-2016, Dr. Koppel worked at Biogen where he served as EVP of Corporate Development and Chief Strategy Officer. Prior to joining Bain Capital in 2003, Dr. Koppel was an Associate Principal at McKinsey &amp; Co. in New Jersey where he served a variety of healthcare companies. Dr. Koppel currently serves on the Board of Directors of Trevena, Inc. and Dicerna Pharmaceuticals, Inc. Dr. Koppel received an M.D. and Ph.D. in Neuroscience from the University of Pennsylvania School of Medicine. He also received an M.B.A. from The Wharton School at the University of Pennsylvania, where he was a Palmer Scholar. He graduated magna cum laude from Harvard University with an A.B. and A.M. in History and Science. Dr. Koppel is qualified to serve on our board of directors because of his extensive leadership experience, his public company board experience and his experience working in the healthcare sector.</w:t>
      </w:r>
    </w:p>
    <w:p>
      <w:pPr>
        <w:spacing w:after="0" w:line="18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 xml:space="preserve">Rajeev Shah </w:t>
      </w:r>
      <w:r>
        <w:rPr>
          <w:rFonts w:ascii="Arial" w:cs="Arial" w:eastAsia="Arial" w:hAnsi="Arial"/>
          <w:sz w:val="18"/>
          <w:szCs w:val="18"/>
          <w:color w:val="auto"/>
        </w:rPr>
        <w:t>has served as a member of our board of directors since March 2017. Mr. Shah is a Managing Director and Portfolio Manager at RA</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Management, LLC, or RA Capital. Prior to joining RA Capital in 2004, Mr. Shah was a Senior Project Leader at Altus Pharmaceuticals Inc., a spin-off of Vertex Pharmaceuticals Inc., from 2001 to 2004. Mr. Shah is currently a member of the board of directors of the public companies Ra Pharmaceuticals, Inc. and Kalvista Pharmaceuticals, Inc. Mr. Shah holds a B.A. in Chemistry from Cornell University. Mr. Shah is qualified to serve on our board of directors because of his extensive leadership experience, his public company board experience and his experience investing in life science companies.</w:t>
      </w:r>
    </w:p>
    <w:p>
      <w:pPr>
        <w:spacing w:after="0" w:line="19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Adam Stone </w:t>
      </w:r>
      <w:r>
        <w:rPr>
          <w:rFonts w:ascii="Arial" w:cs="Arial" w:eastAsia="Arial" w:hAnsi="Arial"/>
          <w:sz w:val="18"/>
          <w:szCs w:val="18"/>
          <w:color w:val="auto"/>
        </w:rPr>
        <w:t>has served as a member of our board of directors since November 2015. Mr. Stone is currently the Chief Investment Officer of Perceptive</w:t>
      </w:r>
      <w:r>
        <w:rPr>
          <w:rFonts w:ascii="Arial" w:cs="Arial" w:eastAsia="Arial" w:hAnsi="Arial"/>
          <w:sz w:val="18"/>
          <w:szCs w:val="18"/>
          <w:i w:val="1"/>
          <w:iCs w:val="1"/>
          <w:color w:val="auto"/>
        </w:rPr>
        <w:t xml:space="preserve"> </w:t>
      </w:r>
      <w:r>
        <w:rPr>
          <w:rFonts w:ascii="Arial" w:cs="Arial" w:eastAsia="Arial" w:hAnsi="Arial"/>
          <w:sz w:val="18"/>
          <w:szCs w:val="18"/>
          <w:color w:val="auto"/>
        </w:rPr>
        <w:t>Advisors, where he has worked since May 2006. Mr. Stone received a B.A. from Princeton University. Mr. Stone is qualified to serve on our board of directors because of his extensive experience developing early-stage biotech and health care companies.</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i w:val="1"/>
          <w:iCs w:val="1"/>
          <w:color w:val="auto"/>
        </w:rPr>
        <w:t xml:space="preserve">Lynne Sullivan </w:t>
      </w:r>
      <w:r>
        <w:rPr>
          <w:rFonts w:ascii="Arial" w:cs="Arial" w:eastAsia="Arial" w:hAnsi="Arial"/>
          <w:sz w:val="18"/>
          <w:szCs w:val="18"/>
          <w:color w:val="auto"/>
        </w:rPr>
        <w:t>has served as a member of our board of directors since November 2015. Since September 2016, Ms. Sullivan has served as Biogen,</w:t>
      </w:r>
      <w:r>
        <w:rPr>
          <w:rFonts w:ascii="Arial" w:cs="Arial" w:eastAsia="Arial" w:hAnsi="Arial"/>
          <w:sz w:val="18"/>
          <w:szCs w:val="18"/>
          <w:i w:val="1"/>
          <w:iCs w:val="1"/>
          <w:color w:val="auto"/>
        </w:rPr>
        <w:t xml:space="preserve"> </w:t>
      </w:r>
      <w:r>
        <w:rPr>
          <w:rFonts w:ascii="Arial" w:cs="Arial" w:eastAsia="Arial" w:hAnsi="Arial"/>
          <w:sz w:val="18"/>
          <w:szCs w:val="18"/>
          <w:color w:val="auto"/>
        </w:rPr>
        <w:t>Inc.’s Senior Vice President of Finance, where she also served as Vice President of Tax and Corporate Finance from February 2015 to March 2016 and Vice President of Tax from April 2008 to February 2015. She received an M.S. in Taxation from Bentley University and a B.S.B.A. from Suffolk University. Ms. Sullivan was a Certified Public Account for over 20 years. Ms. Sullivan is qualified to serve on our board of directors because of her extensive experience in public accounting and financial expertise.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Advisory Board</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We have established a scientific advisory board comprised of a world-class team of experts, which includes leading immunologists, molecular biologists, clinicians and gene therapy researchers. We regularly seek advice and input from these experienced leaders on matters related to our research and development programs. Our Scientific Advisory Board currently consists of James M. Wilson, M.D., Ph.D. (University of Pennsylvania),</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Chairman of our Scientific Advisory Board, Jeff Bluestone, Ph.D. (University of California, San Francisco), Jeffrey Chamberlain, Ph.D. (University of Washington), Ronald D. Cohn, M.D. (Hospital for Sick Children), Dongsheng Duan, Ph.D. (University of Missouri), Carrie Miceli, Ph.D. (University of California, Los Angeles), Geoffrey Slaff, Ph.D. and Lawrence A. Turka, M.D. (Massachusetts General Hospital).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board currently consists of nine members, each of whom serves as a director pursuant to the board composition provisions of our Third Amended and Restated LLC Agreement, or the LLC Agreement, of Solid Biosciences, LLC. The LLC Agreement will terminate upon our Corporate Conversion and, thereafter, our directors will be elected by vote of our common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and that audit committee members also satisfy independence criteria set forth in Rule 10A-3 under the Securities Exchange Act of 1934, as amended, or the Exchange Act. 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7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Our board of directors has determined that all members of the board of directors, except Ilan Ganot, Gilad Hayeem and Andrey Zarur, are independent directors, as defined under applicable NASDAQ rules.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common stock by each non-employee director.</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Prior to the effectiveness of the registration statement of which this prospectus forms a part, we expect that the composition of our committees will comply with all applicable requirements of NASDAQ and the rules and regulations of the SEC. There are no family relationships among any of our directors or executive officers.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accordance with the terms of our charter and bylaws, which will become effective prior to the effectiveness of the registration statement of which this prospectus forms a part, our board of directors will be divided into three classes, each of which will consist, as nearly as possible, of one-third of the total number of directors constituting our entire board of directors and directors in each class will serve staggered three-year terms. At each annual meeting of stockholders, the successors to directors whose terms then expire will be elected to serve from the time of election and qualification until the third annual meeting following such election. Our directors will be divided among the three classes as follows:</w:t>
      </w:r>
    </w:p>
    <w:p>
      <w:pPr>
        <w:spacing w:after="0" w:line="78" w:lineRule="exact"/>
        <w:rPr>
          <w:sz w:val="20"/>
          <w:szCs w:val="20"/>
          <w:color w:val="auto"/>
        </w:rPr>
      </w:pPr>
    </w:p>
    <w:p>
      <w:pPr>
        <w:ind w:left="900" w:right="22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Class I, which will consist of Mr. Huffines, Dr. Koppel and Mr. Shah, whose terms will expire at the first annual meeting of stockholders to be held following the completion of this offering;</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Class II, which will consist of Mr. Arnold, Mr. Stone and Ms. Sullivan, whose terms will expire at the second annual meeting of stockholders to be held following the completion of this offering; 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Class III, which will consist of Mr. Ganot, Mr. Hayeem and Dr. Zarur, whose terms will expire at the third annual meeting of stockholders to be held following the completion of this offering.</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bylaws, which will become effective prior to the effectiveness of the registration statement of which this prospectus forms a part, will provide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stockholder efforts to effect a change of our management or a change in control.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board of directors in risk oversight</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compensation committee evaluates risks associated with our compensation practices and policies.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audit committee consists of Ms. Sullivan, Dr. Koppel and Mr. Stone, with Ms. Sullivan serving as chair of the audit committee. Our board of directors has determined that each of these individuals meets the independence requirements of the Sarbanes-Oxley Act, Rule 10A-3 under the Exchange Act, and the applicable listing standards of the NASDAQ. Each member of our audit committee can read and understand fundamental financial statements in accordance with the NASDAQ audit committee requirements. In arriving at this determination, the board has examined each audit committee member’s employment and other experience. Our board of directors has determined that Ms. Sullivan qualifies as an audit committee financial expert within the meaning of SEC regulations and meets the financial sophistication requirements of the NASDAQ listing rules. In making this determination, our board has considered Ms. Sullivan’s formal education and previous and current experience in financial roles. Both our independent registered public accounting firm and management periodically meet privately with our audit committee.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functions of our audit committee include, among other things:</w:t>
      </w:r>
    </w:p>
    <w:p>
      <w:pPr>
        <w:spacing w:after="0" w:line="131" w:lineRule="exact"/>
        <w:rPr>
          <w:sz w:val="20"/>
          <w:szCs w:val="20"/>
          <w:color w:val="auto"/>
        </w:rPr>
      </w:pPr>
    </w:p>
    <w:p>
      <w:pPr>
        <w:ind w:left="900" w:right="70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evaluating the performance, independence and qualifications of our independent auditors and determining whether to retain our existing independent auditors or engage new independent auditors;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reviewing and approving the engagement of our independent auditors to perform audit services and any permissible non-audit services;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monitoring the rotation of partners of our independent auditors on our engagement team as required by law;</w:t>
      </w:r>
    </w:p>
    <w:p>
      <w:pPr>
        <w:spacing w:after="0" w:line="130" w:lineRule="exact"/>
        <w:rPr>
          <w:rFonts w:ascii="Arial" w:cs="Arial" w:eastAsia="Arial" w:hAnsi="Arial"/>
          <w:sz w:val="18"/>
          <w:szCs w:val="18"/>
          <w:color w:val="auto"/>
        </w:rPr>
      </w:pPr>
    </w:p>
    <w:p>
      <w:pPr>
        <w:ind w:left="900" w:right="160" w:hanging="325"/>
        <w:spacing w:after="0" w:line="34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40" w:hanging="325"/>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our annual and quarterly financial statements and reports, including the disclosures contained under the caption “Management’s Discussion and Analysis of Financial Condition and Results of Operations,” and discussing the statements and reports with our independent auditors and management;</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with our independent auditors and management any significant issues that arise regarding accounting principles and financial statement presentation and matters concerning the scope, adequacy and effectiveness of our financial controls;</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with management and our auditors any earnings announcements and other public announcements regarding material financial developments;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financial controls, accounting or auditing matters and other matters;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providing oversight of any related-person transactions in accordance with our related-person transaction policy and reviewing and monitoring compliance with legal and regulatory requirements, including our code of business conduct and ethics;</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our major financial risk exposures, including the guidelines and policies to govern the process by which risk assessment and risk management is implemented;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on a periodic basis our investment policy;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believe that the composition and functioning of our audit committee complies with all applicable requirements of the Sarbanes-Oxley Act and all applicable SEC and NASDAQ rules and regulations.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Our compensation committee consists of Mr. Huffines, Mr. Shah and Mr. Stone, with Mr. Huffines serving as chair of the compensation committee. Each of these individuals is a non-employee director, as defined in Rule 16b-3 promulgated under the Exchange Act, and each of Mr. Shah and Mr. Stone is an outside director, as defined pursuant to Section 162(m) of the Internal Revenue Code of 1986, as amended, or the Code. Our board of directors has determined that each of these individuals is independent as defined under the applicable listing standards of NASDAQ, including the standards specific to members of a compensation committee. The functions of our compensation committee include, among other things:</w:t>
      </w:r>
    </w:p>
    <w:p>
      <w:pPr>
        <w:spacing w:after="0" w:line="64" w:lineRule="exact"/>
        <w:rPr>
          <w:sz w:val="20"/>
          <w:szCs w:val="20"/>
          <w:color w:val="auto"/>
        </w:rPr>
      </w:pPr>
    </w:p>
    <w:p>
      <w:pPr>
        <w:ind w:left="900" w:right="18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modifying and approving or making recommendations to the full board of directors regarding our overall compensation strategy and policies;</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modifying and approving or making recommendations to the full board of directors regarding the compensation and other terms of employment of our chief executive officer or our other executive officers;</w:t>
      </w:r>
    </w:p>
    <w:p>
      <w:pPr>
        <w:spacing w:after="0" w:line="75" w:lineRule="exact"/>
        <w:rPr>
          <w:rFonts w:ascii="Arial" w:cs="Arial" w:eastAsia="Arial" w:hAnsi="Arial"/>
          <w:sz w:val="18"/>
          <w:szCs w:val="18"/>
          <w:color w:val="auto"/>
        </w:rPr>
      </w:pPr>
    </w:p>
    <w:p>
      <w:pPr>
        <w:ind w:left="900" w:right="520" w:hanging="325"/>
        <w:spacing w:after="0" w:line="34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reviewing, modifying and approving or making recommendations to the full board of directors regarding performance goals and objectives relevant to the compensation of our executive officers and assessing their performance against these goals and objectives;</w:t>
      </w:r>
    </w:p>
    <w:p>
      <w:pPr>
        <w:spacing w:after="0" w:line="29" w:lineRule="exact"/>
        <w:rPr>
          <w:rFonts w:ascii="Arial" w:cs="Arial" w:eastAsia="Arial" w:hAnsi="Arial"/>
          <w:sz w:val="16"/>
          <w:szCs w:val="16"/>
          <w:color w:val="auto"/>
        </w:rPr>
      </w:pPr>
    </w:p>
    <w:p>
      <w:pPr>
        <w:ind w:left="900" w:right="100" w:hanging="325"/>
        <w:spacing w:after="0" w:line="308"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the full board of directors regarding the equity incentive plans, compensation plans and similar programs advisable for us, as well as modifying, amending or terminating existing plans and programs;</w:t>
      </w:r>
    </w:p>
    <w:p>
      <w:pPr>
        <w:spacing w:after="0" w:line="51"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type and amount of compensation to be paid or awarded to our independent board members;</w:t>
      </w:r>
    </w:p>
    <w:p>
      <w:pPr>
        <w:spacing w:after="0" w:line="75" w:lineRule="exact"/>
        <w:rPr>
          <w:rFonts w:ascii="Arial" w:cs="Arial" w:eastAsia="Arial" w:hAnsi="Arial"/>
          <w:sz w:val="18"/>
          <w:szCs w:val="18"/>
          <w:color w:val="auto"/>
        </w:rPr>
      </w:pPr>
    </w:p>
    <w:p>
      <w:pPr>
        <w:ind w:left="900" w:right="280" w:hanging="325"/>
        <w:spacing w:after="0" w:line="34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establishing policies with respect to votes by our stockholders to approve executive compensation to the extent required by the Exchange Act and, if applicable, determining our recommendations regarding the frequency of advisory votes on executive compensation;</w:t>
      </w:r>
    </w:p>
    <w:p>
      <w:pPr>
        <w:spacing w:after="0" w:line="29" w:lineRule="exact"/>
        <w:rPr>
          <w:rFonts w:ascii="Arial" w:cs="Arial" w:eastAsia="Arial" w:hAnsi="Arial"/>
          <w:sz w:val="16"/>
          <w:szCs w:val="16"/>
          <w:color w:val="auto"/>
        </w:rPr>
      </w:pPr>
    </w:p>
    <w:p>
      <w:pPr>
        <w:ind w:left="900" w:right="44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to the compensation committee as required by the Exchange Act;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administering our equity incentive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establishing policies with respect to our equity compensation arrangements;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the competitiveness of our executive compensation programs and evaluating the effectiveness of our compensation policies and strategy in achieving expected benefits to us;</w:t>
      </w:r>
    </w:p>
    <w:p>
      <w:pPr>
        <w:spacing w:after="0" w:line="75" w:lineRule="exact"/>
        <w:rPr>
          <w:rFonts w:ascii="Arial" w:cs="Arial" w:eastAsia="Arial" w:hAnsi="Arial"/>
          <w:sz w:val="18"/>
          <w:szCs w:val="18"/>
          <w:color w:val="auto"/>
        </w:rPr>
      </w:pPr>
    </w:p>
    <w:p>
      <w:pPr>
        <w:ind w:left="900" w:right="900" w:hanging="325"/>
        <w:spacing w:after="0" w:line="308"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reviewing and making recommendations to the full board of directors regarding the terms of any employment agreements, severance arrangements, change in control protections and any other compensatory arrangements for our executive officers;</w:t>
      </w:r>
    </w:p>
    <w:p>
      <w:pPr>
        <w:spacing w:after="0" w:line="51" w:lineRule="exact"/>
        <w:rPr>
          <w:rFonts w:ascii="Arial" w:cs="Arial" w:eastAsia="Arial" w:hAnsi="Arial"/>
          <w:sz w:val="17"/>
          <w:szCs w:val="17"/>
          <w:color w:val="auto"/>
        </w:rPr>
      </w:pPr>
    </w:p>
    <w:p>
      <w:pPr>
        <w:ind w:left="900" w:hanging="325"/>
        <w:spacing w:after="0" w:line="308"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preparing the compensation committee report that the SEC requires in our annual proxy statement;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reviewing and evaluating on an annual basis the performance of the compensation committee and the compensation committee charter.</w:t>
      </w:r>
    </w:p>
    <w:p>
      <w:pPr>
        <w:spacing w:after="0" w:line="23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the composition and functioning of our compensation committee complies with all applicable requirements of the Sarbanes-Oxley Act, and all applicable SEC and NASDAQ rules and regulations.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nominating and corporate governance committee consists of Dr. Koppel, Mr. Arnold and Mr. Huffines, with Dr. Koppel serving as chair of the nominating and corporate governance committee. Our board of directors has determined that each of these individuals is independent as defined under the applicable listing standards of NASDAQ and SEC rules and regulations. The functions of our nominating and corporate governance committee include, among other things:</w:t>
      </w:r>
    </w:p>
    <w:p>
      <w:pPr>
        <w:spacing w:after="0" w:line="92"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determining the minimum qualifications for service on our board of directors;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identifying, evaluating, nominating and recommending candidates for membership on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considering and assessing the independence of members of our board of directors;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developing a set of corporate governance policies and principles and recommending to our board of directors any changes to such policies and principles;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at least annually, the self-evaluation process of the board of directors and its committees;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our code of business conduct and ethics and approving any waivers thereof;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considering questions of possible conflicts of interest of directors as such questions arise;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nominating and corporate governance committee and the nominating and corporate governance committee charter.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 composition and functioning of our nominating and corporate governance committee complies with all applicable requirements of the Sarbanes-Oxley Act, and all applicable SEC and NASDAQ rules and regulations.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None of the current members of our compensation committee has ever been an executive officer or employee of ours.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Prior to the completion of this offering, we will adopt a Code of Business Conduct and Ethics, or the Code of Conduct, applicable to directors, executive officers and employees, including our principal executive officer, principal financial officer, principal accounting officer or controller, or persons performing similar functions. The Code of Conduct will be available on the Investor Relations portion of our website at www.solidbio.com. The nominating and corporate governance committee of our board of directors will be responsible for overseeing the Code of Conduct and must approve any waivers of the Code of Conduct for employees, executive officers and directors. In addition, we intend to post on our website all disclosures that are required by law or the listing standards of NASDAQ concerning any amendments to, or waivers of, any provision of the Code of Conduct.</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60"/>
          </w:cols>
          <w:pgMar w:left="240" w:top="459" w:right="3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OUR EXECUTIVE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or the Named Executive Officers, for the year ended December 31, 2016, are:</w:t>
      </w:r>
    </w:p>
    <w:p>
      <w:pPr>
        <w:spacing w:after="0" w:line="13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Ilan Ganot, our Chief Executive Officer;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Dr. Jorge A. Quiroz, our Chief Medical Officer;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Alvaro Amorrortu, our Chief Operating Officer.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 for Fiscal Year 2016</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contains information about the compensation paid to or earned by each of our Named Executive Officers during the most recently completed fiscal year.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340" w:type="dxa"/>
            <w:vAlign w:val="bottom"/>
            <w:gridSpan w:val="2"/>
          </w:tcPr>
          <w:p>
            <w:pPr>
              <w:jc w:val="center"/>
              <w:ind w:right="363"/>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340" w:type="dxa"/>
            <w:vAlign w:val="bottom"/>
            <w:gridSpan w:val="2"/>
          </w:tcPr>
          <w:p>
            <w:pPr>
              <w:jc w:val="center"/>
              <w:ind w:right="363"/>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(3)</w:t>
            </w: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Ilan Ganot,</w:t>
            </w:r>
          </w:p>
        </w:tc>
        <w:tc>
          <w:tcPr>
            <w:tcW w:w="3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375,000</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150,000</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440" w:type="dxa"/>
            <w:vAlign w:val="bottom"/>
            <w:tcBorders>
              <w:top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87"/>
              </w:rPr>
              <w:t>(4)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580" w:type="dxa"/>
            <w:vAlign w:val="bottom"/>
            <w:gridSpan w:val="3"/>
          </w:tcPr>
          <w:p>
            <w:pPr>
              <w:spacing w:after="0"/>
              <w:rPr>
                <w:sz w:val="20"/>
                <w:szCs w:val="20"/>
                <w:color w:val="auto"/>
              </w:rPr>
            </w:pPr>
            <w:r>
              <w:rPr>
                <w:rFonts w:ascii="Arial" w:cs="Arial" w:eastAsia="Arial" w:hAnsi="Arial"/>
                <w:sz w:val="18"/>
                <w:szCs w:val="18"/>
                <w:color w:val="auto"/>
              </w:rPr>
              <w:t>Jorge A. Quiroz, M.D.,</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350,000</w:t>
            </w:r>
          </w:p>
        </w:tc>
        <w:tc>
          <w:tcPr>
            <w:tcW w:w="26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140,000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789,680</w:t>
            </w:r>
          </w:p>
        </w:tc>
        <w:tc>
          <w:tcPr>
            <w:tcW w:w="1340" w:type="dxa"/>
            <w:vAlign w:val="bottom"/>
            <w:gridSpan w:val="2"/>
          </w:tcPr>
          <w:p>
            <w:pPr>
              <w:jc w:val="right"/>
              <w:ind w:right="183"/>
              <w:spacing w:after="0"/>
              <w:rPr>
                <w:sz w:val="20"/>
                <w:szCs w:val="20"/>
                <w:color w:val="auto"/>
              </w:rPr>
            </w:pPr>
            <w:r>
              <w:rPr>
                <w:rFonts w:ascii="Arial" w:cs="Arial" w:eastAsia="Arial" w:hAnsi="Arial"/>
                <w:sz w:val="18"/>
                <w:szCs w:val="18"/>
                <w:color w:val="auto"/>
              </w:rPr>
              <w:t>61,642</w:t>
            </w:r>
            <w:r>
              <w:rPr>
                <w:rFonts w:ascii="Arial" w:cs="Arial" w:eastAsia="Arial" w:hAnsi="Arial"/>
                <w:sz w:val="15"/>
                <w:szCs w:val="15"/>
                <w:color w:val="auto"/>
              </w:rPr>
              <w:t>(5)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1,341,322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Chief Medical Officer</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Alvaro Amorrortu,</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300,000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97,500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408,690</w:t>
            </w:r>
          </w:p>
        </w:tc>
        <w:tc>
          <w:tcPr>
            <w:tcW w:w="1340" w:type="dxa"/>
            <w:vAlign w:val="bottom"/>
            <w:gridSpan w:val="2"/>
            <w:shd w:val="clear" w:color="auto" w:fill="CCEEFF"/>
          </w:tcPr>
          <w:p>
            <w:pPr>
              <w:jc w:val="right"/>
              <w:ind w:right="46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For 2017, base salary amounts for our Named Executive Officers were increased as follows: Mr. Ganot: $400,000; Dr. Quiroz: $360,500; and</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Mr. Amorrortu: $309,800.</w:t>
      </w:r>
    </w:p>
    <w:p>
      <w:pPr>
        <w:spacing w:after="0" w:line="9" w:lineRule="exact"/>
        <w:rPr>
          <w:rFonts w:ascii="Arial" w:cs="Arial" w:eastAsia="Arial" w:hAnsi="Arial"/>
          <w:sz w:val="17"/>
          <w:szCs w:val="17"/>
          <w:color w:val="auto"/>
        </w:rPr>
      </w:pPr>
    </w:p>
    <w:p>
      <w:pPr>
        <w:ind w:left="460" w:right="280" w:hanging="452"/>
        <w:spacing w:after="0" w:line="250"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annual discretionary bonuses paid to the Named Executive Officers in respect of performance during the fiscal year ended December 31, 2016.</w:t>
      </w:r>
    </w:p>
    <w:p>
      <w:pPr>
        <w:ind w:left="460" w:right="60" w:hanging="452"/>
        <w:spacing w:after="0" w:line="265"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amount in this column represents the aggregate grant date fair value of the award as computed in accordance with Financial Accounting Standard Board Accounting Standards Codification Topic 718. The assumptions used in calculating the grant date fair value of the award reported in this column are set forth in Note 12 to our audited consolidated financial statements appearing elsewhere in this prospectus.</w:t>
      </w: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tax preparation fees reimbursed by us.</w:t>
      </w:r>
    </w:p>
    <w:p>
      <w:pPr>
        <w:spacing w:after="0" w:line="9" w:lineRule="exact"/>
        <w:rPr>
          <w:rFonts w:ascii="Arial" w:cs="Arial" w:eastAsia="Arial" w:hAnsi="Arial"/>
          <w:sz w:val="18"/>
          <w:szCs w:val="18"/>
          <w:color w:val="auto"/>
        </w:rPr>
      </w:pPr>
    </w:p>
    <w:p>
      <w:pPr>
        <w:ind w:left="460" w:right="60" w:hanging="452"/>
        <w:spacing w:after="0" w:line="323"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approximately $40,000 in relocation expenses reimbursed by us in connection with the commencement of Dr. Quiroz’s employment with us and an additional payment of approximately $21,642 in respect of income taxes imposed upon Dr. Quiroz in connection with such reimbursement.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Mr. Ganot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December 27, 2013, we entered into an employment agreement with Mr. Ganot. Mr. Ganot’s employment agreement provided for an initial annual base salary of $300,000 as well as an entitlement to an annual incentive bonus in an amount determined by our board of managers. Mr. Ganot’s employment with us is at will, although the agreement requires that either we or Mr. Ganot provide the other party at least six months’ prior notice of intention to terminate Mr. Ganot’s employment. However, we may terminate Mr. Ganot’s employment immediately for “cause” as defined in the employment agreement. Other than the foregoing notice period, Mr. Ganot’s employment agreement does not provide for any severance payments or benefits upon a termination of his employment with us. Mr. Ganot is subject to certain restrictive covenants during the term of his employment and for the one-year period following termination, including employee and consultant non-solicitation and non-hire restrictions and non-competition provisions.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 with Dr. Quiroz</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November 17, 2015, we entered into an offer letter with Dr. Quiroz. Dr. Quiroz’s offer letter provided for an initial annual base salary of $350,000 as well as an entitlement to an annual incentive bonus of up to 40% of his base salary based upon achievement of individual and company-wide goals established by our board of managers in its sole discretion.</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Dr. Quiroz’s offer letter provided for a grant of 225,887 Series D Common Units of Solid Biosciences, LLC, which vest as to 25% of the units on each of the first four anniversaries of the date of grant, subject to Dr. Quiroz’s continued employment on each such date. In addition, Dr. Quiroz’s offer letter provided for a grant of (i) 45,183 Series D Common Units of Solid Biosciences, LLC upon the successful acceptance by the FDA (or its European equivalent) of an IND application filing (or its European equivalent) by Solid Biosciences, LLC, and (ii) 45,183 Series D Common Units of Solid Biosciences, LLC upon the first dosing of a patient in a clinical trial by Solid Biosciences, LLC, in each case subject to Dr. Quiroz’s continued employment through the date such milestone is achieved. These units will vest 25% on each of the first four anniversaries of the date of grant, subject to Dr. Quiroz’s continued employment on each applicable vesting date.</w:t>
      </w:r>
    </w:p>
    <w:p>
      <w:pPr>
        <w:spacing w:after="0" w:line="18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Under the offer letter, Dr. Quiroz received a signing bonus of $100,000, 50% of which he is required to repay if he resigns his employment other than for “good reason” (as defined in his offer letter) prior to the second anniversary of his employment commencement date. In addition, we agreed to assume certain obligations of Dr. Quiroz’s prior employer with respect to Dr. Quiroz’s graduate business school education, a leased apartment and a leased vehicle, up to a maximum of $250,000 in the aggregate. If Dr. Quiroz resigns his employment other than for good reason prior to the second anniversary of his employment commencement date, he will be required to repay 50% of the assumed obligations. We also agreed to reimburse Dr. Quiroz up to $120,000 in relocation expenses, plus an additional amount equal to the income taxes imposed on Dr. Quiroz in connection with such reimbursement.</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the event Dr. Quiroz’s employment is terminated without “cause” (as defined in his offer letter) or Dr. Quiroz resigns for “good reason” (as defined in his offer letter), then, subject to his execution and non-revocation of a release of claims, he will receive continued payment of his base salary until the earlier of (i) six months following termination, and (ii) the date he obtains full-time employment. If his employment is terminated within 12 months following a change of control, Dr. Quiroz will receive an additional payment equal to 20% of his then current base salary. Dr. Quiroz is subject to certain restrictive covenants during the term of his employment and for the one-year period following termination, including employee and consultant non-solicitation and non-hire restrictions, customer non-solicitation and non-competition provisions.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 with Mr. Amorrortu</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On November 6, 2015, we entered into an offer letter with Mr. Amorrortu. Mr. Amorrortu’s offer letter provided for an initial annual base salary of $300,000 and an annual incentive bonus of up to 20% of his base salary based upon achievement of individual and company-wide goals established by our board of managers in its sole discretion.</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Amorrortu’s offer letter provided for a grant of 122,192 Series B Common Units of Solid Biosciences LLC and 45,413 Series D Common Units of Solid Biosciences, LLC. The units subject to these awards vest 25% on the first anniversary of Mr. Amorrortu’s start date and then in monthly installments over the 36-month period thereafter. In addition, Mr. Amorrortu’s offer letter provides for a grant of 22,706 Series D Common Units of Solid Biosciences, LLC upon Solid Biosciences, LLC’s filing of a valid IND application with the FDA, and an additional grant of 22,706 Series D Common Units of Solid Biosciences, LLC upon a qualified initial public offering (which includes this offering) or sale of the company. These additional awards will be subject to the same vesting schedule as provided above, commencing from the date of achievement of the applicable milestone. In the event that the company is acquired by a third party, certain of Mr. Amorrortu’s outstanding unvested unit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awards will become fully vested and, in the event that Mr. Amorrortu’s employment is also terminated by us without “cause” (as defined in his offer letter) or he resigns for “good reason” (as defined in his offer letter), all of Mr. Amorrortu’s outstanding unvested unit awards will become fully vested.</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event Mr. Amorrortu is terminated without cause or Mr. Amorrortu terminates his employment for good reason then, subject to his execution and non-revocation of a release of claims, he will receive continued payment of his base salary until the earlier of (i) three months following termination and (ii) the date he obtains full-time employment.</w:t>
      </w:r>
    </w:p>
    <w:p>
      <w:pPr>
        <w:spacing w:after="0" w:line="181"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Mr. Amorrortu is subject to certain restrictive covenants during the term of his employment and for the one-year period following termination, including employee and consultant non-solicitation and non-hire restrictions, customer non-solicitation and non-competition provisions.</w:t>
      </w:r>
    </w:p>
    <w:p>
      <w:pPr>
        <w:spacing w:after="0" w:line="22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equity awards held by our Named Executive Officers as of December 31, 2016.</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78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0"/>
              </w:rPr>
              <w:t>Number of shares</w:t>
            </w:r>
          </w:p>
        </w:tc>
        <w:tc>
          <w:tcPr>
            <w:tcW w:w="50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80" w:type="dxa"/>
            <w:vAlign w:val="bottom"/>
            <w:gridSpan w:val="3"/>
          </w:tcPr>
          <w:p>
            <w:pPr>
              <w:jc w:val="center"/>
              <w:ind w:left="257"/>
              <w:spacing w:after="0" w:line="149" w:lineRule="exact"/>
              <w:rPr>
                <w:sz w:val="20"/>
                <w:szCs w:val="20"/>
                <w:color w:val="auto"/>
              </w:rPr>
            </w:pPr>
            <w:r>
              <w:rPr>
                <w:rFonts w:ascii="Arial" w:cs="Arial" w:eastAsia="Arial" w:hAnsi="Arial"/>
                <w:sz w:val="14"/>
                <w:szCs w:val="14"/>
                <w:b w:val="1"/>
                <w:bCs w:val="1"/>
                <w:color w:val="auto"/>
                <w:w w:val="92"/>
              </w:rPr>
              <w:t>or units that have</w:t>
            </w:r>
          </w:p>
        </w:tc>
        <w:tc>
          <w:tcPr>
            <w:tcW w:w="500" w:type="dxa"/>
            <w:vAlign w:val="bottom"/>
          </w:tcPr>
          <w:p>
            <w:pPr>
              <w:spacing w:after="0"/>
              <w:rPr>
                <w:sz w:val="12"/>
                <w:szCs w:val="12"/>
                <w:color w:val="auto"/>
              </w:rPr>
            </w:pPr>
          </w:p>
        </w:tc>
        <w:tc>
          <w:tcPr>
            <w:tcW w:w="14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 or units that</w:t>
            </w:r>
          </w:p>
        </w:tc>
        <w:tc>
          <w:tcPr>
            <w:tcW w:w="0" w:type="dxa"/>
            <w:vAlign w:val="bottom"/>
          </w:tcPr>
          <w:p>
            <w:pPr>
              <w:spacing w:after="0"/>
              <w:rPr>
                <w:sz w:val="1"/>
                <w:szCs w:val="1"/>
                <w:color w:val="auto"/>
              </w:rPr>
            </w:pPr>
          </w:p>
        </w:tc>
      </w:tr>
      <w:tr>
        <w:trPr>
          <w:trHeight w:val="171"/>
        </w:trPr>
        <w:tc>
          <w:tcPr>
            <w:tcW w:w="400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gridSpan w:val="2"/>
          </w:tcPr>
          <w:p>
            <w:pPr>
              <w:jc w:val="center"/>
              <w:ind w:right="623"/>
              <w:spacing w:after="0"/>
              <w:rPr>
                <w:sz w:val="20"/>
                <w:szCs w:val="20"/>
                <w:color w:val="auto"/>
              </w:rPr>
            </w:pPr>
            <w:r>
              <w:rPr>
                <w:rFonts w:ascii="Arial" w:cs="Arial" w:eastAsia="Arial" w:hAnsi="Arial"/>
                <w:sz w:val="14"/>
                <w:szCs w:val="14"/>
                <w:b w:val="1"/>
                <w:bCs w:val="1"/>
                <w:color w:val="auto"/>
                <w:w w:val="90"/>
              </w:rPr>
              <w:t>not vested (#)</w:t>
            </w:r>
          </w:p>
        </w:tc>
        <w:tc>
          <w:tcPr>
            <w:tcW w:w="190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w w:val="93"/>
              </w:rPr>
              <w:t xml:space="preserve">have not vested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Ilan Ganot</w:t>
            </w:r>
          </w:p>
        </w:tc>
        <w:tc>
          <w:tcPr>
            <w:tcW w:w="10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407,309</w:t>
            </w:r>
          </w:p>
        </w:tc>
        <w:tc>
          <w:tcPr>
            <w:tcW w:w="680" w:type="dxa"/>
            <w:vAlign w:val="bottom"/>
            <w:tcBorders>
              <w:top w:val="single" w:sz="8" w:color="CCEEFF"/>
            </w:tcBorders>
            <w:shd w:val="clear" w:color="auto" w:fill="CCEEFF"/>
          </w:tcPr>
          <w:p>
            <w:pPr>
              <w:jc w:val="right"/>
              <w:ind w:right="423"/>
              <w:spacing w:after="0"/>
              <w:rPr>
                <w:sz w:val="20"/>
                <w:szCs w:val="20"/>
                <w:color w:val="auto"/>
              </w:rPr>
            </w:pPr>
            <w:r>
              <w:rPr>
                <w:rFonts w:ascii="Arial" w:cs="Arial" w:eastAsia="Arial" w:hAnsi="Arial"/>
                <w:sz w:val="15"/>
                <w:szCs w:val="15"/>
                <w:color w:val="auto"/>
                <w:w w:val="87"/>
              </w:rPr>
              <w:t>(2)</w:t>
            </w:r>
          </w:p>
        </w:tc>
        <w:tc>
          <w:tcPr>
            <w:tcW w:w="5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1,727,100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000" w:type="dxa"/>
            <w:vAlign w:val="bottom"/>
            <w:gridSpan w:val="2"/>
          </w:tcPr>
          <w:p>
            <w:pPr>
              <w:spacing w:after="0"/>
              <w:rPr>
                <w:sz w:val="20"/>
                <w:szCs w:val="20"/>
                <w:color w:val="auto"/>
              </w:rPr>
            </w:pPr>
            <w:r>
              <w:rPr>
                <w:rFonts w:ascii="Arial" w:cs="Arial" w:eastAsia="Arial" w:hAnsi="Arial"/>
                <w:sz w:val="18"/>
                <w:szCs w:val="18"/>
                <w:color w:val="auto"/>
              </w:rPr>
              <w:t>Jorge A. Quiroz, M.D.</w:t>
            </w:r>
          </w:p>
        </w:tc>
        <w:tc>
          <w:tcPr>
            <w:tcW w:w="2780" w:type="dxa"/>
            <w:vAlign w:val="bottom"/>
            <w:gridSpan w:val="3"/>
          </w:tcPr>
          <w:p>
            <w:pPr>
              <w:jc w:val="right"/>
              <w:ind w:right="423"/>
              <w:spacing w:after="0"/>
              <w:rPr>
                <w:sz w:val="20"/>
                <w:szCs w:val="20"/>
                <w:color w:val="auto"/>
              </w:rPr>
            </w:pPr>
            <w:r>
              <w:rPr>
                <w:rFonts w:ascii="Arial" w:cs="Arial" w:eastAsia="Arial" w:hAnsi="Arial"/>
                <w:sz w:val="18"/>
                <w:szCs w:val="18"/>
                <w:color w:val="auto"/>
              </w:rPr>
              <w:t>225,887</w:t>
            </w:r>
            <w:r>
              <w:rPr>
                <w:rFonts w:ascii="Arial" w:cs="Arial" w:eastAsia="Arial" w:hAnsi="Arial"/>
                <w:sz w:val="15"/>
                <w:szCs w:val="15"/>
                <w:color w:val="auto"/>
              </w:rPr>
              <w:t>(3)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789,680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Alvaro Amorrortu</w:t>
            </w:r>
          </w:p>
        </w:tc>
        <w:tc>
          <w:tcPr>
            <w:tcW w:w="2780" w:type="dxa"/>
            <w:vAlign w:val="bottom"/>
            <w:gridSpan w:val="3"/>
            <w:shd w:val="clear" w:color="auto" w:fill="CCEEFF"/>
          </w:tcPr>
          <w:p>
            <w:pPr>
              <w:jc w:val="right"/>
              <w:ind w:right="423"/>
              <w:spacing w:after="0" w:line="201" w:lineRule="exact"/>
              <w:rPr>
                <w:sz w:val="20"/>
                <w:szCs w:val="20"/>
                <w:color w:val="auto"/>
              </w:rPr>
            </w:pPr>
            <w:r>
              <w:rPr>
                <w:rFonts w:ascii="Arial" w:cs="Arial" w:eastAsia="Arial" w:hAnsi="Arial"/>
                <w:sz w:val="18"/>
                <w:szCs w:val="18"/>
                <w:color w:val="auto"/>
              </w:rPr>
              <w:t>89,093</w:t>
            </w:r>
            <w:r>
              <w:rPr>
                <w:rFonts w:ascii="Arial" w:cs="Arial" w:eastAsia="Arial" w:hAnsi="Arial"/>
                <w:sz w:val="15"/>
                <w:szCs w:val="15"/>
                <w:color w:val="auto"/>
              </w:rPr>
              <w:t>(4)</w:t>
            </w:r>
          </w:p>
        </w:tc>
        <w:tc>
          <w:tcPr>
            <w:tcW w:w="1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298,001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2780" w:type="dxa"/>
            <w:vAlign w:val="bottom"/>
            <w:gridSpan w:val="3"/>
            <w:shd w:val="clear" w:color="auto" w:fill="CCEEFF"/>
          </w:tcPr>
          <w:p>
            <w:pPr>
              <w:jc w:val="right"/>
              <w:ind w:right="423"/>
              <w:spacing w:after="0"/>
              <w:rPr>
                <w:sz w:val="20"/>
                <w:szCs w:val="20"/>
                <w:color w:val="auto"/>
              </w:rPr>
            </w:pPr>
            <w:r>
              <w:rPr>
                <w:rFonts w:ascii="Arial" w:cs="Arial" w:eastAsia="Arial" w:hAnsi="Arial"/>
                <w:sz w:val="18"/>
                <w:szCs w:val="18"/>
                <w:color w:val="auto"/>
              </w:rPr>
              <w:t>33,110</w:t>
            </w:r>
            <w:r>
              <w:rPr>
                <w:rFonts w:ascii="Arial" w:cs="Arial" w:eastAsia="Arial" w:hAnsi="Arial"/>
                <w:sz w:val="15"/>
                <w:szCs w:val="15"/>
                <w:color w:val="auto"/>
              </w:rPr>
              <w:t>(5)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115,762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Calculated based on an independent third-party valuation.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Series A Common Units of Solid Biosciences, LLC, all of which vested on December 27, 2017.</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Series D Common Units of Solid Biosciences, LLC granted on January 4, 2016. 25% of award vests on each of the first four anniversaries of grant date.</w:t>
      </w:r>
    </w:p>
    <w:p>
      <w:pPr>
        <w:ind w:left="460" w:right="26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Series D Common Units of Solid Biosciences, LLC, with 2,551 units vesting monthly over 34 months commencing December 30, 2016, and the final 2,359 units vesting after the 35th month.</w:t>
      </w:r>
    </w:p>
    <w:p>
      <w:pPr>
        <w:ind w:left="460" w:right="100" w:hanging="452"/>
        <w:spacing w:after="0" w:line="261"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Series D Common Units of Solid Biosciences, LLC, with 949 units vesting monthly over 34 months commencing December 30, 2016, and the final 844 units vesting after the 35th month.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Biosciences, LLC Amended and Restated Equity Incentive Plan</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maintain the Solid Biosciences, LLC Amended and Restated Equity Incentive Plan, or the Existing Plan, under which we may grant Series D Common Units of the Company to our employees, consultants and other service providers. We will cease granting awards under the Existing Plan upon the implementation of the 2018 Plan, described below.</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Our board of managers administers the Existing Plan. The board of managers is authorized to grant awards to eligible employees, consultants and other service providers. We intend to freeze the Existing Plan in connection with this offering. Following the date the Existing Plan is frozen, no further awards will be granted under the Existing Plan, but awards granted prior to the freeze date will continue in accordance with their terms and the terms of the Existing Plan.</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aggregate number of Series D Common Units that may be issued under the Existing Plan may not exceed 2,971,949. All of our current employees, consultants and other service providers are eligible to be granted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awards under the Existing Plan. Eligibility for awards under the Existing Plan is determined by the board of managers in its discretion.</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board of managers may terminate or amend the Existing Plan at any time, subject to such approvals of the holders of the Company’s units as may be required pursuant to the terms of the LLC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Omnibus Incentive Plan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anticipation of this offering, our board of managers has adopted the Solid Biosciences Inc. 2018 Omnibus Incentive Plan, or 2018 Plan, contingent upon the consummation of this offering. Our unitholders have approved the 2018 Plan contingent upon the consummation of this offering. We believe that a new omnibus incentive plan is appropriate in connection with an initial public offering of our common stock not only to continue to enable us to grant awards to management to reward and incentivize their performance and retention, but also to have a long-term equity plan that is appropriate for us as a public company.</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material terms of the 2018 Plan are summarized below. The following summary is qualified in its entirety by reference to the complete text of the 2018 Plan, a copy of which will be filed as an exhibit to the registration statement of which this prospectus forms a part.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of the plan</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board of managers has appointed the compensation committee of our board of directors as the committee under the 2018 Plan with the authority to administer the 2018 Plan. We refer to our board of directors or compensation committee, as applicable, as the Administrator. The Administrator is authorized to grant awards to eligible employees, consultants and non-employee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authorized shares and award limits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aggregate number of our shares of common stock that may be issued or used for reference purposes under the 2018 Plan may not exceed</w:t>
      </w:r>
    </w:p>
    <w:p>
      <w:pPr>
        <w:spacing w:after="0" w:line="35" w:lineRule="exact"/>
        <w:rPr>
          <w:sz w:val="20"/>
          <w:szCs w:val="20"/>
          <w:color w:val="auto"/>
        </w:rPr>
      </w:pPr>
    </w:p>
    <w:p>
      <w:pPr>
        <w:ind w:right="100" w:firstLine="585"/>
        <w:spacing w:after="0" w:line="252" w:lineRule="auto"/>
        <w:rPr>
          <w:sz w:val="20"/>
          <w:szCs w:val="20"/>
          <w:color w:val="auto"/>
        </w:rPr>
      </w:pPr>
      <w:r>
        <w:rPr>
          <w:rFonts w:ascii="Arial" w:cs="Arial" w:eastAsia="Arial" w:hAnsi="Arial"/>
          <w:sz w:val="18"/>
          <w:szCs w:val="18"/>
          <w:color w:val="auto"/>
        </w:rPr>
        <w:t>shares (subject to adjustment as described below). Our shares of common stock that are subject to awards will be counted against the overall limit as one share for every share granted or covered by an award. If any award is cancelled, expires or terminates unexercised for any reason, the shares covered by such award will again be available for the grant of awards under the 2018 Plan, except that any shares that are not issued as the result of a net exercise or settlement or that are used to pay any exercise price or tax withholding obligation will not be available for the grant of awards. Shares of common stock that we repurchase on the open market with the proceeds of an option exercise price also will not be available for the grant of awards. Awards that may be settled solely in cash will not be deemed to use any shares.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maximum number of our shares of common stock that may be subject to any award of stock options, any restricted stock or other stock-based</w:t>
      </w:r>
    </w:p>
    <w:p>
      <w:pPr>
        <w:spacing w:after="0" w:line="46"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award denominated in shares that may be granted under the 2018 Plan during any fiscal year to each employee or consultant is shares per type of award; provided that the maximum number of our shares of common stock for all types of awards during any fiscal year is shares per each employee or consultant and shares per each employee director. The maximum number of our shares of common stock that may be granted pursuant to awards under the 2018 Plan during any fiscal year to any non-employee director is shares. In addition, the maximum grant date value of any other stock-</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based awards denominated in cash and the maximum payment under any performance-based cash award granted under the 2018 Plan payable with respect to</w:t>
      </w:r>
    </w:p>
    <w:p>
      <w:pPr>
        <w:spacing w:after="0" w:line="32"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color w:val="auto"/>
        </w:rPr>
        <w:t>any fiscal year to an employee or consultant is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foregoing individual participant limits are cumulative; that is, to the extent that shares of common stock that may be granted to an individual in a fiscal year are not granted, the number of shares of common stock that may be granted to such individual is increased in the subsequent fiscal years during the term of the 2018 Plan until used. In addition, the foregoing limits (other than the limit on the maximum number of our shares 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common stock for all types of awards during any fiscal year) will not apply (i) to options, restricted stock or other stock-based awards that constitute “restricted property” under Section 83 of the Code to the extent granted during the reliance period (as described below), or (ii) to performance-based cash awards or other types of other stock-based awards to the extent paid or otherwise settled during the reliance period.</w:t>
      </w:r>
    </w:p>
    <w:p>
      <w:pPr>
        <w:spacing w:after="0" w:line="16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For companies that become public in connection with an initial public offering, the deduction limit under Section 162(m) does not apply during a “reliance period” under the Treasury Regulations under Section 162(m) until the earliest of: (i) the expiration of the 2018 Plan, (ii) the date the 2018 Plan is materially amended for purposes of Treasury Regulation Section 1.162-27(h)(1)(iii); (iii) the date all shares of common stock available for issuance under the 2018 Plan have been allocated; or (iv) the date of the first annual meeting of our stockholders at which directors are to be elected that occurs after the close of the third calendar year following the calendar year in which the initial public offering occurs, such period is referred to herein as the reliance period.</w:t>
      </w:r>
    </w:p>
    <w:p>
      <w:pPr>
        <w:spacing w:after="0" w:line="15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Administrator will, in accordance with the terms of the 2018 Plan, make appropriate adjustments to the above aggregate and individual limits (other than cash limitations), to the number and/or kind of shares or other property (including cash) underlying awards and to the purchase price of shares underlying awards, in each case, to reflect any change in our capital structure or business by reason of any stock split, reverse stock split, stock dividend, combination or reclassification of shares, any recapitalization, merger, consolidation, spin off, split off, reorganization or any partial or complete liquidation, any sale or transfer of all or part of our assets or business, or any other corporate transaction or event that would be considered an “equity restructuring” within the meaning of FASB ASC Topic 718. In addition, the Administrator may take similar action with respect to other extraordinary events.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 and participation</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All of our current and prospective employees and consultants, as well as our non-employee directors, are eligible to be granted non-qualified stock options, restricted stock, performance-based cash awards and other stock-based awards under the 2018 Plan. Only our and our subsidiaries’ employees are eligible to be granted incentive stock options, or ISOs, under the 2018 Plan. Eligibility for awards under the 2018 Plan is determined by the Administrator in its discretion. In addition, each member of our board of directors who is not an employee of the company or any of our affiliates is expected to be eligible to receive awards under the 2018 Plan.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awards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2018 Plan authorizes the Administrator to grant ISOs to eligible employees and non-qualified stock options to purchase shares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consultants, prospective employees, prospective consultants and non-employee directors. The Administrator will determine the number of shares of common stock subject to each option, the term of each option, the exercise price (which may not be less than the fair market value of the shares of common stock at the time of grant, or 110% of fair market value in the case of ISOs granted to 10% stockholders), the vesting schedule and the other terms and conditions of each option. Options will be exercisable at such times and subject to such terms as are determined by the Administrator at the time of grant. The maximum term of options under the 2018 Plan is ten years (or five years in the case of ISOs granted to 10% stockholders). Upon the exercise of an option, the participant must make payment of the full exercise price, either in cash or by check, bank draft or money order; solely to the extent permitted by law and authorized by the Administrator, through the delivery of irrevocable instructions to a broker, reasonably acceptable to us, to promptly deliver to us an amount equal to the aggregate exercise price; or on such other terms and conditions as may be acceptable to the Administrator (including, without limitation, the relinquishment of options or by payment in full or in part in the form of shares of common stock).</w:t>
      </w:r>
    </w:p>
    <w:p>
      <w:pPr>
        <w:spacing w:after="0" w:line="16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The 2018 Plan authorizes the Administrator to grant restricted stock. Recipients of restricted stock enter into an agreement with us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subjecting the restricted stock to transfer and other restrictions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and providing the criteria or dates on which such awards vest and such restrictions lapse. The restrictions on restricted stock may lapse and the awards may vest over time, based on performance criteria or other factors (including, without limitation, performance goals that are intended to comply with the performance-based compensation exception under Section 162(m), as discussed below), as determined by the Administrator at the time of grant. Except as otherwise determined by the Administrator, a holder of restricted stock has all of the attendant rights of a stockholder including the right to receive dividends, if any, subject to and conditioned upon vesting and restrictions lapsing on the underlying restricted stock, the right to vote shares and, subject to and conditioned upon the vesting and restrictions lapsing for the underlying shares, the right to tender such shares. However, the Administrator may in its discretion provide at the time of grant that the right to receive dividends on restricted stock will not be subject to the vesting or lapsing of the restrictions on the restricted stock.</w:t>
      </w:r>
    </w:p>
    <w:p>
      <w:pPr>
        <w:spacing w:after="0" w:line="19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Other stock-based awards</w:t>
      </w:r>
      <w:r>
        <w:rPr>
          <w:rFonts w:ascii="Arial" w:cs="Arial" w:eastAsia="Arial" w:hAnsi="Arial"/>
          <w:sz w:val="16"/>
          <w:szCs w:val="16"/>
          <w:color w:val="auto"/>
        </w:rPr>
        <w:t>. The 2018 Plan authorizes the Administrator to grant awards of shares of common stock and other awards that are valued in</w:t>
      </w:r>
      <w:r>
        <w:rPr>
          <w:rFonts w:ascii="Arial" w:cs="Arial" w:eastAsia="Arial" w:hAnsi="Arial"/>
          <w:sz w:val="16"/>
          <w:szCs w:val="16"/>
          <w:i w:val="1"/>
          <w:iCs w:val="1"/>
          <w:color w:val="auto"/>
        </w:rPr>
        <w:t xml:space="preserve"> </w:t>
      </w:r>
      <w:r>
        <w:rPr>
          <w:rFonts w:ascii="Arial" w:cs="Arial" w:eastAsia="Arial" w:hAnsi="Arial"/>
          <w:sz w:val="16"/>
          <w:szCs w:val="16"/>
          <w:color w:val="auto"/>
        </w:rPr>
        <w:t>whole or in part by reference to, or are payable in or otherwise based on, shares of common stock, including, but not limited to, shares of common stock awarded purely as a bonus and not subject to any restrictions or conditions; shares of common stock in payment of the amounts due under an incentive or performance plan sponsored or maintained by us or an affiliate; stock appreciation rights; stock equivalent units; restricted stock units; performance awards entitling participants to receive a number of shares of common stock (or cash in an equivalent value) or a fixed dollar amount, payable in cash, stock or a combination of both, with respect to a designated performance period; or awards valued by reference to book value of our shares of common stock. In general, other stock-based awards that are denominated in shares of common stock will include the right to receive dividends, if any, subject to and conditioned upon vesting and restrictions lapsing on the underlying award, but the Administrator may in its discretion provide at the time of grant that the right to receive dividends on a stock-denominated award will not be subject to the vesting or lapsing of the restrictions on the performance award.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cash awards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2018 Plan authorizes the Administrator to grant cash awards that are payable or otherwise based on the attainment of pre-established performance goals during a performance period. As noted above, following the Reliance Period, performance-based cash awards granted under the 2018 Plan that are intended to satisfy the performance-based compensation exception under Section 162(m) will vest based on attainment of specified performance goals established by the Administrator. These performance goals will be based on the attainment of a certain target level of, or a specified increase in (or decrease where noted), criteria selected by the Administrator.</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Such performance goals may be based upon the attainment of specified levels of company, affiliate, subsidiary, division, other operational unit, business segment or administrative department performance relative to the performance of other companies. The Administrator may designate additional business criteria on which the performance goals may be based or adjust, modify or amend those criteria, to the extent permitted by Section 162(m). Unless the Administrator determines otherwise, to the extent permitted by Section 162(m), the Administrator will disregard and exclude the impact of special, unusual or non-recurring items, events, occurrences or circumstances; discontinued operations or the disposal of a business; the operations of any business that we acquire during the fiscal year or other applicable performance period; or a change in accounting standards required by generally accepted accounting principles or changes in applicable law or regulations.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transactions; Change in control</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a change in control, as defined in the 2018 Plan, except as otherwise provided by the Administrator, unvested awards will not vest. Instead, the Administrator may, in its sole discretion provide that outstanding awards will be: assumed and continued; purchased based on the price per share paid in the change in control transaction (less, in the case of options and stock appreciation rights, or SARs, the exercise price), as adjusted by the Administrator for any contingent purchase price, escrow obligations, indemnification obligations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or other adjustments to the purchase price; and/or in the case of stock options or other stock-based appreciation awards where the change in control price is less than the applicable exercise price, cancelled. However, the Administrator may in its sole discretion provide for the acceleration of vesting and lapse of restrictions of an award at any time including in connection with a change in control.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awards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Except as the Administrator may permit, at the time of grant or thereafter, awards granted under the 2018 Plan are generally not transferable by a participant other than by will or the laws of descent and distribution. Shares of common stock acquired by a permissible transferee will continue to be subject to the terms of the 2018 Plan and the applicable award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117" w:lineRule="exact"/>
        <w:rPr>
          <w:sz w:val="20"/>
          <w:szCs w:val="20"/>
          <w:color w:val="auto"/>
        </w:rPr>
      </w:pPr>
    </w:p>
    <w:p>
      <w:pPr>
        <w:ind w:left="460"/>
        <w:spacing w:after="0"/>
        <w:tabs>
          <w:tab w:leader="none" w:pos="5080" w:val="left"/>
        </w:tabs>
        <w:rPr>
          <w:sz w:val="20"/>
          <w:szCs w:val="20"/>
          <w:color w:val="auto"/>
        </w:rPr>
      </w:pPr>
      <w:r>
        <w:rPr>
          <w:rFonts w:ascii="Arial" w:cs="Arial" w:eastAsia="Arial" w:hAnsi="Arial"/>
          <w:sz w:val="18"/>
          <w:szCs w:val="18"/>
          <w:color w:val="auto"/>
        </w:rPr>
        <w:t>Awards under the 2018 Plan may not be made after</w:t>
      </w:r>
      <w:r>
        <w:rPr>
          <w:sz w:val="20"/>
          <w:szCs w:val="20"/>
          <w:color w:val="auto"/>
        </w:rPr>
        <w:tab/>
      </w:r>
      <w:r>
        <w:rPr>
          <w:rFonts w:ascii="Arial" w:cs="Arial" w:eastAsia="Arial" w:hAnsi="Arial"/>
          <w:sz w:val="16"/>
          <w:szCs w:val="16"/>
          <w:color w:val="auto"/>
        </w:rPr>
        <w:t>, 2028, but awards granted prior to such date may extend beyond that date. We may</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seek stockholder reapproval of the performance goals in the 2018 Plan. If such stockholder approval is obtained, on or after the first stockholders’ meeting in the fifth year following the year of the last stockholder approval of the performance goals in the 2018 Plan, awards under the 2018 Plan may be based on such performance goals in order to qualify for the “performance-based compensation” exception under Section 162(m).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Subject to the rules referred to in the balance of this paragraph, our board of directors or the Administrator (to the extent permitted by law) may at any time amend, in whole or in part, any or all of the provisions of the 2018 Plan, or suspend or terminate it entirely, retroactively or otherwise. Except as required to comply with applicable law, no such amendment, suspension or termination may reduce the rights of a participant with respect to awards previously granted without the consent of such participant. In addition, without the approval of stockholders, no amendment may be made that would: increase the aggregate number of shares of common stock that may be issued under the 2018 Plan; increase the maximum individual participant share limitations for a fiscal year or year of a performance period; change the classification of individuals eligible to receive awards under the 2018 Plan; extend the maximum term of any option; reduce the exercise price of any option or SAR or cancel any outstanding “in-the-money” option or SAR in exchange for cash; substitute any option or SAR in exchange for an option or SAR (or similar other award) with a lower exercise price; alter the performance goals; or require stockholder approval in order for the 2018 Plan to continue to comply with Section 162(m) or Section 422 of the Code.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of shares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Following consummation of this offering, we intend to file a registration statement on Form S-8 under the Securities Act of 1933, as amended, or the Securities Act, to register the full number of shares of common stock that will be available for issuance under the 2018 Plan, as described in the section titled “—2018 Plan—Number of Authorized Shares and Award Limits”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income tax implications of the incentive plans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federal income tax consequences arising with respect to awards granted under the Existing Plan and 2018 Plan will depend on the type of award. From the recipients’ standpoint, as a general rule, ordinary income will be recognized at the time of payment of cash, or delivery of actual shares. Future appreciation on shares held beyond the ordinary income recognition event will be taxable at capital gains rates when the shares are sold. We, as a general rule, will be entitled to a tax deduction that corresponds in time and amount to the ordinary income recognized by the recipient, and we will not be entitled to any tax deduction in respect of capital gain income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recognized by the recipient. Exceptions to these general rules may arise under the following circumstances: (i) if shares, when delivered, are subject to a substantial risk of forfeiture by reason of failure to satisfy any employment or performance-related condition, ordinary income taxation and our tax deduction will be delayed until the risk of forfeiture lapses (unless the recipient makes a special election to ignore the risk of forfeiture); (ii) if an employee is granted an ISO, no ordinary income will be recognized, and we will not be entitled to any tax deduction, if shares acquired upon exercise of the ISO are held longer than the later of one year from the date of exercise and two years from the date of grant; (iii) for awards granted after the reliance period, we may not be entitled to a tax deduction for compensation attributable to awards granted to one of our Named Executive Officers (other than our Chief Financial Officer), if and to the extent such compensation does not qualify as “performance-based” compensation under Section 162(m), and such compensation, along with any other non-performance-based compensation paid in the same calendar year, exceeds $1 million; and (iv) an award may be taxable at 20% above ordinary income tax rates at the time it becomes vested, even if that is prior to the delivery of the cash or stock in settlement of the award, if the award constitutes “deferred compensation” under Section 409A of the Code, and the requirements of Section 409A of the Code are not satisfied. The foregoing provides only a general description of the application of federal income tax laws to certain awards under the Incentive Plans, and is not intended as tax guidance to participants in the Incentive Plans, as the tax consequences may vary with the types of awards made, the identity of the recipients and the method of payment or settlement. This summary does not address the effects of other federal taxes (including possible “golden parachute” excise taxes) or taxes imposed under state, local, or foreign tax laws.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do not currently have a formal policy with respect to compensation payable to our non-employee managers for service as managers. During 2016, except for the Chairman of our Board, our non-employee managers did not receive any cash compensation for their services as managers or as board committee members. In 2016, Dr. Zarur received aggregate cash compensation of $250,000 for his services as Chairman. None of our non-employee managers received any equity award grants in 2016.</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the compensation paid to our non-employee managers during 2016.</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00" w:type="dxa"/>
            <w:vAlign w:val="bottom"/>
            <w:gridSpan w:val="2"/>
          </w:tcPr>
          <w:p>
            <w:pPr>
              <w:jc w:val="center"/>
              <w:ind w:right="663"/>
              <w:spacing w:after="0"/>
              <w:rPr>
                <w:sz w:val="20"/>
                <w:szCs w:val="20"/>
                <w:color w:val="auto"/>
              </w:rPr>
            </w:pPr>
            <w:r>
              <w:rPr>
                <w:rFonts w:ascii="Arial" w:cs="Arial" w:eastAsia="Arial" w:hAnsi="Arial"/>
                <w:sz w:val="14"/>
                <w:szCs w:val="14"/>
                <w:b w:val="1"/>
                <w:bCs w:val="1"/>
                <w:color w:val="auto"/>
                <w:w w:val="81"/>
              </w:rPr>
              <w:t>Fees</w:t>
            </w: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15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400" w:type="dxa"/>
            <w:vAlign w:val="bottom"/>
            <w:gridSpan w:val="2"/>
          </w:tcPr>
          <w:p>
            <w:pPr>
              <w:jc w:val="center"/>
              <w:ind w:right="663"/>
              <w:spacing w:after="0" w:line="149" w:lineRule="exact"/>
              <w:rPr>
                <w:sz w:val="20"/>
                <w:szCs w:val="20"/>
                <w:color w:val="auto"/>
              </w:rPr>
            </w:pPr>
            <w:r>
              <w:rPr>
                <w:rFonts w:ascii="Arial" w:cs="Arial" w:eastAsia="Arial" w:hAnsi="Arial"/>
                <w:sz w:val="14"/>
                <w:szCs w:val="14"/>
                <w:b w:val="1"/>
                <w:bCs w:val="1"/>
                <w:color w:val="auto"/>
                <w:w w:val="94"/>
              </w:rPr>
              <w:t>Earned or</w:t>
            </w:r>
          </w:p>
        </w:tc>
        <w:tc>
          <w:tcPr>
            <w:tcW w:w="11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center"/>
              <w:ind w:right="663"/>
              <w:spacing w:after="0" w:line="149" w:lineRule="exact"/>
              <w:rPr>
                <w:sz w:val="20"/>
                <w:szCs w:val="20"/>
                <w:color w:val="auto"/>
              </w:rPr>
            </w:pPr>
            <w:r>
              <w:rPr>
                <w:rFonts w:ascii="Arial" w:cs="Arial" w:eastAsia="Arial" w:hAnsi="Arial"/>
                <w:sz w:val="14"/>
                <w:szCs w:val="14"/>
                <w:b w:val="1"/>
                <w:bCs w:val="1"/>
                <w:color w:val="auto"/>
                <w:w w:val="91"/>
              </w:rPr>
              <w:t>Paid in</w:t>
            </w: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5500" w:type="dxa"/>
            <w:vAlign w:val="bottom"/>
            <w:vMerge w:val="continue"/>
          </w:tcPr>
          <w:p>
            <w:pPr>
              <w:spacing w:after="0"/>
              <w:rPr>
                <w:sz w:val="14"/>
                <w:szCs w:val="14"/>
                <w:color w:val="auto"/>
              </w:rPr>
            </w:pPr>
          </w:p>
        </w:tc>
        <w:tc>
          <w:tcPr>
            <w:tcW w:w="1400" w:type="dxa"/>
            <w:vAlign w:val="bottom"/>
            <w:gridSpan w:val="2"/>
          </w:tcPr>
          <w:p>
            <w:pPr>
              <w:jc w:val="center"/>
              <w:ind w:right="663"/>
              <w:spacing w:after="0"/>
              <w:rPr>
                <w:sz w:val="20"/>
                <w:szCs w:val="20"/>
                <w:color w:val="auto"/>
              </w:rPr>
            </w:pPr>
            <w:r>
              <w:rPr>
                <w:rFonts w:ascii="Arial" w:cs="Arial" w:eastAsia="Arial" w:hAnsi="Arial"/>
                <w:sz w:val="14"/>
                <w:szCs w:val="14"/>
                <w:b w:val="1"/>
                <w:bCs w:val="1"/>
                <w:color w:val="auto"/>
                <w:w w:val="90"/>
              </w:rPr>
              <w:t>Cash ($)</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6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Andrey Zarur, Ph.D.</w:t>
            </w: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250,000</w:t>
            </w:r>
          </w:p>
        </w:tc>
        <w:tc>
          <w:tcPr>
            <w:tcW w:w="740" w:type="dxa"/>
            <w:vAlign w:val="bottom"/>
            <w:tcBorders>
              <w:top w:val="single" w:sz="8" w:color="CCEEFF"/>
            </w:tcBorders>
            <w:shd w:val="clear" w:color="auto" w:fill="CCEEFF"/>
          </w:tcPr>
          <w:p>
            <w:pPr>
              <w:jc w:val="right"/>
              <w:ind w:right="483"/>
              <w:spacing w:after="0"/>
              <w:rPr>
                <w:sz w:val="20"/>
                <w:szCs w:val="20"/>
                <w:color w:val="auto"/>
              </w:rPr>
            </w:pPr>
            <w:r>
              <w:rPr>
                <w:rFonts w:ascii="Arial" w:cs="Arial" w:eastAsia="Arial" w:hAnsi="Arial"/>
                <w:sz w:val="15"/>
                <w:szCs w:val="15"/>
                <w:color w:val="auto"/>
                <w:w w:val="87"/>
              </w:rPr>
              <w:t>(2)</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250,000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6"/>
              </w:rPr>
              <w:t>(2)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Robert Huffines</w:t>
            </w: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Lynne Sullivan</w:t>
            </w:r>
          </w:p>
        </w:tc>
        <w:tc>
          <w:tcPr>
            <w:tcW w:w="14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Matthew Arnold</w:t>
            </w: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Adam Stone</w:t>
            </w:r>
          </w:p>
        </w:tc>
        <w:tc>
          <w:tcPr>
            <w:tcW w:w="14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Rajeev Shah</w:t>
            </w: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of December 31, 2016, none of our non-employee managers held any equity awards or unvested units.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advisory fees paid to Dr. Zarur in exchange for services as Chairman of our board of managers.</w:t>
      </w:r>
    </w:p>
    <w:p>
      <w:pPr>
        <w:spacing w:after="0" w:line="21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Following the consummation of this offering, we intend to implement a director compensation program pursuant to which our non-employee directors will receive the following compensation for their service on our board of directors:</w:t>
      </w:r>
    </w:p>
    <w:p>
      <w:pPr>
        <w:spacing w:after="0" w:line="76"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annual retainer of $35,000;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additional annual retainer of $15,000 for serving as chair or $7,500 for serving as a member of the Audit Committee;</w:t>
      </w:r>
    </w:p>
    <w:p>
      <w:pPr>
        <w:spacing w:after="0" w:line="130" w:lineRule="exact"/>
        <w:rPr>
          <w:rFonts w:ascii="Arial" w:cs="Arial" w:eastAsia="Arial" w:hAnsi="Arial"/>
          <w:sz w:val="18"/>
          <w:szCs w:val="18"/>
          <w:color w:val="auto"/>
        </w:rPr>
      </w:pPr>
    </w:p>
    <w:p>
      <w:pPr>
        <w:jc w:val="center"/>
        <w:ind w:left="5580" w:right="1180" w:hanging="5005"/>
        <w:spacing w:after="0" w:line="44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additional annual retainer of $10,000 for serving as chair or $5,000 for serving as a member of the Compensation Committee; 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additional annual retainer of $8,000 for serving as chair or $4,000 for serving as a member of the Nominating and Corporate Governance Committee; and</w:t>
      </w:r>
    </w:p>
    <w:p>
      <w:pPr>
        <w:spacing w:after="0" w:line="75"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 annual grant of restricted stock made under the 2018 Plan having a fair market value of $50,000, all of which shall vest on the earlier to occur of the one-year anniversary of the grant date and immediately prior to the first annual meeting of our stockholders occurring after the grant date subject, in all cases, to each such director’s continued service as a member of the Board from the grant date to the applicable vesting date.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RELATED-PERSON TRANSACTIONS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addition to the executive officer and director compensation arrangements discussed above under “Compensation of our executive officers and directors,” below we describe transactions since January 1, 2014 to which we have been or will be a participant, in which the amount involved in the transaction exceeds or will exceed $120,000 and in which any of our directors, executive officers or beneficial holders of more than 5% of any class of our capital stock, or 5% Security Holders, or any immediate family member of, or person sharing the household with, any of these individuals, had or will have a direct or indirect material interest.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Biosciences, LLC</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29, 2017, we entered into a unit purchase agreement, or the Senior Preferred Unit Purchase Agreement, which provided for the sale of 2,500,000 of our Series 1 Senior Preferred Units to certain investors at a price of $10.00 per unit for an aggregate purchase price of $25.0 million. 625,000 of such units were sold to affiliates of RA Capital Management, LLC, or RA Capital. Mr. Shah, a member of our board of directors, is a Portfolio Manager and Managing Director at RA Capital. 249,999 of Series 1 Senior Preferred Units were sold to affiliates of Perceptive Advisors. Mr. Stone, a member of our board of directors, is the Chief Investment Officer of Perceptive Advisors, and Perceptive Advisors is a 5% Security Holder. 166,667 of such units were sold to an affiliate of Biogen, Inc., or Biogen. Ms. Sullivan, a member of our board of directors, is the Senior Vice President of Finance of Biogen, and Biogen is a 5% Security Holder.</w:t>
      </w:r>
    </w:p>
    <w:p>
      <w:pPr>
        <w:spacing w:after="0" w:line="18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Senior Preferred Unit Purchase Agreement, as amended on September 1, 2017, additionally provided that the holders of the Series 1 Senior Preferred Units were required to purchase $25.0 million of Series 2 Senior Preferred Units, in the event we achieve certain preclinical milestones. In addition, at their option, the holders had the ability to purchase the Series 2 Senior Preferred Units at any time prior to December 1, 2017. On October 26, 2017, the Senior Preferred Unit Purchase Agreement was further amended to provide for the sale of 4,886,000 Series 2 Senior Preferred Units at a purchase price of $11.257 per unit for an aggregate purchase price of $55.0 million. As part of this Series 2 Preferred Financing, which closed on October 26, 2017, 1,110,470 of such units were sold to affiliates of RA Capital, 444,180 of such units were sold to an affiliate of Perceptive Advisors, 296,120 of such units were sold to an affiliate of Biogen, 1,110,470 of such units were sold to an affiliate of Bain Capital Life Sciences and 222,080 of such units were sold to each of Mr. Arnold and Mr. Hayeem, members of our board of managers. Dr. Koppel, a member of our board of directors, is a Managing Director of Bain Capital Life Sciences, and Bain Capital Life Sciences is a 5% Security Holder.</w:t>
      </w:r>
    </w:p>
    <w:p>
      <w:pPr>
        <w:spacing w:after="0" w:line="182"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J.P. Morgan Securities, LLC, acted as placement agent in connection with our offering of securities under the Senior Preferred Unit Purchase Agreement and received customary placement agent fees for its services. Mr. Huffines is an employee of J.P. Morgan Securities, LLC. JPMC Strategic Investments II Corporation, a 5% Security Holder, is an affiliate of J.P. Morgan Securities, LLC.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GT, LLC</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2, 2015, Solid GT entered into a unit purchase agreement which provided for the sale of 134,920 of its Class D Voting Units to certain investors at a price of $315.00 per unit for an aggregate purchase price of approximately $42.5 million. 47,619 of such units were sold to Biogen, 47,619 of such units were sold to affiliates of Perceptive Advisors, and 6,349 of such units were sold to Matthew Arnold, a member of our board of directors. On March 29, 2017, pursuant to a merger agreement between the Company and Solid GT, or the Merger Agreement, the operations of Solid GT were merged into the Company and all outstanding units of Solid GT, including those held by related persons, were converted into units of Solid Biosciences, LLC. See “— Merger and recapitalization.”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recapitalization</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historically owned 100% of the voting units of our wholly owned subsidiary, Solid GT. Solid GT was organized in Delaware in August 2014. In November 2015, Solid GT issued voting units to new investors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discussed above under “—Equity Financings—Solid GT, LLC”), which decreased our voting ownership in Solid GT to 77%. On March 29, 2017, pursuant to the Merger Agreement, we merged the operations of Solid GT into the company and Solid GT ceased to exist as a separate legal entity. In connection with the Merger, units of the company and units of Solid GT were converted into new series of units of the company. Units of the company and Solid GT that were held by our executive officers, directors and 5% Security Holders were converted on the same basis as all other holders of such units as forth in the Merger Agreement and the LLC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 company agreement of Solid Biosciences, LLC</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are party to the LLC Agreement with our current members. The LLC Agreement will terminate upon the Corporate Conversion. See “Management —Composition of the board of directors.” Under the terms of the LLC Agreement, Series A Common Unit holders were entitled to designate two individuals to serve on our board of managers. Pursuant to this provision, the two board appointees were Mssrs. Arnold and Huffines. Mr. Huffines is an employee of J.P. Morgan Securities LLC, a participating underwriter in this offering. An affiliate of J.P. Morgan Securities LLC owns in excess of 10% of our issued and outstanding common stock. See “Underwriting—Conflicts of Interest” for a description of services that the underwriters have provided to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party to an Amended and Restated Registration Rights Agreement, or the Registration Rights Agreement, dated March 29, 2017, with certain holders of our units, which includes our 5% Security Holders and entities affiliated with certain of our directors. The Registration Rights Agreement provides these holders with the right to request, following this offering, that their shares of common stock be registered for resale in certain circumstances. See “Description of capital stock—Registration rights.”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conversion</w:t>
      </w:r>
    </w:p>
    <w:p>
      <w:pPr>
        <w:spacing w:after="0" w:line="121"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We currently operate as a Delaware limited liability company under the name Solid Biosciences, LLC. Prior to the effectiveness of the registration statement of which this prospectus forms a part, Solid Biosciences, LLC will convert into a Delaware corporation pursuant to a statutory conversion and change its name to Solid Biosciences Inc. In addition, entities affiliated with certain of our unitholders will be merged with and into us. As required by the LLC Agreement, the Corporate Conversion will be approved by the requisite number of outstanding units of Solid Biosciences, LLC.</w:t>
      </w:r>
    </w:p>
    <w:p>
      <w:pPr>
        <w:spacing w:after="0" w:line="154" w:lineRule="exact"/>
        <w:rPr>
          <w:sz w:val="20"/>
          <w:szCs w:val="20"/>
          <w:color w:val="auto"/>
        </w:rPr>
      </w:pPr>
    </w:p>
    <w:p>
      <w:pPr>
        <w:ind w:left="460"/>
        <w:spacing w:after="0"/>
        <w:tabs>
          <w:tab w:leader="none" w:pos="7880" w:val="left"/>
        </w:tabs>
        <w:rPr>
          <w:sz w:val="20"/>
          <w:szCs w:val="20"/>
          <w:color w:val="auto"/>
        </w:rPr>
      </w:pPr>
      <w:r>
        <w:rPr>
          <w:rFonts w:ascii="Arial" w:cs="Arial" w:eastAsia="Arial" w:hAnsi="Arial"/>
          <w:sz w:val="18"/>
          <w:szCs w:val="18"/>
          <w:color w:val="auto"/>
        </w:rPr>
        <w:t>In connection with the Corporate Conversion, Solid Biosciences, LLC unitholders will receive</w:t>
      </w:r>
      <w:r>
        <w:rPr>
          <w:sz w:val="20"/>
          <w:szCs w:val="20"/>
          <w:color w:val="auto"/>
        </w:rPr>
        <w:tab/>
      </w:r>
      <w:r>
        <w:rPr>
          <w:rFonts w:ascii="Arial" w:cs="Arial" w:eastAsia="Arial" w:hAnsi="Arial"/>
          <w:sz w:val="16"/>
          <w:szCs w:val="16"/>
          <w:color w:val="auto"/>
        </w:rPr>
        <w:t>shares of common stock (including</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shares of restricted stock) for all units held immediately prior to the Corporate Conversion. The existing units held by our executive officers, directors and 5% Security Holders will be converted on the same basis as all other holders of such units.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 to executive officers and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Biosciences, LLC</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May 7, 2014, we granted 114,667 Series A Common Units to Dr. Schneider. On September 1, 2015, we granted 114,000 Series A Common Units to Dr. Morris. On January 29, 2016, we granted 171,000 Series A Common Units to Mr. Amorrortu. On March 29, 2017, we granted 50,000 Series D Common Units to Dr. Morris. On May 31, 2017, we granted 150,000 Series D Common Units to Ms. Ziolkowski. On December 7, 2017, we granted 22,706 Series D Common Units to Mr. Amorrortu, 45,184 Series D Common Units to Dr. Quiroz and 50,000 Series D Common Units to Ms. Ziolkowski. No payment was made to Solid in connection with the above grants.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GT, LLC</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On December 15, 2015, Solid GT granted 1,388 Class C Non-Voting Units to Mr. Amorrortu, 6,904 Class C Non-Voting Units to Dr. Quiroz, and 2,778 Class C Non-Voting Units to Dr. Schneider. No payment was made to Solid GT in connection with the above grants. On March 29, 2017, all Class C Non-Voting Units were converted to units of Solid Biosciences, LLC in connection with the Merger and Recapitalization described above.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arrangements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Since November 2016, we have employed Annie Ganot, the wife of Ilan Ganot, as Director, Patient Advocacy. Mr. Ganot is our CEO and a member of our board of directors. Ms. Ganot receives an annual salary of less than $200,000 and received a signing bonus in connection with the start of her employment.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will enter into agreements to indemnify our directors and executive officers. These agreements will, among other things, require us to indemnify these individuals for certain expenses (including attorneys’ fees), judgments, fines and settlement amounts reasonably incurred by such persons in any action or proceeding, including any action by or in our right, on account of any services undertaken by any such person on behalf of our company or that person’s status as a member of our board of directors to the maximum extent allowed under Delaware law.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related-person transactions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Prior to this offering, we have not had a formal policy regarding approval of transactions with related persons. In connection with this offering, our board of managers has adopted a related-person transaction policy that sets forth our procedures for the identification, review, consideration and approval or ratification for the review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“related-person transaction,” the related person must report the proposed related-person transaction to our general counsel. The policy calls for the proposed related-person transaction to be reviewed by and if deemed appropriate approved by, the audit committee of our board of directors. Whenever practicable, the reporting, review and approval will occur prior to entry into the transaction. If advance review and approval is not practicable, the audit committee will review and, in its discretion, may ratify the related-person transaction. The policy also permits the chair of the audit committee to review, and if deemed appropriate approve, proposed related-person transactions that arise between audit committee meetings, subject to ratification by the audit committee at its next meeting. Any related-person transactions that are ongoing in nature will be reviewed annually.</w:t>
      </w:r>
    </w:p>
    <w:p>
      <w:pPr>
        <w:spacing w:after="0" w:line="178"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A related-person transaction reviewed under the policy will be considered approved or ratified if it is authorized by the audit committee after full disclosure of the related person’s interest in the transaction. As appropriate for the circumstances, the committee will review and consider:</w:t>
      </w:r>
    </w:p>
    <w:p>
      <w:pPr>
        <w:spacing w:after="0" w:line="52"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related person’s interest in the related-person transaction;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approximate dollar amount involved in the related-person transaction;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approximate dollar amount of the related person’s interest in the transaction without regard to the amount of any profit or loss;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whether the terms of the transaction are no less favorable to us than terms that could have been reached with an unrelated third party;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related-person transaction; and</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information regarding the related-person transaction or the related person in the context of the proposed transaction that would be material to investors in light of the circumstances of the particular transaction.</w:t>
      </w:r>
    </w:p>
    <w:p>
      <w:pPr>
        <w:spacing w:after="0" w:line="1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audit committee may approve or ratify the transaction only if the audit committee determines that, under all of the circumstances, the transaction is not inconsistent with our best interests. The audit committee may impose any conditions on the related-person transaction that it deems appropriate.</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the compensation committee of our board of directors in the manner specified in its charter.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December 1, 2017 by (i) each person whom we know to beneficially own more than 5% of our outstanding common stock (a “5% stockholder”), (ii) each director, (iii) each executive officer and (iv) all directors and executive officers as a group. Unless otherwise indicated, the address of each executive officer and director is c/o Solid Biosciences, 161 First Street, Third Floor, Cambridge, MA 02412.</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number of shares of common stock “beneficially owned” by each stockholder is determined under rules issued by the SEC regarding the beneficial ownership of securities. This information is not necessarily indicative of beneficial ownership for any other purpose. Under these rules, beneficial ownership of shares of our common stock includes (1) any shares as to which the person or entity has sole or shared voting power or investment power and (2) any shares as to which the person or entity has the right to acquire beneficial ownership within 60 days after December 1, 2017. Each holder’s percentage</w:t>
      </w:r>
    </w:p>
    <w:p>
      <w:pPr>
        <w:spacing w:after="0" w:line="2" w:lineRule="exact"/>
        <w:rPr>
          <w:sz w:val="20"/>
          <w:szCs w:val="20"/>
          <w:color w:val="auto"/>
        </w:rPr>
      </w:pPr>
    </w:p>
    <w:p>
      <w:pPr>
        <w:ind w:right="500"/>
        <w:spacing w:after="0" w:line="265" w:lineRule="auto"/>
        <w:rPr>
          <w:sz w:val="20"/>
          <w:szCs w:val="20"/>
          <w:color w:val="auto"/>
        </w:rPr>
      </w:pPr>
      <w:r>
        <w:rPr>
          <w:rFonts w:ascii="Arial" w:cs="Arial" w:eastAsia="Arial" w:hAnsi="Arial"/>
          <w:sz w:val="17"/>
          <w:szCs w:val="17"/>
          <w:color w:val="auto"/>
        </w:rPr>
        <w:t>ownership before this offering is based on shares of common stock outstanding as of December 1, 2017, after giving effect to the Corporate Conversion. Each holder’s percentage ownership after this offering is based on shares of common stock to be outstanding immediately after the</w:t>
      </w:r>
    </w:p>
    <w:p>
      <w:pPr>
        <w:spacing w:after="0"/>
        <w:rPr>
          <w:sz w:val="20"/>
          <w:szCs w:val="20"/>
          <w:color w:val="auto"/>
        </w:rPr>
      </w:pPr>
      <w:r>
        <w:rPr>
          <w:rFonts w:ascii="Arial" w:cs="Arial" w:eastAsia="Arial" w:hAnsi="Arial"/>
          <w:sz w:val="18"/>
          <w:szCs w:val="18"/>
          <w:color w:val="auto"/>
        </w:rPr>
        <w:t>consummation of this offering. The percentages assume no exercise by the underwriters of their option to purchase additional shares.</w:t>
      </w:r>
    </w:p>
    <w:p>
      <w:pPr>
        <w:spacing w:after="0" w:line="21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Unless otherwise indicated below, and subject to community property laws where applicable, to our knowledge, all persons named in the table have sole voting and investment power with respect to their shares of 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Number of Shares</w:t>
            </w: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Percentage of</w:t>
            </w: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Shares Beneficially</w:t>
            </w: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9"/>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Owned Before</w:t>
            </w: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1"/>
        </w:trPr>
        <w:tc>
          <w:tcPr>
            <w:tcW w:w="7320" w:type="dxa"/>
            <w:vAlign w:val="bottom"/>
            <w:gridSpan w:val="2"/>
            <w:vMerge w:val="continue"/>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Owned</w:t>
            </w: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Offering</w:t>
            </w: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6"/>
        </w:trPr>
        <w:tc>
          <w:tcPr>
            <w:tcW w:w="1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57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 xml:space="preserve">JPMC Strategic Investments II Corporation </w:t>
            </w:r>
            <w:r>
              <w:rPr>
                <w:rFonts w:ascii="Arial" w:cs="Arial" w:eastAsia="Arial" w:hAnsi="Arial"/>
                <w:sz w:val="15"/>
                <w:szCs w:val="15"/>
                <w:color w:val="auto"/>
              </w:rPr>
              <w:t>(1)</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Perceptive Life Sciences Master Fund LTD </w:t>
            </w:r>
            <w:r>
              <w:rPr>
                <w:rFonts w:ascii="Arial" w:cs="Arial" w:eastAsia="Arial" w:hAnsi="Arial"/>
                <w:sz w:val="15"/>
                <w:szCs w:val="15"/>
                <w:color w:val="auto"/>
              </w:rPr>
              <w:t>(2)</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 xml:space="preserve">BCLS SB Splitter, LP </w:t>
            </w:r>
            <w:r>
              <w:rPr>
                <w:rFonts w:ascii="Arial" w:cs="Arial" w:eastAsia="Arial" w:hAnsi="Arial"/>
                <w:sz w:val="15"/>
                <w:szCs w:val="15"/>
                <w:color w:val="auto"/>
              </w:rPr>
              <w:t>(3)</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Entities affiliated with RA Capital Management, LLC </w:t>
            </w:r>
            <w:r>
              <w:rPr>
                <w:rFonts w:ascii="Arial" w:cs="Arial" w:eastAsia="Arial" w:hAnsi="Arial"/>
                <w:sz w:val="15"/>
                <w:szCs w:val="15"/>
                <w:color w:val="auto"/>
              </w:rPr>
              <w:t>(4)</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 xml:space="preserve">Biogen New Ventures Inc. </w:t>
            </w:r>
            <w:r>
              <w:rPr>
                <w:rFonts w:ascii="Arial" w:cs="Arial" w:eastAsia="Arial" w:hAnsi="Arial"/>
                <w:sz w:val="15"/>
                <w:szCs w:val="15"/>
                <w:color w:val="auto"/>
              </w:rPr>
              <w:t>(5)</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 xml:space="preserve">Ilan Ganot </w:t>
            </w:r>
            <w:r>
              <w:rPr>
                <w:rFonts w:ascii="Arial" w:cs="Arial" w:eastAsia="Arial" w:hAnsi="Arial"/>
                <w:sz w:val="15"/>
                <w:szCs w:val="15"/>
                <w:color w:val="auto"/>
              </w:rPr>
              <w:t>(6)</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Gilad Hayeem </w:t>
            </w:r>
            <w:r>
              <w:rPr>
                <w:rFonts w:ascii="Arial" w:cs="Arial" w:eastAsia="Arial" w:hAnsi="Arial"/>
                <w:sz w:val="15"/>
                <w:szCs w:val="15"/>
                <w:color w:val="auto"/>
              </w:rPr>
              <w:t>(7)</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Alvaro Amorrortu</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Morris, Ph.D.</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Joel Schneider, Ph.D.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Jorge A. Quiroz, M.D.</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Jennifer Ziolkowski</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Andrey Zarur, Ph.D.</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Matthew Arnold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Huffines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 xml:space="preserve">Adam Koppel, M.D., Ph.D. </w:t>
            </w:r>
            <w:r>
              <w:rPr>
                <w:rFonts w:ascii="Arial" w:cs="Arial" w:eastAsia="Arial" w:hAnsi="Arial"/>
                <w:sz w:val="15"/>
                <w:szCs w:val="15"/>
                <w:color w:val="auto"/>
              </w:rPr>
              <w:t>(8)</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Rajeev Shah </w:t>
            </w:r>
            <w:r>
              <w:rPr>
                <w:rFonts w:ascii="Arial" w:cs="Arial" w:eastAsia="Arial" w:hAnsi="Arial"/>
                <w:sz w:val="15"/>
                <w:szCs w:val="15"/>
                <w:color w:val="auto"/>
              </w:rPr>
              <w:t>(4)</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 xml:space="preserve">Adam Stone </w:t>
            </w:r>
            <w:r>
              <w:rPr>
                <w:rFonts w:ascii="Arial" w:cs="Arial" w:eastAsia="Arial" w:hAnsi="Arial"/>
                <w:sz w:val="15"/>
                <w:szCs w:val="15"/>
                <w:color w:val="auto"/>
              </w:rPr>
              <w:t>(9)</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Lynne Sullivan</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(14 persons)</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right="160" w:hanging="452"/>
        <w:spacing w:after="0" w:line="277"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shares held by JPMC Strategic Investments II Corporation, or JPMC Strategic Investments. The address of JPMC Strategic Investments is 270 Park Avenue, New York, NY 10017.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40" w:val="left"/>
          <w:tab w:leader="none" w:pos="1860" w:val="left"/>
        </w:tabs>
        <w:rPr>
          <w:sz w:val="20"/>
          <w:szCs w:val="20"/>
          <w:color w:val="auto"/>
        </w:rPr>
      </w:pPr>
      <w:r>
        <w:rPr>
          <w:rFonts w:ascii="Arial" w:cs="Arial" w:eastAsia="Arial" w:hAnsi="Arial"/>
          <w:sz w:val="18"/>
          <w:szCs w:val="18"/>
          <w:color w:val="auto"/>
        </w:rPr>
        <w:t>(2)</w:t>
        <w:tab/>
        <w:t>Consists of</w:t>
      </w:r>
      <w:r>
        <w:rPr>
          <w:sz w:val="20"/>
          <w:szCs w:val="20"/>
          <w:color w:val="auto"/>
        </w:rPr>
        <w:tab/>
      </w:r>
      <w:r>
        <w:rPr>
          <w:rFonts w:ascii="Arial" w:cs="Arial" w:eastAsia="Arial" w:hAnsi="Arial"/>
          <w:sz w:val="16"/>
          <w:szCs w:val="16"/>
          <w:color w:val="auto"/>
        </w:rPr>
        <w:t>shares held by Perceptive Life Sciences Master Fund LTD, or Perceptive. Perceptive Advisors LLC is the advisor of Perceptive, and</w:t>
      </w:r>
    </w:p>
    <w:p>
      <w:pPr>
        <w:spacing w:after="0" w:line="23" w:lineRule="exact"/>
        <w:rPr>
          <w:sz w:val="20"/>
          <w:szCs w:val="20"/>
          <w:color w:val="auto"/>
        </w:rPr>
      </w:pPr>
    </w:p>
    <w:p>
      <w:pPr>
        <w:ind w:left="460" w:right="60"/>
        <w:spacing w:after="0" w:line="250" w:lineRule="auto"/>
        <w:rPr>
          <w:sz w:val="20"/>
          <w:szCs w:val="20"/>
          <w:color w:val="auto"/>
        </w:rPr>
      </w:pPr>
      <w:r>
        <w:rPr>
          <w:rFonts w:ascii="Arial" w:cs="Arial" w:eastAsia="Arial" w:hAnsi="Arial"/>
          <w:sz w:val="18"/>
          <w:szCs w:val="18"/>
          <w:color w:val="auto"/>
        </w:rPr>
        <w:t>Joseph Edelman is the managing member of Perceptive Advisors LLC. Perceptive Advisors LLC and Mr. Edelman may be deemed to beneficially own the shares held by Perceptive. The address of Perceptive is 51 Astor Place, 10th Floor, New York, NY 10003.</w:t>
      </w:r>
    </w:p>
    <w:p>
      <w:pPr>
        <w:spacing w:after="0" w:line="1" w:lineRule="exact"/>
        <w:rPr>
          <w:sz w:val="20"/>
          <w:szCs w:val="20"/>
          <w:color w:val="auto"/>
        </w:rPr>
      </w:pPr>
    </w:p>
    <w:p>
      <w:pPr>
        <w:ind w:left="460" w:right="100" w:hanging="452"/>
        <w:spacing w:after="0" w:line="281"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shares held by BCLS SB Splitter, LP (“BCLS”). The governance, investment strategy and decision-making process with respect to investments held by BCLS is directed by Bain Capital Life Sciences Investors, LLC, whose managers are Jeffrey Schwartz and Adam Koppel. As a result, each of Bain Capital Life Sciences Investors, LLC, Mr. Schwartz and Dr. Koppel may be deemed to share voting and dispositive power over the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held by BCLS. The address of BCLS is c/o Bain Capital Life Sciences, LP, 200 Clarendon Street, Boston, Massachusetts 02116.</w:t>
      </w:r>
    </w:p>
    <w:p>
      <w:pPr>
        <w:spacing w:after="0" w:line="9" w:lineRule="exact"/>
        <w:rPr>
          <w:sz w:val="20"/>
          <w:szCs w:val="20"/>
          <w:color w:val="auto"/>
        </w:rPr>
      </w:pPr>
    </w:p>
    <w:p>
      <w:pPr>
        <w:ind w:left="460" w:right="280" w:hanging="459"/>
        <w:spacing w:after="0" w:line="265" w:lineRule="auto"/>
        <w:tabs>
          <w:tab w:leader="none" w:pos="440" w:val="left"/>
        </w:tabs>
        <w:rPr>
          <w:sz w:val="20"/>
          <w:szCs w:val="20"/>
          <w:color w:val="auto"/>
        </w:rPr>
      </w:pPr>
      <w:r>
        <w:rPr>
          <w:rFonts w:ascii="Arial" w:cs="Arial" w:eastAsia="Arial" w:hAnsi="Arial"/>
          <w:sz w:val="17"/>
          <w:szCs w:val="17"/>
          <w:color w:val="auto"/>
        </w:rPr>
        <w:t>(4)</w:t>
        <w:tab/>
        <w:t>Consists of (a) shares held by RA Capital Healthcare Fund, L.P., or RA Capital Healthcare Fund, and (b) shares held by Blackwell Partners LLC—Series A, or Blackwell. RA Capital is the general partner of RA Capital Healthcare Fund and the investment advisor to Blackwell. Investment decisions with respect to the shares held by RA Capital Healthcare Fund and Blackwell are made by a portfolio management team at RA Capital of which Rajeev Shah, a member of our board of directors, is a member. Mr. Shah disclaims beneficial ownership of all shares held by RA Capital Healthcare Fund and Blackwell, except to the extent of his pecuniary interest therein. The address for each of RA Capital Healthcare Fund, Blackwell and RA Capital is 20 Park Plaza, Suite 1200, Boston, MA 02116.</w:t>
      </w:r>
    </w:p>
    <w:p>
      <w:pPr>
        <w:spacing w:after="0" w:line="1" w:lineRule="exact"/>
        <w:rPr>
          <w:sz w:val="20"/>
          <w:szCs w:val="20"/>
          <w:color w:val="auto"/>
        </w:rPr>
      </w:pPr>
    </w:p>
    <w:p>
      <w:pPr>
        <w:ind w:left="460" w:hanging="452"/>
        <w:spacing w:after="0" w:line="265"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shares held by Biogen New Ventures Inc., or Biogen New Ventures. Biogen New Ventures is a wholly owned subsidiary of Biogen MA Inc., which is a wholly owned subsidiary of Biogen Inc. The address of Biogen New Ventures is 250 Binney Street, Cambridge, MA 02142.</w:t>
      </w:r>
    </w:p>
    <w:tbl>
      <w:tblPr>
        <w:tblLayout w:type="fixed"/>
        <w:tblInd w:w="0" w:type="dxa"/>
        <w:tblCellMar>
          <w:top w:w="0" w:type="dxa"/>
          <w:left w:w="0" w:type="dxa"/>
          <w:bottom w:w="0" w:type="dxa"/>
          <w:right w:w="0" w:type="dxa"/>
        </w:tblCellMar>
      </w:tblPr>
      <w:tr>
        <w:trPr>
          <w:trHeight w:val="202"/>
        </w:trPr>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(6)</w:t>
            </w:r>
          </w:p>
        </w:tc>
        <w:tc>
          <w:tcPr>
            <w:tcW w:w="1640" w:type="dxa"/>
            <w:vAlign w:val="bottom"/>
          </w:tcPr>
          <w:p>
            <w:pPr>
              <w:ind w:left="120"/>
              <w:spacing w:after="0" w:line="202" w:lineRule="exact"/>
              <w:rPr>
                <w:sz w:val="20"/>
                <w:szCs w:val="20"/>
                <w:color w:val="auto"/>
              </w:rPr>
            </w:pPr>
            <w:r>
              <w:rPr>
                <w:rFonts w:ascii="Arial" w:cs="Arial" w:eastAsia="Arial" w:hAnsi="Arial"/>
                <w:sz w:val="18"/>
                <w:szCs w:val="18"/>
                <w:color w:val="auto"/>
              </w:rPr>
              <w:t>Consists of (a)</w:t>
            </w:r>
          </w:p>
        </w:tc>
        <w:tc>
          <w:tcPr>
            <w:tcW w:w="3840" w:type="dxa"/>
            <w:vAlign w:val="bottom"/>
          </w:tcPr>
          <w:p>
            <w:pPr>
              <w:ind w:left="60"/>
              <w:spacing w:after="0" w:line="202" w:lineRule="exact"/>
              <w:rPr>
                <w:sz w:val="20"/>
                <w:szCs w:val="20"/>
                <w:color w:val="auto"/>
              </w:rPr>
            </w:pPr>
            <w:r>
              <w:rPr>
                <w:rFonts w:ascii="Arial" w:cs="Arial" w:eastAsia="Arial" w:hAnsi="Arial"/>
                <w:sz w:val="18"/>
                <w:szCs w:val="18"/>
                <w:color w:val="auto"/>
              </w:rPr>
              <w:t>shares held by Mr. Ganot as an individual, (b)</w:t>
            </w:r>
          </w:p>
        </w:tc>
        <w:tc>
          <w:tcPr>
            <w:tcW w:w="5260" w:type="dxa"/>
            <w:vAlign w:val="bottom"/>
          </w:tcPr>
          <w:p>
            <w:pPr>
              <w:ind w:left="60"/>
              <w:spacing w:after="0" w:line="202" w:lineRule="exact"/>
              <w:rPr>
                <w:sz w:val="20"/>
                <w:szCs w:val="20"/>
                <w:color w:val="auto"/>
              </w:rPr>
            </w:pPr>
            <w:r>
              <w:rPr>
                <w:rFonts w:ascii="Arial" w:cs="Arial" w:eastAsia="Arial" w:hAnsi="Arial"/>
                <w:sz w:val="18"/>
                <w:szCs w:val="18"/>
                <w:color w:val="auto"/>
                <w:w w:val="94"/>
              </w:rPr>
              <w:t>shares held by Mr. Ganot and Ms. Ganot as joint tenants with right of</w:t>
            </w:r>
          </w:p>
        </w:tc>
      </w:tr>
      <w:tr>
        <w:trPr>
          <w:trHeight w:val="216"/>
        </w:trPr>
        <w:tc>
          <w:tcPr>
            <w:tcW w:w="340" w:type="dxa"/>
            <w:vAlign w:val="bottom"/>
          </w:tcPr>
          <w:p>
            <w:pPr>
              <w:spacing w:after="0"/>
              <w:rPr>
                <w:sz w:val="18"/>
                <w:szCs w:val="18"/>
                <w:color w:val="auto"/>
              </w:rPr>
            </w:pPr>
          </w:p>
        </w:tc>
        <w:tc>
          <w:tcPr>
            <w:tcW w:w="1640" w:type="dxa"/>
            <w:vAlign w:val="bottom"/>
          </w:tcPr>
          <w:p>
            <w:pPr>
              <w:ind w:left="120"/>
              <w:spacing w:after="0"/>
              <w:rPr>
                <w:sz w:val="20"/>
                <w:szCs w:val="20"/>
                <w:color w:val="auto"/>
              </w:rPr>
            </w:pPr>
            <w:r>
              <w:rPr>
                <w:rFonts w:ascii="Arial" w:cs="Arial" w:eastAsia="Arial" w:hAnsi="Arial"/>
                <w:sz w:val="18"/>
                <w:szCs w:val="18"/>
                <w:color w:val="auto"/>
                <w:w w:val="95"/>
              </w:rPr>
              <w:t>survivorship and (c)</w:t>
            </w:r>
          </w:p>
        </w:tc>
        <w:tc>
          <w:tcPr>
            <w:tcW w:w="9100" w:type="dxa"/>
            <w:vAlign w:val="bottom"/>
            <w:gridSpan w:val="2"/>
          </w:tcPr>
          <w:p>
            <w:pPr>
              <w:ind w:left="460"/>
              <w:spacing w:after="0"/>
              <w:rPr>
                <w:sz w:val="20"/>
                <w:szCs w:val="20"/>
                <w:color w:val="auto"/>
              </w:rPr>
            </w:pPr>
            <w:r>
              <w:rPr>
                <w:rFonts w:ascii="Arial" w:cs="Arial" w:eastAsia="Arial" w:hAnsi="Arial"/>
                <w:sz w:val="18"/>
                <w:szCs w:val="18"/>
                <w:color w:val="auto"/>
              </w:rPr>
              <w:t>shares held by Mr. Adam Ganot and Ms. Ganot, as trustees for the Ilan Ganot 2017 Irrevocable Trust.</w:t>
            </w:r>
          </w:p>
        </w:tc>
      </w:tr>
      <w:tr>
        <w:trPr>
          <w:trHeight w:val="230"/>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(7)</w:t>
            </w:r>
          </w:p>
        </w:tc>
        <w:tc>
          <w:tcPr>
            <w:tcW w:w="1640" w:type="dxa"/>
            <w:vAlign w:val="bottom"/>
          </w:tcPr>
          <w:p>
            <w:pPr>
              <w:ind w:left="120"/>
              <w:spacing w:after="0"/>
              <w:rPr>
                <w:sz w:val="20"/>
                <w:szCs w:val="20"/>
                <w:color w:val="auto"/>
              </w:rPr>
            </w:pPr>
            <w:r>
              <w:rPr>
                <w:rFonts w:ascii="Arial" w:cs="Arial" w:eastAsia="Arial" w:hAnsi="Arial"/>
                <w:sz w:val="18"/>
                <w:szCs w:val="18"/>
                <w:color w:val="auto"/>
              </w:rPr>
              <w:t>Consists of (a)</w:t>
            </w:r>
          </w:p>
        </w:tc>
        <w:tc>
          <w:tcPr>
            <w:tcW w:w="3840" w:type="dxa"/>
            <w:vAlign w:val="bottom"/>
          </w:tcPr>
          <w:p>
            <w:pPr>
              <w:ind w:left="60"/>
              <w:spacing w:after="0"/>
              <w:rPr>
                <w:sz w:val="20"/>
                <w:szCs w:val="20"/>
                <w:color w:val="auto"/>
              </w:rPr>
            </w:pPr>
            <w:r>
              <w:rPr>
                <w:rFonts w:ascii="Arial" w:cs="Arial" w:eastAsia="Arial" w:hAnsi="Arial"/>
                <w:sz w:val="18"/>
                <w:szCs w:val="18"/>
                <w:color w:val="auto"/>
                <w:w w:val="91"/>
              </w:rPr>
              <w:t>shares held by Mr. Hayeem as an individual and (b)</w:t>
            </w:r>
          </w:p>
        </w:tc>
        <w:tc>
          <w:tcPr>
            <w:tcW w:w="5260" w:type="dxa"/>
            <w:vAlign w:val="bottom"/>
          </w:tcPr>
          <w:p>
            <w:pPr>
              <w:ind w:left="480"/>
              <w:spacing w:after="0"/>
              <w:rPr>
                <w:sz w:val="20"/>
                <w:szCs w:val="20"/>
                <w:color w:val="auto"/>
              </w:rPr>
            </w:pPr>
            <w:r>
              <w:rPr>
                <w:rFonts w:ascii="Arial" w:cs="Arial" w:eastAsia="Arial" w:hAnsi="Arial"/>
                <w:sz w:val="18"/>
                <w:szCs w:val="18"/>
                <w:color w:val="auto"/>
                <w:w w:val="90"/>
              </w:rPr>
              <w:t>shares held by the Gilad Hayeem Grantor Retained Annuity Trust.</w:t>
            </w:r>
          </w:p>
        </w:tc>
      </w:tr>
    </w:tbl>
    <w:p>
      <w:pPr>
        <w:ind w:left="460" w:right="220" w:hanging="452"/>
        <w:spacing w:after="0" w:line="250"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shares held by BCLS. Dr. Koppel is a manager of Bain Capital Life Sciences Investors, LLC and as a result, by virtue of the relationships described in footnote (3) above, may be deemed to share beneficial ownership of the shares held by BCLS. The address of Dr. Koppel is c/o Bain Capital Life Sciences, LP, 200 Clarendon Street, Boston, Massachusetts 02116.</w:t>
      </w:r>
    </w:p>
    <w:p>
      <w:pPr>
        <w:spacing w:after="0" w:line="1" w:lineRule="exact"/>
        <w:rPr>
          <w:rFonts w:ascii="Arial" w:cs="Arial" w:eastAsia="Arial" w:hAnsi="Arial"/>
          <w:sz w:val="18"/>
          <w:szCs w:val="18"/>
          <w:color w:val="auto"/>
        </w:rPr>
      </w:pPr>
    </w:p>
    <w:p>
      <w:pPr>
        <w:jc w:val="both"/>
        <w:ind w:left="460" w:right="160" w:hanging="452"/>
        <w:spacing w:after="0" w:line="255"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shares held by Perceptive. Mr. Stone is Chief Investment Officer of Perceptive Advisors LLC and may be deemed to beneficially own the shares held by Perceptive. Mr. Stone disclaims any beneficial ownership of such shares in which he does not have a pecuniary interest. The address of Mr. Stone is 51 Astor Place, 10th Floor, New York, NY 10003.</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i w:val="1"/>
          <w:iCs w:val="1"/>
          <w:color w:val="auto"/>
        </w:rPr>
        <w:t>The following description is intended as a summary of our certificate of incorporation (which we refer to as our “charter”) and our bylaws, each of which will become effective prior to the effectiveness of the registration statement of which this prospectus forms a part and which will be filed as exhibits to the registration statement of which this prospectus forms a part, and to the applicable provisions of the Delaware General Corporation Law. The description of our common stock and preferred stock reflects the completion of the Corporate Conversion. Because the following is only a summary, it does not contain all of the information that may be important to you. For a complete description, you should refer to our charter and bylaws.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charter authorizes 300,000,000 shares of common stock, $0.001 par value per share, and 10,000,000 shares of preferred stock, $0.001 per value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211"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As of September 30, 2017, after giving effect to the Series 2 Preferred Financing and the Corporate Conversion, there were shares of our common stock outstanding (including shares of restricted common stock) and approximately stockholders of record. No shares of our preferred stock are designated, issued or outstanding.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outstanding shares of common stock are, and the shares of common stock to be issued in this offering will be, fully paid and nonassessable.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460"/>
        <w:spacing w:after="0"/>
        <w:tabs>
          <w:tab w:leader="none" w:pos="8500" w:val="left"/>
        </w:tabs>
        <w:rPr>
          <w:sz w:val="20"/>
          <w:szCs w:val="20"/>
          <w:color w:val="auto"/>
        </w:rPr>
      </w:pPr>
      <w:r>
        <w:rPr>
          <w:rFonts w:ascii="Arial" w:cs="Arial" w:eastAsia="Arial" w:hAnsi="Arial"/>
          <w:sz w:val="18"/>
          <w:szCs w:val="18"/>
          <w:color w:val="auto"/>
        </w:rPr>
        <w:t>Our board of directors will have the authority, without further action by our stockholders, to issue up to</w:t>
      </w:r>
      <w:r>
        <w:rPr>
          <w:sz w:val="20"/>
          <w:szCs w:val="20"/>
          <w:color w:val="auto"/>
        </w:rPr>
        <w:tab/>
      </w:r>
      <w:r>
        <w:rPr>
          <w:rFonts w:ascii="Arial" w:cs="Arial" w:eastAsia="Arial" w:hAnsi="Arial"/>
          <w:sz w:val="16"/>
          <w:szCs w:val="16"/>
          <w:color w:val="auto"/>
        </w:rPr>
        <w:t>shares of preferred stock in one or more</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series and to fix the rights, preferences, privileges and restrictions thereof. These rights, preferences and privileges could include dividend rights, conversion rights, voting rights, terms of redemption, liquidation preferences and sinking fund terms,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are party to the Registration Rights Agreement, dated March 29, 2017, with certain of our stockholders, or the Investors. The Registration Rights Agreement provides for demand and piggyback registration rights for the Investors. All expenses of registration (other than underwriting discounts and commissions) under the Registration Rights Agreement will be borne by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Beginning six months after the date of this prospectus, the Investors are entitled to demand registration rights. Under the terms of the Registration Rights Agreement, we will be required, upon the written request of Investors holding at least 20% of the securities eligible for registration then outstanding, to file a registration statement and use our best efforts to effect as soon as practicable the registration of such shares. We are required to effect only two demand registrations pursuant to the Registration Rights Agreement. However, if we become eligible to register the sale of securities on Form S-3 under the Securities Act, the Investors have the right to demand unlimited registrations under the Registration Rights Agreement (but not to exceed two registrations on Form S-3 in any calendar year) provided that the securities for sale on Form S-3 have an aggregate price to the public of $2.0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we register any of our equity securities either for our own account or for the account of other security holders, the Investors are entitled to piggyback registration rights and may include their shares in the registration. The underwriters may advise us to limit the number of shares included in any underwritten offering to the number of shares which we and the underwriters determine in our sole discretion will not jeopardize the success of the offering. If this occurs, the aggregate number of securities held by the Investors that may be included in the underwriting shall be allocated among all requesting Investors in proportion to the amount of securities sought to be sold by each Investor.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Indemnification</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Under the Registration Rights Agreement, we will be responsible, subject to certain exceptions, for the expenses of any registration of securities pursuant to the agreement, other than underwriting discounts and commissions.</w:t>
      </w:r>
    </w:p>
    <w:p>
      <w:pPr>
        <w:spacing w:after="0" w:line="17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Registration Rights Agreement contains customary cross-indemnification provisions, under which we are obligated to indemnify the Investors in the event of material misstatements or omissions in the registration statement or any violation of the Securities Act, Exchange Act, state securities law or any rule or regulation promulgated thereunder attributable to us, and they are obligated to indemnify us, severally and not jointly, for material misstatements, omissions or any violation of the Securities Act, Exchange Act, state securities law or any rule or regulation promulgated thereunder attributable to them.</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demand registration rights and the piggyback registration rights granted under the Registration Rights Agreement will terminate, with respect to each Investor, as of the date when all registrable securities held by and issued to such Investor may be sold under Rule 144 under the Securities Act, provided such Investor owns less than 1% of the outstanding common stock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charter, our bylaws and Delaware law</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Some provisions of Delaware law, our charter and our bylaws, contain provisions that could have the effect of delaying, deterring or preventing another party from acquiring or seeking to acquire control of us through the use of the following: acquisition of us by means of a tender offer; acquisition of us by means of a proxy contest or otherwise; or removal of our incumbent officers and directors. These provisions may delay, deter or prevent a change in control or other takeover of our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provisions are intended to discourage certain types of coercive takeover practices and inadequate takeover bids and to encourage anyone seeking to acquire control of us to negotiate first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and bylaws provisions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charter and our bylaws, include a number of provisions that could deter hostile takeovers or delay or prevent changes in control of our company, including the following:</w:t>
      </w:r>
    </w:p>
    <w:p>
      <w:pPr>
        <w:spacing w:after="0" w:line="76" w:lineRule="exact"/>
        <w:rPr>
          <w:sz w:val="20"/>
          <w:szCs w:val="20"/>
          <w:color w:val="auto"/>
        </w:rPr>
      </w:pPr>
    </w:p>
    <w:p>
      <w:pPr>
        <w:ind w:left="900" w:hanging="325"/>
        <w:spacing w:after="0" w:line="25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Board of Directors Vacancies: </w:t>
      </w:r>
      <w:r>
        <w:rPr>
          <w:rFonts w:ascii="Arial" w:cs="Arial" w:eastAsia="Arial" w:hAnsi="Arial"/>
          <w:sz w:val="18"/>
          <w:szCs w:val="18"/>
          <w:color w:val="auto"/>
        </w:rPr>
        <w:t>Our charter and bylaws authorize only our board of directors to fill vacant directorships, including newly created</w:t>
      </w:r>
      <w:r>
        <w:rPr>
          <w:rFonts w:ascii="Arial" w:cs="Arial" w:eastAsia="Arial" w:hAnsi="Arial"/>
          <w:sz w:val="18"/>
          <w:szCs w:val="18"/>
          <w:i w:val="1"/>
          <w:iCs w:val="1"/>
          <w:color w:val="auto"/>
        </w:rPr>
        <w:t xml:space="preserve"> </w:t>
      </w:r>
      <w:r>
        <w:rPr>
          <w:rFonts w:ascii="Arial" w:cs="Arial" w:eastAsia="Arial" w:hAnsi="Arial"/>
          <w:sz w:val="18"/>
          <w:szCs w:val="18"/>
          <w:color w:val="auto"/>
        </w:rPr>
        <w:t>seats. In addition, the number of directors constituting our board of directors may only be set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93"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charter and bylaws provide that our board of directors will be classified into three classes of directors, each with staggered</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terms. A third party may be discouraged from making a tender offer or otherwise attempting to obtain control of us as it is more difficult and time consuming for stockholders to replace a majority of the directors on a classified board of directors. See “Management— Composition of the board of directors.”</w:t>
      </w:r>
    </w:p>
    <w:p>
      <w:pPr>
        <w:spacing w:after="0" w:line="92" w:lineRule="exact"/>
        <w:rPr>
          <w:rFonts w:ascii="Arial" w:cs="Arial" w:eastAsia="Arial" w:hAnsi="Arial"/>
          <w:sz w:val="18"/>
          <w:szCs w:val="18"/>
          <w:color w:val="auto"/>
        </w:rPr>
      </w:pPr>
    </w:p>
    <w:p>
      <w:pPr>
        <w:ind w:left="900" w:right="40" w:hanging="325"/>
        <w:spacing w:after="0" w:line="255"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Meetings of Stockholders: </w:t>
      </w:r>
      <w:r>
        <w:rPr>
          <w:rFonts w:ascii="Arial" w:cs="Arial" w:eastAsia="Arial" w:hAnsi="Arial"/>
          <w:sz w:val="18"/>
          <w:szCs w:val="18"/>
          <w:color w:val="auto"/>
        </w:rPr>
        <w:t>Our charter provides that our stockholders may not take action by written consent, but</w:t>
      </w:r>
      <w:r>
        <w:rPr>
          <w:rFonts w:ascii="Arial" w:cs="Arial" w:eastAsia="Arial" w:hAnsi="Arial"/>
          <w:sz w:val="18"/>
          <w:szCs w:val="18"/>
          <w:i w:val="1"/>
          <w:iCs w:val="1"/>
          <w:color w:val="auto"/>
        </w:rPr>
        <w:t xml:space="preserve"> </w:t>
      </w:r>
      <w:r>
        <w:rPr>
          <w:rFonts w:ascii="Arial" w:cs="Arial" w:eastAsia="Arial" w:hAnsi="Arial"/>
          <w:sz w:val="18"/>
          <w:szCs w:val="18"/>
          <w:color w:val="auto"/>
        </w:rPr>
        <w:t>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bylaws and charter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5"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bylaws provide advance notice procedures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bring matters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4" w:lineRule="exact"/>
        <w:rPr>
          <w:rFonts w:ascii="Arial" w:cs="Arial" w:eastAsia="Arial" w:hAnsi="Arial"/>
          <w:sz w:val="18"/>
          <w:szCs w:val="18"/>
          <w:color w:val="auto"/>
        </w:rPr>
      </w:pPr>
    </w:p>
    <w:p>
      <w:pPr>
        <w:ind w:left="900" w:right="80" w:hanging="325"/>
        <w:spacing w:after="0" w:line="293"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Supermajority Voting: </w:t>
      </w:r>
      <w:r>
        <w:rPr>
          <w:rFonts w:ascii="Arial" w:cs="Arial" w:eastAsia="Arial" w:hAnsi="Arial"/>
          <w:sz w:val="16"/>
          <w:szCs w:val="16"/>
          <w:color w:val="auto"/>
        </w:rPr>
        <w:t>The Delaware General Corporation Law, or the DGCL, provides, generally, that the affirmative vote of a majority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two-thirds of the votes that all our stockholders would be entitled to cast in an annual election of directors. In addition, the affirmative vote of the holders of at least two-thirds of the votes that all our stockholders would be entitled to cast in an election of directors is required to amend or repeal or to adopt certain provisions of our charter.</w:t>
      </w:r>
    </w:p>
    <w:p>
      <w:pPr>
        <w:spacing w:after="0" w:line="70" w:lineRule="exact"/>
        <w:rPr>
          <w:rFonts w:ascii="Arial" w:cs="Arial" w:eastAsia="Arial" w:hAnsi="Arial"/>
          <w:sz w:val="16"/>
          <w:szCs w:val="16"/>
          <w:color w:val="auto"/>
        </w:rPr>
      </w:pPr>
    </w:p>
    <w:p>
      <w:pPr>
        <w:ind w:left="900" w:right="200" w:hanging="325"/>
        <w:spacing w:after="0" w:line="308"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No Cumulative Voting: </w:t>
      </w:r>
      <w:r>
        <w:rPr>
          <w:rFonts w:ascii="Arial" w:cs="Arial" w:eastAsia="Arial" w:hAnsi="Arial"/>
          <w:sz w:val="17"/>
          <w:szCs w:val="17"/>
          <w:color w:val="auto"/>
        </w:rPr>
        <w:t>The DGCL provides that stockholders are not entitled to the right to cumulate votes in the election of directors unless 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certificate of incorporation provides otherwise. Our charter does not provide for cumulative voting.</w:t>
      </w:r>
    </w:p>
    <w:p>
      <w:pPr>
        <w:spacing w:after="0" w:line="51" w:lineRule="exact"/>
        <w:rPr>
          <w:rFonts w:ascii="Arial" w:cs="Arial" w:eastAsia="Arial" w:hAnsi="Arial"/>
          <w:sz w:val="17"/>
          <w:szCs w:val="17"/>
          <w:color w:val="auto"/>
        </w:rPr>
      </w:pPr>
    </w:p>
    <w:p>
      <w:pPr>
        <w:ind w:left="900" w:right="24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Removal of Directors Only for Cause: </w:t>
      </w:r>
      <w:r>
        <w:rPr>
          <w:rFonts w:ascii="Arial" w:cs="Arial" w:eastAsia="Arial" w:hAnsi="Arial"/>
          <w:sz w:val="18"/>
          <w:szCs w:val="18"/>
          <w:color w:val="auto"/>
        </w:rPr>
        <w:t>Our charter provides that stockholders may remove directors only for cause and only by the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the holders of at least two-thirds of our outstanding common stock.</w:t>
      </w:r>
    </w:p>
    <w:p>
      <w:pPr>
        <w:spacing w:after="0" w:line="75"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Exclusive Forum: </w:t>
      </w:r>
      <w:r>
        <w:rPr>
          <w:rFonts w:ascii="Arial" w:cs="Arial" w:eastAsia="Arial" w:hAnsi="Arial"/>
          <w:sz w:val="18"/>
          <w:szCs w:val="18"/>
          <w:color w:val="auto"/>
        </w:rPr>
        <w:t>Our charter provides that the Court of Chancery of the State of Delaware will be the exclusive forum for: any derivative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or proceeding brought on our behalf; any action asserting a breach of fiduciary duty; any action asserting a claim against us arising pursuant to the DGCL, our charter or our bylaws; any action to interpret, apply, enforce or determine the validity of our charter or our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DGCL Section 203 prohibits a publicly 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900" w:right="26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hanging="325"/>
        <w:spacing w:after="0" w:line="276"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two-thirds of the outstanding voting stock that is not owned by the interested stockholder.</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indemnification of officers and directors and insurance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charter and bylaws contain provisions that limit the liability of our directors for monetary damages to the fullest extent permitted by Delaware law.</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under the symbol “SLDB.”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transfer agent and registrar for the shares of our common stock will be Computershare Trust Company, N.A. The transfer agent and registrar’s address is 250 Royall Street, Canton, MA 02021.</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Prior to this offering, there has been no public market for our common stock and a liquid trading market for our common stock may not develop or be sustained after this offering. Future sales of our common stock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consummation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 Although we have applied to list our common stock on the NASDAQ Global Market under the symbol “SLDB,” we cannot assure you that there will be an active public market for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Based on the number of shares of our common stock outstanding as of September 30, 2017, after giving effect to the Series 2 Preferred Financing and the Corporate Conversion, upon the closing of this offering and assuming no exercise of the underwriters’ option to purchase additional shares of common</w:t>
      </w:r>
    </w:p>
    <w:p>
      <w:pPr>
        <w:ind w:right="40"/>
        <w:spacing w:after="0" w:line="268" w:lineRule="auto"/>
        <w:rPr>
          <w:sz w:val="20"/>
          <w:szCs w:val="20"/>
          <w:color w:val="auto"/>
        </w:rPr>
      </w:pPr>
      <w:r>
        <w:rPr>
          <w:rFonts w:ascii="Arial" w:cs="Arial" w:eastAsia="Arial" w:hAnsi="Arial"/>
          <w:sz w:val="17"/>
          <w:szCs w:val="17"/>
          <w:color w:val="auto"/>
        </w:rPr>
        <w:t>stock, we will have outstanding an aggregate of approximately shares of common stock. Of these shares, all of the shares of common stock to be sold in this offering, and any shares sold upon exercise of the underwriters’ option to purchase additional shares, will be freely tradable in the public market without restriction or further registration under the Securities Act, unless the shares are held by any of our “affiliates” as such term is defined in Rule 144 of the Securities Act. All remaining shares of common stock held by existing stockholders immediately prior to the consummation of this offering will be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 As a result of the contractual 180-day lock-up period described below and the provisions of Rule 144 and 701 of the Securities Act, the restricted securities will be available for sale in the public markets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Available for Sale</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Shares Eligible for</w:t>
            </w:r>
          </w:p>
        </w:tc>
        <w:tc>
          <w:tcPr>
            <w:tcW w:w="536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4360" w:type="dxa"/>
            <w:vAlign w:val="bottom"/>
            <w:gridSpan w:val="2"/>
            <w:vMerge w:val="continue"/>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Sale</w:t>
            </w:r>
          </w:p>
        </w:tc>
        <w:tc>
          <w:tcPr>
            <w:tcW w:w="5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Date of Prospectus</w:t>
            </w:r>
          </w:p>
        </w:tc>
        <w:tc>
          <w:tcPr>
            <w:tcW w:w="294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Shares sold in the offering and shares saleable under Rule 144 that are not</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subject to a lock-up</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90 Days after Date of Prospectus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0"/>
              </w:rPr>
              <w:t>Shares saleable under Rules 144 and 701 that are not subject to a lock-up</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180 Days after Date of Prospectus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Lock-up released; shares saleable under Rules 144 and 701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owner other than “affiliates,” then such person is entitled to sell such shares in the public market without complying with any of the requirements of Rule 144 (subject to the lock-up agreement referred to below,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including the holding period of any prior owner other than one of our “affiliates,” are entitled to sell in the public market, upon expiration of any applicable lock-up agreements and within any three-month period, a number of those shares of our common stock that does not exceed the greater of:</w:t>
      </w:r>
    </w:p>
    <w:p>
      <w:pPr>
        <w:sectPr>
          <w:pgSz w:w="11900" w:h="16838" w:orient="portrait"/>
          <w:cols w:equalWidth="0" w:num="1">
            <w:col w:w="11400"/>
          </w:cols>
          <w:pgMar w:left="240" w:top="459" w:right="259" w:bottom="1440" w:gutter="0" w:footer="0" w:header="0"/>
        </w:sectPr>
      </w:pPr>
    </w:p>
    <w:p>
      <w:pPr>
        <w:spacing w:after="0" w:line="9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1% of the number of common shares then outstanding, which will equal approximately shares of common stock immediately after this offering (calculated assuming no exercise of the underwriters’ option to purchase additional shares and no exercise of outstanding options or warrants); or</w:t>
      </w:r>
    </w:p>
    <w:p>
      <w:pPr>
        <w:spacing w:after="0" w:line="87" w:lineRule="exact"/>
        <w:rPr>
          <w:sz w:val="20"/>
          <w:szCs w:val="20"/>
          <w:color w:val="auto"/>
        </w:rPr>
      </w:pPr>
    </w:p>
    <w:p>
      <w:pPr>
        <w:sectPr>
          <w:pgSz w:w="11900" w:h="16838" w:orient="portrait"/>
          <w:cols w:equalWidth="0" w:num="2">
            <w:col w:w="640" w:space="260"/>
            <w:col w:w="10500"/>
          </w:cols>
          <w:pgMar w:left="240" w:top="459" w:right="25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average weekly trading volume of our common stock on the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during the four calendar weeks preceding the filing of a notice on Form</w:t>
      </w:r>
    </w:p>
    <w:p>
      <w:pPr>
        <w:spacing w:after="0" w:line="463" w:lineRule="exact"/>
        <w:rPr>
          <w:sz w:val="20"/>
          <w:szCs w:val="20"/>
          <w:color w:val="auto"/>
        </w:rPr>
      </w:pPr>
    </w:p>
    <w:p>
      <w:pPr>
        <w:sectPr>
          <w:pgSz w:w="11900" w:h="16838" w:orient="portrait"/>
          <w:cols w:equalWidth="0" w:num="3">
            <w:col w:w="640" w:space="260"/>
            <w:col w:w="4600" w:space="540"/>
            <w:col w:w="5360"/>
          </w:cols>
          <w:pgMar w:left="240" w:top="459" w:right="259" w:bottom="1440" w:gutter="0" w:footer="0" w:header="0"/>
          <w:type w:val="continuous"/>
        </w:sectPr>
      </w:pPr>
    </w:p>
    <w:p>
      <w:pPr>
        <w:jc w:val="both"/>
        <w:ind w:firstLine="456"/>
        <w:spacing w:after="0" w:line="279"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board of directors and stockholders previously adopted the Existing Plan. In connection with this offering, our board of directors and stockholders intend to adopt the 2018 Plan. For a description of our Existing Plan and 2018 Plan, see “Compensation of our executive officers and directors—Equity incentive plans.”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this offering, we intend to file a registration statement on Form S-8 under the Securities Act to register the total number of shares of</w:t>
      </w:r>
    </w:p>
    <w:p>
      <w:pPr>
        <w:spacing w:after="0" w:line="46"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our common stock that may be issued under our 2018 Plan. That registration statement will become effective upon filing, and shares of our common stock covered by such registration statement are eligible for sale in the public market immediately after the effective date of such registration statement, subject to Rule 144 volume limitations applicable to affiliates, vesting restrictions and the lock-up agreements described below.</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7120" w:val="left"/>
        </w:tabs>
        <w:rPr>
          <w:sz w:val="20"/>
          <w:szCs w:val="20"/>
          <w:color w:val="auto"/>
        </w:rPr>
      </w:pPr>
      <w:r>
        <w:rPr>
          <w:rFonts w:ascii="Arial" w:cs="Arial" w:eastAsia="Arial" w:hAnsi="Arial"/>
          <w:sz w:val="18"/>
          <w:szCs w:val="18"/>
          <w:color w:val="auto"/>
        </w:rPr>
        <w:t>Beginning six months after the date of this prospectus, the holders of approximately</w:t>
      </w:r>
      <w:r>
        <w:rPr>
          <w:sz w:val="20"/>
          <w:szCs w:val="20"/>
          <w:color w:val="auto"/>
        </w:rPr>
        <w:tab/>
      </w:r>
      <w:r>
        <w:rPr>
          <w:rFonts w:ascii="Arial" w:cs="Arial" w:eastAsia="Arial" w:hAnsi="Arial"/>
          <w:sz w:val="16"/>
          <w:szCs w:val="16"/>
          <w:color w:val="auto"/>
        </w:rPr>
        <w:t>shares of our common stock will, after the expiration of the</w:t>
      </w:r>
    </w:p>
    <w:p>
      <w:pPr>
        <w:spacing w:after="0" w:line="23"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lock-up period, be entitled to certain rights with respect to the registration of the offer and sale of those shares under the Securities Act. For a description of these registration rights, please see the section titled “Description of capital stock—Registration rights.” If the offer and sale of these shares are registered, they will be freely tradable without restriction under the Securities Act.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connection with this offering, we, our officers and directors, and certain of our existing security holders have agreed that, for a period of 180 days from the date of this prospectus, we and they will not, without the prior written consent of J.P. Morgan Securities LLC, Goldman Sachs &amp; Co. LLC and Leerink Partners LLC, dispose of or hedge any shares or any securities convertible into or exchangeable for our common stock, subject to certain exceptions. J.P. Morgan Securities LLC, Goldman Sachs &amp; Co. LLC and Leerink Partners LLC in their sole discretion may release any of the securities subject to these lock-up agreements at any time. If the restrictions under the lock-up agreements are waived, shares of our common stock may become available for resale into the market, subject to applicable law, which could reduce the market price for our common stock. See “Underwriting.”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This discussion does not purport to be a complete analysis of all potential tax effects to non-U.S. holders of our common stock. The effects of other U.S. federal tax laws, such as estate and gift tax laws, and any applicable state, local or foreign tax laws are not included in this discussion, and non-U.S. holders should consult their own tax advisors as to these matters. This discussion is based on the Code, Treasury Regulations promulgated thereunder, judicial decisions and published rulings and administrative pronouncements of the Internal Revenue Service, or the IRS, in effect as of the date of this prospectus. These authorities may change or be subject to differing interpretations. Any such change may be applied retroactively in a manner that could adversely affect a non-U.S. holder of our common stock. We have not sought and will not seek any rulings from the IRS regarding the matters discussed below. There can be no assurance that the IRS or a court will not take a contrary position regarding the tax consequences of the purchase, ownership and disposition of our common stock.</w:t>
      </w:r>
    </w:p>
    <w:p>
      <w:pPr>
        <w:spacing w:after="0" w:line="18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unearned income Medicare contribution tax and the alternative minimum tax rules. In addition, it does not address consequences relevant to non-U.S. holders subject to particular rules, including, without limitation:</w:t>
      </w:r>
    </w:p>
    <w:p>
      <w:pPr>
        <w:spacing w:after="0" w:line="92"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partnership (or other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own tax advisors regarding the U.S. federal income tax consequences to them.</w:t>
      </w:r>
    </w:p>
    <w:p>
      <w:pPr>
        <w:spacing w:after="0" w:line="183"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THIS DISCUSSION IS FOR INFORMATION PURPOSES ONLY AND IS NOT INTENDED AS TAX ADVICE. INVESTORS SHOULD CONSULT THEIR OWN TAX ADVISORS WITH RESPECT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color w:val="auto"/>
        </w:rPr>
        <w:t>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discussion, a “non-U.S. holder” is any beneficial owner of our common stock that is neither a “U.S. person” nor a partnership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federal income tax purposes. A U.S. person is any of the following:</w:t>
      </w:r>
    </w:p>
    <w:p>
      <w:pPr>
        <w:spacing w:after="0" w:line="116"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900" w:right="480" w:hanging="325"/>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U.S. court and the control of one or more U.S. persons (within the meaning of Section 7701(a)(30) of the Code), or (ii) has made a valid election under applicable Treasury Regulations to continue to be treated as a U.S. person.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As described in the section of this prospectus captioned “Dividend policy,” we do not anticipate making distributions to holders of our common stock in the foreseeable future.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do, however, make distributions on our common stock, such distributions of cash or property on our common stock (other than certain pro rata distributions of our stock) generally will constitute dividends for U.S. federal income tax purposes to the extent paid from our current or accumulated earnings and profits, as determined under U.S. federal income tax principles.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Subject to the discussion below regarding backup withholding and payments made to certain foreign accounts, dividends paid to a non-U.S. holder of our common stock that are not effectively connected with the non-U.S. holder’s conduct of a trade or business within the United States will generally be subject to U.S. federal withholding tax at a rate of 30% of the gross amount of the dividends (or such lower rate as may be specified by an applicable income tax treaty).</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Amounts not treated as dividends for U.S. federal income tax purposes will first constitute a return of capital and be applied against and reduce a non-U.S. holder’s adjusted tax basis in its common stock, but not below zero. Any excess will be treated as capital gain and will be treated as described below in the section relating to the sale or other taxable disposition of the common stock.</w:t>
      </w:r>
    </w:p>
    <w:p>
      <w:pPr>
        <w:spacing w:after="0" w:line="18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Non-U.S. holders may be entitled to a reduction in or an exemption from withholding on dividends as a result of either (i) qualifying for the benefits of an applicable income tax treaty or (ii) holding our common stock in connection with the conduct of a trade or business within the United States and receiving the dividends in connection with that trade or business. To claim such a reduction in or exemption from withholding, the non-U.S. holder must provide the applicable withholding agent with a properly executed (a) IRS Form W-8BEN or W-8BEN-E (or applicable successor form) claiming an exemption from or reduction of the withholding tax under the benefit of an applicable income tax treaty, (b) IRS Form W-8ECI (or applicable successor form) stating that the dividends are effectively connected with the conduct by the non-U.S. holder of a trade or business within the United States, or (c) a suitable substitute form, as may be applicable. These certifications must be provided to the applicable withholding agent prior to the payment of dividends and must be updated periodically. Non-U.S.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holders that do not timely provide the applicable withholding agent with the required certification, but that qualify for a reduced rate or exemption under an applicable income tax treaty, may obtain a refund of any excess amounts withheld by timely filing an appropriate claim for refund with the IRS.</w:t>
      </w:r>
    </w:p>
    <w:p>
      <w:pPr>
        <w:spacing w:after="0" w:line="124" w:lineRule="exact"/>
        <w:rPr>
          <w:sz w:val="20"/>
          <w:szCs w:val="20"/>
          <w:color w:val="auto"/>
        </w:rPr>
      </w:pPr>
    </w:p>
    <w:p>
      <w:pPr>
        <w:ind w:right="180" w:firstLine="456"/>
        <w:spacing w:after="0" w:line="270" w:lineRule="auto"/>
        <w:rPr>
          <w:sz w:val="20"/>
          <w:szCs w:val="20"/>
          <w:color w:val="auto"/>
        </w:rPr>
      </w:pPr>
      <w:r>
        <w:rPr>
          <w:rFonts w:ascii="Arial" w:cs="Arial" w:eastAsia="Arial" w:hAnsi="Arial"/>
          <w:sz w:val="17"/>
          <w:szCs w:val="17"/>
          <w:color w:val="auto"/>
        </w:rPr>
        <w:t>Subject to the discussion below regarding backup withholding and payments made to certain foreign accounts, 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then, although exempt from withholding of U.S. federal income tax (provided the non-U.S. holder provides appropriate certification, as described above), the non-U.S. holder will be subject to U.S. federal income tax on such dividends on a net income basis at the regular graduated U.S. federal income tax rates. In addition, a non-U.S. holder that is or is treated as a corporation for U.S. federal income tax purposes may be subject to an additional branch profits tax at a rate of 30% (or such lower rate specified by an applicable income tax treaty) on its effectively connected earnings and profits for the taxable year that are attributable to such dividends, as adjusted for certain items. Non-U.S. holders should consult their own tax advisors regarding their entitlement to benefits under any applicable income tax treaty.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 below regarding backup withholding and payments made to certain foreign accounts, a non-U.S. holder will not be subject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federal income tax on any gain realized upon the sale or other taxable disposition of our common stock unless:</w:t>
      </w:r>
    </w:p>
    <w:p>
      <w:pPr>
        <w:spacing w:after="0" w:line="116" w:lineRule="exact"/>
        <w:rPr>
          <w:sz w:val="20"/>
          <w:szCs w:val="20"/>
          <w:color w:val="auto"/>
        </w:rPr>
      </w:pPr>
    </w:p>
    <w:p>
      <w:pPr>
        <w:ind w:left="900" w:right="260" w:hanging="325"/>
        <w:spacing w:after="0" w:line="34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9" w:lineRule="exact"/>
        <w:rPr>
          <w:rFonts w:ascii="Arial" w:cs="Arial" w:eastAsia="Arial" w:hAnsi="Arial"/>
          <w:sz w:val="16"/>
          <w:szCs w:val="16"/>
          <w:color w:val="auto"/>
        </w:rPr>
      </w:pPr>
    </w:p>
    <w:p>
      <w:pPr>
        <w:ind w:left="900" w:right="10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within the meaning of Section 897 of the Code by reason of our status as a U.S. real property holding corporation, or USRPHC, for U.S. federal income tax purposes.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Gain described in the first bullet point above will generally be subject to U.S. federal income tax on a net income basis at the regular graduated U.S. federal income tax rates. A non-U.S. holder that is a foreign corporation also may be subject to an additional branch profits tax at a rate of 30% (or such lower rate specified by an applicable income tax treaty) on a portion of its effectively connected earnings and profits for the taxable year that are attributable to such gain, as adjusted for certain items.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as may be specified by an applicable income tax treaty) on any gain derived from the sale or other taxable disposition, which (even though the individual is not considered a resident of the United States) may be offset by certain U.S. source capital losses of the non-U.S. holder provided the non-U.S. holder timely files U.S. federal income tax returns with respect to such losses.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third bullet point above, we believe we are not currently, and do not anticipate that we will become, a USRPHC.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Non-U.S. holders should consult their own tax advisors regarding potentially applicable income tax treaties that may provide for different rules.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non-U.S. holder generally will not be subject to backup withholding with respect to payments of dividends on our common stock we make to the non-U.S. holder, provided the applicable withholding agent does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 have actual knowledge or reason to know such holder is a U.S. person and the holder certifies its non-U.S. status by providing a valid IRS Form W-8BEN, W-8BEN-E or W-8ECI, or other applicable certification (or applicable successor form), or otherwise establishes an exemption. However, information returns will be filed with the IRS in connection with any dividends on our common stock paid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w:t>
      </w:r>
    </w:p>
    <w:p>
      <w:pPr>
        <w:spacing w:after="0" w:line="18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Information reporting and backup withholding may apply to the proceeds of a sale of our common stock within the United States, and information reporting may (although backup withholding will generally not) apply to the proceeds of a sale or other taxable disposition of our common stock outside the United States conducted through certain U.S.-related financial intermediaries, in each case, unless the beneficial owner certifies under penalty of perjury that it is a non-U.S. person on IRS Form W-8BEN, W-8BEN-E, W-8ECI or other applicable form or successor form (and the payer does not have actual knowledge or reason to know that the beneficial owner is a U.S. person) or otherwise establishes an exemption.</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Withholding taxes may be imposed under the provisions of the law generally known as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U.S. owners” (as defined in the Code)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undertakes to identify accounts held by certain “specified U.S. persons” or “U.S.-owned foreign entities” (each as defined in the Code), annually reports certain information about such accounts and withholds 30% on payments to non-compliant foreign financial institutions and certain other account holders. An intergovernmental agreement between the United States and an applicable foreign country, or future Treasury Regulations or other guidance, may modify these requirements. Accordingly, the entity through which our common stock is held will affect the determination of whether such withholding is required.</w:t>
      </w:r>
    </w:p>
    <w:p>
      <w:pPr>
        <w:spacing w:after="0" w:line="18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Under the applicable Treasury Regulations and recent guidance from the IRS, withholding under FATCA generally applies to payments of dividends on our common stock, and will apply to payments of gross proceeds from the sale or other disposition of our common stock on or after January 1, 2019, and to certain “passthru” payments made on or after the later of January 1, 2019 and the date final Treasury Regulations are issued defining such passthru payments. 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We will not pay additional amounts to holders of our common stock in respect of any amounts withheld.</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Prospective investors should consult their own tax advisors regarding the potential application of withholding under FATCA to their investment in our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are offering the shares of common stock described in this prospectus through a number of underwriters. J.P. Morgan Securities LLC, Goldman Sachs &amp; Co. LLC and Leerink Partners LLC are acting as book-running managers of the offering and as representatives of the underwriters. We have entered into an underwriting agreement with the representatives.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3980" w:type="dxa"/>
            <w:vAlign w:val="bottom"/>
          </w:tcPr>
          <w:p>
            <w:pPr>
              <w:jc w:val="center"/>
              <w:ind w:left="324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3"/>
        </w:trPr>
        <w:tc>
          <w:tcPr>
            <w:tcW w:w="3680" w:type="dxa"/>
            <w:vAlign w:val="bottom"/>
            <w:vMerge w:val="continue"/>
          </w:tcPr>
          <w:p>
            <w:pPr>
              <w:spacing w:after="0"/>
              <w:rPr>
                <w:sz w:val="15"/>
                <w:szCs w:val="15"/>
                <w:color w:val="auto"/>
              </w:rPr>
            </w:pPr>
          </w:p>
        </w:tc>
        <w:tc>
          <w:tcPr>
            <w:tcW w:w="3980" w:type="dxa"/>
            <w:vAlign w:val="bottom"/>
          </w:tcPr>
          <w:p>
            <w:pPr>
              <w:jc w:val="center"/>
              <w:ind w:left="324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J.P. Morgan Securities LLC</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Nomura Securities International,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14605</wp:posOffset>
            </wp:positionV>
            <wp:extent cx="4629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31750</wp:posOffset>
            </wp:positionV>
            <wp:extent cx="4629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59"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The underwriters are committed to purchase all the common shares offered by us if they purchase any shares. The underwriting agreement also</w:t>
      </w:r>
    </w:p>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provides that if an underwriter defaults, the purchase commitments of non-defaulting underwriters may also be increased or the offering may be terminated.</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propose to offer the common shares directly to the public at the initial public offering price set forth on the cover page of this</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the offering price and other selling terms may be changed by the underwriters. Sales of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16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underwriters have an option to buy up to additional shares of common stock from us to cover sales of shares by the underwriters that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underwriting fee is equal to the public offering price per share of common stock less the amount paid by the underwriters to us per share of</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Without</w:t>
            </w:r>
          </w:p>
        </w:tc>
        <w:tc>
          <w:tcPr>
            <w:tcW w:w="1100" w:type="dxa"/>
            <w:vAlign w:val="bottom"/>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With full</w:t>
            </w:r>
          </w:p>
        </w:tc>
      </w:tr>
      <w:tr>
        <w:trPr>
          <w:trHeight w:val="149"/>
        </w:trPr>
        <w:tc>
          <w:tcPr>
            <w:tcW w:w="70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 to purchase</w:t>
            </w:r>
          </w:p>
        </w:tc>
        <w:tc>
          <w:tcPr>
            <w:tcW w:w="1100" w:type="dxa"/>
            <w:vAlign w:val="bottom"/>
          </w:tcPr>
          <w:p>
            <w:pPr>
              <w:spacing w:after="0"/>
              <w:rPr>
                <w:sz w:val="12"/>
                <w:szCs w:val="12"/>
                <w:color w:val="auto"/>
              </w:rPr>
            </w:pP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 to purchase</w:t>
            </w:r>
          </w:p>
        </w:tc>
      </w:tr>
      <w:tr>
        <w:trPr>
          <w:trHeight w:val="149"/>
        </w:trPr>
        <w:tc>
          <w:tcPr>
            <w:tcW w:w="70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additional shares</w:t>
            </w:r>
          </w:p>
        </w:tc>
        <w:tc>
          <w:tcPr>
            <w:tcW w:w="1100" w:type="dxa"/>
            <w:vAlign w:val="bottom"/>
          </w:tcPr>
          <w:p>
            <w:pPr>
              <w:spacing w:after="0"/>
              <w:rPr>
                <w:sz w:val="12"/>
                <w:szCs w:val="12"/>
                <w:color w:val="auto"/>
              </w:rPr>
            </w:pP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additional shares</w:t>
            </w:r>
          </w:p>
        </w:tc>
      </w:tr>
      <w:tr>
        <w:trPr>
          <w:trHeight w:val="171"/>
        </w:trPr>
        <w:tc>
          <w:tcPr>
            <w:tcW w:w="70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exercise</w:t>
            </w:r>
          </w:p>
        </w:tc>
        <w:tc>
          <w:tcPr>
            <w:tcW w:w="110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exercise</w:t>
            </w: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140" w:type="dxa"/>
            <w:vAlign w:val="bottom"/>
            <w:tcBorders>
              <w:top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ind w:right="987"/>
              <w:spacing w:after="0"/>
              <w:rPr>
                <w:sz w:val="20"/>
                <w:szCs w:val="20"/>
                <w:color w:val="auto"/>
              </w:rPr>
            </w:pPr>
            <w:r>
              <w:rPr>
                <w:rFonts w:ascii="Arial" w:cs="Arial" w:eastAsia="Arial" w:hAnsi="Arial"/>
                <w:sz w:val="15"/>
                <w:szCs w:val="15"/>
                <w:color w:val="auto"/>
                <w:w w:val="71"/>
              </w:rPr>
              <w:t>$</w:t>
            </w:r>
          </w:p>
        </w:tc>
        <w:tc>
          <w:tcPr>
            <w:tcW w:w="2240" w:type="dxa"/>
            <w:vAlign w:val="bottom"/>
            <w:gridSpan w:val="2"/>
          </w:tcPr>
          <w:p>
            <w:pPr>
              <w:jc w:val="right"/>
              <w:ind w:right="98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 We have agreed to reimburse the underwriters for expenses of up to $50,000 related to clearance of this offering with FINRA.</w:t>
      </w:r>
    </w:p>
    <w:p>
      <w:pPr>
        <w:spacing w:after="0" w:line="22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this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have agreed that we will not (i) offer, pledge, sell, contract to sell, sell any option or contract to purchase, purchase any option or contract to sell, grant any option, right or warrant to purchase or otherwise dispose of, directly or indirectly, or file or confidentially submit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Goldman Sachs &amp; Co. LLC and Leerink Partners LLC for a period of 180 days after the date of this prospectus, subject to certain exceptions including, (i) any shares of our common stock to be sold in this offering, (ii) any shares of our common stock issued upon the exercise of options granted under equity compensation plans described in this prospectus, (iii) upon the exercise of any warrant or option or the conversion of the units outstanding as of the date of the this prospectus, (iv) up to 5% of our outstanding securities issued in connection with mergers, acquisitions, licenses or commercial collaboration or strategic transactions, or (v) the filing of a registration statement on Form S-8 (or a successor form) relating to an equity compensation plan described in this prospectus.</w:t>
      </w:r>
    </w:p>
    <w:p>
      <w:pPr>
        <w:spacing w:after="0" w:line="169"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Our directors, executive officers and stockholders representing in the aggregate of our outstanding common stock have entered into lock-up agreements with the underwriters prior to the commencement of this offering pursuant to which each of these persons or entities, with limited exceptions, for a period of 180 days after the date of this prospectus, or the restricted period, may not, without the prior written consent of J.P. Morgan Securities LLC, Goldman Sachs &amp; Co. LLC and Leerink Partners LLC,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that may be deemed to be beneficially owned by such directors, executive officers and stockholders in accordance with the rules and regulations of the SEC and securities that may be issued upon exercise of a stock option or warrant) or publicly disclose the intention to make any offer, sale, pledge or disposition,</w:t>
      </w:r>
    </w:p>
    <w:p>
      <w:pPr>
        <w:spacing w:after="0" w:line="1" w:lineRule="exact"/>
        <w:rPr>
          <w:sz w:val="20"/>
          <w:szCs w:val="20"/>
          <w:color w:val="auto"/>
        </w:rPr>
      </w:pPr>
    </w:p>
    <w:p>
      <w:pPr>
        <w:ind w:firstLine="8"/>
        <w:spacing w:after="0" w:line="273" w:lineRule="auto"/>
        <w:tabs>
          <w:tab w:leader="none" w:pos="255" w:val="left"/>
        </w:tabs>
        <w:numPr>
          <w:ilvl w:val="0"/>
          <w:numId w:val="94"/>
        </w:numPr>
        <w:rPr>
          <w:rFonts w:ascii="Arial" w:cs="Arial" w:eastAsia="Arial" w:hAnsi="Arial"/>
          <w:sz w:val="17"/>
          <w:szCs w:val="17"/>
          <w:color w:val="auto"/>
        </w:rPr>
      </w:pPr>
      <w:r>
        <w:rPr>
          <w:rFonts w:ascii="Arial" w:cs="Arial" w:eastAsia="Arial" w:hAnsi="Arial"/>
          <w:sz w:val="17"/>
          <w:szCs w:val="17"/>
          <w:color w:val="auto"/>
        </w:rPr>
        <w:t>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in each case, subject to certain exceptions, including:</w:t>
      </w:r>
    </w:p>
    <w:p>
      <w:pPr>
        <w:spacing w:after="0" w:line="176" w:lineRule="exact"/>
        <w:rPr>
          <w:rFonts w:ascii="Arial" w:cs="Arial" w:eastAsia="Arial" w:hAnsi="Arial"/>
          <w:sz w:val="17"/>
          <w:szCs w:val="17"/>
          <w:color w:val="auto"/>
        </w:rPr>
      </w:pPr>
    </w:p>
    <w:p>
      <w:pPr>
        <w:ind w:right="80" w:firstLine="464"/>
        <w:spacing w:after="0" w:line="277" w:lineRule="auto"/>
        <w:tabs>
          <w:tab w:leader="none" w:pos="751" w:val="left"/>
        </w:tabs>
        <w:numPr>
          <w:ilvl w:val="1"/>
          <w:numId w:val="94"/>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purchased in this offering (provided that the seller is not an officer or director of ours) or in open market transactions during the restricted period,</w:t>
      </w:r>
    </w:p>
    <w:p>
      <w:pPr>
        <w:spacing w:after="0" w:line="170" w:lineRule="exact"/>
        <w:rPr>
          <w:rFonts w:ascii="Arial" w:cs="Arial" w:eastAsia="Arial" w:hAnsi="Arial"/>
          <w:sz w:val="18"/>
          <w:szCs w:val="18"/>
          <w:color w:val="auto"/>
        </w:rPr>
      </w:pPr>
    </w:p>
    <w:p>
      <w:pPr>
        <w:ind w:right="100" w:firstLine="464"/>
        <w:spacing w:after="0" w:line="259" w:lineRule="auto"/>
        <w:tabs>
          <w:tab w:leader="none" w:pos="741"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exercise, including by “net” exercise, so long as exercised in accordance with clauses (C) and (D) below, of any options or warrants to acquire shares of common stock or the conversion of any convertible security into common stock described in this prospectus, or issued pursuant to an equity plan described in this prospectus, it being understood that any shares of common stock received shall be subject to the restrictions on transfer set forth in the lock-up agreements,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64"/>
        <w:spacing w:after="0" w:line="277" w:lineRule="auto"/>
        <w:tabs>
          <w:tab w:leader="none" w:pos="74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sale or transfer us of such number of shares of common stock acquired in connection with the exercise of options or warrants on a “net” exercise basis described in the foregoing clause,</w:t>
      </w:r>
    </w:p>
    <w:p>
      <w:pPr>
        <w:spacing w:after="0" w:line="170" w:lineRule="exact"/>
        <w:rPr>
          <w:rFonts w:ascii="Arial" w:cs="Arial" w:eastAsia="Arial" w:hAnsi="Arial"/>
          <w:sz w:val="18"/>
          <w:szCs w:val="18"/>
          <w:color w:val="auto"/>
        </w:rPr>
      </w:pPr>
    </w:p>
    <w:p>
      <w:pPr>
        <w:ind w:right="100" w:firstLine="464"/>
        <w:spacing w:after="0" w:line="277" w:lineRule="auto"/>
        <w:tabs>
          <w:tab w:leader="none" w:pos="75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sale or transfer us of such number of shares of common stock necessary to generate only such amount of cash needed for the payment of taxes (including estimated taxes) due as a result of the exercise of such options or warrant described in clause (B),</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transfers of shares of common stock as a bona fide gift or gifts or pursuant to a negotiated divorce settlement,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transfers pursuant to a qualified domestic relations order,</w:t>
      </w:r>
    </w:p>
    <w:p>
      <w:pPr>
        <w:spacing w:after="0" w:line="225" w:lineRule="exact"/>
        <w:rPr>
          <w:rFonts w:ascii="Arial" w:cs="Arial" w:eastAsia="Arial" w:hAnsi="Arial"/>
          <w:sz w:val="18"/>
          <w:szCs w:val="18"/>
          <w:color w:val="auto"/>
        </w:rPr>
      </w:pPr>
    </w:p>
    <w:p>
      <w:pPr>
        <w:ind w:right="500" w:firstLine="464"/>
        <w:spacing w:after="0" w:line="277" w:lineRule="auto"/>
        <w:tabs>
          <w:tab w:leader="none" w:pos="751"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distributions or transfers of shares of common stock or other securities to subsidiaries, limited or general partners, members, stockholders or affiliates of, or any investment fund or other entity that controls or manages, the transferor,</w:t>
      </w:r>
    </w:p>
    <w:p>
      <w:pPr>
        <w:spacing w:after="0" w:line="170" w:lineRule="exact"/>
        <w:rPr>
          <w:rFonts w:ascii="Arial" w:cs="Arial" w:eastAsia="Arial" w:hAnsi="Arial"/>
          <w:sz w:val="18"/>
          <w:szCs w:val="18"/>
          <w:color w:val="auto"/>
        </w:rPr>
      </w:pPr>
    </w:p>
    <w:p>
      <w:pPr>
        <w:ind w:right="40" w:firstLine="464"/>
        <w:spacing w:after="0" w:line="302" w:lineRule="auto"/>
        <w:tabs>
          <w:tab w:leader="none" w:pos="751" w:val="left"/>
        </w:tabs>
        <w:numPr>
          <w:ilvl w:val="0"/>
          <w:numId w:val="95"/>
        </w:numPr>
        <w:rPr>
          <w:rFonts w:ascii="Arial" w:cs="Arial" w:eastAsia="Arial" w:hAnsi="Arial"/>
          <w:sz w:val="16"/>
          <w:szCs w:val="16"/>
          <w:color w:val="auto"/>
        </w:rPr>
      </w:pPr>
      <w:r>
        <w:rPr>
          <w:rFonts w:ascii="Arial" w:cs="Arial" w:eastAsia="Arial" w:hAnsi="Arial"/>
          <w:sz w:val="16"/>
          <w:szCs w:val="16"/>
          <w:color w:val="auto"/>
        </w:rPr>
        <w:t>transfers of shares of common stock or other securities to any immediate family member, trusts for the direct or indirect benefit of the transferor or the immediate family members of the transferor or any of their successors upon death, or any partnerships or limited liability company, the partners or members of which consist of or are for the direct or indirect benefit of the transferor and/or immediate family members or other dependents of the transferor, (for these purposes, “immediate family” means any relationship by blood, marriage or adoption, not more remote than first cousin),</w:t>
      </w:r>
    </w:p>
    <w:p>
      <w:pPr>
        <w:spacing w:after="0" w:line="154" w:lineRule="exact"/>
        <w:rPr>
          <w:rFonts w:ascii="Arial" w:cs="Arial" w:eastAsia="Arial" w:hAnsi="Arial"/>
          <w:sz w:val="16"/>
          <w:szCs w:val="16"/>
          <w:color w:val="auto"/>
        </w:rPr>
      </w:pPr>
    </w:p>
    <w:p>
      <w:pPr>
        <w:ind w:right="40" w:firstLine="464"/>
        <w:spacing w:after="0" w:line="277" w:lineRule="auto"/>
        <w:tabs>
          <w:tab w:leader="none" w:pos="68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transfers of shares of common stock or other securities by will, other testamentary document or intestate succession to the legal representative, heir, beneficiary or a member of the immediate family of the transferor in a transaction not involving a disposition for value,</w:t>
      </w:r>
    </w:p>
    <w:p>
      <w:pPr>
        <w:spacing w:after="0" w:line="170" w:lineRule="exact"/>
        <w:rPr>
          <w:rFonts w:ascii="Arial" w:cs="Arial" w:eastAsia="Arial" w:hAnsi="Arial"/>
          <w:sz w:val="18"/>
          <w:szCs w:val="18"/>
          <w:color w:val="auto"/>
        </w:rPr>
      </w:pPr>
    </w:p>
    <w:p>
      <w:pPr>
        <w:jc w:val="both"/>
        <w:ind w:right="240" w:firstLine="464"/>
        <w:spacing w:after="0" w:line="312" w:lineRule="auto"/>
        <w:tabs>
          <w:tab w:leader="none" w:pos="691"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forfeiture, sale or other transfer to us of any shares of common stock or other securities in connection with the termination of the transferor’s employment with or services to the company, provided that no public announcement reporting a reduction in the beneficial ownership shall be voluntarily made, and any required announcement, including any announcement under the Exchange Act, shall clearly indicate the reason for such reduction, or</w:t>
      </w:r>
    </w:p>
    <w:p>
      <w:pPr>
        <w:spacing w:after="0" w:line="146" w:lineRule="exact"/>
        <w:rPr>
          <w:rFonts w:ascii="Arial" w:cs="Arial" w:eastAsia="Arial" w:hAnsi="Arial"/>
          <w:sz w:val="16"/>
          <w:szCs w:val="16"/>
          <w:color w:val="auto"/>
        </w:rPr>
      </w:pPr>
    </w:p>
    <w:p>
      <w:pPr>
        <w:ind w:firstLine="464"/>
        <w:spacing w:after="0" w:line="264" w:lineRule="auto"/>
        <w:tabs>
          <w:tab w:leader="none" w:pos="751"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exchange of common or preferred units of the company into shares of common stock in connection with the consummation of the Corporate Conversion, it being understood that any such shares of common stock received upon such exchange shall be subject to the restrictions on transfer set forth in the lock-up agreement;</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provided that in the case of any transfer or distribution pursuant to clauses (E), (G), (H) and (I), each donee, distributee or transferee shall execute and deliver to J.P. Morgan Securities LLC, Goldman Sachs &amp; Co. LLC and Leerink Partners LLC a lock-up letter in the form of this paragraph; and provided, further, that in the case of any transfer or distribution pursuant to clauses (A) through (E) and (G) through (I), no filing by any party (donor, donee, transferor or transferee) under the Exchange Act or other public announcement reporting a reduction in the beneficial ownership shall be required or shall be made voluntarily in connection with such transfer or distribution (other than a filing on a Form 5 or 13F filing made after the expiration of the restricted period and any required Schedule 13G (or 13G/A)).</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lock-up agreements will not apply to the establishment of a trading plan by any director, executive officer or stockholder pursuant to Rule 10b5-1 under the Exchange Act for the transfer of shares of common stock, provided that such plan does not provide for the transfer of common stock during the restricted period referred to above and no public announcement or filing under the Exchange Act, if any, is required of or is voluntarily made by or on behalf of such director, executive officer or stockholder or us regarding such plan.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60"/>
          </w:cols>
          <w:pgMar w:left="240" w:top="459"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lock-up agreements will not apply to any transfers, sales, tenders or other dispositions of common stock or any security convertible into or exercisable or exchangeable for common stock pursuant to a bona fide third-party tender offer, merger, amalgamation, consolidation or other similar transaction made to or involving all holders of the common stock or such other securities pursuant to a change of control of our ownership (including, without limitation, the entry into any lock-up, voting or similar agreement pursuant to which such directors, executive officers and stockholders may agree to transfer, sell, tender or otherwise dispose of common stock or other such securities in favor of any such transaction); provided that if such tender offer, merger, amalgamation, consolidation or other similar transaction is not completed, any common stock or any security convertible into or exercisable or exchangeable for common stock subject to this lock-up agreement shall remain subject to the restrictions contained in this lock-up agreement.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under the symbol “SLDB.”</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8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7"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7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An affiliate of J.P. Morgan Securities LLC, an underwriter in this offering, owns in excess of 10% of our issued and outstanding common stock. Under the Rules of FINRA, J.P. Morgan Securities LLC is deemed to have a conflict of interest with us and accordingly, this offering is being made in compliance with the requirements of Rule 5121 of FINRA. In accordance with this rule, Goldman Sachs &amp; Co. LLC has assumed the responsibilities of acting as</w:t>
      </w:r>
    </w:p>
    <w:p>
      <w:pPr>
        <w:spacing w:after="0" w:line="273" w:lineRule="auto"/>
        <w:rPr>
          <w:sz w:val="20"/>
          <w:szCs w:val="20"/>
          <w:color w:val="auto"/>
        </w:rPr>
      </w:pPr>
      <w:r>
        <w:rPr>
          <w:rFonts w:ascii="Arial" w:cs="Arial" w:eastAsia="Arial" w:hAnsi="Arial"/>
          <w:sz w:val="17"/>
          <w:szCs w:val="17"/>
          <w:color w:val="auto"/>
        </w:rPr>
        <w:t>a qualified independent underwriter. In its role as qualified independent underwriter, Goldman Sachs &amp; Co. LLC has participated in due diligence and the preparation of this prospectus and the registration statement of which this prospectus is a part. Goldman Sachs &amp; Co. LLC will not receive any additional fees for serving as a qualified independent underwriter in connection with this offering. J.P. Morgan Securities LLC will not confirm sales of the shares to any account over which it exercises discretionary authority without the prior written approval of the customer.</w:t>
      </w:r>
    </w:p>
    <w:p>
      <w:pPr>
        <w:spacing w:after="0" w:line="17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w:t>
      </w:r>
    </w:p>
    <w:p>
      <w:pPr>
        <w:spacing w:after="0" w:line="18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respective affiliates, officers, directors and employees may effect transactions for their own account or the account of customers, and hold on behalf of themselves or their customers, long or short positions in our debt or equity securities or loans, and may do so in the future.</w:t>
      </w:r>
    </w:p>
    <w:p>
      <w:pPr>
        <w:spacing w:after="0" w:line="15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One of our directors is an employee of J.P. Morgan Securities LLC, an underwriter participating in this offering. See also “Certain Relationships and Related-Person Transactions—Limited liability company agreement of Solid Biosciences, LLC.”</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underwriters and their respective affiliates may also communicate independent investment recommendations, market color or trading ideas and/or publish or express independent research views in respect of the company’s securities and may at any time hold, or recommend to clients that they should acquire, long and/or short positions in the company’s securities.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57" w:lineRule="exact"/>
        <w:rPr>
          <w:sz w:val="20"/>
          <w:szCs w:val="20"/>
          <w:color w:val="auto"/>
        </w:rPr>
      </w:pPr>
    </w:p>
    <w:p>
      <w:pPr>
        <w:ind w:left="700" w:hanging="236"/>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225" w:lineRule="exact"/>
        <w:rPr>
          <w:rFonts w:ascii="Arial" w:cs="Arial" w:eastAsia="Arial" w:hAnsi="Arial"/>
          <w:sz w:val="18"/>
          <w:szCs w:val="18"/>
          <w:color w:val="auto"/>
        </w:rPr>
      </w:pPr>
    </w:p>
    <w:p>
      <w:pPr>
        <w:ind w:right="500" w:firstLine="464"/>
        <w:spacing w:after="0" w:line="277" w:lineRule="auto"/>
        <w:tabs>
          <w:tab w:leader="none" w:pos="7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provided that no such offer of shares of our common stock shall result in a requirement for the publication by us or any underwriter of a prospectus pursuant to Article 3 of the Prospectus Directive.</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and the expression “Prospectus Directive” means Directive 2003/71/EC (as amended), including by Directive 2010/73/EU, and includes any relevant implementing measure in the Relevant Member State.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representatives are not required to comply with the disclosure requirements of NI 33-105 regarding underwriter conflicts of interest in connection with this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This document is only being distributed to and is only directed at (i) persons who are outside the United Kingdom or (ii) to investment professionals falling within Article 19(5) of the Financial Services and Markets Act 2000 (Financial Promotion) Order 2005, or the Order, or (iii) high net worth entities, and other persons to whom it may lawfully be communicated, falling with Article 49(2)(a) to (d) of the Order (all such persons together being referred to as “relevant persons”). The securities are only available to, and any invitation, offer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agreement to subscribe, purchase or otherwise acquire such securities will be engaged in only with, relevant persons. Any person who is not a relevant person should not act or rely on this document or any of its contents.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 Neither this document nor any other offering or marketing material relating to this offering, the Company, the shares has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shares may not be offered or sold by means of any document other than (i) in circumstances that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in this prospectus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Proskauer Rose LLP will pass upon the validity of the shares of common stock offered hereby for us. The underwriters are represented by Davis Polk &amp; Wardwell LLP.</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financial statements as of December 31, 2015 and 2016 and for each of the two years in the period ended December 31, 2016 included in this prospectus have been so included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our public accounting firm</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September 2016, we dismissed Katz, Nannis + Solomon, P.C., or KN+S, as our independent accountants. The decision to dismiss KN+S as our independent registered public accounting firm was approved by the board of managers of Solid Biosciences, LLC.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KN+S had reported on our consolidated financial statements as of and for the year ended December 31, 2015.</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report of KN+S on our 2015 consolidated financial statements did not contain any adverse opinion or disclaimer of opinion, nor was such report qualified or modified as to uncertainty, audit scope or accounting principles.</w:t>
      </w:r>
    </w:p>
    <w:p>
      <w:pPr>
        <w:spacing w:after="0" w:line="170"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During the year ended December 31, 2015 and through the date of dismissal, there were no disagreements between us and KN+S on any matter of accounting principles or practices, financial statement disclosure or auditing scope or procedure, which disagreement, if not resolved to the satisfaction of KN+S, would have caused it to make reference to the subject matter of the disagreement in connection with its reports.</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None of the reportable events described under Item 304(a)(1)(v) of Regulation S-K occurred during the years ended December 31, 2015 and through the date of dismissal of KN+S.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engaged PricewaterhouseCoopers LLP, or PwC, as our independent registered public accounting firm on March 6, 2017 to audit our consolidated financial statements as of and for the years ended December 31, 2015 and 2016.</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our year ended December 31, 2015 and in the subsequent interim period through March 31, 2017, other than in the normal course of the audit, neither we nor anyone on our behalf consulted with PwC regarding either: (i) the application of accounting principles to a specified transaction, either completed or proposed, or the type of audit opinion that might be rendered on our financial statements, and neither a written report was provided to us or oral advice was provided to us that PwC concluded was an important factor considered by us in reaching a decision as to the accounting, auditing or financial reporting issue; or (ii) any matter that was either the subject of a disagreement or reportable event as defined in Regulation S-K, Item 304(a)(1)(iv) and Item 304(a)(1)(v), respectively.</w:t>
      </w:r>
    </w:p>
    <w:p>
      <w:pPr>
        <w:spacing w:after="0" w:line="19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delivered a copy of this disclosure to KN+S and requested that they furnish us a letter addressed to the SEC stating whether they agree with the above statements. In their letter to the SEC dated July 24, 2017, attached as Exhibit 16.1 to the registration statement of which this prospectus forms a part, KN+S states that they agree with the statements above concerning their firm.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being offered by this prospectus. This prospectus, which constitutes part of that registration statement, does not contain all of the information set forth in the registration statement or the exhibits and schedules that are part of the registration statement. Some items included in the registration statement are omitted from the prospectus in accordance with the rules and regulations of the SEC. For further information with respect to us and the common stock offered in this prospectus, we refer you to the registration statement and the accompanying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6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A copy of the registration statement and the accompanying exhibits and any other document we file may be inspected without charge at the public reference facilities maintained by the SEC at 100 F Street, N.E., Washington, D.C. 20549 and copies of all or any part of the registration statement may be obtained from that office upon the payment of the fees prescribed by the SEC. The public may obtain information on the operation of the public reference facilities in Washington, D.C. by calling the SEC at 1-800-SEC-0330. Our filings with the SEC are available to the public from the SEC’s website at www.sec.gov.</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the completion of this offering, we will be subject to the information and periodic reporting requirements of the Exchange Act and, in accordance therewith, we will file proxy statements, periodic information and other information with the SEC. All documents filed with the SEC are available for inspection and copying at the public reference room and website of the SEC referred to above. We maintain a website at www.solidbio.com. You may access our reports, proxy statements and other information free of charge at this website as soon as reasonably practicable after such material is electronically filed with, or furnished to, the SEC. The information contained in, or that can be accessed through, our website is not incorporated by reference and is not a part of this prospectus.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8"/>
            <w:vMerge w:val="restart"/>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8"/>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66">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8"/>
                <w:szCs w:val="18"/>
                <w:color w:val="auto"/>
              </w:rPr>
            </w:pPr>
          </w:p>
        </w:tc>
        <w:tc>
          <w:tcPr>
            <w:tcW w:w="6840" w:type="dxa"/>
            <w:vAlign w:val="bottom"/>
            <w:gridSpan w:val="2"/>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1060" w:type="dxa"/>
            <w:vAlign w:val="bottom"/>
            <w:gridSpan w:val="8"/>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Consolidated Statements of Operations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8"/>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Consolidated Statements of Comprehensive Loss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8"/>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Consolidated Statements of Redeemable Preferred Units and Members’ Deficit</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Consolidated Statements of Cash Flows</w:t>
              </w:r>
            </w:hyperlink>
          </w:p>
        </w:tc>
        <w:tc>
          <w:tcPr>
            <w:tcW w:w="2820" w:type="dxa"/>
            <w:vAlign w:val="bottom"/>
            <w:tcBorders>
              <w:top w:val="single" w:sz="8" w:color="0000EE"/>
            </w:tcBorders>
            <w:gridSpan w:val="4"/>
          </w:tcPr>
          <w:p>
            <w:pPr>
              <w:spacing w:after="0"/>
              <w:rPr>
                <w:sz w:val="17"/>
                <w:szCs w:val="17"/>
                <w:color w:val="auto"/>
              </w:rPr>
            </w:pPr>
          </w:p>
        </w:tc>
        <w:tc>
          <w:tcPr>
            <w:tcW w:w="53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11060" w:type="dxa"/>
            <w:vAlign w:val="bottom"/>
            <w:gridSpan w:val="8"/>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Notes to Consolidated Financial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40" w:type="dxa"/>
            <w:vAlign w:val="bottom"/>
            <w:gridSpan w:val="2"/>
          </w:tcPr>
          <w:p>
            <w:pPr>
              <w:ind w:left="136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Unitholders and Board of Managers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Solid Biosciences, LLC</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comprehensive loss, of redeemable preferred units and members’ deficit and of cash flows present fairly, in all material respects, the financial position of Solid Biosciences, LLC and its subsidiaries as of December 31, 2016 and 2015, and the results of their operations and their cash flows for the years then ended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from operations since inception, has an accumulated deficit, and will require additional financing to fund future operations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and per unit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Actual</w:t>
            </w:r>
          </w:p>
        </w:tc>
        <w:tc>
          <w:tcPr>
            <w:tcW w:w="72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spacing w:after="0" w:line="162" w:lineRule="exact"/>
              <w:rPr>
                <w:sz w:val="20"/>
                <w:szCs w:val="20"/>
                <w:color w:val="auto"/>
              </w:rPr>
            </w:pPr>
            <w:r>
              <w:rPr>
                <w:rFonts w:ascii="Arial" w:cs="Arial" w:eastAsia="Arial" w:hAnsi="Arial"/>
                <w:sz w:val="15"/>
                <w:szCs w:val="15"/>
                <w:color w:val="auto"/>
              </w:rPr>
              <w:t>Current assets: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Cash and cash equivalents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28,595</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7,678</w:t>
            </w:r>
          </w:p>
        </w:tc>
        <w:tc>
          <w:tcPr>
            <w:tcW w:w="34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15,017</w:t>
            </w:r>
          </w:p>
        </w:tc>
        <w:tc>
          <w:tcPr>
            <w:tcW w:w="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ind w:left="300"/>
              <w:spacing w:after="0" w:line="162" w:lineRule="exact"/>
              <w:rPr>
                <w:sz w:val="20"/>
                <w:szCs w:val="20"/>
                <w:color w:val="auto"/>
              </w:rPr>
            </w:pPr>
            <w:r>
              <w:rPr>
                <w:rFonts w:ascii="Arial" w:cs="Arial" w:eastAsia="Arial" w:hAnsi="Arial"/>
                <w:sz w:val="15"/>
                <w:szCs w:val="15"/>
                <w:color w:val="auto"/>
              </w:rPr>
              <w:t>Available-for-sale securities</w:t>
            </w:r>
          </w:p>
        </w:tc>
        <w:tc>
          <w:tcPr>
            <w:tcW w:w="8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w w:val="95"/>
              </w:rPr>
              <w:t>26,792</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29,980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520"/>
              <w:spacing w:after="0" w:line="162" w:lineRule="exact"/>
              <w:rPr>
                <w:sz w:val="20"/>
                <w:szCs w:val="20"/>
                <w:color w:val="auto"/>
              </w:rPr>
            </w:pPr>
            <w:r>
              <w:rPr>
                <w:rFonts w:ascii="Arial" w:cs="Arial" w:eastAsia="Arial" w:hAnsi="Arial"/>
                <w:sz w:val="15"/>
                <w:szCs w:val="15"/>
                <w:color w:val="auto"/>
              </w:rPr>
              <w:t>14,553</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309</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2,314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1,182</w:t>
            </w: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60" w:type="dxa"/>
            <w:vAlign w:val="bottom"/>
          </w:tcPr>
          <w:p>
            <w:pPr>
              <w:spacing w:after="0" w:line="162" w:lineRule="exact"/>
              <w:rPr>
                <w:sz w:val="20"/>
                <w:szCs w:val="20"/>
                <w:color w:val="auto"/>
              </w:rPr>
            </w:pPr>
            <w:r>
              <w:rPr>
                <w:rFonts w:ascii="Arial" w:cs="Arial" w:eastAsia="Arial" w:hAnsi="Arial"/>
                <w:sz w:val="15"/>
                <w:szCs w:val="15"/>
                <w:color w:val="auto"/>
              </w:rPr>
              <w:t>Restricted cash</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65</w:t>
            </w:r>
          </w:p>
        </w:tc>
        <w:tc>
          <w:tcPr>
            <w:tcW w:w="5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current assets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55,696</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39,972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30,817</w:t>
            </w: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spacing w:after="0" w:line="162" w:lineRule="exact"/>
              <w:rPr>
                <w:sz w:val="20"/>
                <w:szCs w:val="20"/>
                <w:color w:val="auto"/>
              </w:rPr>
            </w:pPr>
            <w:r>
              <w:rPr>
                <w:rFonts w:ascii="Arial" w:cs="Arial" w:eastAsia="Arial" w:hAnsi="Arial"/>
                <w:sz w:val="15"/>
                <w:szCs w:val="15"/>
                <w:color w:val="auto"/>
              </w:rPr>
              <w:t>Property and equipment, net</w:t>
            </w:r>
          </w:p>
        </w:tc>
        <w:tc>
          <w:tcPr>
            <w:tcW w:w="80" w:type="dxa"/>
            <w:vAlign w:val="bottom"/>
          </w:tcPr>
          <w:p>
            <w:pPr>
              <w:spacing w:after="0"/>
              <w:rPr>
                <w:sz w:val="14"/>
                <w:szCs w:val="14"/>
                <w:color w:val="auto"/>
              </w:rPr>
            </w:pPr>
          </w:p>
        </w:tc>
        <w:tc>
          <w:tcPr>
            <w:tcW w:w="980" w:type="dxa"/>
            <w:vAlign w:val="bottom"/>
            <w:gridSpan w:val="2"/>
          </w:tcPr>
          <w:p>
            <w:pPr>
              <w:jc w:val="right"/>
              <w:ind w:right="58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452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520"/>
              <w:spacing w:after="0" w:line="162" w:lineRule="exact"/>
              <w:rPr>
                <w:sz w:val="20"/>
                <w:szCs w:val="20"/>
                <w:color w:val="auto"/>
              </w:rPr>
            </w:pPr>
            <w:r>
              <w:rPr>
                <w:rFonts w:ascii="Arial" w:cs="Arial" w:eastAsia="Arial" w:hAnsi="Arial"/>
                <w:sz w:val="15"/>
                <w:szCs w:val="15"/>
                <w:color w:val="auto"/>
              </w:rPr>
              <w:t>2,272</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Restricted cash</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165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97</w:t>
            </w: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60" w:type="dxa"/>
            <w:vAlign w:val="bottom"/>
          </w:tcPr>
          <w:p>
            <w:pPr>
              <w:spacing w:after="0" w:line="162" w:lineRule="exact"/>
              <w:rPr>
                <w:sz w:val="20"/>
                <w:szCs w:val="20"/>
                <w:color w:val="auto"/>
              </w:rPr>
            </w:pPr>
            <w:r>
              <w:rPr>
                <w:rFonts w:ascii="Arial" w:cs="Arial" w:eastAsia="Arial" w:hAnsi="Arial"/>
                <w:sz w:val="15"/>
                <w:szCs w:val="15"/>
                <w:color w:val="auto"/>
              </w:rPr>
              <w:t>Deferred offering costs</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2,259</w:t>
            </w:r>
          </w:p>
        </w:tc>
        <w:tc>
          <w:tcPr>
            <w:tcW w:w="5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assets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55,696</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40,636</w:t>
            </w:r>
          </w:p>
        </w:tc>
        <w:tc>
          <w:tcPr>
            <w:tcW w:w="34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35,445</w:t>
            </w:r>
          </w:p>
        </w:tc>
        <w:tc>
          <w:tcPr>
            <w:tcW w:w="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Liabilities, Redeemable Preferred Units and Members’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Current liabilities: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ind w:left="300"/>
              <w:spacing w:after="0" w:line="162" w:lineRule="exact"/>
              <w:rPr>
                <w:sz w:val="20"/>
                <w:szCs w:val="20"/>
                <w:color w:val="auto"/>
              </w:rPr>
            </w:pPr>
            <w:r>
              <w:rPr>
                <w:rFonts w:ascii="Arial" w:cs="Arial" w:eastAsia="Arial" w:hAnsi="Arial"/>
                <w:sz w:val="15"/>
                <w:szCs w:val="15"/>
                <w:color w:val="auto"/>
              </w:rPr>
              <w:t>Accounts payable</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608</w:t>
            </w:r>
          </w:p>
        </w:tc>
        <w:tc>
          <w:tcPr>
            <w:tcW w:w="520" w:type="dxa"/>
            <w:vAlign w:val="bottom"/>
          </w:tcPr>
          <w:p>
            <w:pPr>
              <w:spacing w:after="0"/>
              <w:rPr>
                <w:sz w:val="14"/>
                <w:szCs w:val="14"/>
                <w:color w:val="auto"/>
              </w:rPr>
            </w:pP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2,984</w:t>
            </w:r>
          </w:p>
        </w:tc>
        <w:tc>
          <w:tcPr>
            <w:tcW w:w="34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520"/>
              <w:spacing w:after="0" w:line="162" w:lineRule="exact"/>
              <w:rPr>
                <w:sz w:val="20"/>
                <w:szCs w:val="20"/>
                <w:color w:val="auto"/>
              </w:rPr>
            </w:pPr>
            <w:r>
              <w:rPr>
                <w:rFonts w:ascii="Arial" w:cs="Arial" w:eastAsia="Arial" w:hAnsi="Arial"/>
                <w:sz w:val="15"/>
                <w:szCs w:val="15"/>
                <w:color w:val="auto"/>
              </w:rPr>
              <w:t>6,403</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Accrued expenses and other current liabilities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1,312</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3,889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4,921</w:t>
            </w: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ind w:left="300"/>
              <w:spacing w:after="0" w:line="162" w:lineRule="exact"/>
              <w:rPr>
                <w:sz w:val="20"/>
                <w:szCs w:val="20"/>
                <w:color w:val="auto"/>
              </w:rPr>
            </w:pPr>
            <w:r>
              <w:rPr>
                <w:rFonts w:ascii="Arial" w:cs="Arial" w:eastAsia="Arial" w:hAnsi="Arial"/>
                <w:sz w:val="15"/>
                <w:szCs w:val="15"/>
                <w:color w:val="auto"/>
              </w:rPr>
              <w:t>Redeemable Preferred unit tranche right</w:t>
            </w:r>
          </w:p>
        </w:tc>
        <w:tc>
          <w:tcPr>
            <w:tcW w:w="8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w w:val="95"/>
              </w:rPr>
              <w:t>12,004</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600"/>
              <w:spacing w:after="0" w:line="162" w:lineRule="exact"/>
              <w:rPr>
                <w:sz w:val="20"/>
                <w:szCs w:val="20"/>
                <w:color w:val="auto"/>
              </w:rPr>
            </w:pPr>
            <w:r>
              <w:rPr>
                <w:rFonts w:ascii="Arial" w:cs="Arial" w:eastAsia="Arial" w:hAnsi="Arial"/>
                <w:sz w:val="15"/>
                <w:szCs w:val="15"/>
                <w:color w:val="auto"/>
              </w:rPr>
              <w:t>—</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Series 1 Senior Preferred unit tranche right</w:t>
            </w: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527</w:t>
            </w:r>
          </w:p>
        </w:tc>
        <w:tc>
          <w:tcPr>
            <w:tcW w:w="5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80" w:type="dxa"/>
            <w:vAlign w:val="bottom"/>
            <w:gridSpan w:val="2"/>
          </w:tcPr>
          <w:p>
            <w:pPr>
              <w:spacing w:after="0" w:line="169" w:lineRule="exact"/>
              <w:rPr>
                <w:sz w:val="20"/>
                <w:szCs w:val="20"/>
                <w:color w:val="auto"/>
              </w:rPr>
            </w:pPr>
            <w:r>
              <w:rPr>
                <w:rFonts w:ascii="Arial" w:cs="Arial" w:eastAsia="Arial" w:hAnsi="Arial"/>
                <w:sz w:val="15"/>
                <w:szCs w:val="15"/>
                <w:color w:val="auto"/>
              </w:rPr>
              <w:t>Total current liabilities</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13,924</w:t>
            </w:r>
          </w:p>
        </w:tc>
        <w:tc>
          <w:tcPr>
            <w:tcW w:w="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6,873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11,851</w:t>
            </w:r>
          </w:p>
        </w:tc>
        <w:tc>
          <w:tcPr>
            <w:tcW w:w="5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liabilities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13,924</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6,873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20"/>
              <w:spacing w:after="0" w:line="162" w:lineRule="exact"/>
              <w:rPr>
                <w:sz w:val="20"/>
                <w:szCs w:val="20"/>
                <w:color w:val="auto"/>
              </w:rPr>
            </w:pPr>
            <w:r>
              <w:rPr>
                <w:rFonts w:ascii="Arial" w:cs="Arial" w:eastAsia="Arial" w:hAnsi="Arial"/>
                <w:sz w:val="15"/>
                <w:szCs w:val="15"/>
                <w:color w:val="auto"/>
              </w:rPr>
              <w:t>11,851</w:t>
            </w: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280" w:type="dxa"/>
            <w:vAlign w:val="bottom"/>
            <w:gridSpan w:val="2"/>
          </w:tcPr>
          <w:p>
            <w:pPr>
              <w:spacing w:after="0"/>
              <w:rPr>
                <w:sz w:val="20"/>
                <w:szCs w:val="20"/>
                <w:color w:val="auto"/>
              </w:rPr>
            </w:pPr>
            <w:r>
              <w:rPr>
                <w:rFonts w:ascii="Arial" w:cs="Arial" w:eastAsia="Arial" w:hAnsi="Arial"/>
                <w:sz w:val="15"/>
                <w:szCs w:val="15"/>
                <w:color w:val="auto"/>
              </w:rPr>
              <w:t>Commitments and Contingencies (Note 13)</w:t>
            </w: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7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Redeemable Preferred Units, 60,000,000 units authorized at December 31, 2015 and 2016 and no units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authorized at September 30, 2017 (unaudited); 13,680,000 and 17,100,000 units issued and outstanding at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December 31, 2015 and 2016, respectively, and no units issued and outstanding at September 30, 2017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(unaudited); aggregate liquidation preference of $55,746 and $0 at December 31, 2016 and September 30,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2017 (unaudited), respectively</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61,697</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71,649</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5"/>
                <w:szCs w:val="15"/>
                <w:color w:val="auto"/>
              </w:rPr>
              <w:t>Series 2 Senior Preferred Units, no units authorized at December 31, 2015 and 2016 and 1,973,430 units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ind w:left="140"/>
              <w:spacing w:after="0" w:line="162" w:lineRule="exact"/>
              <w:rPr>
                <w:sz w:val="20"/>
                <w:szCs w:val="20"/>
                <w:color w:val="auto"/>
              </w:rPr>
            </w:pPr>
            <w:r>
              <w:rPr>
                <w:rFonts w:ascii="Arial" w:cs="Arial" w:eastAsia="Arial" w:hAnsi="Arial"/>
                <w:sz w:val="15"/>
                <w:szCs w:val="15"/>
                <w:color w:val="auto"/>
              </w:rPr>
              <w:t>authorized at September 30, 2017 (unaudited); no units issued and outstanding at December 31, 2015 and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60" w:type="dxa"/>
            <w:vAlign w:val="bottom"/>
          </w:tcPr>
          <w:p>
            <w:pPr>
              <w:ind w:left="140"/>
              <w:spacing w:after="0"/>
              <w:rPr>
                <w:sz w:val="20"/>
                <w:szCs w:val="20"/>
                <w:color w:val="auto"/>
              </w:rPr>
            </w:pPr>
            <w:r>
              <w:rPr>
                <w:rFonts w:ascii="Arial" w:cs="Arial" w:eastAsia="Arial" w:hAnsi="Arial"/>
                <w:sz w:val="15"/>
                <w:szCs w:val="15"/>
                <w:color w:val="auto"/>
              </w:rPr>
              <w:t>2016 and September 30, 2017 (unaudited)</w:t>
            </w:r>
          </w:p>
        </w:tc>
        <w:tc>
          <w:tcPr>
            <w:tcW w:w="8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Series 1 Senior Preferred Units, no units authorized at December 31, 2015 and 2016 and 2,500,000 units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w w:val="97"/>
              </w:rPr>
              <w:t>authorized at September 30, 2017 (unaudited); no units issued and outstanding December 31, 2015 and 2016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and 2,500,000 units issued and outstanding at September 30, 2017 (unaudited); aggregate liquidation</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preference of $25,000 at September 30, 2017 (unaudited)</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25,000</w:t>
            </w: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5"/>
                <w:szCs w:val="15"/>
                <w:color w:val="auto"/>
                <w:w w:val="99"/>
              </w:rPr>
              <w:t>Junior Preferred Units, no units authorized at December 31, 2015 and 2016 and 4,414,356 units authorized at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ind w:left="140"/>
              <w:spacing w:after="0" w:line="162" w:lineRule="exact"/>
              <w:rPr>
                <w:sz w:val="20"/>
                <w:szCs w:val="20"/>
                <w:color w:val="auto"/>
              </w:rPr>
            </w:pPr>
            <w:r>
              <w:rPr>
                <w:rFonts w:ascii="Arial" w:cs="Arial" w:eastAsia="Arial" w:hAnsi="Arial"/>
                <w:sz w:val="15"/>
                <w:szCs w:val="15"/>
                <w:color w:val="auto"/>
              </w:rPr>
              <w:t>September 30, 2017 (unaudited); no units issued and outstanding at December 31, 2015 and 2016 and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ind w:left="140"/>
              <w:spacing w:after="0" w:line="162" w:lineRule="exact"/>
              <w:rPr>
                <w:sz w:val="20"/>
                <w:szCs w:val="20"/>
                <w:color w:val="auto"/>
              </w:rPr>
            </w:pPr>
            <w:r>
              <w:rPr>
                <w:rFonts w:ascii="Arial" w:cs="Arial" w:eastAsia="Arial" w:hAnsi="Arial"/>
                <w:sz w:val="15"/>
                <w:szCs w:val="15"/>
                <w:color w:val="auto"/>
                <w:w w:val="98"/>
              </w:rPr>
              <w:t>4,414,356 units issued and outstanding at September 30, 2017 (unaudited); aggregate liquidation preference</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60" w:type="dxa"/>
            <w:vAlign w:val="bottom"/>
          </w:tcPr>
          <w:p>
            <w:pPr>
              <w:ind w:left="140"/>
              <w:spacing w:after="0"/>
              <w:rPr>
                <w:sz w:val="20"/>
                <w:szCs w:val="20"/>
                <w:color w:val="auto"/>
              </w:rPr>
            </w:pPr>
            <w:r>
              <w:rPr>
                <w:rFonts w:ascii="Arial" w:cs="Arial" w:eastAsia="Arial" w:hAnsi="Arial"/>
                <w:sz w:val="15"/>
                <w:szCs w:val="15"/>
                <w:color w:val="auto"/>
              </w:rPr>
              <w:t>of $42,500 at September 30, 2017 (unaudited)</w:t>
            </w:r>
          </w:p>
        </w:tc>
        <w:tc>
          <w:tcPr>
            <w:tcW w:w="8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5"/>
                <w:szCs w:val="15"/>
                <w:color w:val="auto"/>
              </w:rPr>
              <w:t>44,177</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Members’ deficit: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140"/>
              <w:spacing w:after="0" w:line="149" w:lineRule="exact"/>
              <w:rPr>
                <w:sz w:val="20"/>
                <w:szCs w:val="20"/>
                <w:color w:val="auto"/>
              </w:rPr>
            </w:pPr>
            <w:r>
              <w:rPr>
                <w:rFonts w:ascii="Arial" w:cs="Arial" w:eastAsia="Arial" w:hAnsi="Arial"/>
                <w:sz w:val="15"/>
                <w:szCs w:val="15"/>
                <w:color w:val="auto"/>
              </w:rPr>
              <w:t>Series A, B, C and D Common Units, 20,000,000 units authorized at December 31, 2015 and 2016 and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ind w:left="300"/>
              <w:spacing w:after="0" w:line="162" w:lineRule="exact"/>
              <w:rPr>
                <w:sz w:val="20"/>
                <w:szCs w:val="20"/>
                <w:color w:val="auto"/>
              </w:rPr>
            </w:pPr>
            <w:r>
              <w:rPr>
                <w:rFonts w:ascii="Arial" w:cs="Arial" w:eastAsia="Arial" w:hAnsi="Arial"/>
                <w:sz w:val="15"/>
                <w:szCs w:val="15"/>
                <w:color w:val="auto"/>
              </w:rPr>
              <w:t>20,189,509 units authorized at September 30, 2017 (unaudited); 5,015,917 units and 5,123,917 units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ind w:left="300"/>
              <w:spacing w:after="0" w:line="162" w:lineRule="exact"/>
              <w:rPr>
                <w:sz w:val="20"/>
                <w:szCs w:val="20"/>
                <w:color w:val="auto"/>
              </w:rPr>
            </w:pPr>
            <w:r>
              <w:rPr>
                <w:rFonts w:ascii="Arial" w:cs="Arial" w:eastAsia="Arial" w:hAnsi="Arial"/>
                <w:sz w:val="15"/>
                <w:szCs w:val="15"/>
                <w:color w:val="auto"/>
              </w:rPr>
              <w:t>issued and outstanding at December 31, 2015 and 2016 and 19,241,003 units issued and outstanding at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60" w:type="dxa"/>
            <w:vAlign w:val="bottom"/>
          </w:tcPr>
          <w:p>
            <w:pPr>
              <w:ind w:left="300"/>
              <w:spacing w:after="0"/>
              <w:rPr>
                <w:sz w:val="20"/>
                <w:szCs w:val="20"/>
                <w:color w:val="auto"/>
              </w:rPr>
            </w:pPr>
            <w:r>
              <w:rPr>
                <w:rFonts w:ascii="Arial" w:cs="Arial" w:eastAsia="Arial" w:hAnsi="Arial"/>
                <w:sz w:val="15"/>
                <w:szCs w:val="15"/>
                <w:color w:val="auto"/>
              </w:rPr>
              <w:t>September 30, 2017 (unaudited)</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208</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558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5"/>
                <w:szCs w:val="15"/>
                <w:color w:val="auto"/>
              </w:rPr>
              <w:t>64,191</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Accumulated other comprehensive income (loss)</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(3)</w:t>
            </w: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tcPr>
          <w:p>
            <w:pPr>
              <w:ind w:left="140"/>
              <w:spacing w:after="0" w:line="162" w:lineRule="exact"/>
              <w:rPr>
                <w:sz w:val="20"/>
                <w:szCs w:val="20"/>
                <w:color w:val="auto"/>
              </w:rPr>
            </w:pPr>
            <w:r>
              <w:rPr>
                <w:rFonts w:ascii="Arial" w:cs="Arial" w:eastAsia="Arial" w:hAnsi="Arial"/>
                <w:sz w:val="15"/>
                <w:szCs w:val="15"/>
                <w:color w:val="auto"/>
              </w:rPr>
              <w:t>Accumulated members’ deficit</w:t>
            </w:r>
          </w:p>
        </w:tc>
        <w:tc>
          <w:tcPr>
            <w:tcW w:w="80" w:type="dxa"/>
            <w:vAlign w:val="bottom"/>
          </w:tcPr>
          <w:p>
            <w:pPr>
              <w:spacing w:after="0"/>
              <w:rPr>
                <w:sz w:val="14"/>
                <w:szCs w:val="14"/>
                <w:color w:val="auto"/>
              </w:rPr>
            </w:pPr>
          </w:p>
        </w:tc>
        <w:tc>
          <w:tcPr>
            <w:tcW w:w="980" w:type="dxa"/>
            <w:vAlign w:val="bottom"/>
            <w:gridSpan w:val="2"/>
          </w:tcPr>
          <w:p>
            <w:pPr>
              <w:jc w:val="right"/>
              <w:ind w:right="460"/>
              <w:spacing w:after="0" w:line="162" w:lineRule="exact"/>
              <w:rPr>
                <w:sz w:val="20"/>
                <w:szCs w:val="20"/>
                <w:color w:val="auto"/>
              </w:rPr>
            </w:pPr>
            <w:r>
              <w:rPr>
                <w:rFonts w:ascii="Arial" w:cs="Arial" w:eastAsia="Arial" w:hAnsi="Arial"/>
                <w:sz w:val="15"/>
                <w:szCs w:val="15"/>
                <w:color w:val="auto"/>
                <w:w w:val="89"/>
              </w:rPr>
              <w:t>(67,711)</w:t>
            </w:r>
          </w:p>
        </w:tc>
        <w:tc>
          <w:tcPr>
            <w:tcW w:w="80" w:type="dxa"/>
            <w:vAlign w:val="bottom"/>
          </w:tcPr>
          <w:p>
            <w:pPr>
              <w:spacing w:after="0"/>
              <w:rPr>
                <w:sz w:val="14"/>
                <w:szCs w:val="14"/>
                <w:color w:val="auto"/>
              </w:rPr>
            </w:pPr>
          </w:p>
        </w:tc>
        <w:tc>
          <w:tcPr>
            <w:tcW w:w="7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w w:val="89"/>
              </w:rPr>
              <w:t>(84,941)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w w:val="99"/>
              </w:rPr>
              <w:t>(109,771)</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72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members’ deficit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w w:val="89"/>
              </w:rPr>
              <w:t>(67,513)</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w w:val="89"/>
              </w:rPr>
              <w:t>(84,360)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(45,583)</w:t>
            </w: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60" w:type="dxa"/>
            <w:vAlign w:val="bottom"/>
          </w:tcPr>
          <w:p>
            <w:pPr>
              <w:ind w:left="300"/>
              <w:spacing w:after="0" w:line="169" w:lineRule="exact"/>
              <w:rPr>
                <w:sz w:val="20"/>
                <w:szCs w:val="20"/>
                <w:color w:val="auto"/>
              </w:rPr>
            </w:pPr>
            <w:r>
              <w:rPr>
                <w:rFonts w:ascii="Arial" w:cs="Arial" w:eastAsia="Arial" w:hAnsi="Arial"/>
                <w:sz w:val="15"/>
                <w:szCs w:val="15"/>
                <w:color w:val="auto"/>
              </w:rPr>
              <w:t>Non-controlling interest</w:t>
            </w: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47,588</w:t>
            </w:r>
          </w:p>
        </w:tc>
        <w:tc>
          <w:tcPr>
            <w:tcW w:w="5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46,474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Total deficit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5"/>
                <w:szCs w:val="15"/>
                <w:color w:val="auto"/>
                <w:w w:val="89"/>
              </w:rPr>
              <w:t>(19,925)</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w w:val="89"/>
              </w:rPr>
              <w:t>(37,886)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(45,583)</w:t>
            </w: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80" w:type="dxa"/>
            <w:vAlign w:val="bottom"/>
            <w:gridSpan w:val="2"/>
          </w:tcPr>
          <w:p>
            <w:pPr>
              <w:spacing w:after="0" w:line="169" w:lineRule="exact"/>
              <w:rPr>
                <w:sz w:val="20"/>
                <w:szCs w:val="20"/>
                <w:color w:val="auto"/>
              </w:rPr>
            </w:pPr>
            <w:r>
              <w:rPr>
                <w:rFonts w:ascii="Arial" w:cs="Arial" w:eastAsia="Arial" w:hAnsi="Arial"/>
                <w:sz w:val="15"/>
                <w:szCs w:val="15"/>
                <w:color w:val="auto"/>
              </w:rPr>
              <w:t>Total liabilities, redeemable preferred units and members’ deficit</w:t>
            </w: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55,696</w:t>
            </w:r>
          </w:p>
        </w:tc>
        <w:tc>
          <w:tcPr>
            <w:tcW w:w="5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40,636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35,445</w:t>
            </w:r>
          </w:p>
        </w:tc>
        <w:tc>
          <w:tcPr>
            <w:tcW w:w="520" w:type="dxa"/>
            <w:vAlign w:val="bottom"/>
          </w:tcPr>
          <w:p>
            <w:pPr>
              <w:spacing w:after="0"/>
              <w:rPr>
                <w:sz w:val="14"/>
                <w:szCs w:val="14"/>
                <w:color w:val="auto"/>
              </w:rPr>
            </w:pPr>
          </w:p>
        </w:tc>
        <w:tc>
          <w:tcPr>
            <w:tcW w:w="7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and per unit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vMerge w:val="restart"/>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340" w:type="dxa"/>
            <w:vAlign w:val="bottom"/>
            <w:gridSpan w:val="6"/>
          </w:tcPr>
          <w:p>
            <w:pPr>
              <w:ind w:lef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20,116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5,460</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3,807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25,576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39,696</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(25,576)</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Revaluation of preferred unit tranche rights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6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(23,773)</w:t>
            </w:r>
          </w:p>
        </w:tc>
        <w:tc>
          <w:tcPr>
            <w:tcW w:w="6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(15,254)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Net loss attributable to Solid Biosciences, LLC</w:t>
            </w:r>
          </w:p>
        </w:tc>
        <w:tc>
          <w:tcPr>
            <w:tcW w:w="3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(6,377)</w:t>
            </w:r>
          </w:p>
        </w:tc>
        <w:tc>
          <w:tcPr>
            <w:tcW w:w="6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(21,539)</w:t>
            </w:r>
          </w:p>
        </w:tc>
        <w:tc>
          <w:tcPr>
            <w:tcW w:w="6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Decretion (accretion) of preferred units to redemption value</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4,309</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Redemption of preferred units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7"/>
              </w:rPr>
              <w:t>Redemption of redeemable interest from non-controlling interest in Solid GT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Net loss attributable to common unitholders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(6,445</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(17,230</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attributable to common unitholders, basic and diluted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units outstanding, basic and diluted</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846,569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1,698,904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1,677,909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12,446,769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net loss per share, basic and diluted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w w:val="95"/>
              </w:rPr>
              <w:t>Unaudited pro forma weighted average shares outstanding, basic and diluted</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 Ended</w:t>
            </w:r>
          </w:p>
        </w:tc>
        <w:tc>
          <w:tcPr>
            <w:tcW w:w="1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Nine Months</w:t>
            </w:r>
          </w:p>
        </w:tc>
      </w:tr>
      <w:tr>
        <w:trPr>
          <w:trHeight w:val="171"/>
        </w:trPr>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8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Ended September 30,</w:t>
            </w:r>
          </w:p>
        </w:tc>
      </w:tr>
      <w:tr>
        <w:trPr>
          <w:trHeight w:val="142"/>
        </w:trPr>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66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7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2"/>
              </w:rPr>
              <w:t>$(6,664)</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$(23,773)</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$(15,254)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$(38,691)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securities</w:t>
            </w: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(6,674)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(23,740)</w:t>
            </w:r>
          </w:p>
        </w:tc>
        <w:tc>
          <w:tcPr>
            <w:tcW w:w="4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(15,190)</w:t>
            </w:r>
          </w:p>
        </w:tc>
        <w:tc>
          <w:tcPr>
            <w:tcW w:w="4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(38,717)</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(287)</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(2,234)</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Comprehensive loss attributable to Solid Biosciences, LLC</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(6,387</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(21,506</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(13,719</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(37,657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PREFERRED UNITS AND MEMBERS’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2"/>
              </w:rPr>
              <w:t>Series 1</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Series A, B, C</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0"/>
              </w:rPr>
              <w:t>Accumulated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Redeemable</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Senior</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Junior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and 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other</w:t>
            </w:r>
          </w:p>
        </w:tc>
        <w:tc>
          <w:tcPr>
            <w:tcW w:w="6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62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Preferred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Preferred</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Preferred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Common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Members’</w:t>
            </w:r>
          </w:p>
        </w:tc>
        <w:tc>
          <w:tcPr>
            <w:tcW w:w="7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Members’</w:t>
            </w:r>
          </w:p>
        </w:tc>
        <w:tc>
          <w:tcPr>
            <w:tcW w:w="10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4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9"/>
              </w:rPr>
              <w:t>Amount</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Units</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120" w:type="dxa"/>
            <w:vAlign w:val="bottom"/>
          </w:tcPr>
          <w:p>
            <w:pPr>
              <w:spacing w:after="0"/>
              <w:rPr>
                <w:sz w:val="13"/>
                <w:szCs w:val="13"/>
                <w:color w:val="auto"/>
              </w:rPr>
            </w:pP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40" w:type="dxa"/>
            <w:vAlign w:val="bottom"/>
          </w:tcPr>
          <w:p>
            <w:pPr>
              <w:spacing w:after="0"/>
              <w:rPr>
                <w:sz w:val="13"/>
                <w:szCs w:val="13"/>
                <w:color w:val="auto"/>
              </w:rPr>
            </w:pPr>
          </w:p>
        </w:tc>
        <w:tc>
          <w:tcPr>
            <w:tcW w:w="56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9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88"/>
              </w:rPr>
              <w:t>income (loss)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5"/>
              </w:rPr>
              <w:t>Deficit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December 31, 2014</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6,840,000</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$ 30,781</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6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6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60"/>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4,729,667</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(61,266)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(61,198)</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2,499</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8"/>
              </w:rPr>
              <w:t>$(58,699)</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120"/>
              <w:spacing w:after="0" w:line="135" w:lineRule="exact"/>
              <w:rPr>
                <w:sz w:val="20"/>
                <w:szCs w:val="20"/>
                <w:color w:val="auto"/>
              </w:rPr>
            </w:pPr>
            <w:r>
              <w:rPr>
                <w:rFonts w:ascii="Arial" w:cs="Arial" w:eastAsia="Arial" w:hAnsi="Arial"/>
                <w:sz w:val="13"/>
                <w:szCs w:val="13"/>
                <w:color w:val="auto"/>
              </w:rPr>
              <w:t>Issuance of preferred units</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6,840,000</w:t>
            </w:r>
          </w:p>
        </w:tc>
        <w:tc>
          <w:tcPr>
            <w:tcW w:w="6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6,840</w:t>
            </w: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ind w:left="3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6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6"/>
              </w:rPr>
              <w:t>Reclassification of tranche right</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upon issuance of preferred</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units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24,008</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ind w:left="120"/>
              <w:spacing w:after="0" w:line="121" w:lineRule="exact"/>
              <w:rPr>
                <w:sz w:val="20"/>
                <w:szCs w:val="20"/>
                <w:color w:val="auto"/>
              </w:rPr>
            </w:pPr>
            <w:r>
              <w:rPr>
                <w:rFonts w:ascii="Arial" w:cs="Arial" w:eastAsia="Arial" w:hAnsi="Arial"/>
                <w:sz w:val="13"/>
                <w:szCs w:val="13"/>
                <w:color w:val="auto"/>
                <w:w w:val="93"/>
              </w:rPr>
              <w:t>Accretion in redemption value of</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rPr>
                <w:sz w:val="20"/>
                <w:szCs w:val="20"/>
                <w:color w:val="auto"/>
              </w:rPr>
            </w:pPr>
            <w:r>
              <w:rPr>
                <w:rFonts w:ascii="Arial" w:cs="Arial" w:eastAsia="Arial" w:hAnsi="Arial"/>
                <w:sz w:val="13"/>
                <w:szCs w:val="13"/>
                <w:color w:val="auto"/>
              </w:rPr>
              <w:t>preferred units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68</w:t>
            </w:r>
          </w:p>
        </w:tc>
        <w:tc>
          <w:tcPr>
            <w:tcW w:w="1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tcBorders>
              <w:right w:val="single" w:sz="8" w:color="auto"/>
            </w:tcBorders>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(68)</w:t>
            </w:r>
          </w:p>
        </w:tc>
        <w:tc>
          <w:tcPr>
            <w:tcW w:w="160" w:type="dxa"/>
            <w:vAlign w:val="bottom"/>
          </w:tcPr>
          <w:p>
            <w:pPr>
              <w:spacing w:after="0"/>
              <w:rPr>
                <w:sz w:val="12"/>
                <w:szCs w:val="12"/>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Issuance of Series A common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units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305,000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ind w:left="120"/>
              <w:spacing w:after="0" w:line="121" w:lineRule="exact"/>
              <w:rPr>
                <w:sz w:val="20"/>
                <w:szCs w:val="20"/>
                <w:color w:val="auto"/>
              </w:rPr>
            </w:pPr>
            <w:r>
              <w:rPr>
                <w:rFonts w:ascii="Arial" w:cs="Arial" w:eastAsia="Arial" w:hAnsi="Arial"/>
                <w:sz w:val="13"/>
                <w:szCs w:val="13"/>
                <w:color w:val="auto"/>
                <w:w w:val="91"/>
              </w:rPr>
              <w:t>Repurchase of Series A common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rPr>
                <w:sz w:val="20"/>
                <w:szCs w:val="20"/>
                <w:color w:val="auto"/>
              </w:rPr>
            </w:pPr>
            <w:r>
              <w:rPr>
                <w:rFonts w:ascii="Arial" w:cs="Arial" w:eastAsia="Arial" w:hAnsi="Arial"/>
                <w:sz w:val="13"/>
                <w:szCs w:val="13"/>
                <w:color w:val="auto"/>
              </w:rPr>
              <w:t>units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tcBorders>
              <w:right w:val="single" w:sz="8" w:color="auto"/>
            </w:tcBorders>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(18,750)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Equity based compensation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expense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140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624</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764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ind w:left="120"/>
              <w:spacing w:after="0" w:line="121" w:lineRule="exact"/>
              <w:rPr>
                <w:sz w:val="20"/>
                <w:szCs w:val="20"/>
                <w:color w:val="auto"/>
              </w:rPr>
            </w:pPr>
            <w:r>
              <w:rPr>
                <w:rFonts w:ascii="Arial" w:cs="Arial" w:eastAsia="Arial" w:hAnsi="Arial"/>
                <w:sz w:val="13"/>
                <w:szCs w:val="13"/>
                <w:color w:val="auto"/>
              </w:rPr>
              <w:t>Issuance of non-controlling</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rPr>
                <w:sz w:val="20"/>
                <w:szCs w:val="20"/>
                <w:color w:val="auto"/>
              </w:rPr>
            </w:pPr>
            <w:r>
              <w:rPr>
                <w:rFonts w:ascii="Arial" w:cs="Arial" w:eastAsia="Arial" w:hAnsi="Arial"/>
                <w:sz w:val="13"/>
                <w:szCs w:val="13"/>
                <w:color w:val="auto"/>
              </w:rPr>
              <w:t>interest in Solid GT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tcBorders>
              <w:right w:val="single" w:sz="8" w:color="auto"/>
            </w:tcBorders>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44,752</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44,752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6"/>
              </w:rPr>
              <w:t>Unrealized loss on available for</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sale securities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ind w:left="3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4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(6,377)</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(6,377)</w:t>
            </w: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(287)</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2015</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8"/>
              </w:rPr>
              <w:t>13,680,000</w:t>
            </w:r>
          </w:p>
        </w:tc>
        <w:tc>
          <w:tcPr>
            <w:tcW w:w="6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61,697</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5,015,917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208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(67,711)</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(67,513)</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47,588</w:t>
            </w:r>
          </w:p>
        </w:tc>
        <w:tc>
          <w:tcPr>
            <w:tcW w:w="5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9"/>
              </w:rPr>
              <w:t>(19,925)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120"/>
              <w:spacing w:after="0" w:line="135" w:lineRule="exact"/>
              <w:rPr>
                <w:sz w:val="20"/>
                <w:szCs w:val="20"/>
                <w:color w:val="auto"/>
              </w:rPr>
            </w:pPr>
            <w:r>
              <w:rPr>
                <w:rFonts w:ascii="Arial" w:cs="Arial" w:eastAsia="Arial" w:hAnsi="Arial"/>
                <w:sz w:val="13"/>
                <w:szCs w:val="13"/>
                <w:color w:val="auto"/>
              </w:rPr>
              <w:t>Issuance of preferred units</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3,420,000</w:t>
            </w:r>
          </w:p>
        </w:tc>
        <w:tc>
          <w:tcPr>
            <w:tcW w:w="6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3,420</w:t>
            </w: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ind w:left="3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6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6"/>
              </w:rPr>
              <w:t>Reclassification of tranche right</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upon issuance of preferred</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units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10,841</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ind w:left="120"/>
              <w:spacing w:after="0" w:line="121" w:lineRule="exact"/>
              <w:rPr>
                <w:sz w:val="20"/>
                <w:szCs w:val="20"/>
                <w:color w:val="auto"/>
              </w:rPr>
            </w:pPr>
            <w:r>
              <w:rPr>
                <w:rFonts w:ascii="Arial" w:cs="Arial" w:eastAsia="Arial" w:hAnsi="Arial"/>
                <w:sz w:val="13"/>
                <w:szCs w:val="13"/>
                <w:color w:val="auto"/>
                <w:w w:val="92"/>
              </w:rPr>
              <w:t>Decretion in redemption value of</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rPr>
                <w:sz w:val="20"/>
                <w:szCs w:val="20"/>
                <w:color w:val="auto"/>
              </w:rPr>
            </w:pPr>
            <w:r>
              <w:rPr>
                <w:rFonts w:ascii="Arial" w:cs="Arial" w:eastAsia="Arial" w:hAnsi="Arial"/>
                <w:sz w:val="13"/>
                <w:szCs w:val="13"/>
                <w:color w:val="auto"/>
              </w:rPr>
              <w:t>preferred units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(4,309)</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tcBorders>
              <w:right w:val="single" w:sz="8" w:color="auto"/>
            </w:tcBorders>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4,309</w:t>
            </w:r>
          </w:p>
        </w:tc>
        <w:tc>
          <w:tcPr>
            <w:tcW w:w="160" w:type="dxa"/>
            <w:vAlign w:val="bottom"/>
          </w:tcPr>
          <w:p>
            <w:pPr>
              <w:spacing w:after="0"/>
              <w:rPr>
                <w:sz w:val="12"/>
                <w:szCs w:val="12"/>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4,309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Issuance of Series A common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units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108,000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ind w:left="120"/>
              <w:spacing w:after="0" w:line="121" w:lineRule="exact"/>
              <w:rPr>
                <w:sz w:val="20"/>
                <w:szCs w:val="20"/>
                <w:color w:val="auto"/>
              </w:rPr>
            </w:pPr>
            <w:r>
              <w:rPr>
                <w:rFonts w:ascii="Arial" w:cs="Arial" w:eastAsia="Arial" w:hAnsi="Arial"/>
                <w:sz w:val="13"/>
                <w:szCs w:val="13"/>
                <w:color w:val="auto"/>
              </w:rPr>
              <w:t>Equity based compensation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rPr>
                <w:sz w:val="20"/>
                <w:szCs w:val="20"/>
                <w:color w:val="auto"/>
              </w:rPr>
            </w:pPr>
            <w:r>
              <w:rPr>
                <w:rFonts w:ascii="Arial" w:cs="Arial" w:eastAsia="Arial" w:hAnsi="Arial"/>
                <w:sz w:val="13"/>
                <w:szCs w:val="13"/>
                <w:color w:val="auto"/>
              </w:rPr>
              <w:t>expense</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tcBorders>
              <w:right w:val="single" w:sz="8" w:color="auto"/>
            </w:tcBorders>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80"/>
              <w:spacing w:after="0"/>
              <w:rPr>
                <w:sz w:val="20"/>
                <w:szCs w:val="20"/>
                <w:color w:val="auto"/>
              </w:rPr>
            </w:pPr>
            <w:r>
              <w:rPr>
                <w:rFonts w:ascii="Arial" w:cs="Arial" w:eastAsia="Arial" w:hAnsi="Arial"/>
                <w:sz w:val="13"/>
                <w:szCs w:val="13"/>
                <w:color w:val="auto"/>
              </w:rPr>
              <w:t>350</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350</w:t>
            </w:r>
          </w:p>
        </w:tc>
        <w:tc>
          <w:tcPr>
            <w:tcW w:w="1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1,120</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1,470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Unrealized gain on available for</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sale securities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33</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Pr>
          <w:p>
            <w:pPr>
              <w:ind w:left="3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4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(21,539)</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(21,539)</w:t>
            </w: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(2,234)</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9"/>
              </w:rPr>
              <w:t>(23,773)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2016</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8"/>
              </w:rPr>
              <w:t>17,100,000</w:t>
            </w:r>
          </w:p>
        </w:tc>
        <w:tc>
          <w:tcPr>
            <w:tcW w:w="6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71,649</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5,123,917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558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(84,941)</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(84,360)</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46,474</w:t>
            </w:r>
          </w:p>
        </w:tc>
        <w:tc>
          <w:tcPr>
            <w:tcW w:w="5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9"/>
              </w:rPr>
              <w:t>(37,886)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ind w:left="120"/>
              <w:spacing w:after="0" w:line="121" w:lineRule="exact"/>
              <w:rPr>
                <w:sz w:val="20"/>
                <w:szCs w:val="20"/>
                <w:color w:val="auto"/>
              </w:rPr>
            </w:pPr>
            <w:r>
              <w:rPr>
                <w:rFonts w:ascii="Arial" w:cs="Arial" w:eastAsia="Arial" w:hAnsi="Arial"/>
                <w:sz w:val="13"/>
                <w:szCs w:val="13"/>
                <w:color w:val="auto"/>
              </w:rPr>
              <w:t>Issuance of Series 1 senior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240"/>
              <w:spacing w:after="0" w:line="135" w:lineRule="exact"/>
              <w:rPr>
                <w:sz w:val="20"/>
                <w:szCs w:val="20"/>
                <w:color w:val="auto"/>
              </w:rPr>
            </w:pPr>
            <w:r>
              <w:rPr>
                <w:rFonts w:ascii="Arial" w:cs="Arial" w:eastAsia="Arial" w:hAnsi="Arial"/>
                <w:sz w:val="13"/>
                <w:szCs w:val="13"/>
                <w:color w:val="auto"/>
                <w:w w:val="90"/>
              </w:rPr>
              <w:t>preferred units, net of issuance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240"/>
              <w:spacing w:after="0" w:line="135" w:lineRule="exact"/>
              <w:rPr>
                <w:sz w:val="20"/>
                <w:szCs w:val="20"/>
                <w:color w:val="auto"/>
              </w:rPr>
            </w:pPr>
            <w:r>
              <w:rPr>
                <w:rFonts w:ascii="Arial" w:cs="Arial" w:eastAsia="Arial" w:hAnsi="Arial"/>
                <w:sz w:val="13"/>
                <w:szCs w:val="13"/>
                <w:color w:val="auto"/>
                <w:w w:val="90"/>
              </w:rPr>
              <w:t>costs of $500 and tranche right</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rPr>
                <w:sz w:val="20"/>
                <w:szCs w:val="20"/>
                <w:color w:val="auto"/>
              </w:rPr>
            </w:pPr>
            <w:r>
              <w:rPr>
                <w:rFonts w:ascii="Arial" w:cs="Arial" w:eastAsia="Arial" w:hAnsi="Arial"/>
                <w:sz w:val="13"/>
                <w:szCs w:val="13"/>
                <w:color w:val="auto"/>
              </w:rPr>
              <w:t>of $459</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2,500,000</w:t>
            </w:r>
          </w:p>
        </w:tc>
        <w:tc>
          <w:tcPr>
            <w:tcW w:w="560" w:type="dxa"/>
            <w:vAlign w:val="bottom"/>
            <w:gridSpan w:val="2"/>
          </w:tcPr>
          <w:p>
            <w:pPr>
              <w:spacing w:after="0"/>
              <w:rPr>
                <w:sz w:val="20"/>
                <w:szCs w:val="20"/>
                <w:color w:val="auto"/>
              </w:rPr>
            </w:pPr>
            <w:r>
              <w:rPr>
                <w:rFonts w:ascii="Arial" w:cs="Arial" w:eastAsia="Arial" w:hAnsi="Arial"/>
                <w:sz w:val="13"/>
                <w:szCs w:val="13"/>
                <w:color w:val="auto"/>
              </w:rPr>
              <w:t>$ 24,041</w:t>
            </w: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tcBorders>
              <w:right w:val="single" w:sz="8" w:color="auto"/>
            </w:tcBorders>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Accretion of Series 1 senior</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7"/>
              </w:rPr>
              <w:t>preferred units to redemption</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value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959</w:t>
            </w:r>
          </w:p>
        </w:tc>
        <w:tc>
          <w:tcPr>
            <w:tcW w:w="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(959)</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120"/>
              <w:spacing w:after="0" w:line="135" w:lineRule="exact"/>
              <w:rPr>
                <w:sz w:val="20"/>
                <w:szCs w:val="20"/>
                <w:color w:val="auto"/>
              </w:rPr>
            </w:pPr>
            <w:r>
              <w:rPr>
                <w:rFonts w:ascii="Arial" w:cs="Arial" w:eastAsia="Arial" w:hAnsi="Arial"/>
                <w:sz w:val="13"/>
                <w:szCs w:val="13"/>
                <w:color w:val="auto"/>
              </w:rPr>
              <w:t>Redemption of preferred units</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(15,685)</w:t>
            </w: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ind w:left="3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15,685</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15,685</w:t>
            </w:r>
          </w:p>
        </w:tc>
        <w:tc>
          <w:tcPr>
            <w:tcW w:w="160" w:type="dxa"/>
            <w:vAlign w:val="bottom"/>
          </w:tcPr>
          <w:p>
            <w:pPr>
              <w:spacing w:after="0"/>
              <w:rPr>
                <w:sz w:val="11"/>
                <w:szCs w:val="11"/>
                <w:color w:val="auto"/>
              </w:rPr>
            </w:pPr>
          </w:p>
        </w:tc>
        <w:tc>
          <w:tcPr>
            <w:tcW w:w="86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15,685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Equity based compensation</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4,207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4,207</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300</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4,507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ind w:left="3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(37,631)</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(37,631)</w:t>
            </w:r>
          </w:p>
        </w:tc>
        <w:tc>
          <w:tcPr>
            <w:tcW w:w="16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(1,060)</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9"/>
              </w:rPr>
              <w:t>(38,691)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Issuance of Series B common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3"/>
              </w:rPr>
              <w:t>units in exchange for Series A</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common units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(1,301,520)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ind w:left="120"/>
              <w:spacing w:after="0" w:line="121" w:lineRule="exact"/>
              <w:rPr>
                <w:sz w:val="20"/>
                <w:szCs w:val="20"/>
                <w:color w:val="auto"/>
              </w:rPr>
            </w:pPr>
            <w:r>
              <w:rPr>
                <w:rFonts w:ascii="Arial" w:cs="Arial" w:eastAsia="Arial" w:hAnsi="Arial"/>
                <w:sz w:val="13"/>
                <w:szCs w:val="13"/>
                <w:color w:val="auto"/>
              </w:rPr>
              <w:t>Issuance of Series D common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240"/>
              <w:spacing w:after="0" w:line="135" w:lineRule="exact"/>
              <w:rPr>
                <w:sz w:val="20"/>
                <w:szCs w:val="20"/>
                <w:color w:val="auto"/>
              </w:rPr>
            </w:pPr>
            <w:r>
              <w:rPr>
                <w:rFonts w:ascii="Arial" w:cs="Arial" w:eastAsia="Arial" w:hAnsi="Arial"/>
                <w:sz w:val="13"/>
                <w:szCs w:val="13"/>
                <w:color w:val="auto"/>
                <w:w w:val="93"/>
              </w:rPr>
              <w:t>units in exchange for Series A</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rPr>
                <w:sz w:val="20"/>
                <w:szCs w:val="20"/>
                <w:color w:val="auto"/>
              </w:rPr>
            </w:pPr>
            <w:r>
              <w:rPr>
                <w:rFonts w:ascii="Arial" w:cs="Arial" w:eastAsia="Arial" w:hAnsi="Arial"/>
                <w:sz w:val="13"/>
                <w:szCs w:val="13"/>
                <w:color w:val="auto"/>
              </w:rPr>
              <w:t>common units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tcBorders>
              <w:right w:val="single" w:sz="8" w:color="auto"/>
            </w:tcBorders>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(160,954)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Issuance of Series A common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units in exchange for</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redeemable preferred units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2"/>
              </w:rPr>
              <w:t>(17,100,000)</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(55,964)</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12,219,299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0"/>
              </w:rPr>
              <w:t>55,964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55,964</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55,964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ind w:left="120"/>
              <w:spacing w:after="0" w:line="121" w:lineRule="exact"/>
              <w:rPr>
                <w:sz w:val="20"/>
                <w:szCs w:val="20"/>
                <w:color w:val="auto"/>
              </w:rPr>
            </w:pPr>
            <w:r>
              <w:rPr>
                <w:rFonts w:ascii="Arial" w:cs="Arial" w:eastAsia="Arial" w:hAnsi="Arial"/>
                <w:sz w:val="13"/>
                <w:szCs w:val="13"/>
                <w:color w:val="auto"/>
                <w:w w:val="91"/>
              </w:rPr>
              <w:t>Issuance of junior preferred units</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240"/>
              <w:spacing w:after="0" w:line="135" w:lineRule="exact"/>
              <w:rPr>
                <w:sz w:val="20"/>
                <w:szCs w:val="20"/>
                <w:color w:val="auto"/>
              </w:rPr>
            </w:pPr>
            <w:r>
              <w:rPr>
                <w:rFonts w:ascii="Arial" w:cs="Arial" w:eastAsia="Arial" w:hAnsi="Arial"/>
                <w:sz w:val="13"/>
                <w:szCs w:val="13"/>
                <w:color w:val="auto"/>
              </w:rPr>
              <w:t>in redemption of Class 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240"/>
              <w:spacing w:after="0" w:line="135" w:lineRule="exact"/>
              <w:rPr>
                <w:sz w:val="20"/>
                <w:szCs w:val="20"/>
                <w:color w:val="auto"/>
              </w:rPr>
            </w:pPr>
            <w:r>
              <w:rPr>
                <w:rFonts w:ascii="Arial" w:cs="Arial" w:eastAsia="Arial" w:hAnsi="Arial"/>
                <w:sz w:val="13"/>
                <w:szCs w:val="13"/>
                <w:color w:val="auto"/>
              </w:rPr>
              <w:t>non-controlling interest in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rPr>
                <w:sz w:val="20"/>
                <w:szCs w:val="20"/>
                <w:color w:val="auto"/>
              </w:rPr>
            </w:pPr>
            <w:r>
              <w:rPr>
                <w:rFonts w:ascii="Arial" w:cs="Arial" w:eastAsia="Arial" w:hAnsi="Arial"/>
                <w:sz w:val="13"/>
                <w:szCs w:val="13"/>
                <w:color w:val="auto"/>
              </w:rPr>
              <w:t>Solid GT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40" w:type="dxa"/>
            <w:vAlign w:val="bottom"/>
          </w:tcPr>
          <w:p>
            <w:pPr>
              <w:jc w:val="center"/>
              <w:spacing w:after="0"/>
              <w:rPr>
                <w:sz w:val="20"/>
                <w:szCs w:val="20"/>
                <w:color w:val="auto"/>
              </w:rPr>
            </w:pPr>
            <w:r>
              <w:rPr>
                <w:rFonts w:ascii="Arial" w:cs="Arial" w:eastAsia="Arial" w:hAnsi="Arial"/>
                <w:sz w:val="13"/>
                <w:szCs w:val="13"/>
                <w:color w:val="auto"/>
                <w:w w:val="86"/>
              </w:rPr>
              <w:t>4,414,356</w:t>
            </w:r>
          </w:p>
        </w:tc>
        <w:tc>
          <w:tcPr>
            <w:tcW w:w="760" w:type="dxa"/>
            <w:vAlign w:val="bottom"/>
            <w:tcBorders>
              <w:right w:val="single" w:sz="8" w:color="auto"/>
            </w:tcBorders>
            <w:gridSpan w:val="3"/>
          </w:tcPr>
          <w:p>
            <w:pPr>
              <w:ind w:left="120"/>
              <w:spacing w:after="0"/>
              <w:rPr>
                <w:sz w:val="20"/>
                <w:szCs w:val="20"/>
                <w:color w:val="auto"/>
              </w:rPr>
            </w:pPr>
            <w:r>
              <w:rPr>
                <w:rFonts w:ascii="Arial" w:cs="Arial" w:eastAsia="Arial" w:hAnsi="Arial"/>
                <w:sz w:val="13"/>
                <w:szCs w:val="13"/>
                <w:color w:val="auto"/>
              </w:rPr>
              <w:t>$ 44,177</w:t>
            </w: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(1,925)</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(1,925)</w:t>
            </w:r>
          </w:p>
        </w:tc>
        <w:tc>
          <w:tcPr>
            <w:tcW w:w="1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(42,252)</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w w:val="99"/>
              </w:rPr>
              <w:t>(44,177)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Issuance of Series C common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units in exchange for Class B</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non-controlling interest in</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Solid GT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1,635,916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2,053</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(2,053)</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ind w:left="120"/>
              <w:spacing w:after="0" w:line="121" w:lineRule="exact"/>
              <w:rPr>
                <w:sz w:val="20"/>
                <w:szCs w:val="20"/>
                <w:color w:val="auto"/>
              </w:rPr>
            </w:pPr>
            <w:r>
              <w:rPr>
                <w:rFonts w:ascii="Arial" w:cs="Arial" w:eastAsia="Arial" w:hAnsi="Arial"/>
                <w:sz w:val="13"/>
                <w:szCs w:val="13"/>
                <w:color w:val="auto"/>
              </w:rPr>
              <w:t>Issuance of Series D common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240"/>
              <w:spacing w:after="0" w:line="135" w:lineRule="exact"/>
              <w:rPr>
                <w:sz w:val="20"/>
                <w:szCs w:val="20"/>
                <w:color w:val="auto"/>
              </w:rPr>
            </w:pPr>
            <w:r>
              <w:rPr>
                <w:rFonts w:ascii="Arial" w:cs="Arial" w:eastAsia="Arial" w:hAnsi="Arial"/>
                <w:sz w:val="13"/>
                <w:szCs w:val="13"/>
                <w:color w:val="auto"/>
                <w:w w:val="95"/>
              </w:rPr>
              <w:t>units in exchange for Class C</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240"/>
              <w:spacing w:after="0" w:line="135" w:lineRule="exact"/>
              <w:rPr>
                <w:sz w:val="20"/>
                <w:szCs w:val="20"/>
                <w:color w:val="auto"/>
              </w:rPr>
            </w:pPr>
            <w:r>
              <w:rPr>
                <w:rFonts w:ascii="Arial" w:cs="Arial" w:eastAsia="Arial" w:hAnsi="Arial"/>
                <w:sz w:val="13"/>
                <w:szCs w:val="13"/>
                <w:color w:val="auto"/>
              </w:rPr>
              <w:t>non-controlling interest in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rPr>
                <w:sz w:val="20"/>
                <w:szCs w:val="20"/>
                <w:color w:val="auto"/>
              </w:rPr>
            </w:pPr>
            <w:r>
              <w:rPr>
                <w:rFonts w:ascii="Arial" w:cs="Arial" w:eastAsia="Arial" w:hAnsi="Arial"/>
                <w:sz w:val="13"/>
                <w:szCs w:val="13"/>
                <w:color w:val="auto"/>
              </w:rPr>
              <w:t>Solid GT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tcBorders>
              <w:right w:val="single" w:sz="8" w:color="auto"/>
            </w:tcBorders>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1,083,205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1,409</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1,409</w:t>
            </w:r>
          </w:p>
        </w:tc>
        <w:tc>
          <w:tcPr>
            <w:tcW w:w="1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(1,409)</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Issuance of Series D common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units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641,140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ind w:left="120"/>
              <w:spacing w:after="0" w:line="121" w:lineRule="exact"/>
              <w:rPr>
                <w:sz w:val="20"/>
                <w:szCs w:val="20"/>
                <w:color w:val="auto"/>
              </w:rPr>
            </w:pPr>
            <w:r>
              <w:rPr>
                <w:rFonts w:ascii="Arial" w:cs="Arial" w:eastAsia="Arial" w:hAnsi="Arial"/>
                <w:sz w:val="13"/>
                <w:szCs w:val="13"/>
                <w:color w:val="auto"/>
                <w:w w:val="96"/>
              </w:rPr>
              <w:t>Unrealized loss on available for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80" w:type="dxa"/>
            <w:vAlign w:val="bottom"/>
          </w:tcPr>
          <w:p>
            <w:pPr>
              <w:ind w:left="240"/>
              <w:spacing w:after="0"/>
              <w:rPr>
                <w:sz w:val="20"/>
                <w:szCs w:val="20"/>
                <w:color w:val="auto"/>
              </w:rPr>
            </w:pPr>
            <w:r>
              <w:rPr>
                <w:rFonts w:ascii="Arial" w:cs="Arial" w:eastAsia="Arial" w:hAnsi="Arial"/>
                <w:sz w:val="13"/>
                <w:szCs w:val="13"/>
                <w:color w:val="auto"/>
              </w:rPr>
              <w:t>sale securities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tcBorders>
              <w:right w:val="single" w:sz="8" w:color="auto"/>
            </w:tcBorders>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(26)</w:t>
            </w:r>
          </w:p>
        </w:tc>
        <w:tc>
          <w:tcPr>
            <w:tcW w:w="160" w:type="dxa"/>
            <w:vAlign w:val="bottom"/>
          </w:tcPr>
          <w:p>
            <w:pPr>
              <w:spacing w:after="0"/>
              <w:rPr>
                <w:sz w:val="13"/>
                <w:szCs w:val="13"/>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Balance at September 30, 2017</w:t>
            </w: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(unaudited)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2,500,000</w:t>
            </w:r>
          </w:p>
        </w:tc>
        <w:tc>
          <w:tcPr>
            <w:tcW w:w="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$ 25,000</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4,414,356</w:t>
            </w:r>
          </w:p>
        </w:tc>
        <w:tc>
          <w:tcPr>
            <w:tcW w:w="760" w:type="dxa"/>
            <w:vAlign w:val="bottom"/>
            <w:tcBorders>
              <w:right w:val="single" w:sz="8" w:color="auto"/>
            </w:tcBorders>
            <w:gridSpan w:val="3"/>
            <w:shd w:val="clear" w:color="auto" w:fill="CCEEFF"/>
          </w:tcPr>
          <w:p>
            <w:pPr>
              <w:ind w:left="120"/>
              <w:spacing w:after="0"/>
              <w:rPr>
                <w:sz w:val="20"/>
                <w:szCs w:val="20"/>
                <w:color w:val="auto"/>
              </w:rPr>
            </w:pPr>
            <w:r>
              <w:rPr>
                <w:rFonts w:ascii="Arial" w:cs="Arial" w:eastAsia="Arial" w:hAnsi="Arial"/>
                <w:sz w:val="13"/>
                <w:szCs w:val="13"/>
                <w:color w:val="auto"/>
              </w:rPr>
              <w:t>$ 44,177</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19,241,003</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0"/>
              </w:rPr>
              <w:t>64,191</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(109,771)</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(45,583)</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u w:val="single" w:color="auto"/>
                <w:color w:val="auto"/>
                <w:w w:val="86"/>
              </w:rPr>
              <w:t>$</w:t>
            </w:r>
            <w:r>
              <w:rPr>
                <w:rFonts w:ascii="Arial" w:cs="Arial" w:eastAsia="Arial" w:hAnsi="Arial"/>
                <w:sz w:val="13"/>
                <w:szCs w:val="13"/>
                <w:color w:val="auto"/>
                <w:w w:val="86"/>
              </w:rPr>
              <w:t>(45,583)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vMerge w:val="restart"/>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80" w:type="dxa"/>
            <w:vAlign w:val="bottom"/>
            <w:gridSpan w:val="5"/>
          </w:tcPr>
          <w:p>
            <w:pPr>
              <w:jc w:val="center"/>
              <w:ind w:right="108"/>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380" w:type="dxa"/>
            <w:vAlign w:val="bottom"/>
            <w:gridSpan w:val="5"/>
          </w:tcPr>
          <w:p>
            <w:pPr>
              <w:jc w:val="center"/>
              <w:ind w:right="10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8"/>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(6,664)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(23,773)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(15,254)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1"/>
              </w:rPr>
              <w:t>(38,691)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140"/>
              <w:spacing w:after="0" w:line="149" w:lineRule="exact"/>
              <w:rPr>
                <w:sz w:val="20"/>
                <w:szCs w:val="20"/>
                <w:color w:val="auto"/>
              </w:rPr>
            </w:pPr>
            <w:r>
              <w:rPr>
                <w:rFonts w:ascii="Arial" w:cs="Arial" w:eastAsia="Arial" w:hAnsi="Arial"/>
                <w:sz w:val="14"/>
                <w:szCs w:val="14"/>
                <w:color w:val="auto"/>
              </w:rPr>
              <w:t>Amortization of premium on available for sale securities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505</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379</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Equity-based compensation expense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1,470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1,122</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140"/>
              <w:spacing w:after="0" w:line="149" w:lineRule="exact"/>
              <w:rPr>
                <w:sz w:val="20"/>
                <w:szCs w:val="20"/>
                <w:color w:val="auto"/>
              </w:rPr>
            </w:pPr>
            <w:r>
              <w:rPr>
                <w:rFonts w:ascii="Arial" w:cs="Arial" w:eastAsia="Arial" w:hAnsi="Arial"/>
                <w:sz w:val="14"/>
                <w:szCs w:val="14"/>
                <w:color w:val="auto"/>
              </w:rPr>
              <w:t>Depreciation expense</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Loss / (gain) from revaluation of preferred unit tranche right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14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(2,216)</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585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2,213</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278</w:t>
            </w:r>
          </w:p>
        </w:tc>
        <w:tc>
          <w:tcPr>
            <w:tcW w:w="80" w:type="dxa"/>
            <w:vAlign w:val="bottom"/>
          </w:tcPr>
          <w:p>
            <w:pPr>
              <w:spacing w:after="0"/>
              <w:rPr>
                <w:sz w:val="12"/>
                <w:szCs w:val="12"/>
                <w:color w:val="auto"/>
              </w:rPr>
            </w:pPr>
          </w:p>
        </w:tc>
        <w:tc>
          <w:tcPr>
            <w:tcW w:w="5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2,577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2,286</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156"/>
        </w:trPr>
        <w:tc>
          <w:tcPr>
            <w:tcW w:w="828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(4,204)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(20,120)</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0"/>
              </w:rPr>
              <w:t>(14,546)</w:t>
            </w: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0"/>
              </w:rPr>
              <w:t>(29,242)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(392)</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(231)</w:t>
            </w: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sales and maturities of available for sale securities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22,035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15,113</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7"/>
              </w:rPr>
              <w:t>26,350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Purchases of available for sale securities</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(26,806)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(25,695)</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(24,583)</w:t>
            </w: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1"/>
              </w:rPr>
              <w:t>(11,143)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restricted cash</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8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(26,806)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(4,217)</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(9,866)</w:t>
            </w: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13,260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Proceeds from issuance of Series 1 Senior preferred units</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7"/>
              </w:rPr>
              <w:t>24,500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deferred offering costs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Proceeds from issuance of redeemable preferred units</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3,420</w:t>
            </w: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non-controlling interest in Solid GT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44,752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28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51,592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3,420</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23,321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(20,917)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(24,412)</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8,013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28,595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7"/>
              </w:rPr>
              <w:t>28,595</w:t>
            </w:r>
          </w:p>
        </w:tc>
        <w:tc>
          <w:tcPr>
            <w:tcW w:w="80" w:type="dxa"/>
            <w:vAlign w:val="bottom"/>
          </w:tcPr>
          <w:p>
            <w:pPr>
              <w:spacing w:after="0"/>
              <w:rPr>
                <w:sz w:val="12"/>
                <w:szCs w:val="12"/>
                <w:color w:val="auto"/>
              </w:rPr>
            </w:pPr>
          </w:p>
        </w:tc>
        <w:tc>
          <w:tcPr>
            <w:tcW w:w="5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28,595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7,678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4,183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7"/>
              </w:rPr>
              <w:t>15,017</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of preferred unit tranche liability to preferred units upon settlement</w:t>
            </w: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24,008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10,841</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4"/>
                <w:szCs w:val="14"/>
                <w:color w:val="auto"/>
              </w:rPr>
              <w:t>Decretion (accretion) to redemption value for redeemable preferred units</w:t>
            </w: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80" w:type="dxa"/>
            <w:vAlign w:val="bottom"/>
            <w:gridSpan w:val="2"/>
            <w:vMerge w:val="continue"/>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4,309</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1,198</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(959</w:t>
            </w: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2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Redemption of preferred units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8"/>
              <w:spacing w:after="0" w:line="143" w:lineRule="exact"/>
              <w:rPr>
                <w:sz w:val="20"/>
                <w:szCs w:val="20"/>
                <w:color w:val="auto"/>
              </w:rPr>
            </w:pPr>
            <w:r>
              <w:rPr>
                <w:rFonts w:ascii="Arial" w:cs="Arial" w:eastAsia="Arial" w:hAnsi="Arial"/>
                <w:sz w:val="14"/>
                <w:szCs w:val="14"/>
                <w:color w:val="auto"/>
                <w:w w:val="97"/>
              </w:rPr>
              <w:t>15,685</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4"/>
                <w:szCs w:val="14"/>
                <w:color w:val="auto"/>
              </w:rPr>
              <w:t>Redemption of redeemable interest from non-controlling interest in Solid GT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80" w:type="dxa"/>
            <w:vAlign w:val="bottom"/>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(1,925</w:t>
            </w: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2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Deferred offering costs included in accounts payable and accrued expenses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8"/>
              <w:spacing w:after="0" w:line="143" w:lineRule="exact"/>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4"/>
                <w:szCs w:val="14"/>
                <w:color w:val="auto"/>
              </w:rPr>
              <w:t>Property and equipment included in accounts payable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80" w:type="dxa"/>
            <w:vAlign w:val="bottom"/>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116</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w:t>
            </w:r>
          </w:p>
        </w:tc>
        <w:tc>
          <w:tcPr>
            <w:tcW w:w="3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2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Series D common units in exchange for Series A common units</w:t>
            </w: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4"/>
                <w:szCs w:val="14"/>
                <w:color w:val="auto"/>
              </w:rPr>
              <w:t>Issuance of Series A common units in exchange for Redeemable preferred units</w:t>
            </w: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80" w:type="dxa"/>
            <w:vAlign w:val="bottom"/>
            <w:gridSpan w:val="2"/>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7"/>
              </w:rPr>
              <w:t>55,964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2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Junior preferred units upon redemption of Class D non-controlling interest in Solid GT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8"/>
              <w:spacing w:after="0" w:line="143" w:lineRule="exact"/>
              <w:rPr>
                <w:sz w:val="20"/>
                <w:szCs w:val="20"/>
                <w:color w:val="auto"/>
              </w:rPr>
            </w:pPr>
            <w:r>
              <w:rPr>
                <w:rFonts w:ascii="Arial" w:cs="Arial" w:eastAsia="Arial" w:hAnsi="Arial"/>
                <w:sz w:val="14"/>
                <w:szCs w:val="14"/>
                <w:color w:val="auto"/>
                <w:w w:val="97"/>
              </w:rPr>
              <w:t>44,177</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4"/>
                <w:szCs w:val="14"/>
                <w:color w:val="auto"/>
              </w:rPr>
              <w:t>Issuance of Series C common units in exchange for Class B non-controlling interest in Solid GT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80" w:type="dxa"/>
            <w:vAlign w:val="bottom"/>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2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Series D common units in exchange for Class C non-controlling interest in Solid GT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8"/>
              <w:spacing w:after="0" w:line="143" w:lineRule="exact"/>
              <w:rPr>
                <w:sz w:val="20"/>
                <w:szCs w:val="20"/>
                <w:color w:val="auto"/>
              </w:rPr>
            </w:pPr>
            <w:r>
              <w:rPr>
                <w:rFonts w:ascii="Arial" w:cs="Arial" w:eastAsia="Arial" w:hAnsi="Arial"/>
                <w:sz w:val="14"/>
                <w:szCs w:val="14"/>
                <w:color w:val="auto"/>
              </w:rPr>
              <w:t>1,409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Solid Biosciences, LLC (the “Company”) was organized under the laws of the State of Delaware in March 2013 under the name SOLID Ventures Management, LLC. In October 2013, the Company changed its name to Solid Ventures, LLC and in June 2015, the Company changed its name to Solid Biosciences, LLC.</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mission is to cure Duchenne muscular dystrophy (DMD), a genetic muscle-wasting disease predominantly affecting boys. It is caused by mutations in the dystrophin gene, which result in the absence or near-absence of dystrophin protein. Dystrophin protein works to strengthen muscle fibers and protect them from daily wear and tear. Without functioning dystrophin and certain associated proteins, muscles suffer excessive damage from normal daily activities and are unable to regenerate, leading to the build-up of fibrotic, or scar, and fat tissue. The Company’s lead product candidate, SGT-001, is a gene transfer under development to restore functional dystrophin protein expression in patients’ muscles. SGT-001 has been granted Rare Pediatric Disease Designation (RPDD) in the United States and Orphan Drug Designations in both the United States and European Union. The Company filed an Investigational New Drug application, or IND, in September 2017 and initiated a Phase I/II for SGT-001 in the United States during the fourth quarter of 2017.</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development by competitors of new technological innovations, dependence on licenses,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and clinical trials and regulatory approval, prior to commercialization. These efforts require significant amounts of additional capital, adequate personnel infrastructure and extensive compliance and reporting capabilities.</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other pharmaceutical and biotechnology companies. In addition, the Company is dependent upon the services of its employees, partners and consultants.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consolidated financial statements have been prepared on a basis that assumes the Company will continue as a going concern and which contemplates the realization of assets and satisfaction of liabilities and commitments in the ordinary course of business. Through December 31, 2016 and September 30, 2017, the Company has funded its operations primarily with proceeds from the sale of redeemable preferred units. The Company has incurred recurring losses from operations since its inception, including a net loss of $23,773 for the year ended December 31, 2016 and $38,691 for the nine months ended September 30, 2017. In addition, as of December 31, 2016 and September 30, 2017, the Company had an accumulated members’ deficit of $84,941 and $109,771, respectively. The Company expects to continue to generate operating losses for the foreseeable future. The Company expects that its cash, cash equivalents and available-for-sale securities of $29,570 as of September 30, 2017 together with the $55,000 of net proceeds raised through the issuance of the Series 2 Senior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Presentation—(Continued)</w:t>
      </w:r>
    </w:p>
    <w:p>
      <w:pPr>
        <w:spacing w:after="0" w:line="13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Preferred Units, as discussed below, will be sufficient to fund its operating expenses and capital expenditure requirements through June 30, 2018. The future viability of the Company beyond that point is dependent on its ability to obtain additional financing to fund future operations. The circumstances described above raise substantial doubt about the Company’s ability to continue as a going concern as of December 31, 2016 and September 30, 2017. The consolidated financial statements do not include any adjustments that might result from the outcome of this uncertainty.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26, 2017, the Company issued 4,886,000 Series 2 Senior Preferred Units (the “Series 2 Senior Preferred Units”) at an issuance price of $11.26 for net proceeds of $55,000.</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Company is also seeking to complete an initial public offering of its common stock. Upon the closing of a qualified public offering on specific terms, the Company’s outstanding preferred units and common units will automatically convert into common shares. See Note 10, </w:t>
      </w:r>
      <w:r>
        <w:rPr>
          <w:rFonts w:ascii="Arial" w:cs="Arial" w:eastAsia="Arial" w:hAnsi="Arial"/>
          <w:sz w:val="18"/>
          <w:szCs w:val="18"/>
          <w:i w:val="1"/>
          <w:iCs w:val="1"/>
          <w:color w:val="auto"/>
        </w:rPr>
        <w:t>Redeemable Preferred Units</w:t>
      </w:r>
      <w:r>
        <w:rPr>
          <w:rFonts w:ascii="Arial" w:cs="Arial" w:eastAsia="Arial" w:hAnsi="Arial"/>
          <w:sz w:val="18"/>
          <w:szCs w:val="18"/>
          <w:color w:val="auto"/>
        </w:rPr>
        <w:t xml:space="preserve">, </w:t>
      </w:r>
      <w:r>
        <w:rPr>
          <w:rFonts w:ascii="Arial" w:cs="Arial" w:eastAsia="Arial" w:hAnsi="Arial"/>
          <w:sz w:val="18"/>
          <w:szCs w:val="18"/>
          <w:i w:val="1"/>
          <w:iCs w:val="1"/>
          <w:color w:val="auto"/>
        </w:rPr>
        <w:t>Series 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Senior Preferred Units and Junior Preferred Units </w:t>
      </w:r>
      <w:r>
        <w:rPr>
          <w:rFonts w:ascii="Arial" w:cs="Arial" w:eastAsia="Arial" w:hAnsi="Arial"/>
          <w:sz w:val="18"/>
          <w:szCs w:val="18"/>
          <w:color w:val="auto"/>
        </w:rPr>
        <w:t>for additional information.</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execute its business plans, the Company will need substantial funding to support its continuing operations and pursue its growth strategy. Until the Company can generate significant revenue from product sales, if ever, it expects to finance its operations through the sale of public or private equity, debt financings or other capital sources, including collaborations with other companies or other strategic transactions. The Company may not be able to obtain financing on acceptable terms, or at all. Even if the Company is able to secure the financing, the terms of any financing may adversely affect the holdings or the rights of the Company’s unitholders. If the Company is unable to obtain funding, the Company could be forced to delay, reduce or eliminate some or all of its research and development programs, pre-clinical and eventual clinical testing or commercialization efforts, which could adversely affect its business prospects. Although management continues to pursue these plans, there is no assurance that the Company will be successful in obtaining sufficient financing on terms acceptable to the Company to fund continuing operations, if at all.</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Company had historically owned 100% of the voting units of its wholly owned subsidiary, Solid GT, LLC (“Solid GT”) and the results of Solid GT are included in the Company’s consolidated financial statements. In November 2015, Solid GT issued voting units to new investors which decreased the Company’s voting ownership in Solid GT to 77%. The Company continues to consolidate the results of Solid GT into its financial statements as the Company owned a majority voting interest in Solid GT and directed the activities of Solid GT. However, because the Company controlled but owned less than 100% of Solid GT, the Company has recorded a non-controlling ownership interest at its fair value at inception and recognizes the net loss or profit attributable to non-controlling interests in the consolidated statements of operations based on a profit and loss sharing arrangement between the Company and the non-controlling interests. The Company also presents the change in equity related to equity-based compensation issued to Solid GT employees by Solid GT, in non-controlling interest. See Note 12, </w:t>
      </w:r>
      <w:r>
        <w:rPr>
          <w:rFonts w:ascii="Arial" w:cs="Arial" w:eastAsia="Arial" w:hAnsi="Arial"/>
          <w:sz w:val="17"/>
          <w:szCs w:val="17"/>
          <w:i w:val="1"/>
          <w:iCs w:val="1"/>
          <w:color w:val="auto"/>
        </w:rPr>
        <w:t>Equity-Based Compensation</w:t>
      </w:r>
      <w:r>
        <w:rPr>
          <w:rFonts w:ascii="Arial" w:cs="Arial" w:eastAsia="Arial" w:hAnsi="Arial"/>
          <w:sz w:val="17"/>
          <w:szCs w:val="17"/>
          <w:color w:val="auto"/>
        </w:rPr>
        <w:t xml:space="preserve"> for additional information.</w:t>
      </w:r>
    </w:p>
    <w:p>
      <w:pPr>
        <w:spacing w:after="0" w:line="1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On March 29, 2017, the Company merged the operations of Solid GT into the Company and Solid GT ceased to exist as a legal entity. See Note 3, </w:t>
      </w:r>
      <w:r>
        <w:rPr>
          <w:rFonts w:ascii="Arial" w:cs="Arial" w:eastAsia="Arial" w:hAnsi="Arial"/>
          <w:sz w:val="18"/>
          <w:szCs w:val="18"/>
          <w:i w:val="1"/>
          <w:iCs w:val="1"/>
          <w:color w:val="auto"/>
        </w:rPr>
        <w:t>Merger</w:t>
      </w:r>
      <w:r>
        <w:rPr>
          <w:rFonts w:ascii="Arial" w:cs="Arial" w:eastAsia="Arial" w:hAnsi="Arial"/>
          <w:sz w:val="18"/>
          <w:szCs w:val="18"/>
          <w:color w:val="auto"/>
        </w:rPr>
        <w:t xml:space="preserve"> </w:t>
      </w:r>
      <w:r>
        <w:rPr>
          <w:rFonts w:ascii="Arial" w:cs="Arial" w:eastAsia="Arial" w:hAnsi="Arial"/>
          <w:sz w:val="18"/>
          <w:szCs w:val="18"/>
          <w:i w:val="1"/>
          <w:iCs w:val="1"/>
          <w:color w:val="auto"/>
        </w:rPr>
        <w:t>and Recapitalization</w:t>
      </w:r>
      <w:r>
        <w:rPr>
          <w:rFonts w:ascii="Arial" w:cs="Arial" w:eastAsia="Arial" w:hAnsi="Arial"/>
          <w:sz w:val="18"/>
          <w:szCs w:val="18"/>
          <w:color w:val="auto"/>
        </w:rPr>
        <w:t>, for additional information.</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proportionate share of the loss attributed to the non-controlling interest amounted to $287 and $2,234 and $1,471 and $1,060 for the years ended December 31, 2015 and 2016 and the nine months ended September 30, 2016 and 2017,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Presentation—(Continued)</w:t>
      </w:r>
    </w:p>
    <w:p>
      <w:pPr>
        <w:spacing w:after="0" w:line="13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carrying value of the non-controlling interest was $47,588 and $46,474 at December 31, 2015 and 2016. There was no non-controlling interest at September 30, 2017.</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The accompanying consolidated financial statements include the accounts of Solid Biosciences, LLC and its wholly owned or controlled subsidiaries. All intercompany accounts and transactions have been eliminated.</w:t>
      </w:r>
    </w:p>
    <w:p>
      <w:pPr>
        <w:spacing w:after="0" w:line="285" w:lineRule="exact"/>
        <w:rPr>
          <w:sz w:val="20"/>
          <w:szCs w:val="20"/>
          <w:color w:val="auto"/>
        </w:rPr>
      </w:pPr>
    </w:p>
    <w:p>
      <w:pPr>
        <w:ind w:right="7860" w:firstLine="8"/>
        <w:spacing w:after="0" w:line="378" w:lineRule="auto"/>
        <w:tabs>
          <w:tab w:leader="none" w:pos="1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60"/>
        <w:spacing w:after="0" w:line="273" w:lineRule="auto"/>
        <w:rPr>
          <w:sz w:val="20"/>
          <w:szCs w:val="20"/>
          <w:color w:val="auto"/>
        </w:rPr>
      </w:pPr>
      <w:r>
        <w:rPr>
          <w:rFonts w:ascii="Arial" w:cs="Arial" w:eastAsia="Arial" w:hAnsi="Arial"/>
          <w:sz w:val="17"/>
          <w:szCs w:val="17"/>
          <w:color w:val="auto"/>
        </w:rPr>
        <w:t>The preparation of the Company’s consolidated financial statements in conformity with GAAP requires management to make estimates, judgments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recognition of research and development expenses and the valuation of restricted common units and the preferred unit tranche rights. Estimates are periodically reviewed in light of changes in circumstances, facts and experience. Changes in estimates are recorded in the period in which they become known. Actual results could differ from the Company’s estimates.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accompanying consolidated balance sheet as of September 30, 2017, the consolidated statements of operations, comprehensive loss and cash flows for the nine months ended September 30, 2016 and 2017, and the consolidated statement of redeemable preferred units and members’ deficit for the nine months ended September 30, 2017 are unaudited. The unaudited interim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September 30, 2017, and the results of its operations and its cash flows for the nine months ended September 30, 2016 and 2017. The financial data and other information disclosed in these notes related to the nine months ended September 30, 2016 and 2017 are unaudited. The results for the nine months ended September 30, 2017 are not necessarily indicative of results to be expected for the year ending December 31, 2017 or any other interim periods, or any future year or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Information</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accompanying unaudited pro forma consolidated balance sheet as of September 30, 2017 has been prepared to give effect to the Company’s conversion to a corporation whereby all outstanding Series 2 Senior Preferred Units, Series 1 Senior Preferred Units, Junior Preferred Units and Series A, B, C and D Common Units are converted into shares of common stock as if the proposed Corporate Conversion had occurred on September 30, 2017.</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Policies—(Continued)</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accompanying consolidated statements of operations, unaudited pro forma basic and diluted net loss per unit attributable to common unitholders for the year ended December 31, 2016 and the nine months ended September 30, 2017 have been prepared to give effect to the Company’s conversion to a corporation whereby all outstanding Series 2 Senior Preferred Units, Series 1 Senior Preferred Units, Junior Preferred Units and Series A, B, C and D Common Units are converted into shares of common stock as if the proposed Corporate Conversion had occurred on the later of January 1, 2016 or the issuance date of the preferred and common units.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short-term, highly liquid investments with original maturities of 90 days or less at acquisition date to be cash equivalents.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held restricted cash of $100 and $65 in separate restricted bank accounts as a security deposit for the Company’s credit card program and for the lease of the Company’s facility, respectively, as of December 31, 2016. The Company has classified these deposits as long-term assets on its balance sheets at such date. There was no restricted cash at December 31,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held restricted cash of $97 and $65 in separate restricted bank accounts as a security deposit for the Company’s credit card program and for the lease of the Company’s facility, respectively, as of September 30, 2017. The Company has included the amount of $97 as a long-term asset and the amount of $65 as a current asset as of September 30,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Available-for-sale securities consist of investments with original maturities greater than 90 days at acquisition date. The Company has classified its investments with maturities beyond one year as short term, based on their highly liquid nature and because such available-for-sale securities represent the investment of cash that is available for current operations.</w:t>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classifies all of its investments as available-for-sale securities. The Company’s investments are measured and reported at fair value using quoted prices in active markets for similar securities. Unrealized gains and losses on available-for-sale securities are reported as a separate component of members’ deficit. The cost of securities sold is determined on a specific identification basis, and realized gains and losses are included in other income (expense) within the consolidated statement of operations. If any adjustment to fair value reflects a decline in the value of the investment that the Company considers to be “other than temporary,” the Company reduces the investment to fair value through a charge to the consolidated statement of operations. No such adjustments were necessary during the periods presented.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and cash equivalents. Periodically, the Company maintains deposits in accredited financial institutions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Policies—(Continued)</w:t>
      </w:r>
    </w:p>
    <w:p>
      <w:pPr>
        <w:spacing w:after="0" w:line="13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excess of federally insured limits. The Company maintains each of its cash balances with high-quality and accredited financial institutions and accordingly, such funds are not exposed to significant credit risk. The Company does not believe that it is subject to unusual credit risk beyond the normal credit risk associated with commercial banking relationships.</w:t>
      </w:r>
    </w:p>
    <w:p>
      <w:pPr>
        <w:spacing w:after="0" w:line="1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Company is dependent on third-party manufacturers to supply products for research and development activities of its programs, including pre-clinical testing. These programs could be adversely affected by a significant interruption in the supply of such drug substance products.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8"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The Company’s cash equivalents, available-for-sale securities and the preferred unit tranche rights are carried at fair value, determined according to the fair value hierarchy described above. See Note 4, </w:t>
      </w:r>
      <w:r>
        <w:rPr>
          <w:rFonts w:ascii="Arial" w:cs="Arial" w:eastAsia="Arial" w:hAnsi="Arial"/>
          <w:sz w:val="16"/>
          <w:szCs w:val="16"/>
          <w:i w:val="1"/>
          <w:iCs w:val="1"/>
          <w:color w:val="auto"/>
        </w:rPr>
        <w:t>Fair Value of Financial Assets and Liabilities</w:t>
      </w:r>
      <w:r>
        <w:rPr>
          <w:rFonts w:ascii="Arial" w:cs="Arial" w:eastAsia="Arial" w:hAnsi="Arial"/>
          <w:sz w:val="16"/>
          <w:szCs w:val="16"/>
          <w:color w:val="auto"/>
        </w:rPr>
        <w:t>, for additional information. The carrying values of the Company’s accounts payable and accrued expenses and other current liabilities approximate their fair value due to the short-term nature of these liabilities.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capitalizes certain legal and other third-party fees that are directly associated with in-process equity financings as deferred offering costs until such financings are consummated. After consummation of the equity financing, these costs are recorded as a reduction of the proceeds generated as a result of the offering. Should the planned equity financing be abandoned, the deferred offering costs will be expensed immediately as a charge to operating expense in the consolidated statements of operations. Deferred offering costs amounted to $47 at December 31, 2016 and $2,259 at September 30, 2017. There were no deferred offering costs at December 31, 2015.</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ind w:right="6700" w:firstLine="8"/>
        <w:spacing w:after="0" w:line="385" w:lineRule="auto"/>
        <w:tabs>
          <w:tab w:leader="none" w:pos="1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Policies—(Continued) Property and Equipment</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the useful life of the asset. Laboratory equipment is depreciated over five years. Computer equipment is depreciated over three years. Computer software is depreciated over two years. Furniture and office equipment are depreciated over five years. Leasehold improvements are amortized over the shorter of the lease term or the estimated useful life of the related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or disposals on long-lived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expenses include salaries, equity-based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 Non-refundable pre-payments for goods or services that will be used or rendered for future research and development activities are deferred and capitalized. Such amounts are recognized as expense as the goods or services are delivered or the related services are performed, or until it is no longer expected that the goods will be delivered or the services rendered.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Contract Costs and Accruals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Company’s estimates. The Company’s historical accrual estimates have not been materially different from the actual costs.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All patent-related costs incurred for filing and prosecuting patent applications are expensed as incurred due to the uncertainty about the recovery of the expenditure. Amounts incurred are classified as general and administrative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2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Company measures restricted common units granted to employees and directors based on the fair value on the date of grant and recognizes compensation expense of those awards over the requisite service period, which is generally the vesting period of the respective award. Forfeitures are accounted for as they occur. Generally, the Company issues restricted common units with only service-based vesting conditions and records the expense for these awards using the straight-line method. The Company has not issued any awards with performance-based vesting conditions.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measures restricted common unit awards granted to consultants and non-employees based on the fair value of the award on the date of grant. Compensation expense is recognized over the period during which services are rendered by such consultants and nonemployees until completed. At the end of each financial reporting period prior to completion of the service, the fair value of unvested awards is remeasured using the then-current fair value of the Company’s common units.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statements of operations in the same manner in which the award recipients’ payroll costs are classified or in which the award recipients’ service payments are classified.</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The fair value of each restricted common unit was determined based on a number of objective and subjective factors consistent with the methodologies outlined in the American Institute of Certified Public Accountants Practice Aid, </w:t>
      </w:r>
      <w:r>
        <w:rPr>
          <w:rFonts w:ascii="Arial" w:cs="Arial" w:eastAsia="Arial" w:hAnsi="Arial"/>
          <w:sz w:val="17"/>
          <w:szCs w:val="17"/>
          <w:i w:val="1"/>
          <w:iCs w:val="1"/>
          <w:color w:val="auto"/>
        </w:rPr>
        <w:t>Valuation of Privately-Held-Company Equity Securities Issued as</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including the contemporaneous valuations of the Company’s common units, the Company’s financial condition and operating results, the</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risks related to the Company’s business, the Company’s stage of development and business strategy and the likelihood of achieving a liquidity event for the holders of the Company’s common units such as an initial public offering given prevailing market conditions.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is treated as a partnership for income tax purposes and is not subject to U.S. federal or state income taxation. As a result, the Company has not recorded any U.S. federal or state income tax benefits for the net losses incurred in each reporting period or for any earned research and development tax credits. To date, the operating losses incurred by the Company have been passed through to its members.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ind w:right="6740" w:firstLine="8"/>
        <w:spacing w:after="0" w:line="385" w:lineRule="auto"/>
        <w:tabs>
          <w:tab w:leader="none" w:pos="1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Policies—(Continued) Segment Data</w:t>
      </w:r>
    </w:p>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Company’s singular focus is on developing treatments through gene therapy and other means for patients with DMD. All of the Company’s tangible assets are held in the United States.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Comprehensive loss includes net loss, as well as other changes in members’ deficit that result from transactions and economic events other than those with members. The Company’s only element of other comprehensive income (loss) in all periods presented was unrealized gains (losses) from available-for-sale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Unit</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applies the two-class method to calculate its basic and diluted net loss per unit attributable to common unitholders, as its preferred units and certain unvested common units are considered participating securities. The two-class method determines net income (loss) per unit for each class of common and participating securities according to participation rights in undistributed earnings. The two-class method requires income available to common unitholders for the period to be allocated between common and participating securities based upon their respective rights to receive dividends as if all income for the period had been distributed. As holders of the Company’s participating securities, which include Redeemable Preferred Units, Series 1 Senior Preferred Units, Junior Preferred Units and certain unvested common units, do not have a contractual obligation to fund the losses of the Company, the net loss is not allocated between common units and participating securities.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exchange of Series A Common Units to Series B and Series D Common Units as the result of Merger and Recapitalization described in Note 3 is treated similar to a stock split for the purposes of presenting weighted-average units outstanding. The Company’s weighted-average number of common units for the periods prior to Merger and Recapitalization, therefore, have been retroactively adjusted to reflect the exchange of vested Series A Common Units into vested Series B and vested Series D Common Units. Accordingly, for the period subsequent to the Merger and Recapitalization, weighted-average units outstanding include newly issued Series A Common Units, vested Series B, vested Series D Common Units and Series C Common Units. Although each series of units has different rights, losses are shared equally among each of the series of common units and therefore, net loss per unit is the same for each series of common units.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basic and diluted net loss per unit are the same because the Company has generated a net loss in all periods presented and potentially dilutive securities are excluded from diluted net loss per unit because they have an anti-dilutive impact.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Unit Tranche Rights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Included in the terms of the Redeemable Preferred Unit Purchase Agreement was a Redeemable Preferred Unit Tranche Right granted to the holders of the Redeemable Preferred Units. Included in the terms of the Series 1 Senior Preferred Unit Purchase Agreement was a Series 1 Senior Preferred Unit Tranche Right granted to the holders of the Series 1 Senior Preferred Units.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Policies—(Continued)</w:t>
      </w:r>
    </w:p>
    <w:p>
      <w:pPr>
        <w:spacing w:after="0" w:line="13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Redeemable Preferred Unit Tranche Right and the Series 1 Preferred Unit Tranche Right, together the Tranche Rights, obligate the holders to purchase additional preferred units under certain conditions. The Tranche Rights also provide the holders with the right to purchase these additional units. The Tranche Rights meet the definition of a freestanding financial instrument as the Tranche Rights are legally detachable and separately exercisable from the Redeemable Preferred Units and the Series 1 Senior Preferred Units. The Tranche Rights are initially recorded at fair value and are subsequently re-measured at fair value each reporting period. Changes in the fair market value are recognized as a component of other income (expense), net, in the consolidated statements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from Charitable Organizations</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has received funding from charitable organizations to perform research and development services to identify therapies for people with DMD. The amounts received are recognized as services are performed and research expenses are incurred. These are included in other income in the consolidated statements of operations as the arrangement between the Company and the charitable organizations are not part of the Company’s on-going, major or central operations. Any amount received in advance of services performed is recorded in accrued expenses and other current liabilities in the consolidated balance sheets if the services are expected to be performed within the next twelve months.</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recognized other income of $271, $168 and $908 for the year ended December 31, 2016, and the nine months ended September 30, 2016 and 2017, respectively, which is included in the consolidated statements of operations. There was no other income recorded for the year ended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Loss contingency provisions are recorded if the potential loss from any claim, asserted or unasserted, or legal proceeding, is considered probable and the amount can be reasonably estimated or a range of loss can be determined. These accruals represent the Company’s best estimate of probable loss. Disclosure also is provided when it is reasonably possible that a loss will be incurred or when it is reasonably possible that the amount of a loss will exceed the recorded provision.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may change its estimates. These changes in the estimates of the potential liabilities could have a material impact on the Company’s consolidated results of operations and financial position.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(“ASU 2016-09”). ASU 2016-09 includes multiple provisions intended to simplify various aspects of the accounting for share-based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income tax consequences, classification of awards as either equity or liabilities, an option to recognize gross share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Policies—(Continued)</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compensation expense with actual forfeitures recognized as they occur, as well as certain classifications on the statement of cash flows. The Company elected to early adopt the standard on January 1, 2016. The adoption of ASU 2016-09 had no material impact on the Company’s financial position, results of operations or cash flows. The Company elected to account for forfeitures as they occur rather than apply an estimated forfeiture rate to share-based compensation expense.</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(“ASU 2014-15”). ASU 2014-15 amends Accounting Standards Codification (“ASC”) 205-40,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by providing guidance on determining when and how reporting entities must disclose going-concern uncertainties in their financial statements, including requiring management to perform interim and annual assessments of an entity’s ability to continue as a going concern within one year of the date of issuance of the entity’s financial statements and providing certain disclosures if there is substantial doubt about the entity’s ability to continue as a going concern. The standard is effective for public companies for annual periods ending after December 15, 2016 and interim periods within annual periods beginning after December 15, 2016. The Company has adopted this standard for the year ended December 31, 2016 and its adoption had no impact on the Company’s financial position, results of operations or cash flows.</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supersedes the revenue recognition requirements in ASC 605-25, </w:t>
      </w:r>
      <w:r>
        <w:rPr>
          <w:rFonts w:ascii="Arial" w:cs="Arial" w:eastAsia="Arial" w:hAnsi="Arial"/>
          <w:sz w:val="17"/>
          <w:szCs w:val="17"/>
          <w:i w:val="1"/>
          <w:iCs w:val="1"/>
          <w:color w:val="auto"/>
        </w:rPr>
        <w:t>Multiple-Element Arrangements</w:t>
      </w:r>
      <w:r>
        <w:rPr>
          <w:rFonts w:ascii="Arial" w:cs="Arial" w:eastAsia="Arial" w:hAnsi="Arial"/>
          <w:sz w:val="17"/>
          <w:szCs w:val="17"/>
          <w:color w:val="auto"/>
        </w:rPr>
        <w:t xml:space="preserve">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will be effective for annual reporting periods (including interim reporting periods within those years) beginning on January 1, 2018. Early adoption in 2017 is permitted. Companies have the option of applying this new guidance retrospectively to each prior reporting period presented or retrospectively with the cumulative effect of initially applying this update recognized at the date of initial application. The Company elected to early adopt the standard on January 1, 2017. The Company does not have any revenue generating arrangements and the adoption of this standard had no impact on the Company’s financial position, results of operations or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(“ASU 2017-09”). ASC 2017-09 provides guidance about which changes to the terms or conditions of a share-based payment award require an entity to apply modification accounting in Topic 718. The guidance is effective for annual periods beginning after December 15, 2017, with early adoption permitted, including adoption in any interim period for which financial statements have not yet been issued. Upon adoption of this standard, the Company will apply modification accounting in accordance with the standard.</w:t>
      </w:r>
    </w:p>
    <w:p>
      <w:pPr>
        <w:spacing w:after="0" w:line="18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which requires that amounts generally described as restricted cash and restricted cash equivalents should be included with cash and cash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Policies—(Continued)</w:t>
      </w:r>
    </w:p>
    <w:p>
      <w:pPr>
        <w:spacing w:after="0" w:line="13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equivalents when reconciling the beginning-of-period and end-of-period total amounts shown on the statement of cash flows. ASU 2016-18 is effective for fiscal years beginning after December 15, 2018 and should be applied using a retrospective transition method to each period presented. Early adoption is permitted. The Company is in the process of evaluating the impact of ASU 2016-17 on its financial statements.</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(“ASU 2016-15”). ASU 2016-15 reduces diversity in practice by providing guidance on the classification of certain cash receipts and payments in the statement of cash flows. ASU 2016-15 clarifies that when cash receipts and cash payments have aspects of more than one class of cash flows and cannot be separated, classification will depend on the predominant source or use. ASU 2016-15 is effective on a retrospective basis for fiscal years, and for interim periods within those fiscal years, beginning after December 15, 2017, with early adoption permitted. The adoption of this standard is not expected to have a material impact on our statements of cash flows upon adoption.</w:t>
      </w:r>
    </w:p>
    <w:p>
      <w:pPr>
        <w:spacing w:after="0" w:line="19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(ASC Topic</w:t>
      </w:r>
    </w:p>
    <w:p>
      <w:pPr>
        <w:spacing w:after="0" w:line="5" w:lineRule="exact"/>
        <w:rPr>
          <w:sz w:val="20"/>
          <w:szCs w:val="20"/>
          <w:color w:val="auto"/>
        </w:rPr>
      </w:pPr>
    </w:p>
    <w:p>
      <w:pPr>
        <w:ind w:left="380" w:hanging="372"/>
        <w:spacing w:after="0"/>
        <w:tabs>
          <w:tab w:leader="none" w:pos="3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supersedes the previous leases standard, ASC 840, </w:t>
      </w:r>
      <w:r>
        <w:rPr>
          <w:rFonts w:ascii="Arial" w:cs="Arial" w:eastAsia="Arial" w:hAnsi="Arial"/>
          <w:sz w:val="16"/>
          <w:szCs w:val="16"/>
          <w:i w:val="1"/>
          <w:iCs w:val="1"/>
          <w:color w:val="auto"/>
        </w:rPr>
        <w:t>Leases</w:t>
      </w:r>
      <w:r>
        <w:rPr>
          <w:rFonts w:ascii="Arial" w:cs="Arial" w:eastAsia="Arial" w:hAnsi="Arial"/>
          <w:sz w:val="16"/>
          <w:szCs w:val="16"/>
          <w:color w:val="auto"/>
        </w:rPr>
        <w:t>. The standard is effective for public entities for annual periods beginning after December 15,</w:t>
      </w:r>
    </w:p>
    <w:p>
      <w:pPr>
        <w:spacing w:after="0" w:line="3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2018 and for interim periods within those fiscal years. Early adoption is permitted. The Company is currently evaluating the impact that the adoption of ASU 2016-02 will have on its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Merger and Recapitalization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March 29, 2017, the Company completed a series of transactions, which included the issuance of Series 1 Senior Preferred Units pursuant to the Senior Preferred Unit Purchase Agreement (the “Senior Preferred Unit Purchase Agreement”) and the merger of Solid GT into the Company pursuant to the merger agreement between the Company and Solid GT (the “Merger Agreement”), collectively referred to as the “Merger and Recapitalization.” As part of the Merger and Recapitalization, the Company (a) issued 2,500,000 Series 1 Senior Preferred Units to new investors at $10.00 per unit resulting in gross proceeds to the Company of $25,000, (b) merged operations of Solid GT into the Company, effected through the exchange of Solid GT units held by non-controlling interests of the Company into new classes of the Company units, and (c) exchanged existing Redeemable Preferred Units and Series A Common Units of the Company into new units. The details of each component of the Merger and Recapitalization are as follows:</w:t>
      </w:r>
    </w:p>
    <w:p>
      <w:pPr>
        <w:spacing w:after="0" w:line="326"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i w:val="1"/>
          <w:iCs w:val="1"/>
          <w:color w:val="auto"/>
        </w:rPr>
      </w:pPr>
      <w:r>
        <w:rPr>
          <w:rFonts w:ascii="Arial" w:cs="Arial" w:eastAsia="Arial" w:hAnsi="Arial"/>
          <w:sz w:val="18"/>
          <w:szCs w:val="18"/>
          <w:i w:val="1"/>
          <w:iCs w:val="1"/>
          <w:color w:val="auto"/>
        </w:rPr>
        <w:t>Issuance of Series 1 Senior Preferred Units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Senior Preferred Unit Purchase Agreement, the Company issued 2,500,000 Series 1 Senior Preferred Units to new investors at $10.00 per unit resulting in gross proceeds to the Company of $25,000.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Merger and Recapitalization—(Continued)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Redeemable Preferred Units, Series 1 Senior Preferred Units and Junior Preferred Units</w:t>
      </w:r>
      <w:r>
        <w:rPr>
          <w:rFonts w:ascii="Arial" w:cs="Arial" w:eastAsia="Arial" w:hAnsi="Arial"/>
          <w:sz w:val="18"/>
          <w:szCs w:val="18"/>
          <w:color w:val="auto"/>
        </w:rPr>
        <w:t>, for additional information.</w:t>
      </w:r>
    </w:p>
    <w:p>
      <w:pPr>
        <w:spacing w:after="0" w:line="374"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Merger of Solid GT into the Company</w:t>
      </w:r>
    </w:p>
    <w:p>
      <w:pPr>
        <w:spacing w:after="0" w:line="117"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Prior to the Merger and Recapitalization, the Company issued Class B Non-Voting and Class D Voting Units of Solid GT to holders which represent non-controlling interests of the Company. On March 29, 2017, in connection with the Merger and Recapitalization, the non-controlling interests were eliminated as follows:</w:t>
      </w:r>
    </w:p>
    <w:p>
      <w:pPr>
        <w:spacing w:after="0" w:line="87" w:lineRule="exact"/>
        <w:rPr>
          <w:sz w:val="20"/>
          <w:szCs w:val="20"/>
          <w:color w:val="auto"/>
        </w:rPr>
      </w:pPr>
    </w:p>
    <w:p>
      <w:pPr>
        <w:ind w:left="900" w:right="60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50,000 Class B Non-Voting Units of Solid GT (“Solid GT Class B Units”) were exchanged for 1,635,916 Series C Common Units of the Company;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134,920 Class D Voting Units of Solid GT (“Solid GT Class D Units”) were exchanged for 4,414,356 Junior Preferred Units of the Company</w:t>
      </w: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In addition, the Class C Non-Voting Units of Solid GT (“Solid GT Class C Restricted Units”) were exchanged for Series D Common Units of the Company. The Solid GT Class C Restricted Units were held by employees and consultants of Solid GT. See Note 12, </w:t>
      </w:r>
      <w:r>
        <w:rPr>
          <w:rFonts w:ascii="Arial" w:cs="Arial" w:eastAsia="Arial" w:hAnsi="Arial"/>
          <w:sz w:val="18"/>
          <w:szCs w:val="18"/>
          <w:i w:val="1"/>
          <w:iCs w:val="1"/>
          <w:color w:val="auto"/>
        </w:rPr>
        <w:t>Equity-Based Compensation</w:t>
      </w:r>
      <w:r>
        <w:rPr>
          <w:rFonts w:ascii="Arial" w:cs="Arial" w:eastAsia="Arial" w:hAnsi="Arial"/>
          <w:sz w:val="18"/>
          <w:szCs w:val="18"/>
          <w:color w:val="auto"/>
        </w:rPr>
        <w:t>, for additional information.</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Since there was no change in control in connection with the Solid GT merger, the exchange of Solid GT Class B Units, Class C Restricted Units and Class D Units was accounted for as an equity transaction. In addition, because Solid GT Class D Units represented preferred units with preference over the other classes of Solid GT Units, the difference between the carrying value of the Solid GT Class D Units and the fair value of Junior Preferred Units was recorded as a deemed dividend in members’ deficit, which impacts net loss attributable to common unitholders. See Note 15, </w:t>
      </w:r>
      <w:r>
        <w:rPr>
          <w:rFonts w:ascii="Arial" w:cs="Arial" w:eastAsia="Arial" w:hAnsi="Arial"/>
          <w:sz w:val="18"/>
          <w:szCs w:val="18"/>
          <w:i w:val="1"/>
          <w:iCs w:val="1"/>
          <w:color w:val="auto"/>
        </w:rPr>
        <w:t>Net Loss Per Unit</w:t>
      </w:r>
      <w:r>
        <w:rPr>
          <w:rFonts w:ascii="Arial" w:cs="Arial" w:eastAsia="Arial" w:hAnsi="Arial"/>
          <w:sz w:val="18"/>
          <w:szCs w:val="18"/>
          <w:color w:val="auto"/>
        </w:rPr>
        <w:t>, for additional information.</w:t>
      </w:r>
    </w:p>
    <w:p>
      <w:pPr>
        <w:spacing w:after="0" w:line="337"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Exchange of the Company’s existing Redeemable Preferred Units and Series A Common Units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connection with the Merger and Recapitalization, the Company exchanged its existing Redeemable Preferred Units and Series A Common Units as follows:</w:t>
      </w:r>
    </w:p>
    <w:p>
      <w:pPr>
        <w:spacing w:after="0" w:line="76" w:lineRule="exact"/>
        <w:rPr>
          <w:sz w:val="20"/>
          <w:szCs w:val="20"/>
          <w:color w:val="auto"/>
        </w:rPr>
      </w:pPr>
    </w:p>
    <w:p>
      <w:pPr>
        <w:ind w:left="900" w:hanging="446"/>
        <w:spacing w:after="0" w:line="308"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17,100,000 Redeemable Preferred Units of the Company were exchanged for 12,219,299 Series A Common Units of the Company. See Note 10, </w:t>
      </w:r>
      <w:r>
        <w:rPr>
          <w:rFonts w:ascii="Arial" w:cs="Arial" w:eastAsia="Arial" w:hAnsi="Arial"/>
          <w:sz w:val="17"/>
          <w:szCs w:val="17"/>
          <w:i w:val="1"/>
          <w:iCs w:val="1"/>
          <w:color w:val="auto"/>
        </w:rPr>
        <w:t>Redeemable Preferred Units</w:t>
      </w:r>
      <w:r>
        <w:rPr>
          <w:rFonts w:ascii="Arial" w:cs="Arial" w:eastAsia="Arial" w:hAnsi="Arial"/>
          <w:sz w:val="17"/>
          <w:szCs w:val="17"/>
          <w:color w:val="auto"/>
        </w:rPr>
        <w:t>,</w:t>
      </w:r>
      <w:r>
        <w:rPr>
          <w:rFonts w:ascii="Arial" w:cs="Arial" w:eastAsia="Arial" w:hAnsi="Arial"/>
          <w:sz w:val="17"/>
          <w:szCs w:val="17"/>
          <w:i w:val="1"/>
          <w:iCs w:val="1"/>
          <w:color w:val="auto"/>
        </w:rPr>
        <w:t xml:space="preserve"> Series 1 Senior Preferred Units and Junior Preferred Units</w:t>
      </w:r>
      <w:r>
        <w:rPr>
          <w:rFonts w:ascii="Arial" w:cs="Arial" w:eastAsia="Arial" w:hAnsi="Arial"/>
          <w:sz w:val="17"/>
          <w:szCs w:val="17"/>
          <w:color w:val="auto"/>
        </w:rPr>
        <w:t>, for additional information.</w:t>
      </w:r>
    </w:p>
    <w:p>
      <w:pPr>
        <w:spacing w:after="0" w:line="51" w:lineRule="exact"/>
        <w:rPr>
          <w:rFonts w:ascii="Arial" w:cs="Arial" w:eastAsia="Arial" w:hAnsi="Arial"/>
          <w:sz w:val="17"/>
          <w:szCs w:val="17"/>
          <w:color w:val="auto"/>
        </w:rPr>
      </w:pPr>
    </w:p>
    <w:p>
      <w:pPr>
        <w:ind w:left="900" w:right="48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4,560,000 Series A Common Units of the Company were exchanged for 3,258,480 Series B Common Units of the Company. See Note 11, </w:t>
      </w:r>
      <w:r>
        <w:rPr>
          <w:rFonts w:ascii="Arial" w:cs="Arial" w:eastAsia="Arial" w:hAnsi="Arial"/>
          <w:sz w:val="18"/>
          <w:szCs w:val="18"/>
          <w:i w:val="1"/>
          <w:iCs w:val="1"/>
          <w:color w:val="auto"/>
        </w:rPr>
        <w:t>Members Deficit</w:t>
      </w:r>
      <w:r>
        <w:rPr>
          <w:rFonts w:ascii="Arial" w:cs="Arial" w:eastAsia="Arial" w:hAnsi="Arial"/>
          <w:sz w:val="18"/>
          <w:szCs w:val="18"/>
          <w:color w:val="auto"/>
        </w:rPr>
        <w:t>, for additional information.</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563,917 Series A Common Units of the Company were exchanged for 402,963 Series D Common Units of the Company. See Note 11, </w:t>
      </w:r>
      <w:r>
        <w:rPr>
          <w:rFonts w:ascii="Arial" w:cs="Arial" w:eastAsia="Arial" w:hAnsi="Arial"/>
          <w:sz w:val="18"/>
          <w:szCs w:val="18"/>
          <w:i w:val="1"/>
          <w:iCs w:val="1"/>
          <w:color w:val="auto"/>
        </w:rPr>
        <w:t>Members</w:t>
      </w:r>
      <w:r>
        <w:rPr>
          <w:rFonts w:ascii="Arial" w:cs="Arial" w:eastAsia="Arial" w:hAnsi="Arial"/>
          <w:sz w:val="18"/>
          <w:szCs w:val="18"/>
          <w:color w:val="auto"/>
        </w:rPr>
        <w:t xml:space="preserve"> </w:t>
      </w:r>
      <w:r>
        <w:rPr>
          <w:rFonts w:ascii="Arial" w:cs="Arial" w:eastAsia="Arial" w:hAnsi="Arial"/>
          <w:sz w:val="18"/>
          <w:szCs w:val="18"/>
          <w:i w:val="1"/>
          <w:iCs w:val="1"/>
          <w:color w:val="auto"/>
        </w:rPr>
        <w:t>Deficit</w:t>
      </w:r>
      <w:r>
        <w:rPr>
          <w:rFonts w:ascii="Arial" w:cs="Arial" w:eastAsia="Arial" w:hAnsi="Arial"/>
          <w:sz w:val="18"/>
          <w:szCs w:val="18"/>
          <w:color w:val="auto"/>
        </w:rPr>
        <w:t>, for additional information.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40"/>
          </w:cols>
          <w:pgMar w:left="240" w:top="460" w:right="3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Merger and Recapitalization—(Continued)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displays the pre-merger and post-merger capitalization structure of the Company:</w:t>
      </w: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Entity</w:t>
            </w:r>
          </w:p>
        </w:tc>
        <w:tc>
          <w:tcPr>
            <w:tcW w:w="580" w:type="dxa"/>
            <w:vAlign w:val="bottom"/>
            <w:vMerge w:val="restart"/>
          </w:tcPr>
          <w:p>
            <w:pPr>
              <w:spacing w:after="0"/>
              <w:rPr>
                <w:sz w:val="16"/>
                <w:szCs w:val="16"/>
                <w:color w:val="auto"/>
              </w:rPr>
            </w:pPr>
          </w:p>
        </w:tc>
        <w:tc>
          <w:tcPr>
            <w:tcW w:w="2960" w:type="dxa"/>
            <w:vAlign w:val="bottom"/>
            <w:gridSpan w:val="5"/>
          </w:tcPr>
          <w:p>
            <w:pPr>
              <w:ind w:left="120"/>
              <w:spacing w:after="0"/>
              <w:rPr>
                <w:sz w:val="20"/>
                <w:szCs w:val="20"/>
                <w:color w:val="auto"/>
              </w:rPr>
            </w:pPr>
            <w:r>
              <w:rPr>
                <w:rFonts w:ascii="Arial" w:cs="Arial" w:eastAsia="Arial" w:hAnsi="Arial"/>
                <w:sz w:val="14"/>
                <w:szCs w:val="14"/>
                <w:b w:val="1"/>
                <w:bCs w:val="1"/>
                <w:color w:val="auto"/>
              </w:rPr>
              <w:t>Pre-Merger and Recapitalization</w:t>
            </w:r>
          </w:p>
        </w:tc>
        <w:tc>
          <w:tcPr>
            <w:tcW w:w="300" w:type="dxa"/>
            <w:vAlign w:val="bottom"/>
            <w:vMerge w:val="restart"/>
          </w:tcPr>
          <w:p>
            <w:pPr>
              <w:spacing w:after="0"/>
              <w:rPr>
                <w:sz w:val="16"/>
                <w:szCs w:val="16"/>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5"/>
              </w:rPr>
              <w:t>Issued</w:t>
            </w:r>
          </w:p>
        </w:tc>
        <w:tc>
          <w:tcPr>
            <w:tcW w:w="500" w:type="dxa"/>
            <w:vAlign w:val="bottom"/>
            <w:gridSpan w:val="2"/>
            <w:vMerge w:val="restart"/>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Entity</w:t>
            </w:r>
          </w:p>
        </w:tc>
        <w:tc>
          <w:tcPr>
            <w:tcW w:w="620" w:type="dxa"/>
            <w:vAlign w:val="bottom"/>
            <w:vMerge w:val="restart"/>
          </w:tcPr>
          <w:p>
            <w:pPr>
              <w:spacing w:after="0"/>
              <w:rPr>
                <w:sz w:val="16"/>
                <w:szCs w:val="16"/>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w w:val="93"/>
              </w:rPr>
              <w:t>Post-Merger and Recapitalization</w:t>
            </w:r>
          </w:p>
        </w:tc>
        <w:tc>
          <w:tcPr>
            <w:tcW w:w="740" w:type="dxa"/>
            <w:vAlign w:val="bottom"/>
          </w:tcPr>
          <w:p>
            <w:pPr>
              <w:spacing w:after="0"/>
              <w:rPr>
                <w:sz w:val="16"/>
                <w:szCs w:val="16"/>
                <w:color w:val="auto"/>
              </w:rPr>
            </w:pPr>
          </w:p>
        </w:tc>
        <w:tc>
          <w:tcPr>
            <w:tcW w:w="10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Issued</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Class</w:t>
            </w:r>
          </w:p>
        </w:tc>
        <w:tc>
          <w:tcPr>
            <w:tcW w:w="42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0"/>
              </w:rPr>
              <w:t>Class</w:t>
            </w:r>
          </w:p>
        </w:tc>
        <w:tc>
          <w:tcPr>
            <w:tcW w:w="4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 w:type="dxa"/>
            <w:vAlign w:val="bottom"/>
            <w:vMerge w:val="continue"/>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73"/>
              </w:rPr>
              <w:t>Company</w:t>
            </w: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120"/>
              <w:spacing w:after="0" w:line="178" w:lineRule="exact"/>
              <w:rPr>
                <w:sz w:val="20"/>
                <w:szCs w:val="20"/>
                <w:color w:val="auto"/>
              </w:rPr>
            </w:pPr>
            <w:r>
              <w:rPr>
                <w:rFonts w:ascii="Arial" w:cs="Arial" w:eastAsia="Arial" w:hAnsi="Arial"/>
                <w:sz w:val="18"/>
                <w:szCs w:val="18"/>
                <w:color w:val="auto"/>
                <w:w w:val="80"/>
              </w:rPr>
              <w:t>Redeemable Preferred</w:t>
            </w:r>
          </w:p>
        </w:tc>
        <w:tc>
          <w:tcPr>
            <w:tcW w:w="1240" w:type="dxa"/>
            <w:vAlign w:val="bottom"/>
            <w:gridSpan w:val="2"/>
          </w:tcPr>
          <w:p>
            <w:pPr>
              <w:spacing w:after="0"/>
              <w:rPr>
                <w:sz w:val="15"/>
                <w:szCs w:val="15"/>
                <w:color w:val="auto"/>
              </w:rPr>
            </w:pPr>
          </w:p>
        </w:tc>
        <w:tc>
          <w:tcPr>
            <w:tcW w:w="1200" w:type="dxa"/>
            <w:vAlign w:val="bottom"/>
            <w:gridSpan w:val="4"/>
          </w:tcPr>
          <w:p>
            <w:pPr>
              <w:jc w:val="right"/>
              <w:ind w:right="200"/>
              <w:spacing w:after="0" w:line="178" w:lineRule="exact"/>
              <w:rPr>
                <w:sz w:val="20"/>
                <w:szCs w:val="20"/>
                <w:color w:val="auto"/>
              </w:rPr>
            </w:pPr>
            <w:r>
              <w:rPr>
                <w:rFonts w:ascii="Arial" w:cs="Arial" w:eastAsia="Arial" w:hAnsi="Arial"/>
                <w:sz w:val="18"/>
                <w:szCs w:val="18"/>
                <w:color w:val="auto"/>
              </w:rPr>
              <w:t>17,100,000</w:t>
            </w:r>
          </w:p>
        </w:tc>
        <w:tc>
          <w:tcPr>
            <w:tcW w:w="1680" w:type="dxa"/>
            <w:vAlign w:val="bottom"/>
            <w:gridSpan w:val="3"/>
          </w:tcPr>
          <w:p>
            <w:pPr>
              <w:jc w:val="center"/>
              <w:spacing w:after="0" w:line="178" w:lineRule="exact"/>
              <w:rPr>
                <w:sz w:val="20"/>
                <w:szCs w:val="20"/>
                <w:color w:val="auto"/>
              </w:rPr>
            </w:pPr>
            <w:r>
              <w:rPr>
                <w:rFonts w:ascii="Arial" w:cs="Arial" w:eastAsia="Arial" w:hAnsi="Arial"/>
                <w:sz w:val="18"/>
                <w:szCs w:val="18"/>
                <w:b w:val="1"/>
                <w:bCs w:val="1"/>
                <w:color w:val="auto"/>
                <w:w w:val="90"/>
              </w:rPr>
              <w:t>Company</w:t>
            </w:r>
          </w:p>
        </w:tc>
        <w:tc>
          <w:tcPr>
            <w:tcW w:w="2080" w:type="dxa"/>
            <w:vAlign w:val="bottom"/>
            <w:gridSpan w:val="3"/>
          </w:tcPr>
          <w:p>
            <w:pPr>
              <w:ind w:left="200"/>
              <w:spacing w:after="0" w:line="178" w:lineRule="exact"/>
              <w:rPr>
                <w:sz w:val="20"/>
                <w:szCs w:val="20"/>
                <w:color w:val="auto"/>
              </w:rPr>
            </w:pPr>
            <w:r>
              <w:rPr>
                <w:rFonts w:ascii="Arial" w:cs="Arial" w:eastAsia="Arial" w:hAnsi="Arial"/>
                <w:sz w:val="18"/>
                <w:szCs w:val="18"/>
                <w:color w:val="auto"/>
              </w:rPr>
              <w:t>Series A Common</w:t>
            </w:r>
          </w:p>
        </w:tc>
        <w:tc>
          <w:tcPr>
            <w:tcW w:w="1740" w:type="dxa"/>
            <w:vAlign w:val="bottom"/>
            <w:gridSpan w:val="4"/>
          </w:tcPr>
          <w:p>
            <w:pPr>
              <w:jc w:val="right"/>
              <w:spacing w:after="0" w:line="178" w:lineRule="exact"/>
              <w:rPr>
                <w:sz w:val="20"/>
                <w:szCs w:val="20"/>
                <w:color w:val="auto"/>
              </w:rPr>
            </w:pPr>
            <w:r>
              <w:rPr>
                <w:rFonts w:ascii="Arial" w:cs="Arial" w:eastAsia="Arial" w:hAnsi="Arial"/>
                <w:sz w:val="18"/>
                <w:szCs w:val="18"/>
                <w:color w:val="auto"/>
              </w:rPr>
              <w:t>12,219,299</w:t>
            </w:r>
          </w:p>
        </w:tc>
        <w:tc>
          <w:tcPr>
            <w:tcW w:w="0" w:type="dxa"/>
            <w:vAlign w:val="bottom"/>
          </w:tcPr>
          <w:p>
            <w:pPr>
              <w:spacing w:after="0"/>
              <w:rPr>
                <w:sz w:val="1"/>
                <w:szCs w:val="1"/>
                <w:color w:val="auto"/>
              </w:rPr>
            </w:pPr>
          </w:p>
        </w:tc>
      </w:tr>
      <w:tr>
        <w:trPr>
          <w:trHeight w:val="216"/>
        </w:trPr>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Company</w:t>
            </w:r>
          </w:p>
        </w:tc>
        <w:tc>
          <w:tcPr>
            <w:tcW w:w="120" w:type="dxa"/>
            <w:vAlign w:val="bottom"/>
          </w:tcPr>
          <w:p>
            <w:pPr>
              <w:spacing w:after="0"/>
              <w:rPr>
                <w:sz w:val="18"/>
                <w:szCs w:val="18"/>
                <w:color w:val="auto"/>
              </w:rPr>
            </w:pPr>
          </w:p>
        </w:tc>
        <w:tc>
          <w:tcPr>
            <w:tcW w:w="2840" w:type="dxa"/>
            <w:vAlign w:val="bottom"/>
            <w:gridSpan w:val="4"/>
          </w:tcPr>
          <w:p>
            <w:pPr>
              <w:ind w:left="120"/>
              <w:spacing w:after="0"/>
              <w:rPr>
                <w:sz w:val="20"/>
                <w:szCs w:val="20"/>
                <w:color w:val="auto"/>
              </w:rPr>
            </w:pPr>
            <w:r>
              <w:rPr>
                <w:rFonts w:ascii="Arial" w:cs="Arial" w:eastAsia="Arial" w:hAnsi="Arial"/>
                <w:sz w:val="18"/>
                <w:szCs w:val="18"/>
                <w:color w:val="auto"/>
              </w:rPr>
              <w:t>Series A Common (Founders)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4,560,000</w:t>
            </w:r>
          </w:p>
        </w:tc>
        <w:tc>
          <w:tcPr>
            <w:tcW w:w="20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2080" w:type="dxa"/>
            <w:vAlign w:val="bottom"/>
            <w:gridSpan w:val="3"/>
          </w:tcPr>
          <w:p>
            <w:pPr>
              <w:ind w:left="200"/>
              <w:spacing w:after="0"/>
              <w:rPr>
                <w:sz w:val="20"/>
                <w:szCs w:val="20"/>
                <w:color w:val="auto"/>
              </w:rPr>
            </w:pPr>
            <w:r>
              <w:rPr>
                <w:rFonts w:ascii="Arial" w:cs="Arial" w:eastAsia="Arial" w:hAnsi="Arial"/>
                <w:sz w:val="18"/>
                <w:szCs w:val="18"/>
                <w:color w:val="auto"/>
              </w:rPr>
              <w:t>Series B Common</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3,258,480</w:t>
            </w:r>
          </w:p>
        </w:tc>
        <w:tc>
          <w:tcPr>
            <w:tcW w:w="0" w:type="dxa"/>
            <w:vAlign w:val="bottom"/>
          </w:tcPr>
          <w:p>
            <w:pPr>
              <w:spacing w:after="0"/>
              <w:rPr>
                <w:sz w:val="1"/>
                <w:szCs w:val="1"/>
                <w:color w:val="auto"/>
              </w:rPr>
            </w:pPr>
          </w:p>
        </w:tc>
      </w:tr>
      <w:tr>
        <w:trPr>
          <w:trHeight w:val="216"/>
        </w:trPr>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Company</w:t>
            </w:r>
          </w:p>
        </w:tc>
        <w:tc>
          <w:tcPr>
            <w:tcW w:w="120" w:type="dxa"/>
            <w:vAlign w:val="bottom"/>
          </w:tcPr>
          <w:p>
            <w:pPr>
              <w:spacing w:after="0"/>
              <w:rPr>
                <w:sz w:val="18"/>
                <w:szCs w:val="18"/>
                <w:color w:val="auto"/>
              </w:rPr>
            </w:pPr>
          </w:p>
        </w:tc>
        <w:tc>
          <w:tcPr>
            <w:tcW w:w="2840" w:type="dxa"/>
            <w:vAlign w:val="bottom"/>
            <w:gridSpan w:val="4"/>
          </w:tcPr>
          <w:p>
            <w:pPr>
              <w:ind w:left="120"/>
              <w:spacing w:after="0"/>
              <w:rPr>
                <w:sz w:val="20"/>
                <w:szCs w:val="20"/>
                <w:color w:val="auto"/>
              </w:rPr>
            </w:pPr>
            <w:r>
              <w:rPr>
                <w:rFonts w:ascii="Arial" w:cs="Arial" w:eastAsia="Arial" w:hAnsi="Arial"/>
                <w:sz w:val="18"/>
                <w:szCs w:val="18"/>
                <w:color w:val="auto"/>
              </w:rPr>
              <w:t>Series A Common (Others)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563,917</w:t>
            </w:r>
          </w:p>
        </w:tc>
        <w:tc>
          <w:tcPr>
            <w:tcW w:w="20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2080" w:type="dxa"/>
            <w:vAlign w:val="bottom"/>
            <w:gridSpan w:val="3"/>
          </w:tcPr>
          <w:p>
            <w:pPr>
              <w:ind w:left="200"/>
              <w:spacing w:after="0"/>
              <w:rPr>
                <w:sz w:val="20"/>
                <w:szCs w:val="20"/>
                <w:color w:val="auto"/>
              </w:rPr>
            </w:pPr>
            <w:r>
              <w:rPr>
                <w:rFonts w:ascii="Arial" w:cs="Arial" w:eastAsia="Arial" w:hAnsi="Arial"/>
                <w:sz w:val="18"/>
                <w:szCs w:val="18"/>
                <w:color w:val="auto"/>
              </w:rPr>
              <w:t>Series D Common</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402,963</w:t>
            </w:r>
          </w:p>
        </w:tc>
        <w:tc>
          <w:tcPr>
            <w:tcW w:w="0" w:type="dxa"/>
            <w:vAlign w:val="bottom"/>
          </w:tcPr>
          <w:p>
            <w:pPr>
              <w:spacing w:after="0"/>
              <w:rPr>
                <w:sz w:val="1"/>
                <w:szCs w:val="1"/>
                <w:color w:val="auto"/>
              </w:rPr>
            </w:pPr>
          </w:p>
        </w:tc>
      </w:tr>
      <w:tr>
        <w:trPr>
          <w:trHeight w:val="216"/>
        </w:trPr>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Solid GT</w:t>
            </w:r>
          </w:p>
        </w:tc>
        <w:tc>
          <w:tcPr>
            <w:tcW w:w="120" w:type="dxa"/>
            <w:vAlign w:val="bottom"/>
          </w:tcPr>
          <w:p>
            <w:pPr>
              <w:spacing w:after="0"/>
              <w:rPr>
                <w:sz w:val="18"/>
                <w:szCs w:val="18"/>
                <w:color w:val="auto"/>
              </w:rPr>
            </w:pPr>
          </w:p>
        </w:tc>
        <w:tc>
          <w:tcPr>
            <w:tcW w:w="2840" w:type="dxa"/>
            <w:vAlign w:val="bottom"/>
            <w:gridSpan w:val="4"/>
          </w:tcPr>
          <w:p>
            <w:pPr>
              <w:ind w:left="120"/>
              <w:spacing w:after="0"/>
              <w:rPr>
                <w:sz w:val="20"/>
                <w:szCs w:val="20"/>
                <w:color w:val="auto"/>
              </w:rPr>
            </w:pPr>
            <w:r>
              <w:rPr>
                <w:rFonts w:ascii="Arial" w:cs="Arial" w:eastAsia="Arial" w:hAnsi="Arial"/>
                <w:sz w:val="18"/>
                <w:szCs w:val="18"/>
                <w:color w:val="auto"/>
              </w:rPr>
              <w:t>Class A Voting</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450,000</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80" w:type="dxa"/>
            <w:vAlign w:val="bottom"/>
            <w:gridSpan w:val="3"/>
          </w:tcPr>
          <w:p>
            <w:pPr>
              <w:ind w:left="500"/>
              <w:spacing w:after="0"/>
              <w:rPr>
                <w:sz w:val="20"/>
                <w:szCs w:val="20"/>
                <w:color w:val="auto"/>
              </w:rPr>
            </w:pPr>
            <w:r>
              <w:rPr>
                <w:rFonts w:ascii="Arial" w:cs="Arial" w:eastAsia="Arial" w:hAnsi="Arial"/>
                <w:sz w:val="18"/>
                <w:szCs w:val="18"/>
                <w:color w:val="auto"/>
              </w:rPr>
              <w:t>Ceased to exist</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Solid GT</w:t>
            </w:r>
          </w:p>
        </w:tc>
        <w:tc>
          <w:tcPr>
            <w:tcW w:w="120" w:type="dxa"/>
            <w:vAlign w:val="bottom"/>
          </w:tcPr>
          <w:p>
            <w:pPr>
              <w:spacing w:after="0"/>
              <w:rPr>
                <w:sz w:val="18"/>
                <w:szCs w:val="18"/>
                <w:color w:val="auto"/>
              </w:rPr>
            </w:pPr>
          </w:p>
        </w:tc>
        <w:tc>
          <w:tcPr>
            <w:tcW w:w="2840" w:type="dxa"/>
            <w:vAlign w:val="bottom"/>
            <w:gridSpan w:val="4"/>
          </w:tcPr>
          <w:p>
            <w:pPr>
              <w:ind w:left="120"/>
              <w:spacing w:after="0"/>
              <w:rPr>
                <w:sz w:val="20"/>
                <w:szCs w:val="20"/>
                <w:color w:val="auto"/>
              </w:rPr>
            </w:pPr>
            <w:r>
              <w:rPr>
                <w:rFonts w:ascii="Arial" w:cs="Arial" w:eastAsia="Arial" w:hAnsi="Arial"/>
                <w:sz w:val="18"/>
                <w:szCs w:val="18"/>
                <w:color w:val="auto"/>
              </w:rPr>
              <w:t>Class B Non-Voting</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50,000</w:t>
            </w: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2080" w:type="dxa"/>
            <w:vAlign w:val="bottom"/>
            <w:gridSpan w:val="3"/>
          </w:tcPr>
          <w:p>
            <w:pPr>
              <w:ind w:left="200"/>
              <w:spacing w:after="0"/>
              <w:rPr>
                <w:sz w:val="20"/>
                <w:szCs w:val="20"/>
                <w:color w:val="auto"/>
              </w:rPr>
            </w:pPr>
            <w:r>
              <w:rPr>
                <w:rFonts w:ascii="Arial" w:cs="Arial" w:eastAsia="Arial" w:hAnsi="Arial"/>
                <w:sz w:val="18"/>
                <w:szCs w:val="18"/>
                <w:color w:val="auto"/>
              </w:rPr>
              <w:t>Series C Common</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1,635,916</w:t>
            </w:r>
          </w:p>
        </w:tc>
        <w:tc>
          <w:tcPr>
            <w:tcW w:w="0" w:type="dxa"/>
            <w:vAlign w:val="bottom"/>
          </w:tcPr>
          <w:p>
            <w:pPr>
              <w:spacing w:after="0"/>
              <w:rPr>
                <w:sz w:val="1"/>
                <w:szCs w:val="1"/>
                <w:color w:val="auto"/>
              </w:rPr>
            </w:pPr>
          </w:p>
        </w:tc>
      </w:tr>
      <w:tr>
        <w:trPr>
          <w:trHeight w:val="216"/>
        </w:trPr>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Solid GT</w:t>
            </w:r>
          </w:p>
        </w:tc>
        <w:tc>
          <w:tcPr>
            <w:tcW w:w="120" w:type="dxa"/>
            <w:vAlign w:val="bottom"/>
          </w:tcPr>
          <w:p>
            <w:pPr>
              <w:spacing w:after="0"/>
              <w:rPr>
                <w:sz w:val="18"/>
                <w:szCs w:val="18"/>
                <w:color w:val="auto"/>
              </w:rPr>
            </w:pPr>
          </w:p>
        </w:tc>
        <w:tc>
          <w:tcPr>
            <w:tcW w:w="2840" w:type="dxa"/>
            <w:vAlign w:val="bottom"/>
            <w:gridSpan w:val="4"/>
          </w:tcPr>
          <w:p>
            <w:pPr>
              <w:ind w:left="120"/>
              <w:spacing w:after="0"/>
              <w:rPr>
                <w:sz w:val="20"/>
                <w:szCs w:val="20"/>
                <w:color w:val="auto"/>
              </w:rPr>
            </w:pPr>
            <w:r>
              <w:rPr>
                <w:rFonts w:ascii="Arial" w:cs="Arial" w:eastAsia="Arial" w:hAnsi="Arial"/>
                <w:sz w:val="18"/>
                <w:szCs w:val="18"/>
                <w:color w:val="auto"/>
              </w:rPr>
              <w:t>Class C Non-Voting</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33,107</w:t>
            </w: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2080" w:type="dxa"/>
            <w:vAlign w:val="bottom"/>
            <w:gridSpan w:val="3"/>
          </w:tcPr>
          <w:p>
            <w:pPr>
              <w:ind w:left="200"/>
              <w:spacing w:after="0"/>
              <w:rPr>
                <w:sz w:val="20"/>
                <w:szCs w:val="20"/>
                <w:color w:val="auto"/>
              </w:rPr>
            </w:pPr>
            <w:r>
              <w:rPr>
                <w:rFonts w:ascii="Arial" w:cs="Arial" w:eastAsia="Arial" w:hAnsi="Arial"/>
                <w:sz w:val="18"/>
                <w:szCs w:val="18"/>
                <w:color w:val="auto"/>
              </w:rPr>
              <w:t>Series D Common</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1,083,205</w:t>
            </w:r>
          </w:p>
        </w:tc>
        <w:tc>
          <w:tcPr>
            <w:tcW w:w="0" w:type="dxa"/>
            <w:vAlign w:val="bottom"/>
          </w:tcPr>
          <w:p>
            <w:pPr>
              <w:spacing w:after="0"/>
              <w:rPr>
                <w:sz w:val="1"/>
                <w:szCs w:val="1"/>
                <w:color w:val="auto"/>
              </w:rPr>
            </w:pPr>
          </w:p>
        </w:tc>
      </w:tr>
      <w:tr>
        <w:trPr>
          <w:trHeight w:val="234"/>
        </w:trPr>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Solid GT</w:t>
            </w:r>
          </w:p>
        </w:tc>
        <w:tc>
          <w:tcPr>
            <w:tcW w:w="120" w:type="dxa"/>
            <w:vAlign w:val="bottom"/>
          </w:tcPr>
          <w:p>
            <w:pPr>
              <w:spacing w:after="0"/>
              <w:rPr>
                <w:sz w:val="20"/>
                <w:szCs w:val="20"/>
                <w:color w:val="auto"/>
              </w:rPr>
            </w:pPr>
          </w:p>
        </w:tc>
        <w:tc>
          <w:tcPr>
            <w:tcW w:w="2840" w:type="dxa"/>
            <w:vAlign w:val="bottom"/>
            <w:gridSpan w:val="4"/>
          </w:tcPr>
          <w:p>
            <w:pPr>
              <w:ind w:left="120"/>
              <w:spacing w:after="0"/>
              <w:rPr>
                <w:sz w:val="20"/>
                <w:szCs w:val="20"/>
                <w:color w:val="auto"/>
              </w:rPr>
            </w:pPr>
            <w:r>
              <w:rPr>
                <w:rFonts w:ascii="Arial" w:cs="Arial" w:eastAsia="Arial" w:hAnsi="Arial"/>
                <w:sz w:val="18"/>
                <w:szCs w:val="18"/>
                <w:color w:val="auto"/>
              </w:rPr>
              <w:t>Class D Voting</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134,920</w:t>
            </w:r>
          </w:p>
        </w:tc>
        <w:tc>
          <w:tcPr>
            <w:tcW w:w="200" w:type="dxa"/>
            <w:vAlign w:val="bottom"/>
          </w:tcPr>
          <w:p>
            <w:pPr>
              <w:spacing w:after="0"/>
              <w:rPr>
                <w:sz w:val="20"/>
                <w:szCs w:val="20"/>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2080" w:type="dxa"/>
            <w:vAlign w:val="bottom"/>
            <w:gridSpan w:val="3"/>
          </w:tcPr>
          <w:p>
            <w:pPr>
              <w:ind w:left="200"/>
              <w:spacing w:after="0"/>
              <w:rPr>
                <w:sz w:val="20"/>
                <w:szCs w:val="20"/>
                <w:color w:val="auto"/>
              </w:rPr>
            </w:pPr>
            <w:r>
              <w:rPr>
                <w:rFonts w:ascii="Arial" w:cs="Arial" w:eastAsia="Arial" w:hAnsi="Arial"/>
                <w:sz w:val="18"/>
                <w:szCs w:val="18"/>
                <w:color w:val="auto"/>
              </w:rPr>
              <w:t>Junior Preferred</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4,414,356</w:t>
            </w:r>
          </w:p>
        </w:tc>
        <w:tc>
          <w:tcPr>
            <w:tcW w:w="0" w:type="dxa"/>
            <w:vAlign w:val="bottom"/>
          </w:tcPr>
          <w:p>
            <w:pPr>
              <w:spacing w:after="0"/>
              <w:rPr>
                <w:sz w:val="1"/>
                <w:szCs w:val="1"/>
                <w:color w:val="auto"/>
              </w:rPr>
            </w:pPr>
          </w:p>
        </w:tc>
      </w:tr>
      <w:tr>
        <w:trPr>
          <w:trHeight w:val="209"/>
        </w:trPr>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Company (Total)</w:t>
            </w:r>
          </w:p>
        </w:tc>
        <w:tc>
          <w:tcPr>
            <w:tcW w:w="120" w:type="dxa"/>
            <w:vAlign w:val="bottom"/>
          </w:tcPr>
          <w:p>
            <w:pPr>
              <w:spacing w:after="0"/>
              <w:rPr>
                <w:sz w:val="18"/>
                <w:szCs w:val="18"/>
                <w:color w:val="auto"/>
              </w:rPr>
            </w:pPr>
          </w:p>
        </w:tc>
        <w:tc>
          <w:tcPr>
            <w:tcW w:w="2840" w:type="dxa"/>
            <w:vAlign w:val="bottom"/>
            <w:gridSpan w:val="4"/>
          </w:tcPr>
          <w:p>
            <w:pPr>
              <w:ind w:left="120"/>
              <w:spacing w:after="0"/>
              <w:rPr>
                <w:sz w:val="20"/>
                <w:szCs w:val="20"/>
                <w:color w:val="auto"/>
              </w:rPr>
            </w:pPr>
            <w:r>
              <w:rPr>
                <w:rFonts w:ascii="Arial" w:cs="Arial" w:eastAsia="Arial" w:hAnsi="Arial"/>
                <w:sz w:val="18"/>
                <w:szCs w:val="18"/>
                <w:color w:val="auto"/>
              </w:rPr>
              <w:t>Common Units (Series A)</w:t>
            </w: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5,123,917</w:t>
            </w:r>
          </w:p>
        </w:tc>
        <w:tc>
          <w:tcPr>
            <w:tcW w:w="20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Company (Total)</w:t>
            </w:r>
          </w:p>
        </w:tc>
        <w:tc>
          <w:tcPr>
            <w:tcW w:w="2080" w:type="dxa"/>
            <w:vAlign w:val="bottom"/>
            <w:gridSpan w:val="3"/>
          </w:tcPr>
          <w:p>
            <w:pPr>
              <w:ind w:left="200"/>
              <w:spacing w:after="0"/>
              <w:rPr>
                <w:sz w:val="20"/>
                <w:szCs w:val="20"/>
                <w:color w:val="auto"/>
              </w:rPr>
            </w:pPr>
            <w:r>
              <w:rPr>
                <w:rFonts w:ascii="Arial" w:cs="Arial" w:eastAsia="Arial" w:hAnsi="Arial"/>
                <w:sz w:val="18"/>
                <w:szCs w:val="18"/>
                <w:color w:val="auto"/>
              </w:rPr>
              <w:t>Common Units</w:t>
            </w:r>
          </w:p>
        </w:tc>
        <w:tc>
          <w:tcPr>
            <w:tcW w:w="7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80" w:type="dxa"/>
            <w:vAlign w:val="bottom"/>
            <w:gridSpan w:val="3"/>
          </w:tcPr>
          <w:p>
            <w:pPr>
              <w:ind w:left="200"/>
              <w:spacing w:after="0"/>
              <w:rPr>
                <w:sz w:val="20"/>
                <w:szCs w:val="20"/>
                <w:color w:val="auto"/>
              </w:rPr>
            </w:pPr>
            <w:r>
              <w:rPr>
                <w:rFonts w:ascii="Arial" w:cs="Arial" w:eastAsia="Arial" w:hAnsi="Arial"/>
                <w:sz w:val="18"/>
                <w:szCs w:val="18"/>
                <w:color w:val="auto"/>
              </w:rPr>
              <w:t>(Series A, B, C and D)</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18,599,863</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Assets and Liabilities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 the level of the fair value hierarchy utilized to determine such fair values: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gridSpan w:val="13"/>
          </w:tcPr>
          <w:p>
            <w:pPr>
              <w:jc w:val="right"/>
              <w:spacing w:after="0"/>
              <w:rPr>
                <w:sz w:val="20"/>
                <w:szCs w:val="20"/>
                <w:color w:val="auto"/>
              </w:rPr>
            </w:pPr>
            <w:r>
              <w:rPr>
                <w:rFonts w:ascii="Arial" w:cs="Arial" w:eastAsia="Arial" w:hAnsi="Arial"/>
                <w:sz w:val="14"/>
                <w:szCs w:val="14"/>
                <w:b w:val="1"/>
                <w:bCs w:val="1"/>
                <w:color w:val="auto"/>
                <w:w w:val="93"/>
              </w:rPr>
              <w:t>Fair Value Measurements as of December 31, 2015</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4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Using:</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w w:val="96"/>
              </w:rPr>
              <w:t>Level 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Available for sale securities</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center"/>
              <w:ind w:right="53"/>
              <w:spacing w:after="0"/>
              <w:rPr>
                <w:sz w:val="20"/>
                <w:szCs w:val="20"/>
                <w:color w:val="auto"/>
              </w:rPr>
            </w:pPr>
            <w:r>
              <w:rPr>
                <w:rFonts w:ascii="Arial" w:cs="Arial" w:eastAsia="Arial" w:hAnsi="Arial"/>
                <w:sz w:val="18"/>
                <w:szCs w:val="18"/>
                <w:color w:val="auto"/>
                <w:w w:val="99"/>
              </w:rPr>
              <w:t>$</w:t>
            </w:r>
          </w:p>
        </w:tc>
        <w:tc>
          <w:tcPr>
            <w:tcW w:w="280" w:type="dxa"/>
            <w:vAlign w:val="bottom"/>
            <w:gridSpan w:val="3"/>
          </w:tcPr>
          <w:p>
            <w:pPr>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w w:val="90"/>
              </w:rPr>
              <w:t>26,792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26,792</w:t>
            </w:r>
          </w:p>
        </w:tc>
      </w:tr>
      <w:tr>
        <w:trPr>
          <w:trHeight w:val="20"/>
        </w:trPr>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Redeemable Preferred Unit tranche liability</w:t>
            </w: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center"/>
              <w:ind w:right="53"/>
              <w:spacing w:after="0"/>
              <w:rPr>
                <w:sz w:val="20"/>
                <w:szCs w:val="20"/>
                <w:color w:val="auto"/>
              </w:rPr>
            </w:pPr>
            <w:r>
              <w:rPr>
                <w:rFonts w:ascii="Arial" w:cs="Arial" w:eastAsia="Arial" w:hAnsi="Arial"/>
                <w:sz w:val="18"/>
                <w:szCs w:val="18"/>
                <w:color w:val="auto"/>
                <w:w w:val="99"/>
              </w:rPr>
              <w:t>$</w:t>
            </w:r>
          </w:p>
        </w:tc>
        <w:tc>
          <w:tcPr>
            <w:tcW w:w="280" w:type="dxa"/>
            <w:vAlign w:val="bottom"/>
            <w:gridSpan w:val="3"/>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w w:val="87"/>
              </w:rPr>
              <w:t>12,004</w:t>
            </w:r>
          </w:p>
        </w:tc>
        <w:tc>
          <w:tcPr>
            <w:tcW w:w="5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12,004</w:t>
            </w:r>
          </w:p>
        </w:tc>
      </w:tr>
      <w:tr>
        <w:trPr>
          <w:trHeight w:val="20"/>
        </w:trPr>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14"/>
          </w:tcPr>
          <w:p>
            <w:pPr>
              <w:jc w:val="right"/>
              <w:ind w:right="120"/>
              <w:spacing w:after="0"/>
              <w:rPr>
                <w:sz w:val="20"/>
                <w:szCs w:val="20"/>
                <w:color w:val="auto"/>
              </w:rPr>
            </w:pPr>
            <w:r>
              <w:rPr>
                <w:rFonts w:ascii="Arial" w:cs="Arial" w:eastAsia="Arial" w:hAnsi="Arial"/>
                <w:sz w:val="14"/>
                <w:szCs w:val="14"/>
                <w:b w:val="1"/>
                <w:bCs w:val="1"/>
                <w:color w:val="auto"/>
                <w:w w:val="96"/>
              </w:rPr>
              <w:t>Fair Value Measurements as of December 31, 2016</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4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42"/>
              <w:spacing w:after="0"/>
              <w:rPr>
                <w:sz w:val="20"/>
                <w:szCs w:val="20"/>
                <w:color w:val="auto"/>
              </w:rPr>
            </w:pPr>
            <w:r>
              <w:rPr>
                <w:rFonts w:ascii="Arial" w:cs="Arial" w:eastAsia="Arial" w:hAnsi="Arial"/>
                <w:sz w:val="14"/>
                <w:szCs w:val="14"/>
                <w:b w:val="1"/>
                <w:bCs w:val="1"/>
                <w:color w:val="auto"/>
                <w:w w:val="91"/>
              </w:rPr>
              <w:t>Using:</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5"/>
          </w:tcPr>
          <w:p>
            <w:pPr>
              <w:jc w:val="center"/>
              <w:ind w:right="128"/>
              <w:spacing w:after="0" w:line="142" w:lineRule="exact"/>
              <w:rPr>
                <w:sz w:val="20"/>
                <w:szCs w:val="20"/>
                <w:color w:val="auto"/>
              </w:rPr>
            </w:pPr>
            <w:r>
              <w:rPr>
                <w:rFonts w:ascii="Arial" w:cs="Arial" w:eastAsia="Arial" w:hAnsi="Arial"/>
                <w:sz w:val="14"/>
                <w:szCs w:val="14"/>
                <w:b w:val="1"/>
                <w:bCs w:val="1"/>
                <w:color w:val="auto"/>
                <w:w w:val="92"/>
              </w:rPr>
              <w:t>Level 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2"/>
                <w:szCs w:val="12"/>
                <w:color w:val="auto"/>
              </w:rPr>
            </w:pPr>
          </w:p>
        </w:tc>
        <w:tc>
          <w:tcPr>
            <w:tcW w:w="12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Available for sale securities</w:t>
            </w:r>
          </w:p>
        </w:tc>
        <w:tc>
          <w:tcPr>
            <w:tcW w:w="180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29,980</w:t>
            </w: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29,980</w:t>
            </w:r>
          </w:p>
        </w:tc>
      </w:tr>
      <w:tr>
        <w:trPr>
          <w:trHeight w:val="20"/>
        </w:trPr>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14"/>
          </w:tcPr>
          <w:p>
            <w:pPr>
              <w:jc w:val="right"/>
              <w:ind w:right="100"/>
              <w:spacing w:after="0"/>
              <w:rPr>
                <w:sz w:val="20"/>
                <w:szCs w:val="20"/>
                <w:color w:val="auto"/>
              </w:rPr>
            </w:pPr>
            <w:r>
              <w:rPr>
                <w:rFonts w:ascii="Arial" w:cs="Arial" w:eastAsia="Arial" w:hAnsi="Arial"/>
                <w:sz w:val="14"/>
                <w:szCs w:val="14"/>
                <w:b w:val="1"/>
                <w:bCs w:val="1"/>
                <w:color w:val="auto"/>
                <w:w w:val="95"/>
              </w:rPr>
              <w:t>Fair Value Measurements as of September 30, 2017</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4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82"/>
              <w:spacing w:after="0"/>
              <w:rPr>
                <w:sz w:val="20"/>
                <w:szCs w:val="20"/>
                <w:color w:val="auto"/>
              </w:rPr>
            </w:pPr>
            <w:r>
              <w:rPr>
                <w:rFonts w:ascii="Arial" w:cs="Arial" w:eastAsia="Arial" w:hAnsi="Arial"/>
                <w:sz w:val="14"/>
                <w:szCs w:val="14"/>
                <w:b w:val="1"/>
                <w:bCs w:val="1"/>
                <w:color w:val="auto"/>
                <w:w w:val="91"/>
              </w:rPr>
              <w:t>Using:</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5"/>
          </w:tcPr>
          <w:p>
            <w:pPr>
              <w:jc w:val="center"/>
              <w:ind w:right="168"/>
              <w:spacing w:after="0" w:line="142" w:lineRule="exact"/>
              <w:rPr>
                <w:sz w:val="20"/>
                <w:szCs w:val="20"/>
                <w:color w:val="auto"/>
              </w:rPr>
            </w:pPr>
            <w:r>
              <w:rPr>
                <w:rFonts w:ascii="Arial" w:cs="Arial" w:eastAsia="Arial" w:hAnsi="Arial"/>
                <w:sz w:val="14"/>
                <w:szCs w:val="14"/>
                <w:b w:val="1"/>
                <w:bCs w:val="1"/>
                <w:color w:val="auto"/>
                <w:w w:val="92"/>
              </w:rPr>
              <w:t>Level 1</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jc w:val="center"/>
              <w:ind w:left="376"/>
              <w:spacing w:after="0" w:line="142" w:lineRule="exact"/>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Available for sale securities</w:t>
            </w:r>
          </w:p>
        </w:tc>
        <w:tc>
          <w:tcPr>
            <w:tcW w:w="18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14,553</w:t>
            </w: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14,553</w:t>
            </w:r>
          </w:p>
        </w:tc>
      </w:tr>
      <w:tr>
        <w:trPr>
          <w:trHeight w:val="20"/>
        </w:trPr>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Series 1 Senior Preferred Unit tranche liability</w:t>
            </w:r>
          </w:p>
        </w:tc>
        <w:tc>
          <w:tcPr>
            <w:tcW w:w="1560" w:type="dxa"/>
            <w:vAlign w:val="bottom"/>
          </w:tcPr>
          <w:p>
            <w:pPr>
              <w:spacing w:after="0"/>
              <w:rPr>
                <w:sz w:val="18"/>
                <w:szCs w:val="18"/>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527</w:t>
            </w:r>
          </w:p>
        </w:tc>
        <w:tc>
          <w:tcPr>
            <w:tcW w:w="500" w:type="dxa"/>
            <w:vAlign w:val="bottom"/>
          </w:tcPr>
          <w:p>
            <w:pPr>
              <w:spacing w:after="0"/>
              <w:rPr>
                <w:sz w:val="18"/>
                <w:szCs w:val="18"/>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527</w:t>
            </w:r>
          </w:p>
        </w:tc>
      </w:tr>
      <w:tr>
        <w:trPr>
          <w:trHeight w:val="20"/>
        </w:trPr>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1800" w:type="dxa"/>
            <w:vAlign w:val="bottom"/>
            <w:gridSpan w:val="3"/>
          </w:tcPr>
          <w:p>
            <w:pPr>
              <w:jc w:val="right"/>
              <w:ind w:right="708"/>
              <w:spacing w:after="0"/>
              <w:rPr>
                <w:sz w:val="20"/>
                <w:szCs w:val="20"/>
                <w:color w:val="auto"/>
              </w:rPr>
            </w:pPr>
            <w:r>
              <w:rPr>
                <w:rFonts w:ascii="Arial" w:cs="Arial" w:eastAsia="Arial" w:hAnsi="Arial"/>
                <w:sz w:val="18"/>
                <w:szCs w:val="18"/>
                <w:color w:val="auto"/>
              </w:rPr>
              <w:t>F-20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Assets and Liabilities—(Continued)</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As of December 31, 2015 and 2016 and September 30, 2017, the fair values of the Company’s available-for-sale securities, which consisted of US government agency securities and corporate bond securities were determined using Level 2 inputs. During the years ended December 31, 2015 and 2016 and the nine months ended September 30, 2016 and 2017, there were no transfers between Level 1, Level 2 and Level 3. A reconciliation of the liabilities measured at fair value using Level 3 significant unobservable inputs is included in Note 9, </w:t>
      </w:r>
      <w:r>
        <w:rPr>
          <w:rFonts w:ascii="Arial" w:cs="Arial" w:eastAsia="Arial" w:hAnsi="Arial"/>
          <w:sz w:val="17"/>
          <w:szCs w:val="17"/>
          <w:i w:val="1"/>
          <w:iCs w:val="1"/>
          <w:color w:val="auto"/>
        </w:rPr>
        <w:t>Preferred Unit Tranche Right</w:t>
      </w:r>
      <w:r>
        <w:rPr>
          <w:rFonts w:ascii="Arial" w:cs="Arial" w:eastAsia="Arial" w:hAnsi="Arial"/>
          <w:sz w:val="17"/>
          <w:szCs w:val="17"/>
          <w:color w:val="auto"/>
        </w:rPr>
        <w:t>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fair value of the Company’s cash, restricted cash, accounts payable, and accrued expenses and other current liabilities approximate their carrying value due to their short-term maturities.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and 2016 and September 30, 2017, the fair value of available-for-sale securities by type of security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Gross</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w w:val="95"/>
              </w:rPr>
              <w:t>Gross</w:t>
            </w:r>
          </w:p>
        </w:tc>
        <w:tc>
          <w:tcPr>
            <w:tcW w:w="80" w:type="dxa"/>
            <w:vAlign w:val="bottom"/>
          </w:tcPr>
          <w:p>
            <w:pPr>
              <w:spacing w:after="0"/>
              <w:rPr>
                <w:sz w:val="10"/>
                <w:szCs w:val="10"/>
                <w:color w:val="auto"/>
              </w:rPr>
            </w:pPr>
          </w:p>
        </w:tc>
        <w:tc>
          <w:tcPr>
            <w:tcW w:w="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Gain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US government agency securities</w:t>
            </w:r>
          </w:p>
        </w:tc>
        <w:tc>
          <w:tcPr>
            <w:tcW w:w="2880" w:type="dxa"/>
            <w:vAlign w:val="bottom"/>
            <w:gridSpan w:val="5"/>
          </w:tcPr>
          <w:p>
            <w:pPr>
              <w:jc w:val="right"/>
              <w:ind w:right="320"/>
              <w:spacing w:after="0"/>
              <w:rPr>
                <w:sz w:val="20"/>
                <w:szCs w:val="20"/>
                <w:color w:val="auto"/>
              </w:rPr>
            </w:pPr>
            <w:r>
              <w:rPr>
                <w:rFonts w:ascii="Arial" w:cs="Arial" w:eastAsia="Arial" w:hAnsi="Arial"/>
                <w:sz w:val="18"/>
                <w:szCs w:val="18"/>
                <w:color w:val="auto"/>
              </w:rPr>
              <w:t>$ 22,273</w:t>
            </w:r>
          </w:p>
        </w:tc>
        <w:tc>
          <w:tcPr>
            <w:tcW w:w="480" w:type="dxa"/>
            <w:vAlign w:val="bottom"/>
            <w:gridSpan w:val="3"/>
          </w:tcPr>
          <w:p>
            <w:pPr>
              <w:ind w:left="36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2</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22,268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 securities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$ 26,802</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26,792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w w:val="95"/>
              </w:rPr>
              <w:t>Gross</w:t>
            </w:r>
          </w:p>
        </w:tc>
        <w:tc>
          <w:tcPr>
            <w:tcW w:w="80" w:type="dxa"/>
            <w:vAlign w:val="bottom"/>
          </w:tcPr>
          <w:p>
            <w:pPr>
              <w:spacing w:after="0"/>
              <w:rPr>
                <w:sz w:val="10"/>
                <w:szCs w:val="10"/>
                <w:color w:val="auto"/>
              </w:rPr>
            </w:pPr>
          </w:p>
        </w:tc>
        <w:tc>
          <w:tcPr>
            <w:tcW w:w="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Gain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US government agency securities</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$ 11,579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11,590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 securities</w:t>
            </w:r>
          </w:p>
        </w:tc>
        <w:tc>
          <w:tcPr>
            <w:tcW w:w="1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18,378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18,390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8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$ 29,957</w:t>
            </w:r>
          </w:p>
        </w:tc>
        <w:tc>
          <w:tcPr>
            <w:tcW w:w="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29,980</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right"/>
              <w:ind w:right="740"/>
              <w:spacing w:after="0"/>
              <w:rPr>
                <w:sz w:val="20"/>
                <w:szCs w:val="20"/>
                <w:color w:val="auto"/>
              </w:rPr>
            </w:pPr>
            <w:r>
              <w:rPr>
                <w:rFonts w:ascii="Arial" w:cs="Arial" w:eastAsia="Arial" w:hAnsi="Arial"/>
                <w:sz w:val="14"/>
                <w:szCs w:val="14"/>
                <w:b w:val="1"/>
                <w:bCs w:val="1"/>
                <w:color w:val="auto"/>
              </w:rPr>
              <w:t>September 30, 2017 (unaudited)</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w w:val="95"/>
              </w:rPr>
              <w:t>Gross</w:t>
            </w:r>
          </w:p>
        </w:tc>
        <w:tc>
          <w:tcPr>
            <w:tcW w:w="80" w:type="dxa"/>
            <w:vAlign w:val="bottom"/>
          </w:tcPr>
          <w:p>
            <w:pPr>
              <w:spacing w:after="0"/>
              <w:rPr>
                <w:sz w:val="10"/>
                <w:szCs w:val="10"/>
                <w:color w:val="auto"/>
              </w:rPr>
            </w:pPr>
          </w:p>
        </w:tc>
        <w:tc>
          <w:tcPr>
            <w:tcW w:w="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Gain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US government agency securities</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  5,699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5,698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 securities</w:t>
            </w:r>
          </w:p>
        </w:tc>
        <w:tc>
          <w:tcPr>
            <w:tcW w:w="1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8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$ 14,556</w:t>
            </w:r>
          </w:p>
        </w:tc>
        <w:tc>
          <w:tcPr>
            <w:tcW w:w="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14,553</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880" w:type="dxa"/>
            <w:vAlign w:val="bottom"/>
            <w:gridSpan w:val="5"/>
          </w:tcPr>
          <w:p>
            <w:pPr>
              <w:jc w:val="right"/>
              <w:ind w:right="1400"/>
              <w:spacing w:after="0"/>
              <w:rPr>
                <w:sz w:val="20"/>
                <w:szCs w:val="20"/>
                <w:color w:val="auto"/>
              </w:rPr>
            </w:pPr>
            <w:r>
              <w:rPr>
                <w:rFonts w:ascii="Arial" w:cs="Arial" w:eastAsia="Arial" w:hAnsi="Arial"/>
                <w:sz w:val="18"/>
                <w:szCs w:val="18"/>
                <w:color w:val="auto"/>
              </w:rPr>
              <w:t>F-21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and amortized cost of the Company’s available-for-sale securities by contractual maturity are summarized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 2015</w:t>
            </w:r>
          </w:p>
        </w:tc>
        <w:tc>
          <w:tcPr>
            <w:tcW w:w="1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 2016</w:t>
            </w:r>
          </w:p>
        </w:tc>
      </w:tr>
      <w:tr>
        <w:trPr>
          <w:trHeight w:val="149"/>
        </w:trPr>
        <w:tc>
          <w:tcPr>
            <w:tcW w:w="45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Fair</w:t>
            </w:r>
          </w:p>
        </w:tc>
        <w:tc>
          <w:tcPr>
            <w:tcW w:w="12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Amortized</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Fair</w:t>
            </w:r>
          </w:p>
        </w:tc>
      </w:tr>
      <w:tr>
        <w:trPr>
          <w:trHeight w:val="171"/>
        </w:trPr>
        <w:tc>
          <w:tcPr>
            <w:tcW w:w="4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1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Cost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Value</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7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$ 10,044</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$10,047</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$ 28,732</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$28,757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17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16,758</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16,745</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1,225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1,223</w:t>
            </w:r>
          </w:p>
        </w:tc>
      </w:tr>
      <w:tr>
        <w:trPr>
          <w:trHeight w:val="27"/>
        </w:trPr>
        <w:tc>
          <w:tcPr>
            <w:tcW w:w="4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available-for-sale securities</w:t>
            </w:r>
          </w:p>
        </w:tc>
        <w:tc>
          <w:tcPr>
            <w:tcW w:w="1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$ 26,802</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26,792</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$ 29,957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29,980</w:t>
            </w:r>
          </w:p>
        </w:tc>
      </w:tr>
      <w:tr>
        <w:trPr>
          <w:trHeight w:val="20"/>
        </w:trPr>
        <w:tc>
          <w:tcPr>
            <w:tcW w:w="4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and amortized cost of the Company’s available-for-sale securities by contractual maturity are summarized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 2017</w:t>
            </w:r>
          </w:p>
        </w:tc>
      </w:tr>
      <w:tr>
        <w:trPr>
          <w:trHeight w:val="149"/>
        </w:trPr>
        <w:tc>
          <w:tcPr>
            <w:tcW w:w="6720" w:type="dxa"/>
            <w:vAlign w:val="bottom"/>
          </w:tcPr>
          <w:p>
            <w:pPr>
              <w:spacing w:after="0"/>
              <w:rPr>
                <w:sz w:val="12"/>
                <w:szCs w:val="12"/>
                <w:color w:val="auto"/>
              </w:rPr>
            </w:pPr>
          </w:p>
        </w:tc>
        <w:tc>
          <w:tcPr>
            <w:tcW w:w="13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Amortized</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r>
      <w:tr>
        <w:trPr>
          <w:trHeight w:val="17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Borders>
              <w:top w:val="single" w:sz="8" w:color="auto"/>
            </w:tcBorders>
            <w:gridSpan w:val="2"/>
          </w:tcPr>
          <w:p>
            <w:pPr>
              <w:jc w:val="center"/>
              <w:ind w:left="484"/>
              <w:spacing w:after="0" w:line="142" w:lineRule="exact"/>
              <w:rPr>
                <w:sz w:val="20"/>
                <w:szCs w:val="20"/>
                <w:color w:val="auto"/>
              </w:rPr>
            </w:pPr>
            <w:r>
              <w:rPr>
                <w:rFonts w:ascii="Arial" w:cs="Arial" w:eastAsia="Arial" w:hAnsi="Arial"/>
                <w:sz w:val="14"/>
                <w:szCs w:val="14"/>
                <w:b w:val="1"/>
                <w:bCs w:val="1"/>
                <w:color w:val="auto"/>
                <w:w w:val="94"/>
              </w:rPr>
              <w:t>(unaudited)</w:t>
            </w: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$ 14,556</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14,553</w:t>
            </w:r>
          </w:p>
        </w:tc>
        <w:tc>
          <w:tcPr>
            <w:tcW w:w="60" w:type="dxa"/>
            <w:vAlign w:val="bottom"/>
            <w:shd w:val="clear" w:color="auto" w:fill="CCEEFF"/>
          </w:tcPr>
          <w:p>
            <w:pPr>
              <w:spacing w:after="0"/>
              <w:rPr>
                <w:sz w:val="18"/>
                <w:szCs w:val="18"/>
                <w:color w:val="auto"/>
              </w:rPr>
            </w:pPr>
          </w:p>
        </w:tc>
      </w:tr>
      <w:tr>
        <w:trPr>
          <w:trHeight w:val="223"/>
        </w:trPr>
        <w:tc>
          <w:tcPr>
            <w:tcW w:w="6720" w:type="dxa"/>
            <w:vAlign w:val="bottom"/>
          </w:tcPr>
          <w:p>
            <w:pPr>
              <w:ind w:left="360"/>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$ 14,556</w:t>
            </w:r>
          </w:p>
        </w:tc>
        <w:tc>
          <w:tcPr>
            <w:tcW w:w="6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14,553</w:t>
            </w:r>
          </w:p>
        </w:tc>
        <w:tc>
          <w:tcPr>
            <w:tcW w:w="6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average maturity of the Company’s available-for-sale securities as of December 31, 2015 and 2016 and September 30, 2017 was approximately one year, 0.5 years and 0.3 years,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Prepaid research and development expenses</w:t>
            </w:r>
          </w:p>
        </w:tc>
        <w:tc>
          <w:tcPr>
            <w:tcW w:w="2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$2,079</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9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309</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2,314</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2340" w:type="dxa"/>
            <w:vAlign w:val="bottom"/>
            <w:gridSpan w:val="3"/>
          </w:tcPr>
          <w:p>
            <w:pPr>
              <w:jc w:val="right"/>
              <w:ind w:right="1280"/>
              <w:spacing w:after="0"/>
              <w:rPr>
                <w:sz w:val="20"/>
                <w:szCs w:val="20"/>
                <w:color w:val="auto"/>
              </w:rPr>
            </w:pPr>
            <w:r>
              <w:rPr>
                <w:rFonts w:ascii="Arial" w:cs="Arial" w:eastAsia="Arial" w:hAnsi="Arial"/>
                <w:sz w:val="18"/>
                <w:szCs w:val="18"/>
                <w:color w:val="auto"/>
              </w:rPr>
              <w:t>F-22</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2015</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61</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Laboratory equipment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195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68</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Computer equipment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79"/>
              </w:rPr>
              <w:t>68</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79"/>
              </w:rPr>
              <w:t>56</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452</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Depreciation expense was $56, $22 and $225 for the year ended December 31, 2016 and for the nine months ended September 30, 2016 and 2017, respectively. There was no depreciation for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9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w:t>
            </w:r>
          </w:p>
        </w:tc>
        <w:tc>
          <w:tcPr>
            <w:tcW w:w="182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892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1,953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Accrued compensation</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1,167</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Deferred funding from charitable organizations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Accrued other</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1,312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3,889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Unit Tranche Rights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Included in the terms of the Redeemable Preferred Unit Purchase Agreement and the Series 1 Senior Preferred Unit Agreement were Tranche Rights which obligate the investors to purchase additional preferred units under certain conditions. The Tranche Rights also provide the investors with the right to purchase these additional units. The Company concluded that the Tranche Rights met the definition of a freestanding financial instrument as the Tranche Rights were legally detachable and separately exercisable from the Redeemable Preferred Units and the Series 1 Senior Preferred Units. Therefore, the Company allocated the net proceeds to each Tranche Right and the Redeemable Preferred Units or the Series 1 Senior Preferred Units based on the fair value at the date of issuance with the remaining proceeds being allocated to the Redeemable Preferred Units or Series 1 Senior Preferred Units.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Unit Tranche Rights—(Continued)</w:t>
      </w:r>
    </w:p>
    <w:p>
      <w:pPr>
        <w:spacing w:after="0" w:line="13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For the year ended December 31, 2015 and through the final settlement date in October 2016, the Company estimated the fair value of the Redeemable Preferred Unit Tranche Right based on the probability of closing the tranches and the estimated future value of the Redeemable Preferred Units. The Redeemable Preferred Unit Tranche Right was recorded as a liability as the purchase price of the additional Redeemable Preferred Units is less than the estimated fair value of the Redeemable Preferred Units at the expected settlement date. Upon settlement, the Redeemable Preferred Unit Tranche Right is reclassified to Redeemable Preferred Units. In October 2016, the Redeemable Preferred Unit Tranche Right was settled and no Redeemable Preferred Unit Tranche Right was outstanding subsequent to October 2016.</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estimated fair value of the Series 1 Senior Preferred Unit Tranche Right was determined using a probability-weighted present value model that considered the probability of closing the tranche through achievement of the preclinical milestones, estimated to be 50% on the date of issue and 60% at September 30, 2017, and the estimated future value of Series 1 Senior Preferred Units at closing. The Company converted future values to present value using a discount rate appropriate for probability adjusted cash flows. The estimates are based, in part, on subjective assumptions. Changes to these assumptions can have a significant impact on the fair value of the Series 1 Senior Preferred Unit Tranche Right. The Series 1 Senior Preferred Unit Tranche Right is outstanding as of September 30,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tranche right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Series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Redeemable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Senior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4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Preferred Unit</w:t>
            </w:r>
          </w:p>
        </w:tc>
        <w:tc>
          <w:tcPr>
            <w:tcW w:w="1360" w:type="dxa"/>
            <w:vAlign w:val="bottom"/>
            <w:gridSpan w:val="4"/>
          </w:tcPr>
          <w:p>
            <w:pPr>
              <w:jc w:val="center"/>
              <w:ind w:left="348"/>
              <w:spacing w:after="0" w:line="149" w:lineRule="exact"/>
              <w:rPr>
                <w:sz w:val="20"/>
                <w:szCs w:val="20"/>
                <w:color w:val="auto"/>
              </w:rPr>
            </w:pPr>
            <w:r>
              <w:rPr>
                <w:rFonts w:ascii="Arial" w:cs="Arial" w:eastAsia="Arial" w:hAnsi="Arial"/>
                <w:sz w:val="14"/>
                <w:szCs w:val="14"/>
                <w:b w:val="1"/>
                <w:bCs w:val="1"/>
                <w:color w:val="auto"/>
                <w:w w:val="95"/>
              </w:rPr>
              <w:t>Unit Tranche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Tranche Right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Right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35,909</w:t>
            </w:r>
          </w:p>
        </w:tc>
        <w:tc>
          <w:tcPr>
            <w:tcW w:w="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to preferred units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(24,008)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Balance at December 31, 2015</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12,004</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Reclassification to preferred units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(10,841)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Issuance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w w:val="86"/>
              </w:rPr>
              <w:t>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Balance at September 30, 2017 (unaudited)</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6"/>
              </w:rPr>
              <w:t>527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340"/>
        <w:spacing w:after="0" w:line="378" w:lineRule="auto"/>
        <w:rPr>
          <w:sz w:val="20"/>
          <w:szCs w:val="20"/>
          <w:color w:val="auto"/>
        </w:rPr>
      </w:pPr>
      <w:r>
        <w:rPr>
          <w:rFonts w:ascii="Arial" w:cs="Arial" w:eastAsia="Arial" w:hAnsi="Arial"/>
          <w:sz w:val="18"/>
          <w:szCs w:val="18"/>
          <w:b w:val="1"/>
          <w:bCs w:val="1"/>
          <w:color w:val="auto"/>
        </w:rPr>
        <w:t xml:space="preserve">10. Redeemable Preferred Units, Series 1 Senior Preferred Units and Junior Preferred Units </w:t>
      </w:r>
      <w:r>
        <w:rPr>
          <w:rFonts w:ascii="Arial" w:cs="Arial" w:eastAsia="Arial" w:hAnsi="Arial"/>
          <w:sz w:val="18"/>
          <w:szCs w:val="18"/>
          <w:i w:val="1"/>
          <w:iCs w:val="1"/>
          <w:color w:val="auto"/>
        </w:rPr>
        <w:t>Redeemable Preferred Units</w:t>
      </w:r>
    </w:p>
    <w:p>
      <w:pPr>
        <w:ind w:right="280"/>
        <w:spacing w:after="0" w:line="277" w:lineRule="auto"/>
        <w:rPr>
          <w:sz w:val="20"/>
          <w:szCs w:val="20"/>
          <w:color w:val="auto"/>
        </w:rPr>
      </w:pPr>
      <w:r>
        <w:rPr>
          <w:rFonts w:ascii="Arial" w:cs="Arial" w:eastAsia="Arial" w:hAnsi="Arial"/>
          <w:sz w:val="18"/>
          <w:szCs w:val="18"/>
          <w:color w:val="auto"/>
        </w:rPr>
        <w:t>The Company has issued redeemable preferred units (“Redeemable Preferred Units”). The Redeemable Preferred Units are classified outside of members’ deficit because the units contain redemption features that are not solely within the control of the Company.</w:t>
      </w:r>
    </w:p>
    <w:p>
      <w:pPr>
        <w:spacing w:after="0" w:line="62" w:lineRule="exact"/>
        <w:rPr>
          <w:sz w:val="20"/>
          <w:szCs w:val="20"/>
          <w:color w:val="auto"/>
        </w:rPr>
      </w:pPr>
    </w:p>
    <w:p>
      <w:pPr>
        <w:jc w:val="center"/>
        <w:ind w:right="320"/>
        <w:spacing w:after="0" w:line="449" w:lineRule="auto"/>
        <w:rPr>
          <w:sz w:val="20"/>
          <w:szCs w:val="20"/>
          <w:color w:val="auto"/>
        </w:rPr>
      </w:pPr>
      <w:r>
        <w:rPr>
          <w:rFonts w:ascii="Arial" w:cs="Arial" w:eastAsia="Arial" w:hAnsi="Arial"/>
          <w:sz w:val="18"/>
          <w:szCs w:val="18"/>
          <w:color w:val="auto"/>
        </w:rPr>
        <w:t>In December 2013, the Company issued 3,420,000 Redeemable Preferred Units at an issuance price of $1.00 per unit for proceeds of $3,420. F-24</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Preferred Units, Series 1 Senior Preferred Units and Junior Preferred Units—(Continued)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December 2014, the Company issued 3,420,000 Redeemable Preferred Units at an issuance price of $1.00 per unit for proceeds of $3,420.</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October 2015, the Company issued 6,840,000 Redeemable Preferred Units at an issuance price of $1.00 per unit for proceeds of $6,840.</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November and December 2016, the Company issued an aggregate of 3,420,000 Redeemable Preferred Units at $1.00 per unit for proceeds of $3,420.</w:t>
      </w:r>
    </w:p>
    <w:p>
      <w:pPr>
        <w:spacing w:after="0" w:line="24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 xml:space="preserve">On March 29, 2017, the Redeemable Preferred Units were exchanged to Series A Common Units. See Note 3, </w:t>
      </w:r>
      <w:r>
        <w:rPr>
          <w:rFonts w:ascii="Arial" w:cs="Arial" w:eastAsia="Arial" w:hAnsi="Arial"/>
          <w:sz w:val="18"/>
          <w:szCs w:val="18"/>
          <w:i w:val="1"/>
          <w:iCs w:val="1"/>
          <w:color w:val="auto"/>
        </w:rPr>
        <w:t>Merger and Recapitalization</w:t>
      </w:r>
      <w:r>
        <w:rPr>
          <w:rFonts w:ascii="Arial" w:cs="Arial" w:eastAsia="Arial" w:hAnsi="Arial"/>
          <w:sz w:val="18"/>
          <w:szCs w:val="18"/>
          <w:color w:val="auto"/>
        </w:rPr>
        <w:t>, for additional information. The Redeemable Preferred Units, which are carried at fair value due to their fair value redemption feature, were remeasured for a final time to their redemption value on March 29, 2017 and then were reclassified to members’ deficit.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Redeemable Preferred Units consisted of the following: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Issued</w:t>
            </w:r>
          </w:p>
        </w:tc>
        <w:tc>
          <w:tcPr>
            <w:tcW w:w="10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Carrying</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3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Authorized</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108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Outstanding</w:t>
            </w: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2015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60,000,000</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13,680,000</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$ 61,697</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At December 31, 2016</w:t>
            </w:r>
          </w:p>
        </w:tc>
        <w:tc>
          <w:tcPr>
            <w:tcW w:w="1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60,000,000</w:t>
            </w:r>
          </w:p>
        </w:tc>
        <w:tc>
          <w:tcPr>
            <w:tcW w:w="48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17,100,000</w:t>
            </w:r>
          </w:p>
        </w:tc>
        <w:tc>
          <w:tcPr>
            <w:tcW w:w="4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5"/>
              </w:rPr>
              <w:t>$ 71,649</w:t>
            </w:r>
          </w:p>
        </w:tc>
        <w:tc>
          <w:tcPr>
            <w:tcW w:w="4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2017 (unaudited)</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the Redeemable Preferred Units had the following rights and preferences: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Right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Redeemable Preferred Unit Tranche Right obligates the holders to purchase, and provides the holders with the right to purchase, additional Redeemable Preferred Units, under certain circumstances. The Redeemable Preferred unitholders purchased these additional units in 2015 and 2016. In October 2016, the Redeemable Preferred Unit Tranche Right was settled with the closing of the Redeemable Preferred Unit financing. See Note 9, </w:t>
      </w:r>
      <w:r>
        <w:rPr>
          <w:rFonts w:ascii="Arial" w:cs="Arial" w:eastAsia="Arial" w:hAnsi="Arial"/>
          <w:sz w:val="18"/>
          <w:szCs w:val="18"/>
          <w:i w:val="1"/>
          <w:iCs w:val="1"/>
          <w:color w:val="auto"/>
        </w:rPr>
        <w:t>Preferred Unit Tranche</w:t>
      </w:r>
      <w:r>
        <w:rPr>
          <w:rFonts w:ascii="Arial" w:cs="Arial" w:eastAsia="Arial" w:hAnsi="Arial"/>
          <w:sz w:val="18"/>
          <w:szCs w:val="18"/>
          <w:color w:val="auto"/>
        </w:rPr>
        <w:t xml:space="preserve"> </w:t>
      </w:r>
      <w:r>
        <w:rPr>
          <w:rFonts w:ascii="Arial" w:cs="Arial" w:eastAsia="Arial" w:hAnsi="Arial"/>
          <w:sz w:val="18"/>
          <w:szCs w:val="18"/>
          <w:i w:val="1"/>
          <w:iCs w:val="1"/>
          <w:color w:val="auto"/>
        </w:rPr>
        <w:t>Rights</w:t>
      </w:r>
      <w:r>
        <w:rPr>
          <w:rFonts w:ascii="Arial" w:cs="Arial" w:eastAsia="Arial" w:hAnsi="Arial"/>
          <w:sz w:val="18"/>
          <w:szCs w:val="18"/>
          <w:color w:val="auto"/>
        </w:rPr>
        <w:t>, for additional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Redeemable Preferred Units were redeemable on or after December 27, 2022 at the option of the Redeemable Preferred unitholder. The Redeemable Preferred Units were redeemable at the fair market value on the redemption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Redeemable Preferred Units had no conversion rights.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ind w:right="3240" w:firstLine="8"/>
        <w:spacing w:after="0" w:line="385" w:lineRule="auto"/>
        <w:tabs>
          <w:tab w:leader="none" w:pos="27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Units, Series 1 Senior Preferred Units and Junior Preferred Units—(Continued) Voting Rights</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holders of Redeemable Preferred Units are entitled to vote as a single class with the holders of the Series A Common Units on certain matters, including the election of managers, with each Redeemable Preferred Unit and Series A Common Unit carrying one vote per unit.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Company’s Board of Managers has authority to determine the amount, if any, of proceeds available for distribution to the unitholders. Prior to the conversion of the Redeemable Preferred Units on March 29, 2017, such proceeds were to be distributed in accordance with the following order of priority:</w:t>
      </w:r>
    </w:p>
    <w:p>
      <w:pPr>
        <w:spacing w:after="0" w:line="29" w:lineRule="exact"/>
        <w:rPr>
          <w:sz w:val="20"/>
          <w:szCs w:val="20"/>
          <w:color w:val="auto"/>
        </w:rPr>
      </w:pPr>
    </w:p>
    <w:p>
      <w:pPr>
        <w:ind w:left="900" w:right="340" w:hanging="325"/>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First, to the holders of Redeemable Preferred Units, pro rata in proportion to the remaining amount to be distributed to each such holder, until each such holder has received distributions in an amount equal to the cumulative capital contributions since inception in respect of the Redeemable Preferred Units.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Thereafter, to all Redeemable Preferred Unitholders, Series A Common Units held by the Company’s founders, Series A Common Units issued to non-founders between December 27, 2013 and December 26, 2014, and vested Series A Restricted Common Unitholders issued subsequent to December 26, 2014 pro rata in proportion to their percentage interest at the time of distribution.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distributions were made in 2015 or 2016 or during the nine months ended September 30,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of any liquidation, dissolution, or winding-up of the Company, the assets of the Company will be distributed in accordance with the same order of priority as distributions.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1 Senior Preferred Units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On March 29, 2017, the Company issued 2,500,000 Series 1 Senior Preferred Units at an issuance price of $10.00 per unit for proceeds of $25,000. See Note 3, </w:t>
      </w:r>
      <w:r>
        <w:rPr>
          <w:rFonts w:ascii="Arial" w:cs="Arial" w:eastAsia="Arial" w:hAnsi="Arial"/>
          <w:sz w:val="18"/>
          <w:szCs w:val="18"/>
          <w:i w:val="1"/>
          <w:iCs w:val="1"/>
          <w:color w:val="auto"/>
        </w:rPr>
        <w:t>Merger and Recapitalization</w:t>
      </w:r>
      <w:r>
        <w:rPr>
          <w:rFonts w:ascii="Arial" w:cs="Arial" w:eastAsia="Arial" w:hAnsi="Arial"/>
          <w:sz w:val="18"/>
          <w:szCs w:val="18"/>
          <w:color w:val="auto"/>
        </w:rPr>
        <w:t>,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Series 1 Senior Preferred Units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Issued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Liquidation</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Issuable</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7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Authorized</w:t>
            </w:r>
          </w:p>
        </w:tc>
        <w:tc>
          <w:tcPr>
            <w:tcW w:w="4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Upon</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Preference</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September 30, 2017 (unaudited)</w:t>
            </w: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2,500,000</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2,500,000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25,000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25,000</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Junior Preferred Units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On March 29, 2017, 134,920 Solid GT Class D Units were exchanged for 4,414,356 Junior Preferred Units of the Company. See Note 3, </w:t>
      </w:r>
      <w:r>
        <w:rPr>
          <w:rFonts w:ascii="Arial" w:cs="Arial" w:eastAsia="Arial" w:hAnsi="Arial"/>
          <w:sz w:val="18"/>
          <w:szCs w:val="18"/>
          <w:i w:val="1"/>
          <w:iCs w:val="1"/>
          <w:color w:val="auto"/>
        </w:rPr>
        <w:t>Merger and</w:t>
      </w:r>
      <w:r>
        <w:rPr>
          <w:rFonts w:ascii="Arial" w:cs="Arial" w:eastAsia="Arial" w:hAnsi="Arial"/>
          <w:sz w:val="18"/>
          <w:szCs w:val="18"/>
          <w:color w:val="auto"/>
        </w:rPr>
        <w:t xml:space="preserve"> </w:t>
      </w:r>
      <w:r>
        <w:rPr>
          <w:rFonts w:ascii="Arial" w:cs="Arial" w:eastAsia="Arial" w:hAnsi="Arial"/>
          <w:sz w:val="18"/>
          <w:szCs w:val="18"/>
          <w:i w:val="1"/>
          <w:iCs w:val="1"/>
          <w:color w:val="auto"/>
        </w:rPr>
        <w:t>Recapitalization</w:t>
      </w:r>
      <w:r>
        <w:rPr>
          <w:rFonts w:ascii="Arial" w:cs="Arial" w:eastAsia="Arial" w:hAnsi="Arial"/>
          <w:sz w:val="18"/>
          <w:szCs w:val="18"/>
          <w:color w:val="auto"/>
        </w:rPr>
        <w:t>, for additional information.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Preferred Units, Series 1 Senior Preferred Units and Junior Preferred Units—(Continued)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Junior Preferred Units consisted of the following: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Issued</w:t>
            </w: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4"/>
                <w:szCs w:val="14"/>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7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Authorized</w:t>
            </w:r>
          </w:p>
        </w:tc>
        <w:tc>
          <w:tcPr>
            <w:tcW w:w="4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Outstanding</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September 30, 2017 (unaudited)</w:t>
            </w: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4,414,356</w:t>
            </w:r>
          </w:p>
        </w:tc>
        <w:tc>
          <w:tcPr>
            <w:tcW w:w="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4,414,356</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$ 44,177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42,500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the Series 1 Senior Preferred Units and Junior Preferred Units have the following rights and preferences: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Tranche Right</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The holders of Series 1 Senior Preferred Units are obligated to purchase 1,973,430 Series 2 Senior Preferred Units at $12.67 per unit for gross proceeds of $25,000 in the event the Company achieves certain pre-clinical milestones. In addition, the holders of a majority of the Series 1 Senior Preferred Units have the right to require the holders of the Series 1 Senior Preferred Units to purchase the Series 2 Senior Preferred Units at any time prior to September 1, 2017, which in August 2017, was extended to December 1, 2017. The Series 1 Tranche Right is subject to certain transfer rights. See Note 9, </w:t>
      </w:r>
      <w:r>
        <w:rPr>
          <w:rFonts w:ascii="Arial" w:cs="Arial" w:eastAsia="Arial" w:hAnsi="Arial"/>
          <w:sz w:val="18"/>
          <w:szCs w:val="18"/>
          <w:i w:val="1"/>
          <w:iCs w:val="1"/>
          <w:color w:val="auto"/>
        </w:rPr>
        <w:t>Preferred Unit</w:t>
      </w:r>
      <w:r>
        <w:rPr>
          <w:rFonts w:ascii="Arial" w:cs="Arial" w:eastAsia="Arial" w:hAnsi="Arial"/>
          <w:sz w:val="18"/>
          <w:szCs w:val="18"/>
          <w:color w:val="auto"/>
        </w:rPr>
        <w:t xml:space="preserve"> </w:t>
      </w:r>
      <w:r>
        <w:rPr>
          <w:rFonts w:ascii="Arial" w:cs="Arial" w:eastAsia="Arial" w:hAnsi="Arial"/>
          <w:sz w:val="18"/>
          <w:szCs w:val="18"/>
          <w:i w:val="1"/>
          <w:iCs w:val="1"/>
          <w:color w:val="auto"/>
        </w:rPr>
        <w:t>Tranche Rights</w:t>
      </w:r>
      <w:r>
        <w:rPr>
          <w:rFonts w:ascii="Arial" w:cs="Arial" w:eastAsia="Arial" w:hAnsi="Arial"/>
          <w:sz w:val="18"/>
          <w:szCs w:val="18"/>
          <w:color w:val="auto"/>
        </w:rPr>
        <w:t>,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October 26, 2017, the Series 1 Tranche Right was settled. See Note 18,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the Junior Preferred Units do not have any tranche rights.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Series 1 Senior Preferred Units are redeemable on or after March 29, 2022 at the option of the holder at a redemption price equal to the original purchase price of $10.00 per unit plus any declared but unpaid distributions. The Company has presented Series 1 Senior Preferred Units outside of permanent equity since the redemption of Series 1 Senior Preferred Units is outside the control of the Company.</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consent of the Junior Preferred unitholders along with Series 1 Senior Preferred unitholders can effect a deemed liquidation event. Therefore, the Company has presented the Junior Preferred Units outside of permanent equity.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holders of the Series 1 Senior Preferred Units and Junior Preferred Units are entitled to vote together, and not as separate classes, with each Series 1 Senior Preferred Unit, Junior Preferred Unit, Series A Common Unit and Series B Common Unit carrying one vote per unit.</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Subject to maintaining certain ownership levels, the Series 1 Senior Preferred unitholders as a class are entitled to elect one of the eight board members while such units are outstanding. The Junior Preferred unitholders as a class are entitled to elect two of the eight board members while such units are outstanding.</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460" w:right="2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ind w:right="3220" w:firstLine="8"/>
        <w:spacing w:after="0" w:line="385" w:lineRule="auto"/>
        <w:tabs>
          <w:tab w:leader="none" w:pos="27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Units, Series 1 Senior Preferred Units and Junior Preferred Units—(Continued) Dividends</w:t>
      </w:r>
    </w:p>
    <w:p>
      <w:pPr>
        <w:spacing w:after="0" w:line="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holders of Series 1 Senior Preferred Units are entitled to an 8% annual dividend based on the Series 1 Senior Preferred Unit issuance price of $10.00 per unit, when and if declared by the Board of Managers. No dividends were declared or paid to Series 1 Senior Preferred unitholders.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holders of the Junior Preferred Units are entitled to an 8% annual dividend based on the Junior Preferred Unit issuance price of $9.63 per unit, when and if declared by the Board of Managers. No dividends were declared or paid to Junior Preferred unitholders.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Board of Managers has authority to determine the amount, if any, of proceeds available for distribution. Such proceeds are to be distributed in accordance with the following order of priority:</w:t>
      </w:r>
    </w:p>
    <w:p>
      <w:pPr>
        <w:spacing w:after="0" w:line="76" w:lineRule="exact"/>
        <w:rPr>
          <w:sz w:val="20"/>
          <w:szCs w:val="20"/>
          <w:color w:val="auto"/>
        </w:rPr>
      </w:pPr>
    </w:p>
    <w:p>
      <w:pPr>
        <w:ind w:left="900" w:right="140" w:hanging="325"/>
        <w:spacing w:after="0" w:line="286"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First, the Series 1 Senior Preferred and the Junior Preferred unitholders are entitled to an amount distributed, on a pro rata basis, equal to the Series 1 Senior Preferred Unit price of $10.00 per unit and any declared but unpaid Series 1 Senior Preferred dividends and the Junior Preferred Unit price of $9.63 per unit and any declared but unpaid Junior Preferred dividends, respectively.</w:t>
      </w:r>
    </w:p>
    <w:p>
      <w:pPr>
        <w:spacing w:after="0" w:line="70" w:lineRule="exact"/>
        <w:rPr>
          <w:rFonts w:ascii="Arial" w:cs="Arial" w:eastAsia="Arial" w:hAnsi="Arial"/>
          <w:sz w:val="17"/>
          <w:szCs w:val="17"/>
          <w:color w:val="auto"/>
        </w:rPr>
      </w:pPr>
    </w:p>
    <w:p>
      <w:pPr>
        <w:ind w:left="900" w:right="160" w:hanging="325"/>
        <w:spacing w:after="0" w:line="264"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Second, the Series A, B, C and D Common unitholders are entitled to an amount distributed, on a pro rata basis, subject to certain limitations, until the cumulative amount distributed with respect to one Series A Common Unit, Series B Common Unit, Series C Common Unit and vested Series D Common Unit equals the cumulative amount distributed to one Junior Preferred Unit.</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Third, the Junior Preferred unitholders and the Series A, B, C and vested D Common unitholders are entitled to an amount distributed on a pro rata basis, subject to certain limitations, until the cumulative amount distributed with respect to one Junior Preferred Unit, Series A Common Unit, Series B Common Unit, Series C Common Unit and vested Series D Common Unit equals the cumulative amount distributed to one Series 1 Senior Preferred Unit.</w:t>
      </w:r>
    </w:p>
    <w:p>
      <w:pPr>
        <w:spacing w:after="0" w:line="92"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Fourth, the Junior Preferred and the Series A, B, C and vested D Common unitholders are entitled to participate on a pro rata basis in cumulative distributions, subject to certain limitations, in the remaining proceeds available for distribution.</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the issuance of the Series 2 Senior Preferred Units on October 26, 2017, the Series 2 Senior Preferred unitholders are entitled to cumulative amounts distributed equal to the amount paid per unit for the Series 2 Senior Preferred Units and any declared but unpaid Series 2 Senior Preferred cumulative dividends, prior to and with priority over any distributions to any other unitholders. In addition, upon the issuance of the Senior Series 2 Preferred units, the holders of the Junior Preferred Units no longer share pro rata in the order of distributions with the Senior Series 1 Preferred unitholders and are subordinate to distributions made to Series 1 Senior Preferred unitholders.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 distributions were made during the nine months ended September 30, 2017.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ind w:right="3220" w:firstLine="8"/>
        <w:spacing w:after="0" w:line="385" w:lineRule="auto"/>
        <w:tabs>
          <w:tab w:leader="none" w:pos="27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Units, Series 1 Senior Preferred Units and Junior Preferred Units—(Continued) Liquidation</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any liquidation, dissolution, or winding-up of the Company, the assets of the Company will be distributed in accordance with the same order of priority that applies to distributions.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holders of the Series 1 Senior Preferred Units have the right to convert their units into Series C Common units on a one-to-one basis prior to March 29, 2022.</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Upon the closing of a qualified public offering on specific terms, or upon the request of the holders of a majority of each of the outstanding Series 1 Senior Preferred Units and Junior Preferred Units, the Company’s outstanding preferred units and common units will automatically convert into common shares.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Members’ Deficit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B, C and D Common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Series A, B, C and D Common Units consisted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2"/>
              </w:rPr>
              <w:t>Issued</w:t>
            </w:r>
          </w:p>
        </w:tc>
        <w:tc>
          <w:tcPr>
            <w:tcW w:w="80" w:type="dxa"/>
            <w:vAlign w:val="bottom"/>
          </w:tcPr>
          <w:p>
            <w:pPr>
              <w:spacing w:after="0"/>
              <w:rPr>
                <w:sz w:val="10"/>
                <w:szCs w:val="10"/>
                <w:color w:val="auto"/>
              </w:rPr>
            </w:pPr>
          </w:p>
        </w:tc>
        <w:tc>
          <w:tcPr>
            <w:tcW w:w="6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Authorized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Common Units</w:t>
            </w:r>
          </w:p>
        </w:tc>
        <w:tc>
          <w:tcPr>
            <w:tcW w:w="2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20,000,000</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5,015,917</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2"/>
              </w:rPr>
              <w:t>Issued</w:t>
            </w:r>
          </w:p>
        </w:tc>
        <w:tc>
          <w:tcPr>
            <w:tcW w:w="80" w:type="dxa"/>
            <w:vAlign w:val="bottom"/>
          </w:tcPr>
          <w:p>
            <w:pPr>
              <w:spacing w:after="0"/>
              <w:rPr>
                <w:sz w:val="10"/>
                <w:szCs w:val="10"/>
                <w:color w:val="auto"/>
              </w:rPr>
            </w:pPr>
          </w:p>
        </w:tc>
        <w:tc>
          <w:tcPr>
            <w:tcW w:w="6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Authorized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Common Units</w:t>
            </w:r>
          </w:p>
        </w:tc>
        <w:tc>
          <w:tcPr>
            <w:tcW w:w="2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20,000,000</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5,123,917</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3"/>
              </w:rPr>
              <w:t>September 30, 2017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7"/>
              </w:rPr>
              <w:t>Issued</w:t>
            </w:r>
          </w:p>
        </w:tc>
        <w:tc>
          <w:tcPr>
            <w:tcW w:w="7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Authorized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and</w:t>
            </w:r>
          </w:p>
        </w:tc>
        <w:tc>
          <w:tcPr>
            <w:tcW w:w="7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640" w:type="dxa"/>
            <w:vAlign w:val="bottom"/>
            <w:gridSpan w:val="4"/>
          </w:tcPr>
          <w:p>
            <w:pPr>
              <w:ind w:left="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Common Units</w:t>
            </w:r>
          </w:p>
        </w:tc>
        <w:tc>
          <w:tcPr>
            <w:tcW w:w="29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12,219,299</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12,219,299</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$ 55,964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Series B Common Units</w:t>
            </w:r>
          </w:p>
        </w:tc>
        <w:tc>
          <w:tcPr>
            <w:tcW w:w="3920" w:type="dxa"/>
            <w:vAlign w:val="bottom"/>
            <w:gridSpan w:val="4"/>
          </w:tcPr>
          <w:p>
            <w:pPr>
              <w:jc w:val="right"/>
              <w:ind w:right="60"/>
              <w:spacing w:after="0"/>
              <w:rPr>
                <w:sz w:val="20"/>
                <w:szCs w:val="20"/>
                <w:color w:val="auto"/>
              </w:rPr>
            </w:pPr>
            <w:r>
              <w:rPr>
                <w:rFonts w:ascii="Arial" w:cs="Arial" w:eastAsia="Arial" w:hAnsi="Arial"/>
                <w:sz w:val="18"/>
                <w:szCs w:val="18"/>
                <w:color w:val="auto"/>
              </w:rPr>
              <w:t>3,258,480</w:t>
            </w:r>
          </w:p>
        </w:tc>
        <w:tc>
          <w:tcPr>
            <w:tcW w:w="40" w:type="dxa"/>
            <w:vAlign w:val="bottom"/>
          </w:tcPr>
          <w:p>
            <w:pPr>
              <w:spacing w:after="0"/>
              <w:rPr>
                <w:sz w:val="18"/>
                <w:szCs w:val="18"/>
                <w:color w:val="auto"/>
              </w:rPr>
            </w:pPr>
          </w:p>
        </w:tc>
        <w:tc>
          <w:tcPr>
            <w:tcW w:w="1700" w:type="dxa"/>
            <w:vAlign w:val="bottom"/>
            <w:gridSpan w:val="4"/>
          </w:tcPr>
          <w:p>
            <w:pPr>
              <w:jc w:val="right"/>
              <w:ind w:right="440"/>
              <w:spacing w:after="0"/>
              <w:rPr>
                <w:sz w:val="20"/>
                <w:szCs w:val="20"/>
                <w:color w:val="auto"/>
              </w:rPr>
            </w:pPr>
            <w:r>
              <w:rPr>
                <w:rFonts w:ascii="Arial" w:cs="Arial" w:eastAsia="Arial" w:hAnsi="Arial"/>
                <w:sz w:val="18"/>
                <w:szCs w:val="18"/>
                <w:color w:val="auto"/>
              </w:rPr>
              <w:t>3,258,480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Series C Common Units</w:t>
            </w:r>
          </w:p>
        </w:tc>
        <w:tc>
          <w:tcPr>
            <w:tcW w:w="3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1,635,916</w:t>
            </w:r>
          </w:p>
        </w:tc>
        <w:tc>
          <w:tcPr>
            <w:tcW w:w="4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1,635,916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Series D Common Units</w:t>
            </w:r>
          </w:p>
        </w:tc>
        <w:tc>
          <w:tcPr>
            <w:tcW w:w="29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3,075,814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2,127,308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20,189,509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19,241,003</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1"/>
              </w:rPr>
              <w:t>$ 64,191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3960" w:type="dxa"/>
            <w:vAlign w:val="bottom"/>
            <w:gridSpan w:val="5"/>
          </w:tcPr>
          <w:p>
            <w:pPr>
              <w:ind w:left="1420"/>
              <w:spacing w:after="0"/>
              <w:rPr>
                <w:sz w:val="20"/>
                <w:szCs w:val="20"/>
                <w:color w:val="auto"/>
              </w:rPr>
            </w:pPr>
            <w:r>
              <w:rPr>
                <w:rFonts w:ascii="Arial" w:cs="Arial" w:eastAsia="Arial" w:hAnsi="Arial"/>
                <w:sz w:val="18"/>
                <w:szCs w:val="18"/>
                <w:color w:val="auto"/>
              </w:rPr>
              <w:t>F-29</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ind w:right="8660" w:firstLine="8"/>
        <w:spacing w:after="0" w:line="434" w:lineRule="auto"/>
        <w:tabs>
          <w:tab w:leader="none" w:pos="26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Members’ Deficit—(Continued) Series A Common Units</w:t>
      </w:r>
    </w:p>
    <w:p>
      <w:pPr>
        <w:spacing w:after="0"/>
        <w:rPr>
          <w:sz w:val="20"/>
          <w:szCs w:val="20"/>
          <w:color w:val="auto"/>
        </w:rPr>
      </w:pPr>
      <w:r>
        <w:rPr>
          <w:rFonts w:ascii="Arial" w:cs="Arial" w:eastAsia="Arial" w:hAnsi="Arial"/>
          <w:sz w:val="18"/>
          <w:szCs w:val="18"/>
          <w:b w:val="1"/>
          <w:bCs w:val="1"/>
          <w:i w:val="1"/>
          <w:iCs w:val="1"/>
          <w:color w:val="auto"/>
        </w:rPr>
        <w:t>Founders Series A Common Units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27, 2013, the Company issued 4,560,000 restricted Series A Common Units to its founders with time-based vesting conditions. Unvested units of Series A Common Units may not be sold or transferred by the holder. These restrictions lapse according to the time-based vesting conditions of each award. At December 31, 2015 and 2016, 2,280,000 and 3,420,000 restricted Series A Common Units were vested. The aggregated intrinsic value of the restricted Series A Common Units that vested during the year ended December 31, 2016 was $3,306. There were no restricted Series A Common Units that vested during the nine months ended September 30, 2017.</w:t>
      </w:r>
    </w:p>
    <w:p>
      <w:pPr>
        <w:spacing w:after="0" w:line="188"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On March 29, 2017, in connection with the Merger and Recapitalization, the 4,560,000 founders’ restricted Series A Common Units were exchanged for 3,258,480 restricted Series B Common units. All restricted Series B Common Units will continue to vest pursuant to the original vesting terms under the restricted Series A Common Units agreements and the Company will continue to recognize compensation expense over the related service period.</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in connection with the exchange of the founders’ restricted Series A Common Units into restricted Series B Common Units, the Company recognized $2,710 of equity based compensation expense for vested units, which represents the incremental fair value of the units before and after the Merger and Recapitalization. The Company will record additional compensation expense in the amount of $904 over the remaining vesting period of the Series B Common units of which $602 has been recognized as of September 30,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Non-Founder Series A Common Units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March and November 2014, the Company issued 169,667 restricted Series A Common Units at a per unit value of $2.59 to certain employees and consultants.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September and November 2015, the Company issued 305,000 restricted Series A Common Units at a per unit values between $2.39 and of $2.65 to certain employees.</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May and September 2016, the Company issued 60,000 restricted Series A Common Units at a per unit values between $2.03 and $2.14 to certain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2016, the Company issued 48,000 restricted Series A Common Units at a per unit value of $2.25 to certain employees.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March 29, 2017, in connection with the Merger and Recapitalization, 563,917 non-founder restricted Series A Common Units were exchanged for 402,963 restricted Series D Common Units. All restricted Series D Common Units will continue to vest pursuant to their original vesting period, which was generally four years, under the restricted Series A Common Units agreement, and the Company will continue to recognize compensation expense over the related service period.</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in connection with the exchange of the non-founders’ restricted Series A Common Units into restricted Series D Common Units, the Company recognized $140 of equity-based compensation expense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Members’ Deficit—(Continued)</w:t>
      </w:r>
    </w:p>
    <w:p>
      <w:pPr>
        <w:spacing w:after="0" w:line="13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vested units, which represents the incremental fair value of the units before and after the Merger and Recapitalization. The Company will record additional compensation expense in the amount of $115 over the remaining vesting period of the Series D Common units of which $32 has been recognized as of September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the Series A, B, C and D Common Units are entitled to the following rights and priorities: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Holders of Series A and B Common Units have the right to one vote per unit held by such member. The Series A Common unitholders as a class are entitled to elect two of the eight board members while such units are outstanding. The Series B Common unitholders as a class are entitled to elect three of the eight board members while such units are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Holders of Series C and D Common Units do not have the right to vote for the election of board members.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Series A, B, C and D Common Units are not redeemable.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and Liquidation Preference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the Series A, B, C and D Common Units are entitled to participate in distributions after preferential distributions are made to the Series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Senior Preferred and Junior Preferred unitholders as follows:</w:t>
      </w:r>
    </w:p>
    <w:p>
      <w:pPr>
        <w:spacing w:after="0" w:line="116" w:lineRule="exact"/>
        <w:rPr>
          <w:sz w:val="20"/>
          <w:szCs w:val="20"/>
          <w:color w:val="auto"/>
        </w:rPr>
      </w:pPr>
    </w:p>
    <w:p>
      <w:pPr>
        <w:ind w:left="900" w:hanging="325"/>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Series A, B, C and D Common unitholders are entitled to participate in distributions on a pro rata basis, subject to certain limitations, until the cumulative amount distributed with respect to one Series A Common Unit, Series B Common Unit, Series C Common Unit and vested Series D Common Unit equals the cumulative amount distributed to one Junior Preferred Unit.</w:t>
      </w:r>
    </w:p>
    <w:p>
      <w:pPr>
        <w:spacing w:after="0" w:line="86"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Junior Preferred unitholders and the Series A, B, C and D Common unitholders are entitled to participate in distributions on a pro rata basis, subject to certain limitations, until the cumulative amount distributed with respect to one Junior Preferred Unit, Series A Common Unit, Series B Common Unit, Series C Common Unit and vested Series D Common Unit equals the cumulative amount distributed to one Series 1 Senior Preferred Unit.</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unitholders are entitled to participate on a pro rata basis in cumulative distributions, subject to certain limitations, in the remaining proceeds available for distribution.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 distributions were made to the Series A, B, C or D Common unitholders during the years ended December 31, 2015 and 2016 and during the nine months ended September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Equity-Based Compensation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adopted the Solid Ventures, LLC Equity Incentive Plan (the “Plan”) on January 1, 2015, which provided for the issuances of up to 1,140,000 Series A Common Units under the Plan. The Company has granted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Equity-Based Compensation—(Continued)</w:t>
      </w:r>
    </w:p>
    <w:p>
      <w:pPr>
        <w:spacing w:after="0" w:line="13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Series A Common Units with time-based vesting conditions. Unvested Series A Common Units may not be sold or transferred by the holder. These restrictions lapse according to the time-based vesting conditions of each award. As of December 31, 2016, 576,083 units were available for future grants under the Plan.</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March 29, 2017, the Company amended the Solid Ventures, LLC Equity Incentive Plan and changed the name of the Plan to the Solid Biosciences, LLC Amended and Restated Equity Incentive Plan (the “Amended Plan”) and increased the number of Series D Common Units available for issuance under the Amended Plan from 1,140,000 to 2,971,949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844,640 Series D Common Units were available for future grants under the Amended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restricted Series A Common Unit activity since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Series A Common Units at December 31, 2015</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413,500</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Issued</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108,000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(115,987)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Unvested restricted Series A Common Units at December 31, 2016</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405,513</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(44,377)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Unvested restricted Series A Common Units at March 29, 2017 (unaudited)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361,136</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color w:val="auto"/>
              </w:rPr>
              <w:t>Exchange of unvested restricted Series A Common Units to restricted Series D Common Units at March</w:t>
            </w: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29, 2017 (unaudited)</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258,060</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Issuance of unvested restricted Series D Common units</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Series D Common Units at March 31, 2017 (unaudited)</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308,060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following table summarizes the Company’s restricted Series D Common Unit activity since March 31, 2017. The opening balance includes the exchange of the Company’s restricted Series A Common Units and the exchange of Solid GT’s Class C Restricted Common Units to restricted Series D Common Units as a result of the merger and recapitalization described in Note 3, Merger and Recapitalization.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Series D Common Units at March 31, 2017 (unaudited)</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819,545</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Issuance of unvested restricted Series D Common units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643,276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(131,959)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(52,136)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Series D Common Units at September 30, 2017 (unaudited)</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1,278,726</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5520"/>
              <w:spacing w:after="0"/>
              <w:rPr>
                <w:sz w:val="20"/>
                <w:szCs w:val="20"/>
                <w:color w:val="auto"/>
              </w:rPr>
            </w:pPr>
            <w:r>
              <w:rPr>
                <w:rFonts w:ascii="Arial" w:cs="Arial" w:eastAsia="Arial" w:hAnsi="Arial"/>
                <w:sz w:val="18"/>
                <w:szCs w:val="18"/>
                <w:color w:val="auto"/>
              </w:rPr>
              <w:t>F-32</w:t>
            </w: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Equity-Based Compensation—(Continued)</w:t>
      </w:r>
    </w:p>
    <w:p>
      <w:pPr>
        <w:spacing w:after="0" w:line="1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aggregate intrinsic value of restricted Series A Common Units that vested during the year ended December 31, 2016 was $16. The aggregate intrinsic value of restricted Series D Common units that vested during the nine months ended September 30, 2017 was $911.</w:t>
      </w:r>
    </w:p>
    <w:p>
      <w:pPr>
        <w:spacing w:after="0" w:line="17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At December 31, 2016, there was $864 of unrecognized equity-based compensation related to unvested Series A Common Units, which is expected to be recognized over a weighted average period of 2.8 years. At September 30, 2017, there was $4,498 of unrecognized equity-based compensation related to Series D Common Units, which is expected to be recognized over a weighted average period of 3.0 years.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Board of Managers approved the issuance of up to 185,781 Series D Common Units to employees upon the achievement of certain events. If those events occur, the Series D Common Units will be issued and vest in accordance with their time-based vesting conditions, which is generally four years. The Company issued 67,891 of the 185,781 Series D Common Units in September 2017 when the Company submitted its initial IND to the FDA. These 67,891 units are included within the 643,276 units included within the table above.</w:t>
      </w:r>
    </w:p>
    <w:p>
      <w:pPr>
        <w:spacing w:after="0" w:line="18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Solid GT LLC Agreement provides for the issuance of up to 55,555 Class C Restricted Common Units. The Company has granted Class C Restricted Common Units with time-based vesting conditions. Unvested Class C Restricted Common Units may not be sold or transferred by the holder. These restrictions lapse according to the time-based vesting conditions of each award. As of December 31, 2016, 22,073 units were available for future grants.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March 29, 2017, the Solid GT LLC Equity Incentive Plan was terminated and all Class C Restricted Common Units were exchanged for Series D Common Units of the Company with no change in vesting conditions. No further Class C Restricted Common Unit activity has occurred subsequent to March 29,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Solid GT Class C Restricted Common Unit activity since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Units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Class C Restricted Units at December 31, 2015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17,245</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Issued</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12,830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(9,081)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(1,597)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Unvested Class C Restricted Units at December 31, 2016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Vested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(3,764)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Unvested Class C Restricted Units at March 29, 2017 (unaudited)</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15,633</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108.94</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color w:val="auto"/>
                <w:w w:val="98"/>
              </w:rPr>
              <w:t>Exchange of Unvested Class C Restricted Units into Series D Common Units of the Company at March 29, 2017</w:t>
            </w: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4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tcPr>
          <w:p>
            <w:pPr>
              <w:ind w:left="160"/>
              <w:spacing w:after="0"/>
              <w:rPr>
                <w:sz w:val="20"/>
                <w:szCs w:val="20"/>
                <w:color w:val="auto"/>
              </w:rPr>
            </w:pPr>
            <w:r>
              <w:rPr>
                <w:rFonts w:ascii="Arial" w:cs="Arial" w:eastAsia="Arial" w:hAnsi="Arial"/>
                <w:sz w:val="18"/>
                <w:szCs w:val="18"/>
                <w:color w:val="auto"/>
              </w:rPr>
              <w:t>(unaudited)</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511,485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Series D Common Units at March 31, 2017 (unaudited)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511,485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5520"/>
              <w:spacing w:after="0"/>
              <w:rPr>
                <w:sz w:val="20"/>
                <w:szCs w:val="20"/>
                <w:color w:val="auto"/>
              </w:rPr>
            </w:pPr>
            <w:r>
              <w:rPr>
                <w:rFonts w:ascii="Arial" w:cs="Arial" w:eastAsia="Arial" w:hAnsi="Arial"/>
                <w:sz w:val="18"/>
                <w:szCs w:val="18"/>
                <w:color w:val="auto"/>
              </w:rPr>
              <w:t>F-33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8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Equity-Based Compensation—(Continued)</w:t>
      </w:r>
    </w:p>
    <w:p>
      <w:pPr>
        <w:spacing w:after="0" w:line="13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aggregate intrinsic value of Solid GT Class C Common Units that vested during the years ended December 31, 2016 was $335. The aggregate intrinsic value of restricted Class C Restricted Common Units that vested during the nine months ended September 30, 2017 was $58.</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2016, there was $2,853 of unrecognized equity-based compensation, which is expected to be recognized over a weighted average period of 2.6 years.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recorded equity-based compensation expense related to the Company’s restricted Series A Common Units, restricted Series D Common Units and Solid GT Class C Common Units, in the following expense categories of its consolidated statements of operations: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5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7080" w:type="dxa"/>
            <w:vAlign w:val="bottom"/>
          </w:tcPr>
          <w:p>
            <w:pPr>
              <w:spacing w:after="0"/>
              <w:rPr>
                <w:sz w:val="14"/>
                <w:szCs w:val="14"/>
                <w:color w:val="auto"/>
              </w:rPr>
            </w:pPr>
          </w:p>
        </w:tc>
        <w:tc>
          <w:tcPr>
            <w:tcW w:w="18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5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70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2016</w:t>
            </w:r>
          </w:p>
        </w:tc>
        <w:tc>
          <w:tcPr>
            <w:tcW w:w="4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r>
      <w:tr>
        <w:trPr>
          <w:trHeight w:val="142"/>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14"/>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$749</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3,723</w:t>
            </w:r>
          </w:p>
        </w:tc>
      </w:tr>
      <w:tr>
        <w:trPr>
          <w:trHeight w:val="27"/>
        </w:trPr>
        <w:tc>
          <w:tcPr>
            <w:tcW w:w="70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764</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1,122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4,507</w:t>
            </w:r>
          </w:p>
        </w:tc>
      </w:tr>
      <w:tr>
        <w:trPr>
          <w:trHeight w:val="20"/>
        </w:trPr>
        <w:tc>
          <w:tcPr>
            <w:tcW w:w="7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office and laboratory space under an operating lease agreement. The lease expires in January 2018 with no extension periods.</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years ended December 31, 2015 and 2016 and the nine months ended September 30, 2016 and 2017, the Company recognized $108, $270, $204 and $791, respectively, of rental expense related to office and laboratory space.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for this operating lease as of December 31, 2016 were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5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r>
      <w:tr>
        <w:trPr>
          <w:trHeight w:val="196"/>
        </w:trPr>
        <w:tc>
          <w:tcPr>
            <w:tcW w:w="1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2017</w:t>
            </w:r>
          </w:p>
        </w:tc>
        <w:tc>
          <w:tcPr>
            <w:tcW w:w="56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7"/>
                <w:szCs w:val="17"/>
                <w:color w:val="auto"/>
              </w:rPr>
            </w:pPr>
          </w:p>
        </w:tc>
      </w:tr>
      <w:tr>
        <w:trPr>
          <w:trHeight w:val="223"/>
        </w:trPr>
        <w:tc>
          <w:tcPr>
            <w:tcW w:w="1660" w:type="dxa"/>
            <w:vAlign w:val="bottom"/>
          </w:tcPr>
          <w:p>
            <w:pPr>
              <w:spacing w:after="0"/>
              <w:rPr>
                <w:sz w:val="20"/>
                <w:szCs w:val="20"/>
                <w:color w:val="auto"/>
              </w:rPr>
            </w:pPr>
            <w:r>
              <w:rPr>
                <w:rFonts w:ascii="Arial" w:cs="Arial" w:eastAsia="Arial" w:hAnsi="Arial"/>
                <w:sz w:val="18"/>
                <w:szCs w:val="18"/>
                <w:color w:val="auto"/>
              </w:rPr>
              <w:t>2018</w:t>
            </w:r>
          </w:p>
        </w:tc>
        <w:tc>
          <w:tcPr>
            <w:tcW w:w="5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an outstanding letter of credit in the amount of $65 at December 31, 2016, which was required as a condition of the Company’s office and laboratory lease.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00"/>
          </w:cols>
          <w:pgMar w:left="240" w:top="459" w:right="3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Contingencies—(Continued)</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losses arising out of breach of such agreements or from intellectual property infringement claims made by third parties. In addition, the Company has entered into indemnification agreements with members of its Board of Managers that will require the Company, among other things, to indemnify them against certain liabilities that may arise by reason of their status or service as managers. The maximum potential amount of future payments the Company could be required to make under these indemnification agreements is, in many cases, unlimited. To date, the Company has not incurred any material costs as a result of such indemnification arrangements.</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2015 and 2016 and September 30,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first quarter of 2017, the Company terminated the development, manufacturing and testing agreement (the “Agreement”) it entered into in January 2016 with a third-party. The Company and the third-party are in dispute regarding the remaining amounts owned by the Company to the third-party under the Agreement. The range of possible loss is estimated to be between $600 and $1,500, and an estimated liability of $1,450 has been established for this matter in the accompanying consolidated balance sheet as of September 30,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Washington License Agreement</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2015, the Company entered into a license agreement with the University of Washington, acting through UW CoMotion, under which the Company obtained an exclusive, royalty-bearing, sublicensable, worldwide license under a patent application owned by the University of Washington relating to novel micro-dystrophins and all patents claiming priority to such patent to develop, manufacture, and commercialize products for use in the treatment of DMD and related disease indications caused by a lack of functional dystrophin. The Company has the right to grant sublicenses to third parties contingent upon written approval by the University of Washington prior to executing such sublicense, which approval may not be unreasonably withheld.</w:t>
      </w:r>
    </w:p>
    <w:p>
      <w:pPr>
        <w:spacing w:after="0" w:line="15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consideration for the rights granted by the agreement, the Company paid a one-time, non-refundable license fee, which was recorded as a research and development expense in 2015. The Company is required to reimburse the University of Washington for costs incurred in applying for, prosecuting and maintaining patents and pay up to an aggregate of approximately $1 million upon the achievement of certain milestones. There were no milestones achieved as of December 31, 2015 and 2016 and September 30, 2017. The Company must also pay royalties of a low single digit percentage of future sales by us and our sublicensees of products developed under the licensed patent rights. In addition, the Company must pay an annual maintenance fee until certain milestones are achieved, at which time a minimum annual royalty requirement will replace such maintenance fee and will apply to the Company and its sublicensees.</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license agreement remains in effect until the expiration of the last-to-expire patent licensed under the agreement. The Company may terminate the agreement at any time upon providing sixty days’ written notice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License Agreements—(Continued)</w:t>
      </w:r>
    </w:p>
    <w:p>
      <w:pPr>
        <w:spacing w:after="0" w:line="1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University of Washington. The University of Washington may terminate the agreement upon the Company’s uncured, material breach of the agreement or if the Company enters into an insolvency-related event.</w:t>
      </w:r>
    </w:p>
    <w:p>
      <w:pPr>
        <w:spacing w:after="0" w:line="170"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color w:val="auto"/>
        </w:rPr>
        <w:t>The Company recorded research and development expense in the amount of $25 for the year ended December 31, 2015. There was no research and development expense for the year ended December 31, 2016, and $0 and $49 for the nine months ended September 30, 2016 and 2017 under the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University of Missouri License Agreement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2015, the Company entered into a license agreement with the Curators of the University of Missouri, or the University of Missouri, a public corporation of Missouri, under which the Company obtained an exclusive, royalty-bearing, sublicensable, worldwide license under certain patent and patent applications owned by the University of Missouri relating to a novel synthetic microdystrophin gene to make, sell and distribute products for use in the treatment of DMD and related disease indications resulting from a lack of functional dystrophin.</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consideration for the rights granted by the agreement, the Company paid a one-time, non-refundable license fee, which was recorded as a research and development expense in 2015. The Company is required to reimburse the University of Missouri for costs incurred in applying for, prosecuting and maintaining the licensed patents and pay up to an aggregate of approximately $1 million upon the achievement of certain milestones for each product developed based on the licensed patents. There were no milestones achieved as of December 31, 2015 and 2016 and September 30, 2017. The Company must pay a royalty of a low single digit percentage of future sales or by its sublicensees of products developed using the licensed patents. In addition, the Company must pay an annual maintenance fee until certain milestones are achieved, after which time a minimum annual royalty will replace such maintenance fee.</w:t>
      </w:r>
    </w:p>
    <w:p>
      <w:pPr>
        <w:spacing w:after="0" w:line="16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Under the agreement, the Company granted the University of Missouri a non-exclusive, royalty-free, irrevocable, paid-up license, with the right to grant sublicenses to non-profit, academic, educational or governmental institutions, to practice and use improvements made by the Company using the licensed patent rights, solely for non-commercial research purposes.</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license agreement remains in effect until the expiration of the last-to-expire patent or the abandonment of the last to be abandoned patent application licensed under the agreement. The University of Missouri may terminate the agreement, or render the license granted thereunder non-exclusive, in individual countries if the Company’s sublicensees fail to achieve certain milestones. The Company may terminate the license agreement at any time upon providing six months’ written notice to the University of Missouri and paying a termination fee. Each of the University of Missouri and the Company may also terminate the agreement for an uncured default or breach of the agreement by the other party. The Company’s ability to cure such breach only applies to the first two notices of such breach provided by the University of Missouri, and thereafter, the University of Missouri may terminate the agreement for the Company’s default or breach of the agreement upon thirty days’ written notice without an opportunity to cure such default or breach.</w:t>
      </w:r>
    </w:p>
    <w:p>
      <w:pPr>
        <w:spacing w:after="0" w:line="167" w:lineRule="exact"/>
        <w:rPr>
          <w:sz w:val="20"/>
          <w:szCs w:val="20"/>
          <w:color w:val="auto"/>
        </w:rPr>
      </w:pPr>
    </w:p>
    <w:p>
      <w:pPr>
        <w:ind w:right="520"/>
        <w:spacing w:after="0" w:line="381" w:lineRule="auto"/>
        <w:rPr>
          <w:sz w:val="20"/>
          <w:szCs w:val="20"/>
          <w:color w:val="auto"/>
        </w:rPr>
      </w:pPr>
      <w:r>
        <w:rPr>
          <w:rFonts w:ascii="Arial" w:cs="Arial" w:eastAsia="Arial" w:hAnsi="Arial"/>
          <w:sz w:val="15"/>
          <w:szCs w:val="15"/>
          <w:color w:val="auto"/>
        </w:rPr>
        <w:t>The Company recorded research and development expense in the amount of $40 for the year ended December 31, 2015. There was no research and development expense for the year ended December 31, 2016 and $0 and $1 the nine months ended September 30, 2016 and 2017 under the agreement.</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60" w:right="2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License Agreements—(Continued)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University of Michigan License Agreement</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2016, the Company entered into a license agreement with the Regents of the University of Michigan, or the University of Michigan, a constitutional corporation of Michigan, under which the Company obtained an exclusive, royalty-bearing, sublicensable, worldwide license to make, sell and distribute products under certain patents owned by the University of Michigan related to microdystrophin and utrophin spectrin-like nucleic acid sequences for any use that, but for this agreement, would comprise an infringement of a valid claim included in the licensed patent rights.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consideration for the rights granted by the agreement, we paid a one-time license fee and a separate fee to cover past patent prosecution costs, which we recorded as a research and development expense in 2016. We are required to reimburse the University of Michigan for costs incurred in applying for, prosecuting and maintaining patents, and pay up to an aggregate of approximately $1 million upon the achievement of certain milestones. There were no milestones achieved as of December 31, 2016 and September 30, 2017. The Company must also pay a royalty of a low single digit percentage on future sales by us or our sublicensees of products developed using the licensed rights, with a minimum annual royalty after certain milestones are achieved. In addition, the Company must pay an annual maintenance fee in any year in which the minimum annual royalty is not reached.</w:t>
      </w:r>
    </w:p>
    <w:p>
      <w:pPr>
        <w:spacing w:after="0" w:line="16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Under the agreement, the University of Michigan reserves for itself and its affiliates the right to use the licensed rights for non-commercial research, public service, internal and educational purposes and the right to grant the same limited non-commercial rights to other non-profit research institutions.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license agreement remains in effect until the expiration of the last-to-expire patent licensed under the agreement. The University of Michigan may terminate the agreement upon the Company’s uncured material breach of the agreement, including failure to make required payments under the agreement or to achieve certain milestones, or if the Company becomes insolvent or bankrupt. The Company may terminate the license agreement at any time upon providing sixty days’ written notice to the University of Michigan.</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recorded and research and development expense in the amount of $145, $145 and $4 for the year ended December 31, 2016 and the nine months ended September 30, 2016 and 2017, respectively, under the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Harvard College License Agreements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2016, the Company entered into a license agreement with the President and Fellows of Harvard College, or Harvard College, under which the Company obtained a non-exclusive, royalty-bearing, sublicensable, worldwide license to use certain intellectual property owned by Harvard College to develop, manufacture, and commercialize products for use in the treatment of DMD.</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consideration for the rights granted by the agreement, the Company paid a one-time, non-refundable license fee, which was recorded as a research and development expense in 2016. The Company is required to pay an annual license maintenance fee until certain milestones are achieved, after which time the annual maintenance fee will increase annually. Such annual maintenance fee will further increase if the Company grants certain rights to a sublicensee or strategic partner with whom the Company collaborates on the development and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40"/>
          </w:cols>
          <w:pgMar w:left="240" w:top="459" w:right="3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License Agreements—(Continued)</w:t>
      </w:r>
    </w:p>
    <w:p>
      <w:pPr>
        <w:spacing w:after="0" w:line="13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commercialization of licensed products. The annual maintenance fee is creditable against royalty payments. The Company also must pay a milestone payment within thirty days after achieving certain milestones. There were no milestones achieved as of December 31, 2016 and September 30, 2017. The Company must pay a royalty of a low single digit percentage on future sales by us or our sublicensees of products developed using the licensed technology.</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license agreement remains in effect for an initial term of fifteen years, with automatic three-year renewal periods thereafter unless one of the parties provides notice of non-renewal. The Company may terminate the license agreement at any time upon providing sixty days’ written notice to Harvard College. Harvard College may terminate the agreement in the event the Company becomes bankrupt or insolvent. Both Harvard College and the Company may also terminate the agreement for an uncured material breach of the agreement by the other party.</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recorded research and development expense in the amount of $45, $45 and $35 for the year ended December 31, 2016 and the nine months ended September 30, 2016 and 2017, respectively, under the agreement.</w:t>
      </w:r>
    </w:p>
    <w:p>
      <w:pPr>
        <w:spacing w:after="0" w:line="17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In August 2017, the Company entered into a license agreement with the President and Fellows of Harvard College, or Harvard College, under which the Company obtained a non-exclusive, royalty-bearing, sublicensable, worldwide license to use certain intellectual property owned by Harvard College to develop, manufacture, and commercialize products for use in the treatment of DMD.</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consideration for the rights granted by the agreement, the Company paid a one-time, non-refundable license fee, which was recorded as a research and development expense in 2017. The Company is required to pay an annual license maintenance fee until certain milestones are achieved, after which time the annual maintenance fee will increase annually. Such annual maintenance fee will further increase if the Company grants certain rights to a sublicensee or strategic partner with whom the Company collaborates on the development and commercialization of licensed products. The annual maintenance fee is creditable against royalty payments. The Company also must pay a milestone payment within thirty days after achieving certain milestones. There were no milestones achieved as of September 30, 2017. The Company must pay a royalty of a low single digit percentage on future sales by us or our sublicensees of products developed using the licensed technology.</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license agreement remains in effect for an initial term of fifteen years, with automatic three-year renewal periods thereafter unless one of the parties provides notice of non-renewal. The Company may terminate the license agreement at any time upon providing sixty days’ written notice to Harvard College. Harvard College may terminate the agreement in the event the Company becomes bankrupt or insolvent. Both Harvard College and the Company may also terminate the agreement for an uncured material breach of the agreement by the other party.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research and development expense in the amount of $18 for the nine months ended September 30, 2017 under the agreement.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License Agreements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2016, the Company entered into a license agreement with a biotechnology company, or the Licensor. In consideration for obtaining a non-exclusive, royalty-free, worldwide license to use certain technologies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License Agreements—(Continued)</w:t>
      </w:r>
    </w:p>
    <w:p>
      <w:pPr>
        <w:spacing w:after="0" w:line="13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associated know-how to develop product candidates, the Company paid a one-time, non-refundable license fee. This fee was recorded as a research and development expense in 2016. The license agreement will remain effective in perpetuity unless earlier terminated. The Licensor has the right to terminate the agreement upon our material, uncured breach of the agreement or in the event that it determines that continued performance of the agreement may violate any laws. The Company is obligated to diligently pursue regulatory approval necessary for the development, manufacture and sale of the licensed products. The Company has the right to terminate the agreement at any time upon providing thirty days’ written notice to the Licensor.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Unit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common unit were calculated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numerator for basic and diluted net loss per unit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13"/>
            <w:vMerge w:val="restart"/>
          </w:tcPr>
          <w:p>
            <w:pPr>
              <w:jc w:val="right"/>
              <w:ind w:right="220"/>
              <w:spacing w:after="0"/>
              <w:rPr>
                <w:sz w:val="20"/>
                <w:szCs w:val="20"/>
                <w:color w:val="auto"/>
              </w:rPr>
            </w:pPr>
            <w:r>
              <w:rPr>
                <w:rFonts w:ascii="Arial" w:cs="Arial" w:eastAsia="Arial" w:hAnsi="Arial"/>
                <w:sz w:val="14"/>
                <w:szCs w:val="14"/>
                <w:b w:val="1"/>
                <w:bCs w:val="1"/>
                <w:color w:val="auto"/>
                <w:w w:val="98"/>
              </w:rPr>
              <w:t>Year Ended December 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13"/>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5"/>
          </w:tcPr>
          <w:p>
            <w:pPr>
              <w:jc w:val="center"/>
              <w:ind w:right="410"/>
              <w:spacing w:after="0" w:line="142" w:lineRule="exact"/>
              <w:rPr>
                <w:sz w:val="20"/>
                <w:szCs w:val="20"/>
                <w:color w:val="auto"/>
              </w:rPr>
            </w:pPr>
            <w:r>
              <w:rPr>
                <w:rFonts w:ascii="Arial" w:cs="Arial" w:eastAsia="Arial" w:hAnsi="Arial"/>
                <w:sz w:val="14"/>
                <w:szCs w:val="14"/>
                <w:b w:val="1"/>
                <w:bCs w:val="1"/>
                <w:color w:val="auto"/>
                <w:w w:val="94"/>
              </w:rPr>
              <w:t>(unaudited)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(6,664)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(23,773)</w:t>
            </w:r>
          </w:p>
        </w:tc>
        <w:tc>
          <w:tcPr>
            <w:tcW w:w="11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$(15,254)</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(2,234)</w:t>
            </w:r>
          </w:p>
        </w:tc>
        <w:tc>
          <w:tcPr>
            <w:tcW w:w="1160" w:type="dxa"/>
            <w:vAlign w:val="bottom"/>
            <w:gridSpan w:val="6"/>
          </w:tcPr>
          <w:p>
            <w:pPr>
              <w:jc w:val="right"/>
              <w:ind w:right="80"/>
              <w:spacing w:after="0"/>
              <w:rPr>
                <w:sz w:val="20"/>
                <w:szCs w:val="20"/>
                <w:color w:val="auto"/>
              </w:rPr>
            </w:pPr>
            <w:r>
              <w:rPr>
                <w:rFonts w:ascii="Arial" w:cs="Arial" w:eastAsia="Arial" w:hAnsi="Arial"/>
                <w:sz w:val="18"/>
                <w:szCs w:val="18"/>
                <w:color w:val="auto"/>
              </w:rPr>
              <w:t>(1,471)</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Solid Biosciences, LLC</w:t>
            </w:r>
          </w:p>
        </w:tc>
        <w:tc>
          <w:tcPr>
            <w:tcW w:w="5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(6,377)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(21,539)</w:t>
            </w:r>
          </w:p>
        </w:tc>
        <w:tc>
          <w:tcPr>
            <w:tcW w:w="11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$(13,783)</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Decretion (accretion) of preferred units to redemption value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4,309</w:t>
            </w:r>
          </w:p>
        </w:tc>
        <w:tc>
          <w:tcPr>
            <w:tcW w:w="1160" w:type="dxa"/>
            <w:vAlign w:val="bottom"/>
            <w:gridSpan w:val="6"/>
          </w:tcPr>
          <w:p>
            <w:pPr>
              <w:jc w:val="right"/>
              <w:ind w:right="140"/>
              <w:spacing w:after="0"/>
              <w:rPr>
                <w:sz w:val="20"/>
                <w:szCs w:val="20"/>
                <w:color w:val="auto"/>
              </w:rPr>
            </w:pPr>
            <w:r>
              <w:rPr>
                <w:rFonts w:ascii="Arial" w:cs="Arial" w:eastAsia="Arial" w:hAnsi="Arial"/>
                <w:sz w:val="18"/>
                <w:szCs w:val="18"/>
                <w:color w:val="auto"/>
              </w:rPr>
              <w:t>1,198</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Redemption of preferred units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Redemption of redeemable interest from non-controlling interest in Solid GT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unitholders</w:t>
            </w:r>
          </w:p>
        </w:tc>
        <w:tc>
          <w:tcPr>
            <w:tcW w:w="5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(6,445)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(17,230)</w:t>
            </w:r>
          </w:p>
        </w:tc>
        <w:tc>
          <w:tcPr>
            <w:tcW w:w="11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(12,585)</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(24,830)</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The denominator is as follows:</w:t>
            </w: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gridSpan w:val="14"/>
            <w:vMerge w:val="restart"/>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14"/>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Borders>
              <w:top w:val="single" w:sz="8" w:color="auto"/>
              <w:bottom w:val="single" w:sz="8" w:color="auto"/>
            </w:tcBorders>
            <w:gridSpan w:val="4"/>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3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bottom w:val="single" w:sz="8" w:color="auto"/>
            </w:tcBorders>
            <w:gridSpan w:val="3"/>
          </w:tcPr>
          <w:p>
            <w:pPr>
              <w:jc w:val="right"/>
              <w:ind w:right="205"/>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7"/>
          </w:tcPr>
          <w:p>
            <w:pPr>
              <w:jc w:val="center"/>
              <w:ind w:right="360"/>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 basic and diluted</w:t>
            </w:r>
          </w:p>
        </w:tc>
        <w:tc>
          <w:tcPr>
            <w:tcW w:w="1220" w:type="dxa"/>
            <w:vAlign w:val="bottom"/>
            <w:gridSpan w:val="6"/>
            <w:shd w:val="clear" w:color="auto" w:fill="CCEEFF"/>
          </w:tcPr>
          <w:p>
            <w:pPr>
              <w:ind w:left="480"/>
              <w:spacing w:after="0"/>
              <w:rPr>
                <w:sz w:val="20"/>
                <w:szCs w:val="20"/>
                <w:color w:val="auto"/>
              </w:rPr>
            </w:pPr>
            <w:r>
              <w:rPr>
                <w:rFonts w:ascii="Arial" w:cs="Arial" w:eastAsia="Arial" w:hAnsi="Arial"/>
                <w:sz w:val="18"/>
                <w:szCs w:val="18"/>
                <w:color w:val="auto"/>
              </w:rPr>
              <w:t>846,569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94"/>
              </w:rPr>
              <w:t>1,698,904</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1,677,909</w:t>
            </w: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12,446,769</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Net loss per unit attributable to common unitholders, basic and diluted is as follows:</w:t>
            </w: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40" w:type="dxa"/>
            <w:vAlign w:val="bottom"/>
            <w:gridSpan w:val="11"/>
            <w:vMerge w:val="restart"/>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840" w:type="dxa"/>
            <w:vAlign w:val="bottom"/>
            <w:gridSpan w:val="11"/>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45"/>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6"/>
          </w:tcPr>
          <w:p>
            <w:pPr>
              <w:jc w:val="center"/>
              <w:ind w:right="110"/>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attributable to common unitholders, basic and diluted</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   (7.61)</w:t>
            </w:r>
          </w:p>
        </w:tc>
        <w:tc>
          <w:tcPr>
            <w:tcW w:w="6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(10.14)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   (7.50)</w:t>
            </w: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5520"/>
              <w:spacing w:after="0"/>
              <w:rPr>
                <w:sz w:val="20"/>
                <w:szCs w:val="20"/>
                <w:color w:val="auto"/>
              </w:rPr>
            </w:pPr>
            <w:r>
              <w:rPr>
                <w:rFonts w:ascii="Arial" w:cs="Arial" w:eastAsia="Arial" w:hAnsi="Arial"/>
                <w:sz w:val="18"/>
                <w:szCs w:val="18"/>
                <w:color w:val="auto"/>
              </w:rPr>
              <w:t>F-39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Unit—(Continued)</w:t>
      </w:r>
    </w:p>
    <w:p>
      <w:pPr>
        <w:spacing w:after="0" w:line="13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potential common units, presented based on amounts outstanding at each period end, were excluded from the calculation of diluted net loss per share attributable to common unitholders for the periods indicated because including them would have had an anti-dilutive effect: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4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100" w:type="dxa"/>
            <w:vAlign w:val="bottom"/>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2100" w:type="dxa"/>
            <w:vAlign w:val="bottom"/>
            <w:gridSpan w:val="4"/>
          </w:tcPr>
          <w:p>
            <w:pPr>
              <w:ind w:lef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3"/>
          </w:tcPr>
          <w:p>
            <w:pPr>
              <w:jc w:val="right"/>
              <w:ind w:right="574"/>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Series A common units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1,924,718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1,104,391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1,923,170</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Series B common units</w:t>
            </w: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814,620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Series D common units</w:t>
            </w:r>
          </w:p>
        </w:tc>
        <w:tc>
          <w:tcPr>
            <w:tcW w:w="11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1,924,718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1,104,391</w:t>
            </w: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1,923,170</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2,093,346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a defined contribution savings plan under Section 401(k) of the Internal Revenue Code. The plan covers substantially all employees who meet minimum age and service requirements and allows participants to defer a portion of their annual compensation on a pretax basis. Company contributions to the plan may be made at the discretion of the Company’s board of managers. The Company made no contributions to the plan during the years ended December 31, 2015 and 2016 or the nine months ended September 30, 2016 and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its consolidated financial statements as of December 31, 2016 and for the year then ended, the Company evaluated subsequent events through August 4, 2017, the date on which those financial statements were available to be issued.</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May 31, 2017, the Company granted 394,336 restricted Series D Common units to employees and consultants, with restrictions which generally lapse over four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 (unaudited)</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its unaudited consolidated financial statements as of September 30, 2017 and for the nine months then ended, the Company evaluated subsequent events through December 29, 2017, the date on which those financial statements were available to be issued.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26, 2017, the LLC Agreement was amended to increase the number of authorized Series 2 Senior Preferred Units to 4,886,000 and the Company sold 4,886,000 Series 2 Senior Preferred Units at a price of $11.26 per unit in exchange for net proceeds of $55,000. The Series 1 Tranche Right was settled in connection with the closing of the Series 2 Senior Preferred Unit financing.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3275965</wp:posOffset>
            </wp:positionV>
            <wp:extent cx="2470150" cy="7715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701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Until , 2018 (the 25th day after the date of this prospectus), all dealers that buy, sell or trade shares of our common stock, whether or not participating in this offering, may be required to deliver a prospectus. This delivery requirement is in addition to the obligations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449580</wp:posOffset>
            </wp:positionV>
            <wp:extent cx="724662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in connection with the sale of common stock being registered. All amounts shown are estimates, except the Securities and Exchange Commission registration fee, the Financial Industry Regulatory Authority filing fee and the Exchange listing fee.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Financial Industry Regulatory Authority filing fee</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15,500</w:t>
            </w:r>
          </w:p>
        </w:tc>
        <w:tc>
          <w:tcPr>
            <w:tcW w:w="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Printing expenses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18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Miscellaneous</w:t>
            </w:r>
          </w:p>
        </w:tc>
        <w:tc>
          <w:tcPr>
            <w:tcW w:w="1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459"/>
        </w:trPr>
        <w:tc>
          <w:tcPr>
            <w:tcW w:w="7200" w:type="dxa"/>
            <w:vAlign w:val="bottom"/>
            <w:gridSpan w:val="2"/>
          </w:tcPr>
          <w:p>
            <w:pPr>
              <w:spacing w:after="0"/>
              <w:rPr>
                <w:sz w:val="20"/>
                <w:szCs w:val="20"/>
                <w:color w:val="auto"/>
              </w:rPr>
            </w:pPr>
            <w:r>
              <w:rPr>
                <w:rFonts w:ascii="Arial" w:cs="Arial" w:eastAsia="Arial" w:hAnsi="Arial"/>
                <w:sz w:val="18"/>
                <w:szCs w:val="18"/>
                <w:color w:val="auto"/>
              </w:rPr>
              <w:t>*  To be provided by amendment.</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incorporated under the laws of the state of Delaware. Section 145 of the Delaware General Corporation Law provides that a Delaware corporation may indemnify any persons who are, or are threatened to be made, parties to any threatened, pending or completed action, suit or proceeding, whether civil, criminal, administrative or investigative (other than an action by or in the right of such corporation), by reason of the fact that such person was an officer, director, employee or agent of such corporation, or is or was serving at the request of such person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are, or are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that such officer or director has actually and reasonably incurred. Our charter and bylaws provide for the indemnification of our directors and officers to the fullest extent permitted under the Delaware General Corporation Law.</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duties as a director, except for liability for:</w:t>
      </w:r>
    </w:p>
    <w:p>
      <w:pPr>
        <w:spacing w:after="0" w:line="87" w:lineRule="exact"/>
        <w:rPr>
          <w:sz w:val="20"/>
          <w:szCs w:val="20"/>
          <w:color w:val="auto"/>
        </w:rPr>
      </w:pPr>
    </w:p>
    <w:p>
      <w:pPr>
        <w:ind w:left="5580" w:right="4640" w:hanging="5005"/>
        <w:spacing w:after="0" w:line="536"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breach of the director’s duty of loyalty to the corporation or its stockholders; II-1</w:t>
      </w:r>
    </w:p>
    <w:p>
      <w:pPr>
        <w:sectPr>
          <w:pgSz w:w="11900" w:h="16838" w:orient="portrait"/>
          <w:cols w:equalWidth="0" w:num="1">
            <w:col w:w="11360"/>
          </w:cols>
          <w:pgMar w:left="240" w:top="459" w:right="2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Our charter also authorizes us to indemnify our officers, directors and other agents to the fullest extent permitted under Delaware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permitted by Section 145 of the Delaware General Corporation Law, our bylaws provide that:</w:t>
      </w:r>
    </w:p>
    <w:p>
      <w:pPr>
        <w:spacing w:after="0" w:line="131" w:lineRule="exact"/>
        <w:rPr>
          <w:sz w:val="20"/>
          <w:szCs w:val="20"/>
          <w:color w:val="auto"/>
        </w:rPr>
      </w:pPr>
    </w:p>
    <w:p>
      <w:pPr>
        <w:ind w:left="900" w:right="30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rights provided in our bylaws are not exclusive.</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permitted by the Delaware General Corporation Law, we have entered and expect to continue to enter into agreements to indemnify our directors, executive officers and other employees as determined by our board of directors. Under the terms of our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the company or any of its subsidiaries or was serving at the company’s request in an official capacity for another entity. We must indemnify our officers and directors against (1) attorneys’ fees and (2) all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set forth certain procedures that will apply in the event of a claim for indemnification thereunder.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18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addition, we have purchased a policy of directors’ and officers’ liability insurance that insures our directors and officers against the cost of defense, settlement or payment of a judgment in some circumstances.</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form of Underwriting Agreement, to be filed as Exhibit 1.1 hereto, provides for indemnification by the underwriters of us and our officers who sign this Registration Statement and directors for specified liabilities, including matters arising under the Securities Act.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During the three-year period preceding the date of filing of this registration statement, we have issued securities in the transactions described below without registration under the Securities Act.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20"/>
          </w:cols>
          <w:pgMar w:left="240" w:top="460"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Biosciences, LLC</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the three years preceding the filing of this registration statement, Solid Biosciences, LLC issued the following securities that were not registered under the Securities Act (since January 1, 2014):</w:t>
      </w:r>
    </w:p>
    <w:p>
      <w:pPr>
        <w:spacing w:after="0" w:line="76" w:lineRule="exact"/>
        <w:rPr>
          <w:sz w:val="20"/>
          <w:szCs w:val="20"/>
          <w:color w:val="auto"/>
        </w:rPr>
      </w:pPr>
    </w:p>
    <w:p>
      <w:pPr>
        <w:ind w:left="900" w:right="64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have granted 582,667 Series A Common Units to employees and consultants in consideration of services, of which 18,750 units were forfeited.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have granted 424,116 Series D Common Units to employees and consultants in consideration of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We have issued and sold to investors an aggregate of 2,500,000 Series 1 Senior Preferred Units, for aggregate consideration of $25 million.</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We have issued and sold to investors an aggregate of 4,886,000 Series 2 Senior Preferred Units, for aggregate consideration of $55 million.</w:t>
      </w:r>
    </w:p>
    <w:p>
      <w:pPr>
        <w:spacing w:after="0" w:line="23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Pursuant to the Agreement and Plan of Merger by and between Solid Biosciences, LLC and Solid GT, LLC, dated as of March 29, 2017, units of Solid Biosciences LLC and units of Solid GT, LLC were exchanged for new series of units of Solid Biosciences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GT, LLC</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the three years preceding the filing of this registration statement, Solid GT, LLC, a subsidiary of Solid Biosciences, LLC, issued the following securities that were not registered under the Securities Act (since January 1, 2014):</w:t>
      </w:r>
    </w:p>
    <w:p>
      <w:pPr>
        <w:spacing w:after="0" w:line="76" w:lineRule="exact"/>
        <w:rPr>
          <w:sz w:val="20"/>
          <w:szCs w:val="20"/>
          <w:color w:val="auto"/>
        </w:rPr>
      </w:pPr>
    </w:p>
    <w:p>
      <w:pPr>
        <w:ind w:left="900" w:right="70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have granted 35,279 Class C Non-Voting Units to employees and consultants in consideration of services, of which 1,797 units were forfeited.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have sold to an investor 50,000 Class B Non-Voting Units, for aggregate consideration of $5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We have sold to investors an aggregate of 134,920 Class D Voting Units, for aggregate consideration of approximately $42,500,000.</w:t>
      </w:r>
    </w:p>
    <w:p>
      <w:pPr>
        <w:spacing w:after="0" w:line="23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and the Registrant believes each transaction was exempt from the registration requirements of the Securities Act in reliance upon Section 4(2) of the Securities Act or Regulation D promulgated under the Securities Act. Furthermore, the Registrant affixed appropriate legends to the share certificates and instruments issued in each foregoing transaction setting forth that the securities had not been registered and the applicable restrictions on transfer.</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17" w:lineRule="exact"/>
        <w:rPr>
          <w:sz w:val="20"/>
          <w:szCs w:val="20"/>
          <w:color w:val="auto"/>
        </w:rPr>
      </w:pPr>
    </w:p>
    <w:p>
      <w:pPr>
        <w:ind w:left="720" w:hanging="256"/>
        <w:spacing w:after="0"/>
        <w:tabs>
          <w:tab w:leader="none" w:pos="72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 The following exhibits are filed as part of this Registration Statement: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5"/>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60" w:type="dxa"/>
            <w:vAlign w:val="bottom"/>
            <w:gridSpan w:val="2"/>
          </w:tcPr>
          <w:p>
            <w:pPr>
              <w:ind w:left="18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51"/>
        </w:trPr>
        <w:tc>
          <w:tcPr>
            <w:tcW w:w="500" w:type="dxa"/>
            <w:vAlign w:val="bottom"/>
          </w:tcPr>
          <w:p>
            <w:pPr>
              <w:jc w:val="right"/>
              <w:ind w:right="96"/>
              <w:spacing w:after="0"/>
              <w:rPr>
                <w:sz w:val="20"/>
                <w:szCs w:val="20"/>
                <w:color w:val="auto"/>
              </w:rPr>
            </w:pPr>
            <w:r>
              <w:rPr>
                <w:rFonts w:ascii="Arial" w:cs="Arial" w:eastAsia="Arial" w:hAnsi="Arial"/>
                <w:sz w:val="18"/>
                <w:szCs w:val="18"/>
                <w:color w:val="auto"/>
              </w:rPr>
              <w:t>1.1</w:t>
            </w:r>
          </w:p>
        </w:tc>
        <w:tc>
          <w:tcPr>
            <w:tcW w:w="800" w:type="dxa"/>
            <w:vAlign w:val="bottom"/>
          </w:tcPr>
          <w:p>
            <w:pPr>
              <w:spacing w:after="0"/>
              <w:rPr>
                <w:sz w:val="21"/>
                <w:szCs w:val="21"/>
                <w:color w:val="auto"/>
              </w:rPr>
            </w:pPr>
          </w:p>
        </w:tc>
        <w:tc>
          <w:tcPr>
            <w:tcW w:w="24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Form of Underwriting Agreement</w:t>
            </w:r>
          </w:p>
        </w:tc>
        <w:tc>
          <w:tcPr>
            <w:tcW w:w="7680" w:type="dxa"/>
            <w:vAlign w:val="bottom"/>
            <w:gridSpan w:val="3"/>
          </w:tcPr>
          <w:p>
            <w:pPr>
              <w:spacing w:after="0"/>
              <w:rPr>
                <w:sz w:val="21"/>
                <w:szCs w:val="21"/>
                <w:color w:val="auto"/>
              </w:rPr>
            </w:pPr>
          </w:p>
        </w:tc>
      </w:tr>
      <w:tr>
        <w:trPr>
          <w:trHeight w:val="304"/>
        </w:trPr>
        <w:tc>
          <w:tcPr>
            <w:tcW w:w="500" w:type="dxa"/>
            <w:vAlign w:val="bottom"/>
          </w:tcPr>
          <w:p>
            <w:pPr>
              <w:jc w:val="right"/>
              <w:ind w:right="96"/>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0000EE"/>
              </w:rPr>
              <w:t>Agreement and Plan of Merger, dated March 29, 2017, by and between Solid Biosciences, LLC and Solid GT, LLC</w:t>
            </w:r>
          </w:p>
        </w:tc>
      </w:tr>
      <w:tr>
        <w:trPr>
          <w:trHeight w:val="304"/>
        </w:trPr>
        <w:tc>
          <w:tcPr>
            <w:tcW w:w="500" w:type="dxa"/>
            <w:vAlign w:val="bottom"/>
          </w:tcPr>
          <w:p>
            <w:pPr>
              <w:jc w:val="right"/>
              <w:ind w:right="96"/>
              <w:spacing w:after="0"/>
              <w:rPr>
                <w:sz w:val="20"/>
                <w:szCs w:val="20"/>
                <w:color w:val="auto"/>
              </w:rPr>
            </w:pPr>
            <w:r>
              <w:rPr>
                <w:rFonts w:ascii="Arial" w:cs="Arial" w:eastAsia="Arial" w:hAnsi="Arial"/>
                <w:sz w:val="18"/>
                <w:szCs w:val="18"/>
                <w:color w:val="auto"/>
              </w:rPr>
              <w:t>2.2</w:t>
            </w:r>
          </w:p>
        </w:tc>
        <w:tc>
          <w:tcPr>
            <w:tcW w:w="800" w:type="dxa"/>
            <w:vAlign w:val="bottom"/>
          </w:tcPr>
          <w:p>
            <w:pPr>
              <w:spacing w:after="0"/>
              <w:rPr>
                <w:sz w:val="24"/>
                <w:szCs w:val="24"/>
                <w:color w:val="auto"/>
              </w:rPr>
            </w:pPr>
          </w:p>
        </w:tc>
        <w:tc>
          <w:tcPr>
            <w:tcW w:w="20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1"/>
              </w:rPr>
              <w:t>Form of Plan of Conversion</w:t>
            </w:r>
          </w:p>
        </w:tc>
        <w:tc>
          <w:tcPr>
            <w:tcW w:w="6280" w:type="dxa"/>
            <w:vAlign w:val="bottom"/>
            <w:tcBorders>
              <w:top w:val="single" w:sz="8" w:color="0000EE"/>
            </w:tcBorders>
            <w:gridSpan w:val="3"/>
          </w:tcPr>
          <w:p>
            <w:pPr>
              <w:spacing w:after="0"/>
              <w:rPr>
                <w:sz w:val="24"/>
                <w:szCs w:val="24"/>
                <w:color w:val="auto"/>
              </w:rPr>
            </w:pPr>
          </w:p>
        </w:tc>
        <w:tc>
          <w:tcPr>
            <w:tcW w:w="1820" w:type="dxa"/>
            <w:vAlign w:val="bottom"/>
          </w:tcPr>
          <w:p>
            <w:pPr>
              <w:spacing w:after="0"/>
              <w:rPr>
                <w:sz w:val="24"/>
                <w:szCs w:val="24"/>
                <w:color w:val="auto"/>
              </w:rPr>
            </w:pPr>
          </w:p>
        </w:tc>
      </w:tr>
      <w:tr>
        <w:trPr>
          <w:trHeight w:val="304"/>
        </w:trPr>
        <w:tc>
          <w:tcPr>
            <w:tcW w:w="500" w:type="dxa"/>
            <w:vAlign w:val="bottom"/>
          </w:tcPr>
          <w:p>
            <w:pPr>
              <w:jc w:val="right"/>
              <w:ind w:right="96"/>
              <w:spacing w:after="0"/>
              <w:rPr>
                <w:sz w:val="20"/>
                <w:szCs w:val="20"/>
                <w:color w:val="auto"/>
              </w:rPr>
            </w:pPr>
            <w:r>
              <w:rPr>
                <w:rFonts w:ascii="Arial" w:cs="Arial" w:eastAsia="Arial" w:hAnsi="Arial"/>
                <w:sz w:val="18"/>
                <w:szCs w:val="18"/>
                <w:color w:val="auto"/>
              </w:rPr>
              <w:t>2.3</w:t>
            </w:r>
          </w:p>
        </w:tc>
        <w:tc>
          <w:tcPr>
            <w:tcW w:w="80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0000EE"/>
              </w:rPr>
              <w:t>Form of Agreement and Plan of Merger</w:t>
            </w:r>
          </w:p>
        </w:tc>
      </w:tr>
      <w:tr>
        <w:trPr>
          <w:trHeight w:val="385"/>
        </w:trPr>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260" w:type="dxa"/>
            <w:vAlign w:val="bottom"/>
            <w:gridSpan w:val="2"/>
          </w:tcPr>
          <w:p>
            <w:pPr>
              <w:ind w:left="142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40" w:type="dxa"/>
            <w:vAlign w:val="bottom"/>
            <w:gridSpan w:val="20"/>
          </w:tcPr>
          <w:p>
            <w:pPr>
              <w:ind w:left="2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51"/>
        </w:trPr>
        <w:tc>
          <w:tcPr>
            <w:tcW w:w="500" w:type="dxa"/>
            <w:vAlign w:val="bottom"/>
          </w:tcPr>
          <w:p>
            <w:pPr>
              <w:ind w:left="100"/>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1"/>
                <w:szCs w:val="21"/>
                <w:color w:val="auto"/>
              </w:rPr>
            </w:pPr>
          </w:p>
        </w:tc>
        <w:tc>
          <w:tcPr>
            <w:tcW w:w="44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Form of Certificate of Conversion of Solid Biosciences, LLC</w:t>
            </w:r>
          </w:p>
        </w:tc>
        <w:tc>
          <w:tcPr>
            <w:tcW w:w="5840" w:type="dxa"/>
            <w:vAlign w:val="bottom"/>
            <w:gridSpan w:val="21"/>
          </w:tcPr>
          <w:p>
            <w:pPr>
              <w:spacing w:after="0"/>
              <w:rPr>
                <w:sz w:val="21"/>
                <w:szCs w:val="21"/>
                <w:color w:val="auto"/>
              </w:rPr>
            </w:pPr>
          </w:p>
        </w:tc>
      </w:tr>
      <w:tr>
        <w:trPr>
          <w:trHeight w:val="304"/>
        </w:trPr>
        <w:tc>
          <w:tcPr>
            <w:tcW w:w="500" w:type="dxa"/>
            <w:vAlign w:val="bottom"/>
          </w:tcPr>
          <w:p>
            <w:pPr>
              <w:ind w:left="100"/>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10260" w:type="dxa"/>
            <w:vAlign w:val="bottom"/>
            <w:gridSpan w:val="26"/>
          </w:tcPr>
          <w:p>
            <w:pPr>
              <w:spacing w:after="0"/>
              <w:rPr>
                <w:sz w:val="20"/>
                <w:szCs w:val="20"/>
                <w:color w:val="auto"/>
              </w:rPr>
            </w:pPr>
            <w:r>
              <w:rPr>
                <w:rFonts w:ascii="Arial" w:cs="Arial" w:eastAsia="Arial" w:hAnsi="Arial"/>
                <w:sz w:val="18"/>
                <w:szCs w:val="18"/>
                <w:color w:val="0000EE"/>
              </w:rPr>
              <w:t>Third Amended and Restated Limited Liability Company Agreement, dated March 29, 2017</w:t>
            </w: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00" w:type="dxa"/>
            <w:vAlign w:val="bottom"/>
          </w:tcPr>
          <w:p>
            <w:pPr>
              <w:ind w:left="100"/>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260" w:type="dxa"/>
            <w:vAlign w:val="bottom"/>
            <w:gridSpan w:val="26"/>
          </w:tcPr>
          <w:p>
            <w:pPr>
              <w:spacing w:after="0"/>
              <w:rPr>
                <w:sz w:val="20"/>
                <w:szCs w:val="20"/>
                <w:color w:val="auto"/>
              </w:rPr>
            </w:pPr>
            <w:r>
              <w:rPr>
                <w:rFonts w:ascii="Arial" w:cs="Arial" w:eastAsia="Arial" w:hAnsi="Arial"/>
                <w:sz w:val="18"/>
                <w:szCs w:val="18"/>
                <w:color w:val="0000EE"/>
              </w:rPr>
              <w:t>Amendment No. 1 to Third Amended and Restated Limited Liability Company Agreement, dated October 26, 2017</w:t>
            </w: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00" w:type="dxa"/>
            <w:vAlign w:val="bottom"/>
          </w:tcPr>
          <w:p>
            <w:pPr>
              <w:ind w:left="100"/>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1012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2"/>
              </w:rPr>
              <w:t>Form of Certificate of Incorporation of Solid Biosciences Inc. (to be effective upon completion of the Registrant’s conversion from a limited</w:t>
            </w:r>
          </w:p>
        </w:tc>
        <w:tc>
          <w:tcPr>
            <w:tcW w:w="140" w:type="dxa"/>
            <w:vAlign w:val="bottom"/>
            <w:gridSpan w:val="2"/>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60" w:type="dxa"/>
            <w:vAlign w:val="bottom"/>
            <w:gridSpan w:val="26"/>
          </w:tcPr>
          <w:p>
            <w:pPr>
              <w:spacing w:after="0" w:line="196" w:lineRule="exact"/>
              <w:rPr>
                <w:sz w:val="20"/>
                <w:szCs w:val="20"/>
                <w:color w:val="auto"/>
              </w:rPr>
            </w:pPr>
            <w:r>
              <w:rPr>
                <w:rFonts w:ascii="Arial" w:cs="Arial" w:eastAsia="Arial" w:hAnsi="Arial"/>
                <w:sz w:val="18"/>
                <w:szCs w:val="18"/>
                <w:color w:val="0000EE"/>
              </w:rPr>
              <w:t>liability company to a corporation)</w:t>
            </w: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00" w:type="dxa"/>
            <w:vAlign w:val="bottom"/>
          </w:tcPr>
          <w:p>
            <w:pPr>
              <w:ind w:left="100"/>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24"/>
                <w:szCs w:val="24"/>
                <w:color w:val="auto"/>
              </w:rPr>
            </w:pPr>
          </w:p>
        </w:tc>
        <w:tc>
          <w:tcPr>
            <w:tcW w:w="101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2"/>
              </w:rPr>
              <w:t>Form of Bylaws of Solid Biosciences Inc. (to be effective upon completion of the Registrant’s conversion from a limited liability company to</w:t>
            </w:r>
          </w:p>
        </w:tc>
        <w:tc>
          <w:tcPr>
            <w:tcW w:w="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a corporation)</w:t>
            </w:r>
          </w:p>
        </w:tc>
        <w:tc>
          <w:tcPr>
            <w:tcW w:w="9240" w:type="dxa"/>
            <w:vAlign w:val="bottom"/>
            <w:gridSpan w:val="25"/>
          </w:tcPr>
          <w:p>
            <w:pPr>
              <w:spacing w:after="0"/>
              <w:rPr>
                <w:sz w:val="17"/>
                <w:szCs w:val="17"/>
                <w:color w:val="auto"/>
              </w:rPr>
            </w:pPr>
          </w:p>
        </w:tc>
      </w:tr>
      <w:tr>
        <w:trPr>
          <w:trHeight w:val="304"/>
        </w:trPr>
        <w:tc>
          <w:tcPr>
            <w:tcW w:w="500" w:type="dxa"/>
            <w:vAlign w:val="bottom"/>
          </w:tcPr>
          <w:p>
            <w:pPr>
              <w:ind w:left="100"/>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2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Form of Common Stock Certificate</w:t>
            </w:r>
          </w:p>
        </w:tc>
        <w:tc>
          <w:tcPr>
            <w:tcW w:w="7700" w:type="dxa"/>
            <w:vAlign w:val="bottom"/>
            <w:gridSpan w:val="23"/>
          </w:tcPr>
          <w:p>
            <w:pPr>
              <w:spacing w:after="0"/>
              <w:rPr>
                <w:sz w:val="24"/>
                <w:szCs w:val="24"/>
                <w:color w:val="auto"/>
              </w:rPr>
            </w:pPr>
          </w:p>
        </w:tc>
      </w:tr>
      <w:tr>
        <w:trPr>
          <w:trHeight w:val="304"/>
        </w:trPr>
        <w:tc>
          <w:tcPr>
            <w:tcW w:w="500" w:type="dxa"/>
            <w:vAlign w:val="bottom"/>
          </w:tcPr>
          <w:p>
            <w:pPr>
              <w:ind w:left="100"/>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10260" w:type="dxa"/>
            <w:vAlign w:val="bottom"/>
            <w:gridSpan w:val="26"/>
          </w:tcPr>
          <w:p>
            <w:pPr>
              <w:spacing w:after="0"/>
              <w:rPr>
                <w:sz w:val="20"/>
                <w:szCs w:val="20"/>
                <w:color w:val="auto"/>
              </w:rPr>
            </w:pPr>
            <w:r>
              <w:rPr>
                <w:rFonts w:ascii="Arial" w:cs="Arial" w:eastAsia="Arial" w:hAnsi="Arial"/>
                <w:sz w:val="18"/>
                <w:szCs w:val="18"/>
                <w:color w:val="0000EE"/>
              </w:rPr>
              <w:t>Form of Opinion of Proskauer Rose LLP</w:t>
            </w:r>
          </w:p>
        </w:tc>
      </w:tr>
      <w:tr>
        <w:trPr>
          <w:trHeight w:val="20"/>
        </w:trPr>
        <w:tc>
          <w:tcPr>
            <w:tcW w:w="1160" w:type="dxa"/>
            <w:vAlign w:val="bottom"/>
            <w:gridSpan w:val="2"/>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6"/>
          </w:tcPr>
          <w:p>
            <w:pPr>
              <w:spacing w:after="0"/>
              <w:rPr>
                <w:sz w:val="20"/>
                <w:szCs w:val="20"/>
                <w:color w:val="auto"/>
              </w:rPr>
            </w:pPr>
            <w:r>
              <w:rPr>
                <w:rFonts w:ascii="Arial" w:cs="Arial" w:eastAsia="Arial" w:hAnsi="Arial"/>
                <w:sz w:val="18"/>
                <w:szCs w:val="18"/>
                <w:color w:val="0000EE"/>
              </w:rPr>
              <w:t>Employment Agreement, dated as of December 27, 2013, by and between Solid Ventures, LLC and Ilan Ganot</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752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91"/>
              </w:rPr>
              <w:t>Offer Letter, dated as of November 17, 2015, by and between Solid GT, LLC and Jorge A. Quiroz, M.D.</w:t>
            </w:r>
          </w:p>
        </w:tc>
        <w:tc>
          <w:tcPr>
            <w:tcW w:w="440" w:type="dxa"/>
            <w:vAlign w:val="bottom"/>
            <w:tcBorders>
              <w:top w:val="single" w:sz="8" w:color="0000EE"/>
            </w:tcBorders>
            <w:gridSpan w:val="4"/>
          </w:tcPr>
          <w:p>
            <w:pPr>
              <w:spacing w:after="0"/>
              <w:rPr>
                <w:sz w:val="24"/>
                <w:szCs w:val="24"/>
                <w:color w:val="auto"/>
              </w:rPr>
            </w:pPr>
          </w:p>
        </w:tc>
        <w:tc>
          <w:tcPr>
            <w:tcW w:w="2300" w:type="dxa"/>
            <w:vAlign w:val="bottom"/>
            <w:gridSpan w:val="11"/>
          </w:tcPr>
          <w:p>
            <w:pPr>
              <w:spacing w:after="0"/>
              <w:rPr>
                <w:sz w:val="24"/>
                <w:szCs w:val="24"/>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10.3†</w:t>
            </w:r>
          </w:p>
        </w:tc>
        <w:tc>
          <w:tcPr>
            <w:tcW w:w="77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1"/>
              </w:rPr>
              <w:t>Offer Letter, dated as of November 6, 2015, by and between Solid Biosciences, LLC and Alvaro Amorrortu</w:t>
            </w:r>
          </w:p>
        </w:tc>
        <w:tc>
          <w:tcPr>
            <w:tcW w:w="2500" w:type="dxa"/>
            <w:vAlign w:val="bottom"/>
            <w:gridSpan w:val="13"/>
          </w:tcPr>
          <w:p>
            <w:pPr>
              <w:spacing w:after="0"/>
              <w:rPr>
                <w:sz w:val="24"/>
                <w:szCs w:val="24"/>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10.4†</w:t>
            </w:r>
          </w:p>
        </w:tc>
        <w:tc>
          <w:tcPr>
            <w:tcW w:w="10260" w:type="dxa"/>
            <w:vAlign w:val="bottom"/>
            <w:gridSpan w:val="26"/>
          </w:tcPr>
          <w:p>
            <w:pPr>
              <w:spacing w:after="0"/>
              <w:rPr>
                <w:sz w:val="20"/>
                <w:szCs w:val="20"/>
                <w:color w:val="auto"/>
              </w:rPr>
            </w:pPr>
            <w:r>
              <w:rPr>
                <w:rFonts w:ascii="Arial" w:cs="Arial" w:eastAsia="Arial" w:hAnsi="Arial"/>
                <w:sz w:val="18"/>
                <w:szCs w:val="18"/>
                <w:color w:val="0000EE"/>
              </w:rPr>
              <w:t>Advisory Agreement, dated as of December 28, 2013, by and between Solid Ventures, LLC and Andrey Zarur</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10.5†</w:t>
            </w:r>
          </w:p>
        </w:tc>
        <w:tc>
          <w:tcPr>
            <w:tcW w:w="792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Solid Biosciences, LLC Amended and Restated Equity Incentive Plan</w:t>
            </w:r>
          </w:p>
        </w:tc>
        <w:tc>
          <w:tcPr>
            <w:tcW w:w="2340" w:type="dxa"/>
            <w:vAlign w:val="bottom"/>
            <w:gridSpan w:val="12"/>
          </w:tcPr>
          <w:p>
            <w:pPr>
              <w:spacing w:after="0"/>
              <w:rPr>
                <w:sz w:val="24"/>
                <w:szCs w:val="24"/>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10.6†</w:t>
            </w:r>
          </w:p>
        </w:tc>
        <w:tc>
          <w:tcPr>
            <w:tcW w:w="50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Form of Solid Biosciences Inc. 2018 Omnibus Incentive Plan</w:t>
            </w:r>
          </w:p>
        </w:tc>
        <w:tc>
          <w:tcPr>
            <w:tcW w:w="5240" w:type="dxa"/>
            <w:vAlign w:val="bottom"/>
            <w:gridSpan w:val="19"/>
          </w:tcPr>
          <w:p>
            <w:pPr>
              <w:spacing w:after="0"/>
              <w:rPr>
                <w:sz w:val="24"/>
                <w:szCs w:val="24"/>
                <w:color w:val="auto"/>
              </w:rPr>
            </w:pPr>
          </w:p>
        </w:tc>
      </w:tr>
      <w:tr>
        <w:trPr>
          <w:trHeight w:val="20"/>
        </w:trPr>
        <w:tc>
          <w:tcPr>
            <w:tcW w:w="1160" w:type="dxa"/>
            <w:vAlign w:val="bottom"/>
            <w:gridSpan w:val="2"/>
          </w:tcPr>
          <w:p>
            <w:pPr>
              <w:spacing w:after="0" w:line="20" w:lineRule="exact"/>
              <w:rPr>
                <w:sz w:val="1"/>
                <w:szCs w:val="1"/>
                <w:color w:val="auto"/>
              </w:rPr>
            </w:pPr>
          </w:p>
        </w:tc>
        <w:tc>
          <w:tcPr>
            <w:tcW w:w="44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10.7†</w:t>
            </w:r>
          </w:p>
        </w:tc>
        <w:tc>
          <w:tcPr>
            <w:tcW w:w="10260" w:type="dxa"/>
            <w:vAlign w:val="bottom"/>
            <w:gridSpan w:val="26"/>
          </w:tcPr>
          <w:p>
            <w:pPr>
              <w:spacing w:after="0"/>
              <w:rPr>
                <w:sz w:val="20"/>
                <w:szCs w:val="20"/>
                <w:color w:val="auto"/>
              </w:rPr>
            </w:pPr>
            <w:r>
              <w:rPr>
                <w:rFonts w:ascii="Arial" w:cs="Arial" w:eastAsia="Arial" w:hAnsi="Arial"/>
                <w:sz w:val="18"/>
                <w:szCs w:val="18"/>
                <w:color w:val="0000EE"/>
              </w:rPr>
              <w:t>Form of Incentive Stock Option Agreement under 2018 Omnibus Incentive Plan</w:t>
            </w:r>
          </w:p>
        </w:tc>
      </w:tr>
      <w:tr>
        <w:trPr>
          <w:trHeight w:val="20"/>
        </w:trPr>
        <w:tc>
          <w:tcPr>
            <w:tcW w:w="1160" w:type="dxa"/>
            <w:vAlign w:val="bottom"/>
            <w:gridSpan w:val="2"/>
          </w:tcPr>
          <w:p>
            <w:pPr>
              <w:spacing w:after="0" w:line="20" w:lineRule="exact"/>
              <w:rPr>
                <w:sz w:val="1"/>
                <w:szCs w:val="1"/>
                <w:color w:val="auto"/>
              </w:rPr>
            </w:pPr>
          </w:p>
        </w:tc>
        <w:tc>
          <w:tcPr>
            <w:tcW w:w="4520" w:type="dxa"/>
            <w:vAlign w:val="bottom"/>
            <w:gridSpan w:val="6"/>
            <w:shd w:val="clear" w:color="auto" w:fill="0000EE"/>
          </w:tcPr>
          <w:p>
            <w:pPr>
              <w:spacing w:after="0" w:line="20" w:lineRule="exact"/>
              <w:rPr>
                <w:sz w:val="1"/>
                <w:szCs w:val="1"/>
                <w:color w:val="auto"/>
              </w:rPr>
            </w:pPr>
          </w:p>
        </w:tc>
        <w:tc>
          <w:tcPr>
            <w:tcW w:w="12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10.8†</w:t>
            </w:r>
          </w:p>
        </w:tc>
        <w:tc>
          <w:tcPr>
            <w:tcW w:w="10260" w:type="dxa"/>
            <w:vAlign w:val="bottom"/>
            <w:gridSpan w:val="26"/>
          </w:tcPr>
          <w:p>
            <w:pPr>
              <w:spacing w:after="0"/>
              <w:rPr>
                <w:sz w:val="20"/>
                <w:szCs w:val="20"/>
                <w:color w:val="auto"/>
              </w:rPr>
            </w:pPr>
            <w:r>
              <w:rPr>
                <w:rFonts w:ascii="Arial" w:cs="Arial" w:eastAsia="Arial" w:hAnsi="Arial"/>
                <w:sz w:val="18"/>
                <w:szCs w:val="18"/>
                <w:color w:val="0000EE"/>
              </w:rPr>
              <w:t>Form of Nonqualified Stock Option Agreement under 2018 Omnibus Incentive Plan</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10.9†</w:t>
            </w:r>
          </w:p>
        </w:tc>
        <w:tc>
          <w:tcPr>
            <w:tcW w:w="60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Form of Restricted Stock Agreement under 2018 Omnibus Plan</w:t>
            </w:r>
          </w:p>
        </w:tc>
        <w:tc>
          <w:tcPr>
            <w:tcW w:w="4200" w:type="dxa"/>
            <w:vAlign w:val="bottom"/>
            <w:gridSpan w:val="17"/>
          </w:tcPr>
          <w:p>
            <w:pPr>
              <w:spacing w:after="0"/>
              <w:rPr>
                <w:sz w:val="24"/>
                <w:szCs w:val="24"/>
                <w:color w:val="auto"/>
              </w:rPr>
            </w:pPr>
          </w:p>
        </w:tc>
      </w:tr>
      <w:tr>
        <w:trPr>
          <w:trHeight w:val="20"/>
        </w:trPr>
        <w:tc>
          <w:tcPr>
            <w:tcW w:w="1160" w:type="dxa"/>
            <w:vAlign w:val="bottom"/>
            <w:gridSpan w:val="2"/>
          </w:tcPr>
          <w:p>
            <w:pPr>
              <w:spacing w:after="0" w:line="20" w:lineRule="exact"/>
              <w:rPr>
                <w:sz w:val="1"/>
                <w:szCs w:val="1"/>
                <w:color w:val="auto"/>
              </w:rPr>
            </w:pPr>
          </w:p>
        </w:tc>
        <w:tc>
          <w:tcPr>
            <w:tcW w:w="4520" w:type="dxa"/>
            <w:vAlign w:val="bottom"/>
            <w:gridSpan w:val="6"/>
            <w:shd w:val="clear" w:color="auto" w:fill="0000EE"/>
          </w:tcPr>
          <w:p>
            <w:pPr>
              <w:spacing w:after="0" w:line="20" w:lineRule="exact"/>
              <w:rPr>
                <w:sz w:val="1"/>
                <w:szCs w:val="1"/>
                <w:color w:val="auto"/>
              </w:rPr>
            </w:pPr>
          </w:p>
        </w:tc>
        <w:tc>
          <w:tcPr>
            <w:tcW w:w="3180" w:type="dxa"/>
            <w:vAlign w:val="bottom"/>
            <w:tcBorders>
              <w:left w:val="single" w:sz="8" w:color="0000EE"/>
            </w:tcBorders>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10.10#</w:t>
            </w:r>
          </w:p>
        </w:tc>
        <w:tc>
          <w:tcPr>
            <w:tcW w:w="10260" w:type="dxa"/>
            <w:vAlign w:val="bottom"/>
            <w:gridSpan w:val="26"/>
          </w:tcPr>
          <w:p>
            <w:pPr>
              <w:spacing w:after="0"/>
              <w:rPr>
                <w:sz w:val="20"/>
                <w:szCs w:val="20"/>
                <w:color w:val="auto"/>
              </w:rPr>
            </w:pPr>
            <w:r>
              <w:rPr>
                <w:rFonts w:ascii="Arial" w:cs="Arial" w:eastAsia="Arial" w:hAnsi="Arial"/>
                <w:sz w:val="18"/>
                <w:szCs w:val="18"/>
                <w:color w:val="0000EE"/>
              </w:rPr>
              <w:t>License Agreement, dated as of October 16, 2015, by and between Solid GT, LLC and the University of Washington</w:t>
            </w:r>
          </w:p>
        </w:tc>
      </w:tr>
      <w:tr>
        <w:trPr>
          <w:trHeight w:val="20"/>
        </w:trPr>
        <w:tc>
          <w:tcPr>
            <w:tcW w:w="1160" w:type="dxa"/>
            <w:vAlign w:val="bottom"/>
            <w:gridSpan w:val="2"/>
          </w:tcPr>
          <w:p>
            <w:pPr>
              <w:spacing w:after="0" w:line="20" w:lineRule="exact"/>
              <w:rPr>
                <w:sz w:val="1"/>
                <w:szCs w:val="1"/>
                <w:color w:val="auto"/>
              </w:rPr>
            </w:pPr>
          </w:p>
        </w:tc>
        <w:tc>
          <w:tcPr>
            <w:tcW w:w="4520" w:type="dxa"/>
            <w:vAlign w:val="bottom"/>
            <w:gridSpan w:val="6"/>
            <w:shd w:val="clear" w:color="auto" w:fill="0000EE"/>
          </w:tcPr>
          <w:p>
            <w:pPr>
              <w:spacing w:after="0" w:line="20" w:lineRule="exact"/>
              <w:rPr>
                <w:sz w:val="1"/>
                <w:szCs w:val="1"/>
                <w:color w:val="auto"/>
              </w:rPr>
            </w:pPr>
          </w:p>
        </w:tc>
        <w:tc>
          <w:tcPr>
            <w:tcW w:w="3180" w:type="dxa"/>
            <w:vAlign w:val="bottom"/>
            <w:tcBorders>
              <w:left w:val="single" w:sz="8" w:color="0000EE"/>
            </w:tcBorders>
            <w:gridSpan w:val="6"/>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10.11#</w:t>
            </w:r>
          </w:p>
        </w:tc>
        <w:tc>
          <w:tcPr>
            <w:tcW w:w="92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1"/>
              </w:rPr>
              <w:t>License Agreement, dated as of March 10, 2016, by and between Solid GT, LLC and the Regents of the University of Michigan</w:t>
            </w:r>
          </w:p>
        </w:tc>
        <w:tc>
          <w:tcPr>
            <w:tcW w:w="1060" w:type="dxa"/>
            <w:vAlign w:val="bottom"/>
            <w:gridSpan w:val="7"/>
          </w:tcPr>
          <w:p>
            <w:pPr>
              <w:spacing w:after="0"/>
              <w:rPr>
                <w:sz w:val="24"/>
                <w:szCs w:val="24"/>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10.12#</w:t>
            </w:r>
          </w:p>
        </w:tc>
        <w:tc>
          <w:tcPr>
            <w:tcW w:w="93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1"/>
              </w:rPr>
              <w:t>License Agreement, dated as of October 15, 2015, by and between Solid GT, LLC and The Curators of the University of Missouri</w:t>
            </w:r>
          </w:p>
        </w:tc>
        <w:tc>
          <w:tcPr>
            <w:tcW w:w="900" w:type="dxa"/>
            <w:vAlign w:val="bottom"/>
            <w:gridSpan w:val="5"/>
          </w:tcPr>
          <w:p>
            <w:pPr>
              <w:spacing w:after="0"/>
              <w:rPr>
                <w:sz w:val="24"/>
                <w:szCs w:val="24"/>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10.13#</w:t>
            </w:r>
          </w:p>
        </w:tc>
        <w:tc>
          <w:tcPr>
            <w:tcW w:w="10260" w:type="dxa"/>
            <w:vAlign w:val="bottom"/>
            <w:gridSpan w:val="26"/>
          </w:tcPr>
          <w:p>
            <w:pPr>
              <w:spacing w:after="0"/>
              <w:rPr>
                <w:sz w:val="20"/>
                <w:szCs w:val="20"/>
                <w:color w:val="auto"/>
              </w:rPr>
            </w:pPr>
            <w:r>
              <w:rPr>
                <w:rFonts w:ascii="Arial" w:cs="Arial" w:eastAsia="Arial" w:hAnsi="Arial"/>
                <w:sz w:val="18"/>
                <w:szCs w:val="18"/>
                <w:color w:val="0000EE"/>
              </w:rPr>
              <w:t>License Agreement, dated as of November 20, 2016, by and between Solid Biosciences, LLC and Licensor</w:t>
            </w:r>
          </w:p>
        </w:tc>
      </w:tr>
      <w:tr>
        <w:trPr>
          <w:trHeight w:val="20"/>
        </w:trPr>
        <w:tc>
          <w:tcPr>
            <w:tcW w:w="1160" w:type="dxa"/>
            <w:vAlign w:val="bottom"/>
            <w:gridSpan w:val="2"/>
          </w:tcPr>
          <w:p>
            <w:pPr>
              <w:spacing w:after="0" w:line="20" w:lineRule="exact"/>
              <w:rPr>
                <w:sz w:val="1"/>
                <w:szCs w:val="1"/>
                <w:color w:val="auto"/>
              </w:rPr>
            </w:pPr>
          </w:p>
        </w:tc>
        <w:tc>
          <w:tcPr>
            <w:tcW w:w="4520" w:type="dxa"/>
            <w:vAlign w:val="bottom"/>
            <w:gridSpan w:val="6"/>
            <w:shd w:val="clear" w:color="auto" w:fill="0000EE"/>
          </w:tcPr>
          <w:p>
            <w:pPr>
              <w:spacing w:after="0" w:line="20" w:lineRule="exact"/>
              <w:rPr>
                <w:sz w:val="1"/>
                <w:szCs w:val="1"/>
                <w:color w:val="auto"/>
              </w:rPr>
            </w:pPr>
          </w:p>
        </w:tc>
        <w:tc>
          <w:tcPr>
            <w:tcW w:w="3180" w:type="dxa"/>
            <w:vAlign w:val="bottom"/>
            <w:tcBorders>
              <w:left w:val="single" w:sz="8" w:color="0000EE"/>
            </w:tcBorders>
            <w:gridSpan w:val="6"/>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10.14#</w:t>
            </w:r>
          </w:p>
        </w:tc>
        <w:tc>
          <w:tcPr>
            <w:tcW w:w="10260" w:type="dxa"/>
            <w:vAlign w:val="bottom"/>
            <w:gridSpan w:val="26"/>
          </w:tcPr>
          <w:p>
            <w:pPr>
              <w:spacing w:after="0"/>
              <w:rPr>
                <w:sz w:val="20"/>
                <w:szCs w:val="20"/>
                <w:color w:val="auto"/>
              </w:rPr>
            </w:pPr>
            <w:r>
              <w:rPr>
                <w:rFonts w:ascii="Arial" w:cs="Arial" w:eastAsia="Arial" w:hAnsi="Arial"/>
                <w:sz w:val="18"/>
                <w:szCs w:val="18"/>
                <w:color w:val="0000EE"/>
                <w:w w:val="99"/>
              </w:rPr>
              <w:t>License Agreement, dated as of June 23, 2016, by and between Solid GT, LLC and the President and Fellows of Harvard College</w:t>
            </w:r>
          </w:p>
        </w:tc>
      </w:tr>
      <w:tr>
        <w:trPr>
          <w:trHeight w:val="20"/>
        </w:trPr>
        <w:tc>
          <w:tcPr>
            <w:tcW w:w="1160" w:type="dxa"/>
            <w:vAlign w:val="bottom"/>
            <w:gridSpan w:val="2"/>
          </w:tcPr>
          <w:p>
            <w:pPr>
              <w:spacing w:after="0" w:line="20" w:lineRule="exact"/>
              <w:rPr>
                <w:sz w:val="1"/>
                <w:szCs w:val="1"/>
                <w:color w:val="auto"/>
              </w:rPr>
            </w:pPr>
          </w:p>
        </w:tc>
        <w:tc>
          <w:tcPr>
            <w:tcW w:w="4520" w:type="dxa"/>
            <w:vAlign w:val="bottom"/>
            <w:gridSpan w:val="6"/>
            <w:shd w:val="clear" w:color="auto" w:fill="0000EE"/>
          </w:tcPr>
          <w:p>
            <w:pPr>
              <w:spacing w:after="0" w:line="20" w:lineRule="exact"/>
              <w:rPr>
                <w:sz w:val="1"/>
                <w:szCs w:val="1"/>
                <w:color w:val="auto"/>
              </w:rPr>
            </w:pPr>
          </w:p>
        </w:tc>
        <w:tc>
          <w:tcPr>
            <w:tcW w:w="3480" w:type="dxa"/>
            <w:vAlign w:val="bottom"/>
            <w:tcBorders>
              <w:left w:val="single" w:sz="8" w:color="0000EE"/>
            </w:tcBorders>
            <w:gridSpan w:val="10"/>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10.15#</w:t>
            </w:r>
          </w:p>
        </w:tc>
        <w:tc>
          <w:tcPr>
            <w:tcW w:w="1004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0"/>
              </w:rPr>
              <w:t>License Agreement, dated as of August 3, 2017, by and between Solid Biosciences, LLC and the President and Fellows of Harvard College</w:t>
            </w:r>
          </w:p>
        </w:tc>
        <w:tc>
          <w:tcPr>
            <w:tcW w:w="220" w:type="dxa"/>
            <w:vAlign w:val="bottom"/>
            <w:gridSpan w:val="3"/>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660" w:type="dxa"/>
            <w:vAlign w:val="bottom"/>
          </w:tcPr>
          <w:p>
            <w:pPr>
              <w:spacing w:after="0"/>
              <w:rPr>
                <w:sz w:val="24"/>
                <w:szCs w:val="24"/>
                <w:color w:val="auto"/>
              </w:rPr>
            </w:pPr>
          </w:p>
        </w:tc>
        <w:tc>
          <w:tcPr>
            <w:tcW w:w="10260" w:type="dxa"/>
            <w:vAlign w:val="bottom"/>
            <w:gridSpan w:val="26"/>
          </w:tcPr>
          <w:p>
            <w:pPr>
              <w:spacing w:after="0"/>
              <w:rPr>
                <w:sz w:val="20"/>
                <w:szCs w:val="20"/>
                <w:color w:val="auto"/>
              </w:rPr>
            </w:pPr>
            <w:r>
              <w:rPr>
                <w:rFonts w:ascii="Arial" w:cs="Arial" w:eastAsia="Arial" w:hAnsi="Arial"/>
                <w:sz w:val="18"/>
                <w:szCs w:val="18"/>
                <w:color w:val="0000EE"/>
              </w:rPr>
              <w:t>Form of Indemnification Agreement for Directors and Officers</w:t>
            </w: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20" w:type="dxa"/>
            <w:vAlign w:val="bottom"/>
            <w:gridSpan w:val="6"/>
            <w:shd w:val="clear" w:color="auto" w:fill="0000EE"/>
          </w:tcPr>
          <w:p>
            <w:pPr>
              <w:spacing w:after="0" w:line="20" w:lineRule="exact"/>
              <w:rPr>
                <w:sz w:val="1"/>
                <w:szCs w:val="1"/>
                <w:color w:val="auto"/>
              </w:rPr>
            </w:pPr>
          </w:p>
        </w:tc>
        <w:tc>
          <w:tcPr>
            <w:tcW w:w="3480" w:type="dxa"/>
            <w:vAlign w:val="bottom"/>
            <w:gridSpan w:val="10"/>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660" w:type="dxa"/>
            <w:vAlign w:val="bottom"/>
          </w:tcPr>
          <w:p>
            <w:pPr>
              <w:spacing w:after="0"/>
              <w:rPr>
                <w:sz w:val="24"/>
                <w:szCs w:val="24"/>
                <w:color w:val="auto"/>
              </w:rPr>
            </w:pPr>
          </w:p>
        </w:tc>
        <w:tc>
          <w:tcPr>
            <w:tcW w:w="994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0"/>
              </w:rPr>
              <w:t>Amended and Restated Registration Rights Agreement dated March 29, 2017 by and among Solid Biosciences, LLC and certain investors</w:t>
            </w:r>
          </w:p>
        </w:tc>
        <w:tc>
          <w:tcPr>
            <w:tcW w:w="320" w:type="dxa"/>
            <w:vAlign w:val="bottom"/>
            <w:gridSpan w:val="4"/>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16.1</w:t>
            </w:r>
          </w:p>
        </w:tc>
        <w:tc>
          <w:tcPr>
            <w:tcW w:w="660" w:type="dxa"/>
            <w:vAlign w:val="bottom"/>
          </w:tcPr>
          <w:p>
            <w:pPr>
              <w:spacing w:after="0"/>
              <w:rPr>
                <w:sz w:val="24"/>
                <w:szCs w:val="24"/>
                <w:color w:val="auto"/>
              </w:rPr>
            </w:pPr>
          </w:p>
        </w:tc>
        <w:tc>
          <w:tcPr>
            <w:tcW w:w="10260" w:type="dxa"/>
            <w:vAlign w:val="bottom"/>
            <w:gridSpan w:val="26"/>
          </w:tcPr>
          <w:p>
            <w:pPr>
              <w:spacing w:after="0"/>
              <w:rPr>
                <w:sz w:val="20"/>
                <w:szCs w:val="20"/>
                <w:color w:val="auto"/>
              </w:rPr>
            </w:pPr>
            <w:r>
              <w:rPr>
                <w:rFonts w:ascii="Arial" w:cs="Arial" w:eastAsia="Arial" w:hAnsi="Arial"/>
                <w:sz w:val="18"/>
                <w:szCs w:val="18"/>
                <w:color w:val="0000EE"/>
              </w:rPr>
              <w:t>Letter from Katz, Nannis + Solomon, P.C., dated as of July 24, 2017, regarding change in certifying accountant</w:t>
            </w:r>
          </w:p>
        </w:tc>
      </w:tr>
      <w:tr>
        <w:trPr>
          <w:trHeight w:val="385"/>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358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II-4</w:t>
            </w:r>
          </w:p>
        </w:tc>
        <w:tc>
          <w:tcPr>
            <w:tcW w:w="2260" w:type="dxa"/>
            <w:vAlign w:val="bottom"/>
            <w:gridSpan w:val="10"/>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85"/>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0" w:type="dxa"/>
            <w:vAlign w:val="bottom"/>
            <w:gridSpan w:val="2"/>
          </w:tcPr>
          <w:p>
            <w:pPr>
              <w:ind w:left="5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r>
      <w:tr>
        <w:trPr>
          <w:trHeight w:val="251"/>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800" w:type="dxa"/>
            <w:vAlign w:val="bottom"/>
          </w:tcPr>
          <w:p>
            <w:pPr>
              <w:spacing w:after="0"/>
              <w:rPr>
                <w:sz w:val="21"/>
                <w:szCs w:val="21"/>
                <w:color w:val="auto"/>
              </w:rPr>
            </w:pPr>
          </w:p>
        </w:tc>
        <w:tc>
          <w:tcPr>
            <w:tcW w:w="27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Subsidiaries of Solid Biosciences Inc.</w:t>
            </w:r>
          </w:p>
        </w:tc>
        <w:tc>
          <w:tcPr>
            <w:tcW w:w="7400" w:type="dxa"/>
            <w:vAlign w:val="bottom"/>
            <w:gridSpan w:val="4"/>
          </w:tcPr>
          <w:p>
            <w:pPr>
              <w:spacing w:after="0"/>
              <w:rPr>
                <w:sz w:val="21"/>
                <w:szCs w:val="2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800" w:type="dxa"/>
            <w:vAlign w:val="bottom"/>
          </w:tcPr>
          <w:p>
            <w:pPr>
              <w:spacing w:after="0"/>
              <w:rPr>
                <w:sz w:val="24"/>
                <w:szCs w:val="24"/>
                <w:color w:val="auto"/>
              </w:rPr>
            </w:pPr>
          </w:p>
        </w:tc>
        <w:tc>
          <w:tcPr>
            <w:tcW w:w="65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Consent of PricewaterhouseCoopers LLP, Independent Registered Public Accounting Firm</w:t>
            </w:r>
          </w:p>
        </w:tc>
        <w:tc>
          <w:tcPr>
            <w:tcW w:w="3580" w:type="dxa"/>
            <w:vAlign w:val="bottom"/>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80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0000EE"/>
              </w:rPr>
              <w:t>Consent of Proskauer Rose LLP (included in Exhibit 5.1)</w:t>
            </w: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800" w:type="dxa"/>
            <w:vAlign w:val="bottom"/>
          </w:tcPr>
          <w:p>
            <w:pPr>
              <w:spacing w:after="0"/>
              <w:rPr>
                <w:sz w:val="24"/>
                <w:szCs w:val="24"/>
                <w:color w:val="auto"/>
              </w:rPr>
            </w:pPr>
          </w:p>
        </w:tc>
        <w:tc>
          <w:tcPr>
            <w:tcW w:w="3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10">
              <w:r>
                <w:rPr>
                  <w:rFonts w:ascii="Arial" w:cs="Arial" w:eastAsia="Arial" w:hAnsi="Arial"/>
                  <w:sz w:val="18"/>
                  <w:szCs w:val="18"/>
                  <w:color w:val="0000EE"/>
                  <w:w w:val="90"/>
                </w:rPr>
                <w:t>Power of Attorney (included on signature page)</w:t>
              </w:r>
            </w:hyperlink>
          </w:p>
        </w:tc>
        <w:tc>
          <w:tcPr>
            <w:tcW w:w="680" w:type="dxa"/>
            <w:vAlign w:val="bottom"/>
            <w:tcBorders>
              <w:top w:val="single" w:sz="8" w:color="0000EE"/>
            </w:tcBorders>
          </w:tcPr>
          <w:p>
            <w:pPr>
              <w:spacing w:after="0"/>
              <w:rPr>
                <w:sz w:val="24"/>
                <w:szCs w:val="24"/>
                <w:color w:val="auto"/>
              </w:rPr>
            </w:pPr>
          </w:p>
        </w:tc>
        <w:tc>
          <w:tcPr>
            <w:tcW w:w="6000" w:type="dxa"/>
            <w:vAlign w:val="bottom"/>
            <w:gridSpan w:val="2"/>
          </w:tcPr>
          <w:p>
            <w:pPr>
              <w:spacing w:after="0"/>
              <w:rPr>
                <w:sz w:val="24"/>
                <w:szCs w:val="24"/>
                <w:color w:val="auto"/>
              </w:rPr>
            </w:pPr>
          </w:p>
        </w:tc>
      </w:tr>
    </w:tbl>
    <w:p>
      <w:pPr>
        <w:spacing w:after="0" w:line="256"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460" w:right="920" w:hanging="452"/>
        <w:spacing w:after="0" w:line="261"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pacing w:after="0" w:line="179" w:lineRule="exact"/>
        <w:rPr>
          <w:rFonts w:ascii="Arial" w:cs="Arial" w:eastAsia="Arial" w:hAnsi="Arial"/>
          <w:sz w:val="18"/>
          <w:szCs w:val="18"/>
          <w:color w:val="auto"/>
        </w:rPr>
      </w:pPr>
    </w:p>
    <w:p>
      <w:pPr>
        <w:ind w:left="720" w:hanging="256"/>
        <w:spacing w:after="0"/>
        <w:tabs>
          <w:tab w:leader="none" w:pos="720" w:val="left"/>
        </w:tabs>
        <w:numPr>
          <w:ilvl w:val="1"/>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right="320" w:firstLine="464"/>
        <w:spacing w:after="0" w:line="286" w:lineRule="auto"/>
        <w:tabs>
          <w:tab w:leader="none" w:pos="71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 and</w:t>
      </w:r>
    </w:p>
    <w:p>
      <w:pPr>
        <w:spacing w:after="0" w:line="165" w:lineRule="exact"/>
        <w:rPr>
          <w:rFonts w:ascii="Arial" w:cs="Arial" w:eastAsia="Arial" w:hAnsi="Arial"/>
          <w:sz w:val="17"/>
          <w:szCs w:val="17"/>
          <w:color w:val="auto"/>
        </w:rPr>
      </w:pPr>
    </w:p>
    <w:p>
      <w:pPr>
        <w:ind w:right="260" w:firstLine="464"/>
        <w:spacing w:after="0" w:line="264" w:lineRule="auto"/>
        <w:tabs>
          <w:tab w:leader="none" w:pos="71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 Form S-1 to be signed on its behalf by the undersigned, thereunto duly authorized, in the city of Cambridge, in the State of Massachusetts, on this 29</w:t>
      </w:r>
      <w:r>
        <w:rPr>
          <w:rFonts w:ascii="Arial" w:cs="Arial" w:eastAsia="Arial" w:hAnsi="Arial"/>
          <w:sz w:val="15"/>
          <w:szCs w:val="15"/>
          <w:color w:val="auto"/>
        </w:rPr>
        <w:t>th</w:t>
      </w:r>
      <w:r>
        <w:rPr>
          <w:rFonts w:ascii="Arial" w:cs="Arial" w:eastAsia="Arial" w:hAnsi="Arial"/>
          <w:sz w:val="18"/>
          <w:szCs w:val="18"/>
          <w:color w:val="auto"/>
        </w:rPr>
        <w:t xml:space="preserve"> day of December,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SOLID BIOSCIENCES,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Ilan Ganot</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Ilan Ganot and Jennifer Ziolkowski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in person, hereby ratifying and confirming all that said attorneys-in-fact and agents or his or her substitute or substitutes may lawfully do or cause to be done by virtue hereof.</w:t>
      </w:r>
    </w:p>
    <w:p>
      <w:pPr>
        <w:spacing w:after="0" w:line="17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840" w:type="dxa"/>
            <w:vAlign w:val="bottom"/>
          </w:tcPr>
          <w:p>
            <w:pPr>
              <w:jc w:val="center"/>
              <w:ind w:left="251"/>
              <w:spacing w:after="0"/>
              <w:rPr>
                <w:sz w:val="20"/>
                <w:szCs w:val="20"/>
                <w:color w:val="auto"/>
              </w:rPr>
            </w:pPr>
            <w:r>
              <w:rPr>
                <w:rFonts w:ascii="Arial" w:cs="Arial" w:eastAsia="Arial" w:hAnsi="Arial"/>
                <w:sz w:val="14"/>
                <w:szCs w:val="14"/>
                <w:b w:val="1"/>
                <w:bCs w:val="1"/>
                <w:color w:val="auto"/>
              </w:rPr>
              <w:t>Title</w:t>
            </w:r>
          </w:p>
        </w:tc>
        <w:tc>
          <w:tcPr>
            <w:tcW w:w="2040" w:type="dxa"/>
            <w:vAlign w:val="bottom"/>
          </w:tcPr>
          <w:p>
            <w:pPr>
              <w:jc w:val="center"/>
              <w:ind w:left="53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Ilan Ganot</w:t>
            </w:r>
          </w:p>
        </w:tc>
        <w:tc>
          <w:tcPr>
            <w:tcW w:w="4840" w:type="dxa"/>
            <w:vAlign w:val="bottom"/>
          </w:tcPr>
          <w:p>
            <w:pPr>
              <w:jc w:val="center"/>
              <w:ind w:left="251"/>
              <w:spacing w:after="0"/>
              <w:rPr>
                <w:sz w:val="20"/>
                <w:szCs w:val="20"/>
                <w:color w:val="auto"/>
              </w:rPr>
            </w:pPr>
            <w:r>
              <w:rPr>
                <w:rFonts w:ascii="Arial" w:cs="Arial" w:eastAsia="Arial" w:hAnsi="Arial"/>
                <w:sz w:val="18"/>
                <w:szCs w:val="18"/>
                <w:color w:val="auto"/>
                <w:w w:val="92"/>
              </w:rPr>
              <w:t>Chief Executive Officer and Director</w:t>
            </w:r>
          </w:p>
        </w:tc>
        <w:tc>
          <w:tcPr>
            <w:tcW w:w="2040" w:type="dxa"/>
            <w:vAlign w:val="bottom"/>
          </w:tcPr>
          <w:p>
            <w:pPr>
              <w:jc w:val="center"/>
              <w:ind w:left="532"/>
              <w:spacing w:after="0"/>
              <w:rPr>
                <w:sz w:val="20"/>
                <w:szCs w:val="20"/>
                <w:color w:val="auto"/>
              </w:rPr>
            </w:pPr>
            <w:r>
              <w:rPr>
                <w:rFonts w:ascii="Arial" w:cs="Arial" w:eastAsia="Arial" w:hAnsi="Arial"/>
                <w:sz w:val="18"/>
                <w:szCs w:val="18"/>
                <w:color w:val="auto"/>
                <w:w w:val="89"/>
              </w:rPr>
              <w:t>December 29, 2017</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1"/>
              </w:rPr>
              <w:t>Ilan Ganot</w:t>
            </w:r>
          </w:p>
        </w:tc>
        <w:tc>
          <w:tcPr>
            <w:tcW w:w="4840" w:type="dxa"/>
            <w:vAlign w:val="bottom"/>
          </w:tcPr>
          <w:p>
            <w:pPr>
              <w:jc w:val="center"/>
              <w:ind w:left="251"/>
              <w:spacing w:after="0"/>
              <w:rPr>
                <w:sz w:val="20"/>
                <w:szCs w:val="20"/>
                <w:color w:val="auto"/>
              </w:rPr>
            </w:pPr>
            <w:r>
              <w:rPr>
                <w:rFonts w:ascii="Arial" w:cs="Arial" w:eastAsia="Arial" w:hAnsi="Arial"/>
                <w:sz w:val="18"/>
                <w:szCs w:val="18"/>
                <w:color w:val="auto"/>
                <w:w w:val="94"/>
              </w:rPr>
              <w:t>(Principal Executive Officer)</w:t>
            </w:r>
          </w:p>
        </w:tc>
        <w:tc>
          <w:tcPr>
            <w:tcW w:w="20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Gilad Hayeem</w:t>
            </w:r>
          </w:p>
        </w:tc>
        <w:tc>
          <w:tcPr>
            <w:tcW w:w="4840" w:type="dxa"/>
            <w:vAlign w:val="bottom"/>
          </w:tcPr>
          <w:p>
            <w:pPr>
              <w:jc w:val="center"/>
              <w:ind w:left="251"/>
              <w:spacing w:after="0"/>
              <w:rPr>
                <w:sz w:val="20"/>
                <w:szCs w:val="20"/>
                <w:color w:val="auto"/>
              </w:rPr>
            </w:pPr>
            <w:r>
              <w:rPr>
                <w:rFonts w:ascii="Arial" w:cs="Arial" w:eastAsia="Arial" w:hAnsi="Arial"/>
                <w:sz w:val="18"/>
                <w:szCs w:val="18"/>
                <w:color w:val="auto"/>
                <w:w w:val="90"/>
              </w:rPr>
              <w:t>President and Director</w:t>
            </w:r>
          </w:p>
        </w:tc>
        <w:tc>
          <w:tcPr>
            <w:tcW w:w="2040" w:type="dxa"/>
            <w:vAlign w:val="bottom"/>
          </w:tcPr>
          <w:p>
            <w:pPr>
              <w:jc w:val="center"/>
              <w:ind w:left="532"/>
              <w:spacing w:after="0"/>
              <w:rPr>
                <w:sz w:val="20"/>
                <w:szCs w:val="20"/>
                <w:color w:val="auto"/>
              </w:rPr>
            </w:pPr>
            <w:r>
              <w:rPr>
                <w:rFonts w:ascii="Arial" w:cs="Arial" w:eastAsia="Arial" w:hAnsi="Arial"/>
                <w:sz w:val="18"/>
                <w:szCs w:val="18"/>
                <w:color w:val="auto"/>
                <w:w w:val="89"/>
              </w:rPr>
              <w:t>December 29, 2017</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1"/>
              </w:rPr>
              <w:t>Gilad Hayeem</w:t>
            </w:r>
          </w:p>
        </w:tc>
        <w:tc>
          <w:tcPr>
            <w:tcW w:w="48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Jennifer Ziolkowski</w:t>
            </w:r>
          </w:p>
        </w:tc>
        <w:tc>
          <w:tcPr>
            <w:tcW w:w="4840" w:type="dxa"/>
            <w:vAlign w:val="bottom"/>
          </w:tcPr>
          <w:p>
            <w:pPr>
              <w:jc w:val="center"/>
              <w:ind w:left="251"/>
              <w:spacing w:after="0"/>
              <w:rPr>
                <w:sz w:val="20"/>
                <w:szCs w:val="20"/>
                <w:color w:val="auto"/>
              </w:rPr>
            </w:pPr>
            <w:r>
              <w:rPr>
                <w:rFonts w:ascii="Arial" w:cs="Arial" w:eastAsia="Arial" w:hAnsi="Arial"/>
                <w:sz w:val="18"/>
                <w:szCs w:val="18"/>
                <w:color w:val="auto"/>
                <w:w w:val="93"/>
              </w:rPr>
              <w:t>Chief Financial Officer</w:t>
            </w:r>
          </w:p>
        </w:tc>
        <w:tc>
          <w:tcPr>
            <w:tcW w:w="2040" w:type="dxa"/>
            <w:vAlign w:val="bottom"/>
          </w:tcPr>
          <w:p>
            <w:pPr>
              <w:jc w:val="center"/>
              <w:ind w:left="532"/>
              <w:spacing w:after="0"/>
              <w:rPr>
                <w:sz w:val="20"/>
                <w:szCs w:val="20"/>
                <w:color w:val="auto"/>
              </w:rPr>
            </w:pPr>
            <w:r>
              <w:rPr>
                <w:rFonts w:ascii="Arial" w:cs="Arial" w:eastAsia="Arial" w:hAnsi="Arial"/>
                <w:sz w:val="18"/>
                <w:szCs w:val="18"/>
                <w:color w:val="auto"/>
                <w:w w:val="89"/>
              </w:rPr>
              <w:t>December 29, 2017</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4"/>
              </w:rPr>
              <w:t>Jennifer Ziolkowski</w:t>
            </w:r>
          </w:p>
        </w:tc>
        <w:tc>
          <w:tcPr>
            <w:tcW w:w="4840" w:type="dxa"/>
            <w:vAlign w:val="bottom"/>
          </w:tcPr>
          <w:p>
            <w:pPr>
              <w:jc w:val="center"/>
              <w:ind w:left="251"/>
              <w:spacing w:after="0"/>
              <w:rPr>
                <w:sz w:val="20"/>
                <w:szCs w:val="20"/>
                <w:color w:val="auto"/>
              </w:rPr>
            </w:pPr>
            <w:r>
              <w:rPr>
                <w:rFonts w:ascii="Arial" w:cs="Arial" w:eastAsia="Arial" w:hAnsi="Arial"/>
                <w:sz w:val="18"/>
                <w:szCs w:val="18"/>
                <w:color w:val="auto"/>
                <w:w w:val="93"/>
              </w:rPr>
              <w:t>(Principal Financial and Accounting Officer)</w:t>
            </w:r>
          </w:p>
        </w:tc>
        <w:tc>
          <w:tcPr>
            <w:tcW w:w="20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Andrey Zarur, Ph.D.</w:t>
            </w:r>
          </w:p>
        </w:tc>
        <w:tc>
          <w:tcPr>
            <w:tcW w:w="4840" w:type="dxa"/>
            <w:vAlign w:val="bottom"/>
          </w:tcPr>
          <w:p>
            <w:pPr>
              <w:jc w:val="center"/>
              <w:ind w:left="251"/>
              <w:spacing w:after="0"/>
              <w:rPr>
                <w:sz w:val="20"/>
                <w:szCs w:val="20"/>
                <w:color w:val="auto"/>
              </w:rPr>
            </w:pPr>
            <w:r>
              <w:rPr>
                <w:rFonts w:ascii="Arial" w:cs="Arial" w:eastAsia="Arial" w:hAnsi="Arial"/>
                <w:sz w:val="18"/>
                <w:szCs w:val="18"/>
                <w:color w:val="auto"/>
                <w:w w:val="92"/>
              </w:rPr>
              <w:t>Chairman of the Board of Directors</w:t>
            </w:r>
          </w:p>
        </w:tc>
        <w:tc>
          <w:tcPr>
            <w:tcW w:w="2040" w:type="dxa"/>
            <w:vAlign w:val="bottom"/>
          </w:tcPr>
          <w:p>
            <w:pPr>
              <w:jc w:val="center"/>
              <w:ind w:left="532"/>
              <w:spacing w:after="0"/>
              <w:rPr>
                <w:sz w:val="20"/>
                <w:szCs w:val="20"/>
                <w:color w:val="auto"/>
              </w:rPr>
            </w:pPr>
            <w:r>
              <w:rPr>
                <w:rFonts w:ascii="Arial" w:cs="Arial" w:eastAsia="Arial" w:hAnsi="Arial"/>
                <w:sz w:val="18"/>
                <w:szCs w:val="18"/>
                <w:color w:val="auto"/>
                <w:w w:val="89"/>
              </w:rPr>
              <w:t>December 29, 2017</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2"/>
              </w:rPr>
              <w:t>Andrey Zarur, Ph.D.</w:t>
            </w:r>
          </w:p>
        </w:tc>
        <w:tc>
          <w:tcPr>
            <w:tcW w:w="48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Matthew Arnold</w:t>
            </w:r>
          </w:p>
        </w:tc>
        <w:tc>
          <w:tcPr>
            <w:tcW w:w="484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32"/>
              <w:spacing w:after="0"/>
              <w:rPr>
                <w:sz w:val="20"/>
                <w:szCs w:val="20"/>
                <w:color w:val="auto"/>
              </w:rPr>
            </w:pPr>
            <w:r>
              <w:rPr>
                <w:rFonts w:ascii="Arial" w:cs="Arial" w:eastAsia="Arial" w:hAnsi="Arial"/>
                <w:sz w:val="18"/>
                <w:szCs w:val="18"/>
                <w:color w:val="auto"/>
                <w:w w:val="89"/>
              </w:rPr>
              <w:t>December 29, 2017</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5"/>
              </w:rPr>
              <w:t>Matthew Arnold</w:t>
            </w:r>
          </w:p>
        </w:tc>
        <w:tc>
          <w:tcPr>
            <w:tcW w:w="48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Huffines</w:t>
            </w:r>
          </w:p>
        </w:tc>
        <w:tc>
          <w:tcPr>
            <w:tcW w:w="484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32"/>
              <w:spacing w:after="0"/>
              <w:rPr>
                <w:sz w:val="20"/>
                <w:szCs w:val="20"/>
                <w:color w:val="auto"/>
              </w:rPr>
            </w:pPr>
            <w:r>
              <w:rPr>
                <w:rFonts w:ascii="Arial" w:cs="Arial" w:eastAsia="Arial" w:hAnsi="Arial"/>
                <w:sz w:val="18"/>
                <w:szCs w:val="18"/>
                <w:color w:val="auto"/>
                <w:w w:val="89"/>
              </w:rPr>
              <w:t>December 29, 2017</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2"/>
              </w:rPr>
              <w:t>Robert Huffines</w:t>
            </w:r>
          </w:p>
        </w:tc>
        <w:tc>
          <w:tcPr>
            <w:tcW w:w="48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Adam Koppel, M.D., Ph.D.</w:t>
            </w:r>
          </w:p>
        </w:tc>
        <w:tc>
          <w:tcPr>
            <w:tcW w:w="484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32"/>
              <w:spacing w:after="0"/>
              <w:rPr>
                <w:sz w:val="20"/>
                <w:szCs w:val="20"/>
                <w:color w:val="auto"/>
              </w:rPr>
            </w:pPr>
            <w:r>
              <w:rPr>
                <w:rFonts w:ascii="Arial" w:cs="Arial" w:eastAsia="Arial" w:hAnsi="Arial"/>
                <w:sz w:val="18"/>
                <w:szCs w:val="18"/>
                <w:color w:val="auto"/>
                <w:w w:val="89"/>
              </w:rPr>
              <w:t>December 29, 2017</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3"/>
              </w:rPr>
              <w:t>Adam Koppel, M.D., Ph.D.</w:t>
            </w:r>
          </w:p>
        </w:tc>
        <w:tc>
          <w:tcPr>
            <w:tcW w:w="48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Rajeev Shah</w:t>
            </w:r>
          </w:p>
        </w:tc>
        <w:tc>
          <w:tcPr>
            <w:tcW w:w="484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32"/>
              <w:spacing w:after="0"/>
              <w:rPr>
                <w:sz w:val="20"/>
                <w:szCs w:val="20"/>
                <w:color w:val="auto"/>
              </w:rPr>
            </w:pPr>
            <w:r>
              <w:rPr>
                <w:rFonts w:ascii="Arial" w:cs="Arial" w:eastAsia="Arial" w:hAnsi="Arial"/>
                <w:sz w:val="18"/>
                <w:szCs w:val="18"/>
                <w:color w:val="auto"/>
                <w:w w:val="89"/>
              </w:rPr>
              <w:t>December 29, 2017</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87"/>
              </w:rPr>
              <w:t>Rajeev Shah</w:t>
            </w:r>
          </w:p>
        </w:tc>
        <w:tc>
          <w:tcPr>
            <w:tcW w:w="48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64"/>
        </w:trPr>
        <w:tc>
          <w:tcPr>
            <w:tcW w:w="4220" w:type="dxa"/>
            <w:vAlign w:val="bottom"/>
          </w:tcPr>
          <w:p>
            <w:pPr>
              <w:spacing w:after="0"/>
              <w:rPr>
                <w:sz w:val="24"/>
                <w:szCs w:val="24"/>
                <w:color w:val="auto"/>
              </w:rPr>
            </w:pPr>
          </w:p>
        </w:tc>
        <w:tc>
          <w:tcPr>
            <w:tcW w:w="4840" w:type="dxa"/>
            <w:vAlign w:val="bottom"/>
          </w:tcPr>
          <w:p>
            <w:pPr>
              <w:ind w:left="1360"/>
              <w:spacing w:after="0"/>
              <w:rPr>
                <w:sz w:val="20"/>
                <w:szCs w:val="20"/>
                <w:color w:val="auto"/>
              </w:rPr>
            </w:pPr>
            <w:r>
              <w:rPr>
                <w:rFonts w:ascii="Arial" w:cs="Arial" w:eastAsia="Arial" w:hAnsi="Arial"/>
                <w:sz w:val="18"/>
                <w:szCs w:val="18"/>
                <w:color w:val="auto"/>
              </w:rPr>
              <w:t>II-6</w:t>
            </w:r>
          </w:p>
        </w:tc>
        <w:tc>
          <w:tcPr>
            <w:tcW w:w="2040" w:type="dxa"/>
            <w:vAlign w:val="bottom"/>
          </w:tcPr>
          <w:p>
            <w:pPr>
              <w:spacing w:after="0"/>
              <w:rPr>
                <w:sz w:val="24"/>
                <w:szCs w:val="24"/>
                <w:color w:val="auto"/>
              </w:rPr>
            </w:pPr>
          </w:p>
        </w:tc>
      </w:tr>
    </w:tbl>
    <w:p>
      <w:pPr>
        <w:sectPr>
          <w:pgSz w:w="11900" w:h="16838" w:orient="portrait"/>
          <w:cols w:equalWidth="0" w:num="1">
            <w:col w:w="11280"/>
          </w:cols>
          <w:pgMar w:left="240" w:top="460" w:right="3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80" w:type="dxa"/>
            <w:vAlign w:val="bottom"/>
          </w:tcPr>
          <w:p>
            <w:pPr>
              <w:jc w:val="center"/>
              <w:ind w:left="914"/>
              <w:spacing w:after="0"/>
              <w:rPr>
                <w:sz w:val="20"/>
                <w:szCs w:val="20"/>
                <w:color w:val="auto"/>
              </w:rPr>
            </w:pPr>
            <w:r>
              <w:rPr>
                <w:rFonts w:ascii="Arial" w:cs="Arial" w:eastAsia="Arial" w:hAnsi="Arial"/>
                <w:sz w:val="14"/>
                <w:szCs w:val="14"/>
                <w:b w:val="1"/>
                <w:bCs w:val="1"/>
                <w:color w:val="auto"/>
              </w:rPr>
              <w:t>Title</w:t>
            </w:r>
          </w:p>
        </w:tc>
        <w:tc>
          <w:tcPr>
            <w:tcW w:w="2700" w:type="dxa"/>
            <w:vAlign w:val="bottom"/>
          </w:tcPr>
          <w:p>
            <w:pPr>
              <w:jc w:val="center"/>
              <w:ind w:left="1196"/>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Adam Stone</w:t>
            </w:r>
          </w:p>
        </w:tc>
        <w:tc>
          <w:tcPr>
            <w:tcW w:w="4180" w:type="dxa"/>
            <w:vAlign w:val="bottom"/>
          </w:tcPr>
          <w:p>
            <w:pPr>
              <w:jc w:val="center"/>
              <w:ind w:left="894"/>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ind w:left="1196"/>
              <w:spacing w:after="0"/>
              <w:rPr>
                <w:sz w:val="20"/>
                <w:szCs w:val="20"/>
                <w:color w:val="auto"/>
              </w:rPr>
            </w:pPr>
            <w:r>
              <w:rPr>
                <w:rFonts w:ascii="Arial" w:cs="Arial" w:eastAsia="Arial" w:hAnsi="Arial"/>
                <w:sz w:val="18"/>
                <w:szCs w:val="18"/>
                <w:color w:val="auto"/>
                <w:w w:val="89"/>
              </w:rPr>
              <w:t>December 29, 2017</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0"/>
              </w:rPr>
              <w:t>Adam Stone</w:t>
            </w:r>
          </w:p>
        </w:tc>
        <w:tc>
          <w:tcPr>
            <w:tcW w:w="41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Lynne Sullivan</w:t>
            </w:r>
          </w:p>
        </w:tc>
        <w:tc>
          <w:tcPr>
            <w:tcW w:w="4180" w:type="dxa"/>
            <w:vAlign w:val="bottom"/>
          </w:tcPr>
          <w:p>
            <w:pPr>
              <w:jc w:val="center"/>
              <w:ind w:left="894"/>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ind w:left="1196"/>
              <w:spacing w:after="0"/>
              <w:rPr>
                <w:sz w:val="20"/>
                <w:szCs w:val="20"/>
                <w:color w:val="auto"/>
              </w:rPr>
            </w:pPr>
            <w:r>
              <w:rPr>
                <w:rFonts w:ascii="Arial" w:cs="Arial" w:eastAsia="Arial" w:hAnsi="Arial"/>
                <w:sz w:val="18"/>
                <w:szCs w:val="18"/>
                <w:color w:val="auto"/>
                <w:w w:val="89"/>
              </w:rPr>
              <w:t>December 29, 2017</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3"/>
              </w:rPr>
              <w:t>Lynne Sullivan</w:t>
            </w:r>
          </w:p>
        </w:tc>
        <w:tc>
          <w:tcPr>
            <w:tcW w:w="41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64"/>
        </w:trPr>
        <w:tc>
          <w:tcPr>
            <w:tcW w:w="4220" w:type="dxa"/>
            <w:vAlign w:val="bottom"/>
          </w:tcPr>
          <w:p>
            <w:pPr>
              <w:spacing w:after="0"/>
              <w:rPr>
                <w:sz w:val="24"/>
                <w:szCs w:val="24"/>
                <w:color w:val="auto"/>
              </w:rPr>
            </w:pPr>
          </w:p>
        </w:tc>
        <w:tc>
          <w:tcPr>
            <w:tcW w:w="4180" w:type="dxa"/>
            <w:vAlign w:val="bottom"/>
          </w:tcPr>
          <w:p>
            <w:pPr>
              <w:ind w:left="1360"/>
              <w:spacing w:after="0"/>
              <w:rPr>
                <w:sz w:val="20"/>
                <w:szCs w:val="20"/>
                <w:color w:val="auto"/>
              </w:rPr>
            </w:pPr>
            <w:r>
              <w:rPr>
                <w:rFonts w:ascii="Arial" w:cs="Arial" w:eastAsia="Arial" w:hAnsi="Arial"/>
                <w:sz w:val="18"/>
                <w:szCs w:val="18"/>
                <w:color w:val="auto"/>
              </w:rPr>
              <w:t>II-7</w:t>
            </w:r>
          </w:p>
        </w:tc>
        <w:tc>
          <w:tcPr>
            <w:tcW w:w="270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320" w:type="dxa"/>
            <w:vAlign w:val="bottom"/>
            <w:gridSpan w:val="20"/>
          </w:tcPr>
          <w:p>
            <w:pPr>
              <w:ind w:left="92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80" w:type="dxa"/>
            <w:vAlign w:val="bottom"/>
            <w:gridSpan w:val="18"/>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51"/>
        </w:trPr>
        <w:tc>
          <w:tcPr>
            <w:tcW w:w="5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660" w:type="dxa"/>
            <w:vAlign w:val="bottom"/>
          </w:tcPr>
          <w:p>
            <w:pPr>
              <w:spacing w:after="0"/>
              <w:rPr>
                <w:sz w:val="21"/>
                <w:szCs w:val="21"/>
                <w:color w:val="auto"/>
              </w:rPr>
            </w:pPr>
          </w:p>
        </w:tc>
        <w:tc>
          <w:tcPr>
            <w:tcW w:w="10260" w:type="dxa"/>
            <w:vAlign w:val="bottom"/>
            <w:gridSpan w:val="27"/>
          </w:tcPr>
          <w:p>
            <w:pPr>
              <w:spacing w:after="0"/>
              <w:rPr>
                <w:sz w:val="20"/>
                <w:szCs w:val="20"/>
                <w:color w:val="auto"/>
              </w:rPr>
            </w:pPr>
            <w:r>
              <w:rPr>
                <w:rFonts w:ascii="Arial" w:cs="Arial" w:eastAsia="Arial" w:hAnsi="Arial"/>
                <w:sz w:val="18"/>
                <w:szCs w:val="18"/>
                <w:color w:val="0000EE"/>
              </w:rPr>
              <w:t>Form of Underwriting Agreement</w:t>
            </w: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660" w:type="dxa"/>
            <w:vAlign w:val="bottom"/>
          </w:tcPr>
          <w:p>
            <w:pPr>
              <w:spacing w:after="0"/>
              <w:rPr>
                <w:sz w:val="24"/>
                <w:szCs w:val="24"/>
                <w:color w:val="auto"/>
              </w:rPr>
            </w:pPr>
          </w:p>
        </w:tc>
        <w:tc>
          <w:tcPr>
            <w:tcW w:w="10260" w:type="dxa"/>
            <w:vAlign w:val="bottom"/>
            <w:gridSpan w:val="27"/>
          </w:tcPr>
          <w:p>
            <w:pPr>
              <w:spacing w:after="0"/>
              <w:rPr>
                <w:sz w:val="20"/>
                <w:szCs w:val="20"/>
                <w:color w:val="auto"/>
              </w:rPr>
            </w:pPr>
            <w:r>
              <w:rPr>
                <w:rFonts w:ascii="Arial" w:cs="Arial" w:eastAsia="Arial" w:hAnsi="Arial"/>
                <w:sz w:val="18"/>
                <w:szCs w:val="18"/>
                <w:color w:val="0000EE"/>
              </w:rPr>
              <w:t>Agreement and Plan of Merger, dated March 29, 2017, by and between Solid Biosciences, LLC and Solid GT, LLC</w:t>
            </w: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660" w:type="dxa"/>
            <w:vAlign w:val="bottom"/>
          </w:tcPr>
          <w:p>
            <w:pPr>
              <w:spacing w:after="0"/>
              <w:rPr>
                <w:sz w:val="24"/>
                <w:szCs w:val="24"/>
                <w:color w:val="auto"/>
              </w:rPr>
            </w:pPr>
          </w:p>
        </w:tc>
        <w:tc>
          <w:tcPr>
            <w:tcW w:w="20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1"/>
              </w:rPr>
              <w:t>Form of Plan of Conversion</w:t>
            </w:r>
          </w:p>
        </w:tc>
        <w:tc>
          <w:tcPr>
            <w:tcW w:w="6280" w:type="dxa"/>
            <w:vAlign w:val="bottom"/>
            <w:tcBorders>
              <w:top w:val="single" w:sz="8" w:color="0000EE"/>
            </w:tcBorders>
            <w:gridSpan w:val="17"/>
          </w:tcPr>
          <w:p>
            <w:pPr>
              <w:spacing w:after="0"/>
              <w:rPr>
                <w:sz w:val="24"/>
                <w:szCs w:val="24"/>
                <w:color w:val="auto"/>
              </w:rPr>
            </w:pPr>
          </w:p>
        </w:tc>
        <w:tc>
          <w:tcPr>
            <w:tcW w:w="1960" w:type="dxa"/>
            <w:vAlign w:val="bottom"/>
            <w:gridSpan w:val="8"/>
          </w:tcPr>
          <w:p>
            <w:pPr>
              <w:spacing w:after="0"/>
              <w:rPr>
                <w:sz w:val="24"/>
                <w:szCs w:val="24"/>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660" w:type="dxa"/>
            <w:vAlign w:val="bottom"/>
          </w:tcPr>
          <w:p>
            <w:pPr>
              <w:spacing w:after="0"/>
              <w:rPr>
                <w:sz w:val="24"/>
                <w:szCs w:val="24"/>
                <w:color w:val="auto"/>
              </w:rPr>
            </w:pPr>
          </w:p>
        </w:tc>
        <w:tc>
          <w:tcPr>
            <w:tcW w:w="10260" w:type="dxa"/>
            <w:vAlign w:val="bottom"/>
            <w:gridSpan w:val="27"/>
          </w:tcPr>
          <w:p>
            <w:pPr>
              <w:spacing w:after="0"/>
              <w:rPr>
                <w:sz w:val="20"/>
                <w:szCs w:val="20"/>
                <w:color w:val="auto"/>
              </w:rPr>
            </w:pPr>
            <w:r>
              <w:rPr>
                <w:rFonts w:ascii="Arial" w:cs="Arial" w:eastAsia="Arial" w:hAnsi="Arial"/>
                <w:sz w:val="18"/>
                <w:szCs w:val="18"/>
                <w:color w:val="0000EE"/>
              </w:rPr>
              <w:t>Form of Agreement and Plan of Merger</w:t>
            </w: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660" w:type="dxa"/>
            <w:vAlign w:val="bottom"/>
          </w:tcPr>
          <w:p>
            <w:pPr>
              <w:spacing w:after="0"/>
              <w:rPr>
                <w:sz w:val="24"/>
                <w:szCs w:val="24"/>
                <w:color w:val="auto"/>
              </w:rPr>
            </w:pPr>
          </w:p>
        </w:tc>
        <w:tc>
          <w:tcPr>
            <w:tcW w:w="44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Form of Certificate of Conversion of Solid Biosciences, LLC</w:t>
            </w:r>
          </w:p>
        </w:tc>
        <w:tc>
          <w:tcPr>
            <w:tcW w:w="5840" w:type="dxa"/>
            <w:vAlign w:val="bottom"/>
            <w:gridSpan w:val="19"/>
          </w:tcPr>
          <w:p>
            <w:pPr>
              <w:spacing w:after="0"/>
              <w:rPr>
                <w:sz w:val="24"/>
                <w:szCs w:val="24"/>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60" w:type="dxa"/>
            <w:vAlign w:val="bottom"/>
          </w:tcPr>
          <w:p>
            <w:pPr>
              <w:spacing w:after="0"/>
              <w:rPr>
                <w:sz w:val="24"/>
                <w:szCs w:val="24"/>
                <w:color w:val="auto"/>
              </w:rPr>
            </w:pPr>
          </w:p>
        </w:tc>
        <w:tc>
          <w:tcPr>
            <w:tcW w:w="10260" w:type="dxa"/>
            <w:vAlign w:val="bottom"/>
            <w:gridSpan w:val="27"/>
          </w:tcPr>
          <w:p>
            <w:pPr>
              <w:spacing w:after="0"/>
              <w:rPr>
                <w:sz w:val="20"/>
                <w:szCs w:val="20"/>
                <w:color w:val="auto"/>
              </w:rPr>
            </w:pPr>
            <w:r>
              <w:rPr>
                <w:rFonts w:ascii="Arial" w:cs="Arial" w:eastAsia="Arial" w:hAnsi="Arial"/>
                <w:sz w:val="18"/>
                <w:szCs w:val="18"/>
                <w:color w:val="0000EE"/>
              </w:rPr>
              <w:t>Third Amended and Restated Limited Liability Company Agreement, dated March 29, 2017</w:t>
            </w: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660" w:type="dxa"/>
            <w:vAlign w:val="bottom"/>
          </w:tcPr>
          <w:p>
            <w:pPr>
              <w:spacing w:after="0"/>
              <w:rPr>
                <w:sz w:val="24"/>
                <w:szCs w:val="24"/>
                <w:color w:val="auto"/>
              </w:rPr>
            </w:pPr>
          </w:p>
        </w:tc>
        <w:tc>
          <w:tcPr>
            <w:tcW w:w="10260" w:type="dxa"/>
            <w:vAlign w:val="bottom"/>
            <w:gridSpan w:val="27"/>
          </w:tcPr>
          <w:p>
            <w:pPr>
              <w:spacing w:after="0"/>
              <w:rPr>
                <w:sz w:val="20"/>
                <w:szCs w:val="20"/>
                <w:color w:val="auto"/>
              </w:rPr>
            </w:pPr>
            <w:r>
              <w:rPr>
                <w:rFonts w:ascii="Arial" w:cs="Arial" w:eastAsia="Arial" w:hAnsi="Arial"/>
                <w:sz w:val="18"/>
                <w:szCs w:val="18"/>
                <w:color w:val="0000EE"/>
              </w:rPr>
              <w:t>Amendment No. 1 to Third Amended and Restated Limited Liability Company Agreement, dated October 26, 2017</w:t>
            </w: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660" w:type="dxa"/>
            <w:vAlign w:val="bottom"/>
          </w:tcPr>
          <w:p>
            <w:pPr>
              <w:spacing w:after="0"/>
              <w:rPr>
                <w:sz w:val="24"/>
                <w:szCs w:val="24"/>
                <w:color w:val="auto"/>
              </w:rPr>
            </w:pPr>
          </w:p>
        </w:tc>
        <w:tc>
          <w:tcPr>
            <w:tcW w:w="1012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2"/>
              </w:rPr>
              <w:t>Form of Certificate of Incorporation of Solid Biosciences Inc. (to be effective upon completion of the Registrant’s conversion from a limited</w:t>
            </w:r>
          </w:p>
        </w:tc>
        <w:tc>
          <w:tcPr>
            <w:tcW w:w="140" w:type="dxa"/>
            <w:vAlign w:val="bottom"/>
            <w:gridSpan w:val="2"/>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60" w:type="dxa"/>
            <w:vAlign w:val="bottom"/>
            <w:gridSpan w:val="27"/>
          </w:tcPr>
          <w:p>
            <w:pPr>
              <w:spacing w:after="0" w:line="196" w:lineRule="exact"/>
              <w:rPr>
                <w:sz w:val="20"/>
                <w:szCs w:val="20"/>
                <w:color w:val="auto"/>
              </w:rPr>
            </w:pPr>
            <w:r>
              <w:rPr>
                <w:rFonts w:ascii="Arial" w:cs="Arial" w:eastAsia="Arial" w:hAnsi="Arial"/>
                <w:sz w:val="18"/>
                <w:szCs w:val="18"/>
                <w:color w:val="0000EE"/>
              </w:rPr>
              <w:t>liability company to a corporation)</w:t>
            </w: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660" w:type="dxa"/>
            <w:vAlign w:val="bottom"/>
          </w:tcPr>
          <w:p>
            <w:pPr>
              <w:spacing w:after="0"/>
              <w:rPr>
                <w:sz w:val="24"/>
                <w:szCs w:val="24"/>
                <w:color w:val="auto"/>
              </w:rPr>
            </w:pPr>
          </w:p>
        </w:tc>
        <w:tc>
          <w:tcPr>
            <w:tcW w:w="1018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2"/>
              </w:rPr>
              <w:t>Form of Bylaws of Solid Biosciences Inc. (to be effective upon completion of the Registrant’s conversion from a limited liability company to</w:t>
            </w:r>
          </w:p>
        </w:tc>
        <w:tc>
          <w:tcPr>
            <w:tcW w:w="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a corporation)</w:t>
            </w:r>
          </w:p>
        </w:tc>
        <w:tc>
          <w:tcPr>
            <w:tcW w:w="9240" w:type="dxa"/>
            <w:vAlign w:val="bottom"/>
            <w:gridSpan w:val="26"/>
          </w:tcPr>
          <w:p>
            <w:pPr>
              <w:spacing w:after="0"/>
              <w:rPr>
                <w:sz w:val="17"/>
                <w:szCs w:val="17"/>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60" w:type="dxa"/>
            <w:vAlign w:val="bottom"/>
          </w:tcPr>
          <w:p>
            <w:pPr>
              <w:spacing w:after="0"/>
              <w:rPr>
                <w:sz w:val="24"/>
                <w:szCs w:val="24"/>
                <w:color w:val="auto"/>
              </w:rPr>
            </w:pPr>
          </w:p>
        </w:tc>
        <w:tc>
          <w:tcPr>
            <w:tcW w:w="25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Form of Common Stock Certificate</w:t>
            </w:r>
          </w:p>
        </w:tc>
        <w:tc>
          <w:tcPr>
            <w:tcW w:w="7700" w:type="dxa"/>
            <w:vAlign w:val="bottom"/>
            <w:gridSpan w:val="22"/>
          </w:tcPr>
          <w:p>
            <w:pPr>
              <w:spacing w:after="0"/>
              <w:rPr>
                <w:sz w:val="24"/>
                <w:szCs w:val="24"/>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660" w:type="dxa"/>
            <w:vAlign w:val="bottom"/>
          </w:tcPr>
          <w:p>
            <w:pPr>
              <w:spacing w:after="0"/>
              <w:rPr>
                <w:sz w:val="24"/>
                <w:szCs w:val="24"/>
                <w:color w:val="auto"/>
              </w:rPr>
            </w:pPr>
          </w:p>
        </w:tc>
        <w:tc>
          <w:tcPr>
            <w:tcW w:w="10260" w:type="dxa"/>
            <w:vAlign w:val="bottom"/>
            <w:gridSpan w:val="27"/>
          </w:tcPr>
          <w:p>
            <w:pPr>
              <w:spacing w:after="0"/>
              <w:rPr>
                <w:sz w:val="20"/>
                <w:szCs w:val="20"/>
                <w:color w:val="auto"/>
              </w:rPr>
            </w:pPr>
            <w:r>
              <w:rPr>
                <w:rFonts w:ascii="Arial" w:cs="Arial" w:eastAsia="Arial" w:hAnsi="Arial"/>
                <w:sz w:val="18"/>
                <w:szCs w:val="18"/>
                <w:color w:val="0000EE"/>
              </w:rPr>
              <w:t>Form of Opinion of Proskauer Rose LLP</w:t>
            </w:r>
          </w:p>
        </w:tc>
      </w:tr>
      <w:tr>
        <w:trPr>
          <w:trHeight w:val="20"/>
        </w:trPr>
        <w:tc>
          <w:tcPr>
            <w:tcW w:w="1160" w:type="dxa"/>
            <w:vAlign w:val="bottom"/>
            <w:gridSpan w:val="2"/>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304"/>
        </w:trPr>
        <w:tc>
          <w:tcPr>
            <w:tcW w:w="116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10.1†</w:t>
            </w:r>
          </w:p>
        </w:tc>
        <w:tc>
          <w:tcPr>
            <w:tcW w:w="10260" w:type="dxa"/>
            <w:vAlign w:val="bottom"/>
            <w:gridSpan w:val="27"/>
          </w:tcPr>
          <w:p>
            <w:pPr>
              <w:spacing w:after="0"/>
              <w:rPr>
                <w:sz w:val="20"/>
                <w:szCs w:val="20"/>
                <w:color w:val="auto"/>
              </w:rPr>
            </w:pPr>
            <w:r>
              <w:rPr>
                <w:rFonts w:ascii="Arial" w:cs="Arial" w:eastAsia="Arial" w:hAnsi="Arial"/>
                <w:sz w:val="18"/>
                <w:szCs w:val="18"/>
                <w:color w:val="0000EE"/>
              </w:rPr>
              <w:t>Employment Agreement, dated as of December 27, 2013, by and between Solid Ventures, LLC and Ilan Ganot</w:t>
            </w:r>
          </w:p>
        </w:tc>
      </w:tr>
      <w:tr>
        <w:trPr>
          <w:trHeight w:val="304"/>
        </w:trPr>
        <w:tc>
          <w:tcPr>
            <w:tcW w:w="116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10.2†</w:t>
            </w:r>
          </w:p>
        </w:tc>
        <w:tc>
          <w:tcPr>
            <w:tcW w:w="752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8"/>
                <w:szCs w:val="18"/>
                <w:color w:val="0000EE"/>
                <w:w w:val="91"/>
              </w:rPr>
              <w:t>Offer Letter, dated as of November 17, 2015, by and between Solid GT, LLC and Jorge A. Quiroz, M.D.</w:t>
            </w:r>
          </w:p>
        </w:tc>
        <w:tc>
          <w:tcPr>
            <w:tcW w:w="440" w:type="dxa"/>
            <w:vAlign w:val="bottom"/>
            <w:tcBorders>
              <w:top w:val="single" w:sz="8" w:color="0000EE"/>
            </w:tcBorders>
            <w:gridSpan w:val="4"/>
          </w:tcPr>
          <w:p>
            <w:pPr>
              <w:spacing w:after="0"/>
              <w:rPr>
                <w:sz w:val="24"/>
                <w:szCs w:val="24"/>
                <w:color w:val="auto"/>
              </w:rPr>
            </w:pPr>
          </w:p>
        </w:tc>
        <w:tc>
          <w:tcPr>
            <w:tcW w:w="2300" w:type="dxa"/>
            <w:vAlign w:val="bottom"/>
            <w:gridSpan w:val="9"/>
          </w:tcPr>
          <w:p>
            <w:pPr>
              <w:spacing w:after="0"/>
              <w:rPr>
                <w:sz w:val="24"/>
                <w:szCs w:val="24"/>
                <w:color w:val="auto"/>
              </w:rPr>
            </w:pPr>
          </w:p>
        </w:tc>
      </w:tr>
      <w:tr>
        <w:trPr>
          <w:trHeight w:val="304"/>
        </w:trPr>
        <w:tc>
          <w:tcPr>
            <w:tcW w:w="116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10.3†</w:t>
            </w:r>
          </w:p>
        </w:tc>
        <w:tc>
          <w:tcPr>
            <w:tcW w:w="77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1"/>
              </w:rPr>
              <w:t>Offer Letter, dated as of November 6, 2015, by and between Solid Biosciences, LLC and Alvaro Amorrortu</w:t>
            </w:r>
          </w:p>
        </w:tc>
        <w:tc>
          <w:tcPr>
            <w:tcW w:w="2500" w:type="dxa"/>
            <w:vAlign w:val="bottom"/>
            <w:gridSpan w:val="11"/>
          </w:tcPr>
          <w:p>
            <w:pPr>
              <w:spacing w:after="0"/>
              <w:rPr>
                <w:sz w:val="24"/>
                <w:szCs w:val="24"/>
                <w:color w:val="auto"/>
              </w:rPr>
            </w:pPr>
          </w:p>
        </w:tc>
      </w:tr>
      <w:tr>
        <w:trPr>
          <w:trHeight w:val="304"/>
        </w:trPr>
        <w:tc>
          <w:tcPr>
            <w:tcW w:w="116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10.4†</w:t>
            </w:r>
          </w:p>
        </w:tc>
        <w:tc>
          <w:tcPr>
            <w:tcW w:w="10260" w:type="dxa"/>
            <w:vAlign w:val="bottom"/>
            <w:gridSpan w:val="27"/>
          </w:tcPr>
          <w:p>
            <w:pPr>
              <w:spacing w:after="0"/>
              <w:rPr>
                <w:sz w:val="20"/>
                <w:szCs w:val="20"/>
                <w:color w:val="auto"/>
              </w:rPr>
            </w:pPr>
            <w:r>
              <w:rPr>
                <w:rFonts w:ascii="Arial" w:cs="Arial" w:eastAsia="Arial" w:hAnsi="Arial"/>
                <w:sz w:val="18"/>
                <w:szCs w:val="18"/>
                <w:color w:val="0000EE"/>
              </w:rPr>
              <w:t>Advisory Agreement, dated as of December 28, 2013, by and between Solid Ventures, LLC and Andrey Zarur</w:t>
            </w:r>
          </w:p>
        </w:tc>
      </w:tr>
      <w:tr>
        <w:trPr>
          <w:trHeight w:val="304"/>
        </w:trPr>
        <w:tc>
          <w:tcPr>
            <w:tcW w:w="116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10.5†</w:t>
            </w:r>
          </w:p>
        </w:tc>
        <w:tc>
          <w:tcPr>
            <w:tcW w:w="792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Solid Biosciences, LLC Amended and Restated Equity Incentive Plan</w:t>
            </w:r>
          </w:p>
        </w:tc>
        <w:tc>
          <w:tcPr>
            <w:tcW w:w="2340" w:type="dxa"/>
            <w:vAlign w:val="bottom"/>
            <w:gridSpan w:val="10"/>
          </w:tcPr>
          <w:p>
            <w:pPr>
              <w:spacing w:after="0"/>
              <w:rPr>
                <w:sz w:val="24"/>
                <w:szCs w:val="24"/>
                <w:color w:val="auto"/>
              </w:rPr>
            </w:pPr>
          </w:p>
        </w:tc>
      </w:tr>
      <w:tr>
        <w:trPr>
          <w:trHeight w:val="304"/>
        </w:trPr>
        <w:tc>
          <w:tcPr>
            <w:tcW w:w="116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10.6†</w:t>
            </w:r>
          </w:p>
        </w:tc>
        <w:tc>
          <w:tcPr>
            <w:tcW w:w="502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Form of Solid Biosciences Inc. 2018 Omnibus Incentive Plan</w:t>
            </w:r>
          </w:p>
        </w:tc>
        <w:tc>
          <w:tcPr>
            <w:tcW w:w="5240" w:type="dxa"/>
            <w:vAlign w:val="bottom"/>
            <w:gridSpan w:val="17"/>
          </w:tcPr>
          <w:p>
            <w:pPr>
              <w:spacing w:after="0"/>
              <w:rPr>
                <w:sz w:val="24"/>
                <w:szCs w:val="24"/>
                <w:color w:val="auto"/>
              </w:rPr>
            </w:pPr>
          </w:p>
        </w:tc>
      </w:tr>
      <w:tr>
        <w:trPr>
          <w:trHeight w:val="20"/>
        </w:trPr>
        <w:tc>
          <w:tcPr>
            <w:tcW w:w="1160" w:type="dxa"/>
            <w:vAlign w:val="bottom"/>
            <w:gridSpan w:val="2"/>
          </w:tcPr>
          <w:p>
            <w:pPr>
              <w:spacing w:after="0" w:line="20" w:lineRule="exact"/>
              <w:rPr>
                <w:sz w:val="1"/>
                <w:szCs w:val="1"/>
                <w:color w:val="auto"/>
              </w:rPr>
            </w:pPr>
          </w:p>
        </w:tc>
        <w:tc>
          <w:tcPr>
            <w:tcW w:w="4420" w:type="dxa"/>
            <w:vAlign w:val="bottom"/>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304"/>
        </w:trPr>
        <w:tc>
          <w:tcPr>
            <w:tcW w:w="116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10.7†</w:t>
            </w:r>
          </w:p>
        </w:tc>
        <w:tc>
          <w:tcPr>
            <w:tcW w:w="10260" w:type="dxa"/>
            <w:vAlign w:val="bottom"/>
            <w:gridSpan w:val="27"/>
          </w:tcPr>
          <w:p>
            <w:pPr>
              <w:spacing w:after="0"/>
              <w:rPr>
                <w:sz w:val="20"/>
                <w:szCs w:val="20"/>
                <w:color w:val="auto"/>
              </w:rPr>
            </w:pPr>
            <w:r>
              <w:rPr>
                <w:rFonts w:ascii="Arial" w:cs="Arial" w:eastAsia="Arial" w:hAnsi="Arial"/>
                <w:sz w:val="18"/>
                <w:szCs w:val="18"/>
                <w:color w:val="0000EE"/>
              </w:rPr>
              <w:t>Form of Incentive Stock Option Agreement under 2018 Omnibus Incentive Plan</w:t>
            </w:r>
          </w:p>
        </w:tc>
      </w:tr>
      <w:tr>
        <w:trPr>
          <w:trHeight w:val="20"/>
        </w:trPr>
        <w:tc>
          <w:tcPr>
            <w:tcW w:w="1160" w:type="dxa"/>
            <w:vAlign w:val="bottom"/>
            <w:gridSpan w:val="2"/>
          </w:tcPr>
          <w:p>
            <w:pPr>
              <w:spacing w:after="0" w:line="20" w:lineRule="exact"/>
              <w:rPr>
                <w:sz w:val="1"/>
                <w:szCs w:val="1"/>
                <w:color w:val="auto"/>
              </w:rPr>
            </w:pPr>
          </w:p>
        </w:tc>
        <w:tc>
          <w:tcPr>
            <w:tcW w:w="4580" w:type="dxa"/>
            <w:vAlign w:val="bottom"/>
            <w:gridSpan w:val="9"/>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304"/>
        </w:trPr>
        <w:tc>
          <w:tcPr>
            <w:tcW w:w="116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10.8†</w:t>
            </w:r>
          </w:p>
        </w:tc>
        <w:tc>
          <w:tcPr>
            <w:tcW w:w="10260" w:type="dxa"/>
            <w:vAlign w:val="bottom"/>
            <w:gridSpan w:val="27"/>
          </w:tcPr>
          <w:p>
            <w:pPr>
              <w:spacing w:after="0"/>
              <w:rPr>
                <w:sz w:val="20"/>
                <w:szCs w:val="20"/>
                <w:color w:val="auto"/>
              </w:rPr>
            </w:pPr>
            <w:r>
              <w:rPr>
                <w:rFonts w:ascii="Arial" w:cs="Arial" w:eastAsia="Arial" w:hAnsi="Arial"/>
                <w:sz w:val="18"/>
                <w:szCs w:val="18"/>
                <w:color w:val="0000EE"/>
              </w:rPr>
              <w:t>Form of Nonqualified Stock Option Agreement under 2018 Omnibus Incentive Plan</w:t>
            </w:r>
          </w:p>
        </w:tc>
      </w:tr>
      <w:tr>
        <w:trPr>
          <w:trHeight w:val="304"/>
        </w:trPr>
        <w:tc>
          <w:tcPr>
            <w:tcW w:w="116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10.9†</w:t>
            </w:r>
          </w:p>
        </w:tc>
        <w:tc>
          <w:tcPr>
            <w:tcW w:w="606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Form of Restricted Stock Agreement under 2018 Omnibus Plan</w:t>
            </w:r>
          </w:p>
        </w:tc>
        <w:tc>
          <w:tcPr>
            <w:tcW w:w="4200" w:type="dxa"/>
            <w:vAlign w:val="bottom"/>
            <w:gridSpan w:val="15"/>
          </w:tcPr>
          <w:p>
            <w:pPr>
              <w:spacing w:after="0"/>
              <w:rPr>
                <w:sz w:val="24"/>
                <w:szCs w:val="24"/>
                <w:color w:val="auto"/>
              </w:rPr>
            </w:pPr>
          </w:p>
        </w:tc>
      </w:tr>
      <w:tr>
        <w:trPr>
          <w:trHeight w:val="20"/>
        </w:trPr>
        <w:tc>
          <w:tcPr>
            <w:tcW w:w="1160" w:type="dxa"/>
            <w:vAlign w:val="bottom"/>
            <w:gridSpan w:val="2"/>
          </w:tcPr>
          <w:p>
            <w:pPr>
              <w:spacing w:after="0" w:line="20" w:lineRule="exact"/>
              <w:rPr>
                <w:sz w:val="1"/>
                <w:szCs w:val="1"/>
                <w:color w:val="auto"/>
              </w:rPr>
            </w:pPr>
          </w:p>
        </w:tc>
        <w:tc>
          <w:tcPr>
            <w:tcW w:w="4580" w:type="dxa"/>
            <w:vAlign w:val="bottom"/>
            <w:gridSpan w:val="9"/>
            <w:shd w:val="clear" w:color="auto" w:fill="0000EE"/>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10.10#</w:t>
            </w:r>
          </w:p>
        </w:tc>
        <w:tc>
          <w:tcPr>
            <w:tcW w:w="10260" w:type="dxa"/>
            <w:vAlign w:val="bottom"/>
            <w:gridSpan w:val="27"/>
          </w:tcPr>
          <w:p>
            <w:pPr>
              <w:spacing w:after="0"/>
              <w:rPr>
                <w:sz w:val="20"/>
                <w:szCs w:val="20"/>
                <w:color w:val="auto"/>
              </w:rPr>
            </w:pPr>
            <w:r>
              <w:rPr>
                <w:rFonts w:ascii="Arial" w:cs="Arial" w:eastAsia="Arial" w:hAnsi="Arial"/>
                <w:sz w:val="18"/>
                <w:szCs w:val="18"/>
                <w:color w:val="0000EE"/>
              </w:rPr>
              <w:t>License Agreement, dated as of October 16, 2015, by and between Solid GT, LLC and the University of Washington</w:t>
            </w:r>
          </w:p>
        </w:tc>
      </w:tr>
      <w:tr>
        <w:trPr>
          <w:trHeight w:val="20"/>
        </w:trPr>
        <w:tc>
          <w:tcPr>
            <w:tcW w:w="1160" w:type="dxa"/>
            <w:vAlign w:val="bottom"/>
            <w:gridSpan w:val="2"/>
          </w:tcPr>
          <w:p>
            <w:pPr>
              <w:spacing w:after="0" w:line="20" w:lineRule="exact"/>
              <w:rPr>
                <w:sz w:val="1"/>
                <w:szCs w:val="1"/>
                <w:color w:val="auto"/>
              </w:rPr>
            </w:pPr>
          </w:p>
        </w:tc>
        <w:tc>
          <w:tcPr>
            <w:tcW w:w="7700" w:type="dxa"/>
            <w:vAlign w:val="bottom"/>
            <w:gridSpan w:val="15"/>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10.11#</w:t>
            </w:r>
          </w:p>
        </w:tc>
        <w:tc>
          <w:tcPr>
            <w:tcW w:w="920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1"/>
              </w:rPr>
              <w:t>License Agreement, dated as of March 10, 2016, by and between Solid GT, LLC and the Regents of the University of Michigan</w:t>
            </w:r>
          </w:p>
        </w:tc>
        <w:tc>
          <w:tcPr>
            <w:tcW w:w="1060" w:type="dxa"/>
            <w:vAlign w:val="bottom"/>
            <w:gridSpan w:val="5"/>
          </w:tcPr>
          <w:p>
            <w:pPr>
              <w:spacing w:after="0"/>
              <w:rPr>
                <w:sz w:val="24"/>
                <w:szCs w:val="24"/>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10.12#</w:t>
            </w:r>
          </w:p>
        </w:tc>
        <w:tc>
          <w:tcPr>
            <w:tcW w:w="936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1"/>
              </w:rPr>
              <w:t>License Agreement, dated as of October 15, 2015, by and between Solid GT, LLC and The Curators of the University of Missouri</w:t>
            </w:r>
          </w:p>
        </w:tc>
        <w:tc>
          <w:tcPr>
            <w:tcW w:w="900" w:type="dxa"/>
            <w:vAlign w:val="bottom"/>
            <w:gridSpan w:val="3"/>
          </w:tcPr>
          <w:p>
            <w:pPr>
              <w:spacing w:after="0"/>
              <w:rPr>
                <w:sz w:val="24"/>
                <w:szCs w:val="24"/>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10.13#</w:t>
            </w:r>
          </w:p>
        </w:tc>
        <w:tc>
          <w:tcPr>
            <w:tcW w:w="10260" w:type="dxa"/>
            <w:vAlign w:val="bottom"/>
            <w:gridSpan w:val="27"/>
          </w:tcPr>
          <w:p>
            <w:pPr>
              <w:spacing w:after="0"/>
              <w:rPr>
                <w:sz w:val="20"/>
                <w:szCs w:val="20"/>
                <w:color w:val="auto"/>
              </w:rPr>
            </w:pPr>
            <w:r>
              <w:rPr>
                <w:rFonts w:ascii="Arial" w:cs="Arial" w:eastAsia="Arial" w:hAnsi="Arial"/>
                <w:sz w:val="18"/>
                <w:szCs w:val="18"/>
                <w:color w:val="0000EE"/>
              </w:rPr>
              <w:t>License Agreement, dated as of November 20, 2016, by and between Solid Biosciences, LLC and Licensor</w:t>
            </w:r>
          </w:p>
        </w:tc>
      </w:tr>
      <w:tr>
        <w:trPr>
          <w:trHeight w:val="20"/>
        </w:trPr>
        <w:tc>
          <w:tcPr>
            <w:tcW w:w="1160" w:type="dxa"/>
            <w:vAlign w:val="bottom"/>
            <w:gridSpan w:val="2"/>
          </w:tcPr>
          <w:p>
            <w:pPr>
              <w:spacing w:after="0" w:line="20" w:lineRule="exact"/>
              <w:rPr>
                <w:sz w:val="1"/>
                <w:szCs w:val="1"/>
                <w:color w:val="auto"/>
              </w:rPr>
            </w:pPr>
          </w:p>
        </w:tc>
        <w:tc>
          <w:tcPr>
            <w:tcW w:w="7700" w:type="dxa"/>
            <w:vAlign w:val="bottom"/>
            <w:gridSpan w:val="15"/>
            <w:shd w:val="clear" w:color="auto" w:fill="0000EE"/>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10.14#</w:t>
            </w:r>
          </w:p>
        </w:tc>
        <w:tc>
          <w:tcPr>
            <w:tcW w:w="10260" w:type="dxa"/>
            <w:vAlign w:val="bottom"/>
            <w:gridSpan w:val="27"/>
          </w:tcPr>
          <w:p>
            <w:pPr>
              <w:spacing w:after="0"/>
              <w:rPr>
                <w:sz w:val="20"/>
                <w:szCs w:val="20"/>
                <w:color w:val="auto"/>
              </w:rPr>
            </w:pPr>
            <w:r>
              <w:rPr>
                <w:rFonts w:ascii="Arial" w:cs="Arial" w:eastAsia="Arial" w:hAnsi="Arial"/>
                <w:sz w:val="18"/>
                <w:szCs w:val="18"/>
                <w:color w:val="0000EE"/>
                <w:w w:val="99"/>
              </w:rPr>
              <w:t>License Agreement, dated as of June 23, 2016, by and between Solid GT, LLC and the President and Fellows of Harvard College</w:t>
            </w: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5"/>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number</w:t>
            </w:r>
          </w:p>
        </w:tc>
        <w:tc>
          <w:tcPr>
            <w:tcW w:w="6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740" w:type="dxa"/>
            <w:vAlign w:val="bottom"/>
            <w:gridSpan w:val="5"/>
          </w:tcPr>
          <w:p>
            <w:pPr>
              <w:ind w:left="2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160" w:type="dxa"/>
            <w:vAlign w:val="bottom"/>
            <w:gridSpan w:val="2"/>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51"/>
        </w:trPr>
        <w:tc>
          <w:tcPr>
            <w:tcW w:w="1160" w:type="dxa"/>
            <w:vAlign w:val="bottom"/>
            <w:gridSpan w:val="2"/>
          </w:tcPr>
          <w:p>
            <w:pPr>
              <w:spacing w:after="0"/>
              <w:rPr>
                <w:sz w:val="20"/>
                <w:szCs w:val="20"/>
                <w:color w:val="auto"/>
              </w:rPr>
            </w:pPr>
            <w:r>
              <w:rPr>
                <w:rFonts w:ascii="Arial" w:cs="Arial" w:eastAsia="Arial" w:hAnsi="Arial"/>
                <w:sz w:val="18"/>
                <w:szCs w:val="18"/>
                <w:color w:val="auto"/>
              </w:rPr>
              <w:t>10.15#</w:t>
            </w:r>
          </w:p>
        </w:tc>
        <w:tc>
          <w:tcPr>
            <w:tcW w:w="100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License Agreement, dated as of August 3, 2017, by and between Solid Biosciences, LLC and the President and Fellows of Harvard College</w:t>
            </w:r>
          </w:p>
        </w:tc>
        <w:tc>
          <w:tcPr>
            <w:tcW w:w="220" w:type="dxa"/>
            <w:vAlign w:val="bottom"/>
          </w:tcPr>
          <w:p>
            <w:pPr>
              <w:spacing w:after="0"/>
              <w:rPr>
                <w:sz w:val="21"/>
                <w:szCs w:val="2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660" w:type="dxa"/>
            <w:vAlign w:val="bottom"/>
          </w:tcPr>
          <w:p>
            <w:pPr>
              <w:spacing w:after="0"/>
              <w:rPr>
                <w:sz w:val="24"/>
                <w:szCs w:val="24"/>
                <w:color w:val="auto"/>
              </w:rPr>
            </w:pPr>
          </w:p>
        </w:tc>
        <w:tc>
          <w:tcPr>
            <w:tcW w:w="10260" w:type="dxa"/>
            <w:vAlign w:val="bottom"/>
            <w:gridSpan w:val="9"/>
          </w:tcPr>
          <w:p>
            <w:pPr>
              <w:spacing w:after="0"/>
              <w:rPr>
                <w:sz w:val="20"/>
                <w:szCs w:val="20"/>
                <w:color w:val="auto"/>
              </w:rPr>
            </w:pPr>
            <w:r>
              <w:rPr>
                <w:rFonts w:ascii="Arial" w:cs="Arial" w:eastAsia="Arial" w:hAnsi="Arial"/>
                <w:sz w:val="18"/>
                <w:szCs w:val="18"/>
                <w:color w:val="0000EE"/>
              </w:rPr>
              <w:t>Form of Indemnification Agreement for Directors and Officers</w:t>
            </w: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660" w:type="dxa"/>
            <w:vAlign w:val="bottom"/>
          </w:tcPr>
          <w:p>
            <w:pPr>
              <w:spacing w:after="0"/>
              <w:rPr>
                <w:sz w:val="24"/>
                <w:szCs w:val="24"/>
                <w:color w:val="auto"/>
              </w:rPr>
            </w:pPr>
          </w:p>
        </w:tc>
        <w:tc>
          <w:tcPr>
            <w:tcW w:w="99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Amended and Restated Registration Rights Agreement dated March 29, 2017 by and among Solid Biosciences, LLC and certain investors</w:t>
            </w:r>
          </w:p>
        </w:tc>
        <w:tc>
          <w:tcPr>
            <w:tcW w:w="320" w:type="dxa"/>
            <w:vAlign w:val="bottom"/>
            <w:gridSpan w:val="2"/>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16.1</w:t>
            </w:r>
          </w:p>
        </w:tc>
        <w:tc>
          <w:tcPr>
            <w:tcW w:w="660" w:type="dxa"/>
            <w:vAlign w:val="bottom"/>
          </w:tcPr>
          <w:p>
            <w:pPr>
              <w:spacing w:after="0"/>
              <w:rPr>
                <w:sz w:val="24"/>
                <w:szCs w:val="24"/>
                <w:color w:val="auto"/>
              </w:rPr>
            </w:pPr>
          </w:p>
        </w:tc>
        <w:tc>
          <w:tcPr>
            <w:tcW w:w="10260" w:type="dxa"/>
            <w:vAlign w:val="bottom"/>
            <w:gridSpan w:val="9"/>
          </w:tcPr>
          <w:p>
            <w:pPr>
              <w:spacing w:after="0"/>
              <w:rPr>
                <w:sz w:val="20"/>
                <w:szCs w:val="20"/>
                <w:color w:val="auto"/>
              </w:rPr>
            </w:pPr>
            <w:r>
              <w:rPr>
                <w:rFonts w:ascii="Arial" w:cs="Arial" w:eastAsia="Arial" w:hAnsi="Arial"/>
                <w:sz w:val="18"/>
                <w:szCs w:val="18"/>
                <w:color w:val="0000EE"/>
              </w:rPr>
              <w:t>Letter from Katz, Nannis + Solomon, P.C., dated as of July 24, 2017, regarding change in certifying accountant</w:t>
            </w: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660" w:type="dxa"/>
            <w:vAlign w:val="bottom"/>
          </w:tcPr>
          <w:p>
            <w:pPr>
              <w:spacing w:after="0"/>
              <w:rPr>
                <w:sz w:val="24"/>
                <w:szCs w:val="24"/>
                <w:color w:val="auto"/>
              </w:rPr>
            </w:pPr>
          </w:p>
        </w:tc>
        <w:tc>
          <w:tcPr>
            <w:tcW w:w="80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Subsidiaries of Solid Biosciences Inc.</w:t>
            </w:r>
          </w:p>
        </w:tc>
        <w:tc>
          <w:tcPr>
            <w:tcW w:w="2260" w:type="dxa"/>
            <w:vAlign w:val="bottom"/>
            <w:gridSpan w:val="3"/>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65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Consent of PricewaterhouseCoopers LLP, Independent Registered Public Accounting Firm</w:t>
            </w:r>
          </w:p>
        </w:tc>
        <w:tc>
          <w:tcPr>
            <w:tcW w:w="3720" w:type="dxa"/>
            <w:vAlign w:val="bottom"/>
            <w:gridSpan w:val="4"/>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660" w:type="dxa"/>
            <w:vAlign w:val="bottom"/>
          </w:tcPr>
          <w:p>
            <w:pPr>
              <w:spacing w:after="0"/>
              <w:rPr>
                <w:sz w:val="24"/>
                <w:szCs w:val="24"/>
                <w:color w:val="auto"/>
              </w:rPr>
            </w:pPr>
          </w:p>
        </w:tc>
        <w:tc>
          <w:tcPr>
            <w:tcW w:w="41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Consent of Proskauer Rose LLP (included in Exhibit 5.1)</w:t>
            </w:r>
          </w:p>
        </w:tc>
        <w:tc>
          <w:tcPr>
            <w:tcW w:w="6120" w:type="dxa"/>
            <w:vAlign w:val="bottom"/>
            <w:gridSpan w:val="6"/>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24"/>
                <w:szCs w:val="24"/>
                <w:color w:val="auto"/>
              </w:rPr>
            </w:pPr>
          </w:p>
        </w:tc>
        <w:tc>
          <w:tcPr>
            <w:tcW w:w="34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10">
              <w:r>
                <w:rPr>
                  <w:rFonts w:ascii="Arial" w:cs="Arial" w:eastAsia="Arial" w:hAnsi="Arial"/>
                  <w:sz w:val="18"/>
                  <w:szCs w:val="18"/>
                  <w:color w:val="0000EE"/>
                  <w:w w:val="90"/>
                </w:rPr>
                <w:t>Power of Attorney (included on signature page)</w:t>
              </w:r>
            </w:hyperlink>
          </w:p>
        </w:tc>
        <w:tc>
          <w:tcPr>
            <w:tcW w:w="6820" w:type="dxa"/>
            <w:vAlign w:val="bottom"/>
            <w:gridSpan w:val="7"/>
          </w:tcPr>
          <w:p>
            <w:pPr>
              <w:spacing w:after="0"/>
              <w:rPr>
                <w:sz w:val="24"/>
                <w:szCs w:val="24"/>
                <w:color w:val="auto"/>
              </w:rPr>
            </w:pPr>
          </w:p>
        </w:tc>
      </w:tr>
    </w:tbl>
    <w:p>
      <w:pPr>
        <w:spacing w:after="0" w:line="256"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460" w:right="920" w:hanging="452"/>
        <w:spacing w:after="0" w:line="261"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ectPr>
          <w:pgSz w:w="11900" w:h="16838" w:orient="portrait"/>
          <w:cols w:equalWidth="0" w:num="1">
            <w:col w:w="11420"/>
          </w:cols>
          <w:pgMar w:left="240" w:top="460"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SOLID BIOSCIENCES, INC.</w:t>
      </w:r>
    </w:p>
    <w:p>
      <w:pPr>
        <w:spacing w:after="0" w:line="225" w:lineRule="exact"/>
        <w:rPr>
          <w:sz w:val="20"/>
          <w:szCs w:val="20"/>
          <w:color w:val="auto"/>
        </w:rPr>
      </w:pPr>
    </w:p>
    <w:p>
      <w:pPr>
        <w:ind w:left="4500" w:right="4480" w:firstLine="155"/>
        <w:spacing w:after="0" w:line="563" w:lineRule="auto"/>
        <w:tabs>
          <w:tab w:leader="none" w:pos="493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Shares of Common Stock </w:t>
      </w:r>
      <w:r>
        <w:rPr>
          <w:rFonts w:ascii="Arial" w:cs="Arial" w:eastAsia="Arial" w:hAnsi="Arial"/>
          <w:sz w:val="16"/>
          <w:szCs w:val="16"/>
          <w:u w:val="single" w:color="auto"/>
          <w:color w:val="auto"/>
        </w:rPr>
        <w:t>Form of Underwriting Agreement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Solid Biosciences, Inc., a Delaware corporation (the “Company”), proposes to issue and sell to the several underwriters listed in Schedule 1 hereto (the “Underwriters”), for whom you are acting as representatives (the “Representatives”), an aggregate of [●] shares of common stock, par value $ 0.001 per share, of the Company (the “Underwritten Shares”), and, at the option of the Underwriters, up to an additional [●] shares of common stock of the Company (the “Option Shares”). The Underwritten Shares and the Option Shares are herein referred to as the “Shares.” The shares of common stock of the Company to be outstanding after giving effect to the sale of the Shares are referred to herein as the “Stock.”</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confirms its agreement with the several Underwriters concerning the purchase and sale of the Shares, as follows:</w:t>
      </w:r>
    </w:p>
    <w:p>
      <w:pPr>
        <w:spacing w:after="0" w:line="225" w:lineRule="exact"/>
        <w:rPr>
          <w:sz w:val="20"/>
          <w:szCs w:val="20"/>
          <w:color w:val="auto"/>
        </w:rPr>
      </w:pPr>
    </w:p>
    <w:p>
      <w:pPr>
        <w:ind w:firstLine="464"/>
        <w:spacing w:after="0" w:line="291" w:lineRule="auto"/>
        <w:tabs>
          <w:tab w:leader="none" w:pos="636"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registration statement (File</w:t>
      </w:r>
    </w:p>
    <w:p>
      <w:pPr>
        <w:spacing w:after="0"/>
        <w:rPr>
          <w:rFonts w:ascii="Arial" w:cs="Arial" w:eastAsia="Arial" w:hAnsi="Arial"/>
          <w:sz w:val="16"/>
          <w:szCs w:val="16"/>
          <w:color w:val="auto"/>
        </w:rPr>
      </w:pPr>
      <w:r>
        <w:rPr>
          <w:rFonts w:ascii="Arial" w:cs="Arial" w:eastAsia="Arial" w:hAnsi="Arial"/>
          <w:sz w:val="18"/>
          <w:szCs w:val="18"/>
          <w:color w:val="auto"/>
        </w:rPr>
        <w:t>No. 333-[●]), including a prospectus, relating to the Shares. Such registration</w:t>
      </w:r>
    </w:p>
    <w:p>
      <w:pPr>
        <w:sectPr>
          <w:pgSz w:w="11900" w:h="16838" w:orient="portrait"/>
          <w:cols w:equalWidth="0" w:num="1">
            <w:col w:w="11420"/>
          </w:cols>
          <w:pgMar w:left="240" w:top="121" w:right="239" w:bottom="1440" w:gutter="0" w:footer="0" w:header="0"/>
        </w:sectPr>
      </w:pPr>
    </w:p>
    <w:bookmarkStart w:id="214" w:name="page215"/>
    <w:bookmarkEnd w:id="214"/>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6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with the pricing information set forth on Annex A, the “Pricing Disclosure Package”): a Preliminary Prospectus dated [●], 2018 and each “free-writing prospectus” (as defined pursuant to Rule 405 under the Securities Act) listed on Annex A hereto.</w:t>
      </w:r>
    </w:p>
    <w:p>
      <w:pPr>
        <w:spacing w:after="0" w:line="181" w:lineRule="exact"/>
        <w:rPr>
          <w:sz w:val="20"/>
          <w:szCs w:val="20"/>
          <w:color w:val="auto"/>
        </w:rPr>
      </w:pPr>
    </w:p>
    <w:p>
      <w:pPr>
        <w:ind w:left="460"/>
        <w:spacing w:after="0"/>
        <w:tabs>
          <w:tab w:leader="none" w:pos="2960" w:val="left"/>
          <w:tab w:leader="none" w:pos="6120" w:val="left"/>
        </w:tabs>
        <w:rPr>
          <w:sz w:val="20"/>
          <w:szCs w:val="20"/>
          <w:color w:val="auto"/>
        </w:rPr>
      </w:pPr>
      <w:r>
        <w:rPr>
          <w:rFonts w:ascii="Arial" w:cs="Arial" w:eastAsia="Arial" w:hAnsi="Arial"/>
          <w:sz w:val="18"/>
          <w:szCs w:val="18"/>
          <w:color w:val="auto"/>
        </w:rPr>
        <w:t>“Applicable Time” means [</w:t>
      </w:r>
      <w:r>
        <w:rPr>
          <w:sz w:val="20"/>
          <w:szCs w:val="20"/>
          <w:color w:val="auto"/>
        </w:rPr>
        <w:tab/>
      </w:r>
      <w:r>
        <w:rPr>
          <w:rFonts w:ascii="Arial" w:cs="Arial" w:eastAsia="Arial" w:hAnsi="Arial"/>
          <w:sz w:val="18"/>
          <w:szCs w:val="18"/>
          <w:color w:val="auto"/>
        </w:rPr>
        <w:t>] [A/P].M., New York City time, on</w:t>
      </w:r>
      <w:r>
        <w:rPr>
          <w:sz w:val="20"/>
          <w:szCs w:val="20"/>
          <w:color w:val="auto"/>
        </w:rPr>
        <w:tab/>
      </w:r>
      <w:r>
        <w:rPr>
          <w:rFonts w:ascii="Arial" w:cs="Arial" w:eastAsia="Arial" w:hAnsi="Arial"/>
          <w:sz w:val="16"/>
          <w:szCs w:val="16"/>
          <w:color w:val="auto"/>
        </w:rPr>
        <w:t>, 2018.</w:t>
      </w:r>
    </w:p>
    <w:p>
      <w:pPr>
        <w:spacing w:after="0" w:line="225" w:lineRule="exact"/>
        <w:rPr>
          <w:sz w:val="20"/>
          <w:szCs w:val="20"/>
          <w:color w:val="auto"/>
        </w:rPr>
      </w:pPr>
    </w:p>
    <w:p>
      <w:pPr>
        <w:ind w:right="80" w:firstLine="464"/>
        <w:spacing w:after="0" w:line="255" w:lineRule="auto"/>
        <w:tabs>
          <w:tab w:leader="none" w:pos="636"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Purchase of the Shares</w:t>
      </w:r>
      <w:r>
        <w:rPr>
          <w:rFonts w:ascii="Arial" w:cs="Arial" w:eastAsia="Arial" w:hAnsi="Arial"/>
          <w:sz w:val="18"/>
          <w:szCs w:val="18"/>
          <w:color w:val="auto"/>
        </w:rPr>
        <w:t>. (a) The Company agrees to issue and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(the “Purchase Price”) of $[●] from the Company the respective number of Underwritten Shares set forth opposite such Underwriter’s name in Schedule 1 hereto. The public offering price of the Shares is not in excess of the price recommended by Goldman Sachs &amp; Co. LLC, acting as a “qualified independent underwriter” within the meaning of Rule 5121 of the Financial Industry Regulatory Authority, Inc. (“FINRA”).</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at the Purchase Price less an amount per share equal to any dividends or distributions declared by the Company and payable on the Underwritten Shares but not payable on the Option Shares. 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its sole discretion shall make.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15" w:name="page216"/>
    <w:bookmarkEnd w:id="215"/>
    <w:p>
      <w:pPr>
        <w:ind w:right="8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w:t>
      </w:r>
    </w:p>
    <w:p>
      <w:pPr>
        <w:spacing w:after="0" w:line="178" w:lineRule="exact"/>
        <w:rPr>
          <w:sz w:val="20"/>
          <w:szCs w:val="20"/>
          <w:color w:val="auto"/>
        </w:rPr>
      </w:pPr>
    </w:p>
    <w:p>
      <w:pPr>
        <w:ind w:right="100" w:firstLine="464"/>
        <w:spacing w:after="0" w:line="286" w:lineRule="auto"/>
        <w:tabs>
          <w:tab w:leader="none" w:pos="71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Company understands that the Underwriters intend to make a public offering of the Shares as soon after the effectiveness of this Agreement as in the judgment of the Representatives is advisable, and initially to offer the Shares on the terms set forth in the Pricing Disclosure Package. The Company acknowledges and agrees that the Underwriters may offer and sell Shares to or through any affiliate of an Underwriter.</w:t>
      </w:r>
    </w:p>
    <w:p>
      <w:pPr>
        <w:spacing w:after="0" w:line="165" w:lineRule="exact"/>
        <w:rPr>
          <w:rFonts w:ascii="Arial" w:cs="Arial" w:eastAsia="Arial" w:hAnsi="Arial"/>
          <w:sz w:val="17"/>
          <w:szCs w:val="17"/>
          <w:color w:val="auto"/>
        </w:rPr>
      </w:pPr>
    </w:p>
    <w:p>
      <w:pPr>
        <w:ind w:firstLine="464"/>
        <w:spacing w:after="0" w:line="255" w:lineRule="auto"/>
        <w:tabs>
          <w:tab w:leader="none" w:pos="7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Payment for the Shares shall be made by wire transfer in immediately available funds to the account specified by the Company to the Representatives in the case of the Underwritten Shares, at the offices of Davis Polk &amp; Wardwell LLP, 450 Lexington Avenue, New York, New York 10017 at 10:00 A.M., New York City time, on [●], 2018,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8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Company, as applicable. Delivery of the Shares shall be made through the facilities of The Depository Trust Company (“DTC”) unless the Representatives shall otherwise instruct.</w:t>
      </w:r>
    </w:p>
    <w:p>
      <w:pPr>
        <w:spacing w:after="0" w:line="154" w:lineRule="exact"/>
        <w:rPr>
          <w:sz w:val="20"/>
          <w:szCs w:val="20"/>
          <w:color w:val="auto"/>
        </w:rPr>
      </w:pPr>
    </w:p>
    <w:p>
      <w:pPr>
        <w:ind w:right="200" w:firstLine="464"/>
        <w:spacing w:after="0" w:line="273" w:lineRule="auto"/>
        <w:tabs>
          <w:tab w:leader="none" w:pos="71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16" w:name="page217"/>
    <w:bookmarkEnd w:id="216"/>
    <w:p>
      <w:pPr>
        <w:ind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0" w:lineRule="exact"/>
        <w:rPr>
          <w:sz w:val="20"/>
          <w:szCs w:val="20"/>
          <w:color w:val="auto"/>
        </w:rPr>
      </w:pPr>
    </w:p>
    <w:p>
      <w:pPr>
        <w:ind w:left="640" w:hanging="176"/>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117" w:lineRule="exact"/>
        <w:rPr>
          <w:rFonts w:ascii="Arial" w:cs="Arial" w:eastAsia="Arial" w:hAnsi="Arial"/>
          <w:sz w:val="18"/>
          <w:szCs w:val="18"/>
          <w:color w:val="auto"/>
        </w:rPr>
      </w:pPr>
    </w:p>
    <w:p>
      <w:pPr>
        <w:ind w:left="460" w:right="80" w:firstLine="443"/>
        <w:spacing w:after="0" w:line="290" w:lineRule="auto"/>
        <w:tabs>
          <w:tab w:leader="none" w:pos="1143" w:val="left"/>
        </w:tabs>
        <w:numPr>
          <w:ilvl w:val="1"/>
          <w:numId w:val="132"/>
        </w:numPr>
        <w:rPr>
          <w:rFonts w:ascii="Arial" w:cs="Arial" w:eastAsia="Arial" w:hAnsi="Arial"/>
          <w:sz w:val="16"/>
          <w:szCs w:val="16"/>
          <w:color w:val="auto"/>
        </w:rPr>
      </w:pPr>
      <w:r>
        <w:rPr>
          <w:rFonts w:ascii="Arial" w:cs="Arial" w:eastAsia="Arial" w:hAnsi="Arial"/>
          <w:sz w:val="16"/>
          <w:szCs w:val="16"/>
          <w:i w:val="1"/>
          <w:iCs w:val="1"/>
          <w:color w:val="auto"/>
        </w:rPr>
        <w:t xml:space="preserve">Preliminary Prospectus. </w:t>
      </w:r>
      <w:r>
        <w:rPr>
          <w:rFonts w:ascii="Arial" w:cs="Arial" w:eastAsia="Arial" w:hAnsi="Arial"/>
          <w:sz w:val="16"/>
          <w:szCs w:val="16"/>
          <w:color w:val="auto"/>
        </w:rPr>
        <w:t>No order preventing or suspending the use of any Preliminary Prospectus has been issued by the Commission,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each Preliminary Prospectus included in the Pricing Disclosure Package, at the time of filing thereof, complied in all material respects with the applicable requirements of the Securities Act, and no Preliminary Prospectus included in the Pricing Disclosure Package,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58" w:lineRule="exact"/>
        <w:rPr>
          <w:rFonts w:ascii="Arial" w:cs="Arial" w:eastAsia="Arial" w:hAnsi="Arial"/>
          <w:sz w:val="16"/>
          <w:szCs w:val="16"/>
          <w:color w:val="auto"/>
        </w:rPr>
      </w:pPr>
    </w:p>
    <w:p>
      <w:pPr>
        <w:ind w:left="460" w:firstLine="443"/>
        <w:spacing w:after="0" w:line="290" w:lineRule="auto"/>
        <w:tabs>
          <w:tab w:leader="none" w:pos="1153" w:val="left"/>
        </w:tabs>
        <w:numPr>
          <w:ilvl w:val="1"/>
          <w:numId w:val="132"/>
        </w:numPr>
        <w:rPr>
          <w:rFonts w:ascii="Arial" w:cs="Arial" w:eastAsia="Arial" w:hAnsi="Arial"/>
          <w:sz w:val="16"/>
          <w:szCs w:val="16"/>
          <w:color w:val="auto"/>
        </w:rPr>
      </w:pPr>
      <w:r>
        <w:rPr>
          <w:rFonts w:ascii="Arial" w:cs="Arial" w:eastAsia="Arial" w:hAnsi="Arial"/>
          <w:sz w:val="16"/>
          <w:szCs w:val="16"/>
          <w:i w:val="1"/>
          <w:iCs w:val="1"/>
          <w:color w:val="auto"/>
        </w:rPr>
        <w:t>Pricing Disclosure Package</w:t>
      </w:r>
      <w:r>
        <w:rPr>
          <w:rFonts w:ascii="Arial" w:cs="Arial" w:eastAsia="Arial" w:hAnsi="Arial"/>
          <w:sz w:val="16"/>
          <w:szCs w:val="16"/>
          <w:color w:val="auto"/>
        </w:rPr>
        <w:t>. The Pricing Disclosure Package as of the Applicable Time did not, and as of the Closing Date and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58" w:lineRule="exact"/>
        <w:rPr>
          <w:rFonts w:ascii="Arial" w:cs="Arial" w:eastAsia="Arial" w:hAnsi="Arial"/>
          <w:sz w:val="16"/>
          <w:szCs w:val="16"/>
          <w:color w:val="auto"/>
        </w:rPr>
      </w:pPr>
    </w:p>
    <w:p>
      <w:pPr>
        <w:ind w:left="460" w:right="200" w:firstLine="443"/>
        <w:spacing w:after="0" w:line="255" w:lineRule="auto"/>
        <w:tabs>
          <w:tab w:leader="none" w:pos="1143" w:val="left"/>
        </w:tabs>
        <w:numPr>
          <w:ilvl w:val="1"/>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Issuer Free Writing Prospectus. </w:t>
      </w:r>
      <w:r>
        <w:rPr>
          <w:rFonts w:ascii="Arial" w:cs="Arial" w:eastAsia="Arial" w:hAnsi="Arial"/>
          <w:sz w:val="18"/>
          <w:szCs w:val="18"/>
          <w:color w:val="auto"/>
        </w:rPr>
        <w:t>Other than the Registration Statement, the Preliminary Prospectus and the Prospectus,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17" w:name="page218"/>
    <w:bookmarkEnd w:id="21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65" w:lineRule="exact"/>
        <w:rPr>
          <w:sz w:val="20"/>
          <w:szCs w:val="20"/>
          <w:color w:val="auto"/>
        </w:rPr>
      </w:pPr>
    </w:p>
    <w:p>
      <w:pPr>
        <w:ind w:right="60" w:firstLine="443"/>
        <w:spacing w:after="0" w:line="257" w:lineRule="auto"/>
        <w:tabs>
          <w:tab w:leader="none" w:pos="693"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initial confidential submission of the Registration Statement to the Commission (or, if earlier,</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date on which the Company engaged directly or through any person authorized to act on its behalf in any Testing-the-Waters Communication) through the date hereof, the Company has been and is an “emerging growth company,” as defined in Section 2(a) of the Securities Act (an “Emerging Growth Company”). “Testing-the-Waters Communication” means any oral or written communication with potential investors undertaken in reliance on Section 5(d) of the Securities Act.</w:t>
      </w:r>
    </w:p>
    <w:p>
      <w:pPr>
        <w:spacing w:after="0" w:line="80" w:lineRule="exact"/>
        <w:rPr>
          <w:rFonts w:ascii="Arial" w:cs="Arial" w:eastAsia="Arial" w:hAnsi="Arial"/>
          <w:sz w:val="18"/>
          <w:szCs w:val="18"/>
          <w:color w:val="auto"/>
        </w:rPr>
      </w:pPr>
    </w:p>
    <w:p>
      <w:pPr>
        <w:ind w:left="680" w:hanging="237"/>
        <w:spacing w:after="0"/>
        <w:tabs>
          <w:tab w:leader="none" w:pos="68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 xml:space="preserve">Testing-the-Waters Materials. </w:t>
      </w:r>
      <w:r>
        <w:rPr>
          <w:rFonts w:ascii="Arial" w:cs="Arial" w:eastAsia="Arial" w:hAnsi="Arial"/>
          <w:sz w:val="18"/>
          <w:szCs w:val="18"/>
          <w:color w:val="auto"/>
        </w:rPr>
        <w:t>The Company (i) has not alone engaged in any Testing-the-Waters Communications other than</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by virtue of a writing substantially in the form of Exhibit A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218" w:name="page219"/>
    <w:bookmarkEnd w:id="218"/>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will not, contain any untrue statement of a material fact or omit to state a material fact necessary in order to make the statements therein, in the light of the circumstances under which they were made, not misleading.</w:t>
      </w:r>
    </w:p>
    <w:p>
      <w:pPr>
        <w:spacing w:after="0" w:line="62" w:lineRule="exact"/>
        <w:rPr>
          <w:sz w:val="20"/>
          <w:szCs w:val="20"/>
          <w:color w:val="auto"/>
        </w:rPr>
      </w:pPr>
    </w:p>
    <w:p>
      <w:pPr>
        <w:ind w:right="20" w:firstLine="443"/>
        <w:spacing w:after="0" w:line="286" w:lineRule="auto"/>
        <w:tabs>
          <w:tab w:leader="none" w:pos="663"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Registration Statement has been declared effective by the Commission. No order suspending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66" w:lineRule="exact"/>
        <w:rPr>
          <w:rFonts w:ascii="Arial" w:cs="Arial" w:eastAsia="Arial" w:hAnsi="Arial"/>
          <w:sz w:val="16"/>
          <w:szCs w:val="16"/>
          <w:color w:val="auto"/>
        </w:rPr>
      </w:pPr>
    </w:p>
    <w:p>
      <w:pPr>
        <w:ind w:firstLine="443"/>
        <w:spacing w:after="0" w:line="270" w:lineRule="auto"/>
        <w:tabs>
          <w:tab w:leader="none" w:pos="693"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 subsidiaries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except unaudited financial statements, which are subject to normal year-end adjustments and do not contain certain footnotes as permitted by the applicable rules of the Commission,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of the Company and its consolidated subsidiaries and presents fairly the information shown thereby.</w:t>
      </w:r>
    </w:p>
    <w:p>
      <w:pPr>
        <w:spacing w:after="0" w:line="69" w:lineRule="exact"/>
        <w:rPr>
          <w:rFonts w:ascii="Arial" w:cs="Arial" w:eastAsia="Arial" w:hAnsi="Arial"/>
          <w:sz w:val="17"/>
          <w:szCs w:val="17"/>
          <w:color w:val="auto"/>
        </w:rPr>
      </w:pPr>
    </w:p>
    <w:p>
      <w:pPr>
        <w:ind w:right="180" w:firstLine="443"/>
        <w:spacing w:after="0" w:line="277" w:lineRule="auto"/>
        <w:tabs>
          <w:tab w:leader="none" w:pos="693"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Since the date of the most recent financial statements of the Company included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Pricing Disclosure</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219" w:name="page220"/>
    <w:bookmarkEnd w:id="21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Package and the Prospectus, (i) there has not been any material change in the capital stock (other than the issuance of shares of Common Stock upon exercise of stock options and warrants described as outstanding in, and the grant of options and awards under existing equity incentive plans described in ,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80" w:lineRule="exact"/>
        <w:rPr>
          <w:sz w:val="20"/>
          <w:szCs w:val="20"/>
          <w:color w:val="auto"/>
        </w:rPr>
      </w:pPr>
    </w:p>
    <w:p>
      <w:pPr>
        <w:ind w:right="60" w:firstLine="443"/>
        <w:spacing w:after="0" w:line="290" w:lineRule="auto"/>
        <w:tabs>
          <w:tab w:leader="none" w:pos="653"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w:t>
      </w:r>
      <w:r>
        <w:rPr>
          <w:rFonts w:ascii="Arial" w:cs="Arial" w:eastAsia="Arial" w:hAnsi="Arial"/>
          <w:sz w:val="16"/>
          <w:szCs w:val="16"/>
          <w:color w:val="auto"/>
        </w:rPr>
        <w:t>The Company and each of its subsidiaries have been duly organized and are validly existing and in good</w:t>
      </w:r>
      <w:r>
        <w:rPr>
          <w:rFonts w:ascii="Arial" w:cs="Arial" w:eastAsia="Arial" w:hAnsi="Arial"/>
          <w:sz w:val="16"/>
          <w:szCs w:val="16"/>
          <w:i w:val="1"/>
          <w:iCs w:val="1"/>
          <w:color w:val="auto"/>
        </w:rPr>
        <w:t xml:space="preserve"> </w:t>
      </w:r>
      <w:r>
        <w:rPr>
          <w:rFonts w:ascii="Arial" w:cs="Arial" w:eastAsia="Arial" w:hAnsi="Arial"/>
          <w:sz w:val="16"/>
          <w:szCs w:val="16"/>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reasonably be expected to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subsidiaries listed in Schedule 2 to this Agreement are the only subsidiaries of the Company.</w:t>
      </w:r>
    </w:p>
    <w:p>
      <w:pPr>
        <w:spacing w:after="0" w:line="58" w:lineRule="exact"/>
        <w:rPr>
          <w:rFonts w:ascii="Arial" w:cs="Arial" w:eastAsia="Arial" w:hAnsi="Arial"/>
          <w:sz w:val="16"/>
          <w:szCs w:val="16"/>
          <w:color w:val="auto"/>
        </w:rPr>
      </w:pPr>
    </w:p>
    <w:p>
      <w:pPr>
        <w:ind w:right="40" w:firstLine="443"/>
        <w:spacing w:after="0" w:line="255" w:lineRule="auto"/>
        <w:tabs>
          <w:tab w:leader="none" w:pos="653"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Capitalization. </w:t>
      </w:r>
      <w:r>
        <w:rPr>
          <w:rFonts w:ascii="Arial" w:cs="Arial" w:eastAsia="Arial" w:hAnsi="Arial"/>
          <w:sz w:val="18"/>
          <w:szCs w:val="18"/>
          <w:color w:val="auto"/>
        </w:rPr>
        <w:t>The Company has an authorized capitalization as set forth in the Registration Statement, the Pricing Disclosure Package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Prospectus under the heading “Capitalization”; all the outstanding shares of capital stock of the Company have been duly and validly authorized and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w:t>
      </w:r>
    </w:p>
    <w:p>
      <w:pPr>
        <w:spacing w:after="0" w:line="12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74" w:right="299" w:bottom="1440" w:gutter="0" w:footer="0" w:header="0"/>
        </w:sectPr>
      </w:pPr>
    </w:p>
    <w:bookmarkStart w:id="220" w:name="page221"/>
    <w:bookmarkEnd w:id="22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w:t>
      </w:r>
    </w:p>
    <w:p>
      <w:pPr>
        <w:spacing w:after="0" w:line="81" w:lineRule="exact"/>
        <w:rPr>
          <w:sz w:val="20"/>
          <w:szCs w:val="20"/>
          <w:color w:val="auto"/>
        </w:rPr>
      </w:pPr>
    </w:p>
    <w:p>
      <w:pPr>
        <w:ind w:right="20" w:firstLine="443"/>
        <w:spacing w:after="0" w:line="287" w:lineRule="auto"/>
        <w:tabs>
          <w:tab w:leader="none" w:pos="693"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With respect to the stock options (the “Stock Options”) granted pursuant to the stock-based compensation plans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subsidiaries (the “Company Stock Plans”), (i) each Stock Option intended to qualify as an “incentive stock option” under Section 422 of the Code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and all other applicable laws and regulatory rules or requirements, including the rules of the Nasdaq Global Market and any other exchange on which Company securities are traded, and (iv) each such grant was properly accounted for in accordance with GAAP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64" w:lineRule="exact"/>
        <w:rPr>
          <w:rFonts w:ascii="Arial" w:cs="Arial" w:eastAsia="Arial" w:hAnsi="Arial"/>
          <w:sz w:val="16"/>
          <w:szCs w:val="16"/>
          <w:color w:val="auto"/>
        </w:rPr>
      </w:pPr>
    </w:p>
    <w:p>
      <w:pPr>
        <w:ind w:right="140" w:firstLine="443"/>
        <w:spacing w:after="0" w:line="259" w:lineRule="auto"/>
        <w:tabs>
          <w:tab w:leader="none" w:pos="653"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the requisite, power and authority to execute and deliver this Agreement and to perform its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and all action required to be taken for the due and proper authorization, execution and delivery by it of this Agreement and the consummation by it of the transactions contemplated hereby has been duly and validly taken, and this Agreement has been duly authorized, executed and delivered by the Company.</w:t>
      </w:r>
    </w:p>
    <w:p>
      <w:pPr>
        <w:spacing w:after="0" w:line="78" w:lineRule="exact"/>
        <w:rPr>
          <w:rFonts w:ascii="Arial" w:cs="Arial" w:eastAsia="Arial" w:hAnsi="Arial"/>
          <w:sz w:val="18"/>
          <w:szCs w:val="18"/>
          <w:color w:val="auto"/>
        </w:rPr>
      </w:pPr>
    </w:p>
    <w:p>
      <w:pPr>
        <w:ind w:left="740" w:hanging="297"/>
        <w:spacing w:after="0"/>
        <w:tabs>
          <w:tab w:leader="none" w:pos="74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117" w:lineRule="exact"/>
        <w:rPr>
          <w:rFonts w:ascii="Arial" w:cs="Arial" w:eastAsia="Arial" w:hAnsi="Arial"/>
          <w:sz w:val="18"/>
          <w:szCs w:val="18"/>
          <w:color w:val="auto"/>
        </w:rPr>
      </w:pPr>
    </w:p>
    <w:p>
      <w:pPr>
        <w:ind w:right="60" w:firstLine="443"/>
        <w:spacing w:after="0" w:line="259" w:lineRule="auto"/>
        <w:tabs>
          <w:tab w:leader="none" w:pos="693"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The Shares. </w:t>
      </w:r>
      <w:r>
        <w:rPr>
          <w:rFonts w:ascii="Arial" w:cs="Arial" w:eastAsia="Arial" w:hAnsi="Arial"/>
          <w:sz w:val="18"/>
          <w:szCs w:val="18"/>
          <w:color w:val="auto"/>
        </w:rPr>
        <w:t>The Shares to be issued and sold by the Company hereunder have been duly authorized by the Company and, when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 that have not been duly waived or satisfied.</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221" w:name="page222"/>
    <w:bookmarkEnd w:id="221"/>
    <w:p>
      <w:pPr>
        <w:ind w:right="400" w:firstLine="443"/>
        <w:spacing w:after="0" w:line="277" w:lineRule="auto"/>
        <w:tabs>
          <w:tab w:leader="none" w:pos="693"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the Underwriting Agreement</w:t>
      </w:r>
      <w:r>
        <w:rPr>
          <w:rFonts w:ascii="Arial" w:cs="Arial" w:eastAsia="Arial" w:hAnsi="Arial"/>
          <w:sz w:val="18"/>
          <w:szCs w:val="18"/>
          <w:color w:val="auto"/>
        </w:rPr>
        <w:t>. This Agreement conforms in all material respects to the description thereof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Pricing Disclosure Package and the Prospectus.</w:t>
      </w:r>
    </w:p>
    <w:p>
      <w:pPr>
        <w:spacing w:after="0" w:line="62" w:lineRule="exact"/>
        <w:rPr>
          <w:rFonts w:ascii="Arial" w:cs="Arial" w:eastAsia="Arial" w:hAnsi="Arial"/>
          <w:sz w:val="18"/>
          <w:szCs w:val="18"/>
          <w:color w:val="auto"/>
        </w:rPr>
      </w:pPr>
    </w:p>
    <w:p>
      <w:pPr>
        <w:ind w:firstLine="443"/>
        <w:spacing w:after="0" w:line="272" w:lineRule="auto"/>
        <w:tabs>
          <w:tab w:leader="none" w:pos="693"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Company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reasonably be expected to have a Material Adverse Effect.</w:t>
      </w:r>
    </w:p>
    <w:p>
      <w:pPr>
        <w:spacing w:after="0" w:line="69" w:lineRule="exact"/>
        <w:rPr>
          <w:rFonts w:ascii="Arial" w:cs="Arial" w:eastAsia="Arial" w:hAnsi="Arial"/>
          <w:sz w:val="17"/>
          <w:szCs w:val="17"/>
          <w:color w:val="auto"/>
        </w:rPr>
      </w:pPr>
    </w:p>
    <w:p>
      <w:pPr>
        <w:ind w:right="40" w:firstLine="443"/>
        <w:spacing w:after="0" w:line="288" w:lineRule="auto"/>
        <w:tabs>
          <w:tab w:leader="none" w:pos="693"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this Agreement, the issuance and sale of the Shares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reasonably be expected to have a Material Adverse Effect.</w:t>
      </w:r>
    </w:p>
    <w:p>
      <w:pPr>
        <w:spacing w:after="0" w:line="61" w:lineRule="exact"/>
        <w:rPr>
          <w:rFonts w:ascii="Arial" w:cs="Arial" w:eastAsia="Arial" w:hAnsi="Arial"/>
          <w:sz w:val="16"/>
          <w:szCs w:val="16"/>
          <w:color w:val="auto"/>
        </w:rPr>
      </w:pPr>
    </w:p>
    <w:p>
      <w:pPr>
        <w:ind w:right="80" w:firstLine="443"/>
        <w:spacing w:after="0" w:line="276" w:lineRule="auto"/>
        <w:tabs>
          <w:tab w:leader="none" w:pos="663"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 xml:space="preserve">No Consents Required. </w:t>
      </w:r>
      <w:r>
        <w:rPr>
          <w:rFonts w:ascii="Arial" w:cs="Arial" w:eastAsia="Arial" w:hAnsi="Arial"/>
          <w:sz w:val="17"/>
          <w:szCs w:val="17"/>
          <w:color w:val="auto"/>
        </w:rPr>
        <w:t>No consent, approval, authorization, order,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is required for the execution, delivery and performance by the Company of this Agreement, the issuance and sale of the Shares and the consummation of the transactions contemplated by this Agreement, except for the registration of the Shares under the Securities Act and such consents, approvals, authorizations, orders and registrations or qualifications as may be required by FINRA and under applicable state securities laws in connection with the purchase and distribution of the Shares by the Underwriters.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222" w:name="page223"/>
    <w:bookmarkEnd w:id="222"/>
    <w:p>
      <w:pPr>
        <w:ind w:right="40" w:firstLine="443"/>
        <w:spacing w:after="0" w:line="288" w:lineRule="auto"/>
        <w:tabs>
          <w:tab w:leader="none" w:pos="673"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demands, claims, suits, arbitrations, inquiries or proceedings (“Actions”) pending to which the Company or any of its subsidiaries is or may be a party or to which any property of the Company or any of its subsidiaries is or may be the subject that, individually or in the aggregate, if determined adversely to the Company or any of its subsidiaries, would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61" w:lineRule="exact"/>
        <w:rPr>
          <w:rFonts w:ascii="Arial" w:cs="Arial" w:eastAsia="Arial" w:hAnsi="Arial"/>
          <w:sz w:val="16"/>
          <w:szCs w:val="16"/>
          <w:color w:val="auto"/>
        </w:rPr>
      </w:pPr>
    </w:p>
    <w:p>
      <w:pPr>
        <w:ind w:right="20" w:firstLine="443"/>
        <w:spacing w:after="0" w:line="312" w:lineRule="auto"/>
        <w:tabs>
          <w:tab w:leader="none" w:pos="653"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Independent Accountants</w:t>
      </w:r>
      <w:r>
        <w:rPr>
          <w:rFonts w:ascii="Arial" w:cs="Arial" w:eastAsia="Arial" w:hAnsi="Arial"/>
          <w:sz w:val="16"/>
          <w:szCs w:val="16"/>
          <w:color w:val="auto"/>
        </w:rPr>
        <w:t>. PricewaterhouseCoopers LLP, who have certified certain financial statements of the Company and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38" w:lineRule="exact"/>
        <w:rPr>
          <w:rFonts w:ascii="Arial" w:cs="Arial" w:eastAsia="Arial" w:hAnsi="Arial"/>
          <w:sz w:val="16"/>
          <w:szCs w:val="16"/>
          <w:color w:val="auto"/>
        </w:rPr>
      </w:pPr>
    </w:p>
    <w:p>
      <w:pPr>
        <w:ind w:right="80" w:firstLine="443"/>
        <w:spacing w:after="0" w:line="257" w:lineRule="auto"/>
        <w:tabs>
          <w:tab w:leader="none" w:pos="693"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 xml:space="preserve">Title to Real and Personal Property. </w:t>
      </w:r>
      <w:r>
        <w:rPr>
          <w:rFonts w:ascii="Arial" w:cs="Arial" w:eastAsia="Arial" w:hAnsi="Arial"/>
          <w:sz w:val="18"/>
          <w:szCs w:val="18"/>
          <w:color w:val="auto"/>
        </w:rPr>
        <w:t>The Company and its subsidiaries have good and marketable title in fee simple to, or have valid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w:t>
      </w:r>
    </w:p>
    <w:p>
      <w:pPr>
        <w:spacing w:after="0" w:line="80" w:lineRule="exact"/>
        <w:rPr>
          <w:rFonts w:ascii="Arial" w:cs="Arial" w:eastAsia="Arial" w:hAnsi="Arial"/>
          <w:sz w:val="18"/>
          <w:szCs w:val="18"/>
          <w:color w:val="auto"/>
        </w:rPr>
      </w:pPr>
    </w:p>
    <w:p>
      <w:pPr>
        <w:ind w:firstLine="443"/>
        <w:spacing w:after="0" w:line="290" w:lineRule="auto"/>
        <w:tabs>
          <w:tab w:leader="none" w:pos="693"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Title to Intellectual Property</w:t>
      </w:r>
      <w:r>
        <w:rPr>
          <w:rFonts w:ascii="Arial" w:cs="Arial" w:eastAsia="Arial" w:hAnsi="Arial"/>
          <w:sz w:val="16"/>
          <w:szCs w:val="16"/>
          <w:color w:val="auto"/>
        </w:rPr>
        <w:t>. The Company and its subsidiaries own or license valid and enforceable rights to use all inventions, patent rights,</w:t>
      </w:r>
      <w:r>
        <w:rPr>
          <w:rFonts w:ascii="Arial" w:cs="Arial" w:eastAsia="Arial" w:hAnsi="Arial"/>
          <w:sz w:val="16"/>
          <w:szCs w:val="16"/>
          <w:i w:val="1"/>
          <w:iCs w:val="1"/>
          <w:color w:val="auto"/>
        </w:rPr>
        <w:t xml:space="preserve"> </w:t>
      </w:r>
      <w:r>
        <w:rPr>
          <w:rFonts w:ascii="Arial" w:cs="Arial" w:eastAsia="Arial" w:hAnsi="Arial"/>
          <w:sz w:val="16"/>
          <w:szCs w:val="16"/>
          <w:color w:val="auto"/>
        </w:rPr>
        <w:t>trademarks, service marks, trade names, trade dress, domain names, copyrights, licenses, know-how, trade secrets and other unpatented and/or unpatentable proprietary or confidential information, systems or procedures and all similar intellectual property and proprietary rights (including all registrations and applications for registration of, and all goodwill associated with, any of the foregoing, as applicable) (collectively, “Intellectual Property”) described in the Registration Statement, the Pricing Disclosure Package and the Prospectus as being owned by or licensed to the Company and its subsidiaries, and all other Intellectual Property used in or reasonably necessary for the conduct of their business as currently conducted and as proposed to be conducted in the Registration Statement, Pricing Disclosure Package or the Prospectus. The conduct of the business of the Company and its subsidiaries does not, and the proposed conduct of such business as disclosed in the Registration</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223" w:name="page224"/>
    <w:bookmarkEnd w:id="22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Pricing Disclosure Package or the Prospectus will not, infringe, misappropriate or otherwise violate any Intellectual Property rights of any others, in each case. Except as described in the Registration Statement, Pricing Disclosure Package or the Prospectus, there is no pending or, to the Company’s knowledge, threatened action, suit, proceeding or claim by any others (i) that the Company or any of its subsidiaries infringes, misappropriates or otherwise violates the Intellectual Property of others, or (ii) challenging the validity, enforceability, scope or ownership of any Intellectual Property owned by or licensed to the Company or any of its subsidiaries or their rights therein. To the knowledge of the Company, no third party has infringed, misappropriated or otherwise violated any Intellectual Property owned by or exclusively licensed to the Company or any of its subsidiaries. To the Company’s knowledge, none of the Intellectual Property used by the Company or any of its subsidiaries in the conduct of its business has been obtained or is being used by the Company or any of its subsidiaries in material violation of any contractual obligation binding on the Company or any of its subsidiaries. Except as set forth in the Registration Statement, Pricing Disclosure Package or the Prospectus, the Intellectual Property owned by the Company and its subsidiaries is all solely owned by the Company or its subsidiaries free and clear of any liens or encumbrances. To the Company’s knowledge, no trademark, issued patent, pending patent application (if issued), copyright, or trade secret that is described in the Registration Statement, Pricing Disclosure Package or Prospectus as being owned by or licensed to the Company or any of its subsidiaries is invalid or unenforceable. Neither the Company nor any of its subsidiaries is subject to any judgment, order, writ, injunction or decree of any court or any federal, state, local, foreign or other governmental department, commission, board, bureau, agency or instrumentality, domestic or foreign, or any arbitrator, nor has it entered into or is a party to any agreement made in settlement of any pending or threatened litigation, which materially restricts or impairs its use of any Intellectual Property. The Company and its subsidiaries have taken all commercially reasonable steps, in accordance with normal industry practice, necessary to maintain the confidentiality of all Intellectual Property the value of which to the Company or any of its subsidiaries is contingent upon maintaining the confidentiality thereof, except as would not reasonably be expected to have a Material Adverse Effect, and neither the Company nor any of its subsidiaries is aware of any material disclosure of such Intellectual Property other than to employees, representatives, independent contractors, collaborators, licensors, licensees, agents and advisors of the Company and its subsidiaries, all of whom are bound by written obligations to maintain the confidentiality thereof. All founders, key employees and any other employees involved in the development of Intellectual Property for the Company and its subsidiaries have signed confidentiality and invention assignment agreements or similar agreements for the transfer, assignment, and/or licensing of Intellectual Property with the Company and its subsidiaries pursuant to which the Company and its subsidiaries either (i) have obtained ownership of and are the exclusive owners of, or (ii) have obtained a valid and unrestricted right to exploit, sufficient for the conduct of their business, such Intellectual Property.</w:t>
      </w:r>
    </w:p>
    <w:p>
      <w:pPr>
        <w:spacing w:after="0" w:line="285" w:lineRule="exact"/>
        <w:rPr>
          <w:sz w:val="20"/>
          <w:szCs w:val="20"/>
          <w:color w:val="auto"/>
        </w:rPr>
      </w:pPr>
    </w:p>
    <w:p>
      <w:pPr>
        <w:ind w:right="20" w:firstLine="443"/>
        <w:spacing w:after="0" w:line="277" w:lineRule="auto"/>
        <w:tabs>
          <w:tab w:leader="none" w:pos="733"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No Undisclosed Relationships. </w:t>
      </w:r>
      <w:r>
        <w:rPr>
          <w:rFonts w:ascii="Arial" w:cs="Arial" w:eastAsia="Arial" w:hAnsi="Arial"/>
          <w:sz w:val="18"/>
          <w:szCs w:val="18"/>
          <w:color w:val="auto"/>
        </w:rPr>
        <w:t>No relationship, direct or indirect, exists between or among the Company or any of its subsidiaries, on the one</w:t>
      </w:r>
      <w:r>
        <w:rPr>
          <w:rFonts w:ascii="Arial" w:cs="Arial" w:eastAsia="Arial" w:hAnsi="Arial"/>
          <w:sz w:val="18"/>
          <w:szCs w:val="18"/>
          <w:i w:val="1"/>
          <w:iCs w:val="1"/>
          <w:color w:val="auto"/>
        </w:rPr>
        <w:t xml:space="preserve"> </w:t>
      </w:r>
      <w:r>
        <w:rPr>
          <w:rFonts w:ascii="Arial" w:cs="Arial" w:eastAsia="Arial" w:hAnsi="Arial"/>
          <w:sz w:val="18"/>
          <w:szCs w:val="18"/>
          <w:color w:val="auto"/>
        </w:rPr>
        <w:t>hand, and the directors, officers, stockholders, customers, suppliers or other affiliates of the Company or any</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74" w:right="239" w:bottom="1440" w:gutter="0" w:footer="0" w:header="0"/>
        </w:sectPr>
      </w:pPr>
    </w:p>
    <w:bookmarkStart w:id="224" w:name="page225"/>
    <w:bookmarkEnd w:id="22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its subsidiaries, on the other, that is required by the Securities Act to be described in each of the Registration Statement and the Prospectus and that is not so described in such documents and in the Pricing Disclosure Package.</w:t>
      </w:r>
    </w:p>
    <w:p>
      <w:pPr>
        <w:spacing w:after="0" w:line="62" w:lineRule="exact"/>
        <w:rPr>
          <w:sz w:val="20"/>
          <w:szCs w:val="20"/>
          <w:color w:val="auto"/>
        </w:rPr>
      </w:pPr>
    </w:p>
    <w:p>
      <w:pPr>
        <w:ind w:right="160" w:firstLine="443"/>
        <w:spacing w:after="0" w:line="259" w:lineRule="auto"/>
        <w:tabs>
          <w:tab w:leader="none" w:pos="693"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and, after giving effect to the offering and sale of the Shares and the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thereof as described in the Registration Statement, the Pricing Disclosure Package and the Prospectus, will not be an “investment company” or an entity “controlled” by an “investment company” within the meaning of the Investment Company Act of 1940, as amended, and the rules and regulations of the Commission thereunder (collectively, the “Investment Company Act”).</w:t>
      </w:r>
    </w:p>
    <w:p>
      <w:pPr>
        <w:spacing w:after="0" w:line="78" w:lineRule="exact"/>
        <w:rPr>
          <w:rFonts w:ascii="Arial" w:cs="Arial" w:eastAsia="Arial" w:hAnsi="Arial"/>
          <w:sz w:val="18"/>
          <w:szCs w:val="18"/>
          <w:color w:val="auto"/>
        </w:rPr>
      </w:pPr>
    </w:p>
    <w:p>
      <w:pPr>
        <w:ind w:right="220" w:firstLine="443"/>
        <w:spacing w:after="0" w:line="279" w:lineRule="auto"/>
        <w:tabs>
          <w:tab w:leader="none" w:pos="693"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 xml:space="preserve">Taxes. </w:t>
      </w:r>
      <w:r>
        <w:rPr>
          <w:rFonts w:ascii="Arial" w:cs="Arial" w:eastAsia="Arial" w:hAnsi="Arial"/>
          <w:sz w:val="17"/>
          <w:szCs w:val="17"/>
          <w:color w:val="auto"/>
        </w:rPr>
        <w:t>The Company and its subsidiaries have paid all federal, state, local and foreign taxes and filed all tax returns required to be paid or</w:t>
      </w:r>
      <w:r>
        <w:rPr>
          <w:rFonts w:ascii="Arial" w:cs="Arial" w:eastAsia="Arial" w:hAnsi="Arial"/>
          <w:sz w:val="17"/>
          <w:szCs w:val="17"/>
          <w:i w:val="1"/>
          <w:iCs w:val="1"/>
          <w:color w:val="auto"/>
        </w:rPr>
        <w:t xml:space="preserve"> </w:t>
      </w:r>
      <w:r>
        <w:rPr>
          <w:rFonts w:ascii="Arial" w:cs="Arial" w:eastAsia="Arial" w:hAnsi="Arial"/>
          <w:sz w:val="17"/>
          <w:szCs w:val="17"/>
          <w:color w:val="auto"/>
        </w:rPr>
        <w:t>filed through the date hereof; and except as otherwise disclosed in each of the Registration Statement, the Pricing Disclosure Package and the Prospectus, there is no tax deficiency that has been, or could reasonably be expected to be, asserted against the Company or any of its subsidiaries or any of their respective properties or assets that would reasonably be expected to have a Material Adverse Effect.</w:t>
      </w:r>
    </w:p>
    <w:p>
      <w:pPr>
        <w:spacing w:after="0" w:line="63" w:lineRule="exact"/>
        <w:rPr>
          <w:rFonts w:ascii="Arial" w:cs="Arial" w:eastAsia="Arial" w:hAnsi="Arial"/>
          <w:sz w:val="17"/>
          <w:szCs w:val="17"/>
          <w:color w:val="auto"/>
        </w:rPr>
      </w:pPr>
    </w:p>
    <w:p>
      <w:pPr>
        <w:ind w:firstLine="443"/>
        <w:spacing w:after="0" w:line="271" w:lineRule="auto"/>
        <w:tabs>
          <w:tab w:leader="none" w:pos="683"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Company and its subsidiaries possess all licenses, sub-licenses, certificates, permits and other authorizations issued</w:t>
      </w:r>
      <w:r>
        <w:rPr>
          <w:rFonts w:ascii="Arial" w:cs="Arial" w:eastAsia="Arial" w:hAnsi="Arial"/>
          <w:sz w:val="17"/>
          <w:szCs w:val="17"/>
          <w:i w:val="1"/>
          <w:iCs w:val="1"/>
          <w:color w:val="auto"/>
        </w:rPr>
        <w:t xml:space="preserve"> </w:t>
      </w:r>
      <w:r>
        <w:rPr>
          <w:rFonts w:ascii="Arial" w:cs="Arial" w:eastAsia="Arial" w:hAnsi="Arial"/>
          <w:sz w:val="17"/>
          <w:szCs w:val="17"/>
          <w:color w:val="auto"/>
        </w:rPr>
        <w:t>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reasonably be expected to have a Material Adverse Effect; and except as described in each of the Registration Statement, the Pricing Disclosure Package and the Prospectus, neither the Company nor any of its subsidiaries has received notice of any revocation or material modification of any such license, sub-license, certificate, permit or authorization or has any reason to believe that any such license, sub-license, certificate, permit or authorization will not be renewed in the ordinary course.</w:t>
      </w:r>
    </w:p>
    <w:p>
      <w:pPr>
        <w:spacing w:after="0" w:line="71" w:lineRule="exact"/>
        <w:rPr>
          <w:sz w:val="20"/>
          <w:szCs w:val="20"/>
          <w:color w:val="auto"/>
        </w:rPr>
      </w:pPr>
    </w:p>
    <w:p>
      <w:pPr>
        <w:ind w:right="60" w:firstLine="443"/>
        <w:spacing w:after="0" w:line="276" w:lineRule="auto"/>
        <w:tabs>
          <w:tab w:leader="none" w:pos="763"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 xml:space="preserve">No Labor Disputes. </w:t>
      </w:r>
      <w:r>
        <w:rPr>
          <w:rFonts w:ascii="Arial" w:cs="Arial" w:eastAsia="Arial" w:hAnsi="Arial"/>
          <w:sz w:val="17"/>
          <w:szCs w:val="17"/>
          <w:color w:val="auto"/>
        </w:rPr>
        <w:t>No labor disturbance by or dispute with employees of the Company or any of its subsidiaries exists or, to the knowledge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is contemplated or threatened, and the Company is not aware of any existing or imminent labor disturbance by, or dispute with, the employees of any of its or its subsidiaries’ principal suppliers, contractors or customers, except as would not reasonably be expected to have a Material Adverse Effect. Neither the Company nor any of its subsidiaries has received any notice of cancellation or termination with respect to any collective bargaining agreement to which it is a party.</w:t>
      </w:r>
    </w:p>
    <w:p>
      <w:pPr>
        <w:spacing w:after="0" w:line="64" w:lineRule="exact"/>
        <w:rPr>
          <w:rFonts w:ascii="Arial" w:cs="Arial" w:eastAsia="Arial" w:hAnsi="Arial"/>
          <w:sz w:val="17"/>
          <w:szCs w:val="17"/>
          <w:color w:val="auto"/>
        </w:rPr>
      </w:pPr>
    </w:p>
    <w:p>
      <w:pPr>
        <w:ind w:right="220" w:firstLine="443"/>
        <w:spacing w:after="0" w:line="277" w:lineRule="auto"/>
        <w:tabs>
          <w:tab w:leader="none" w:pos="783"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Certain Environmental Matters</w:t>
      </w:r>
      <w:r>
        <w:rPr>
          <w:rFonts w:ascii="Arial" w:cs="Arial" w:eastAsia="Arial" w:hAnsi="Arial"/>
          <w:sz w:val="18"/>
          <w:szCs w:val="18"/>
          <w:color w:val="auto"/>
        </w:rPr>
        <w:t>. (i) The Company and its subsidiaries (x) are in compliance with all, and have not violated any,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local and foreign laws (including common law), rules, regulations, requirements, decisions, judgments,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225" w:name="page226"/>
    <w:bookmarkEnd w:id="225"/>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w:t>
      </w:r>
    </w:p>
    <w:p>
      <w:pPr>
        <w:spacing w:after="0" w:line="2" w:lineRule="exact"/>
        <w:rPr>
          <w:sz w:val="20"/>
          <w:szCs w:val="20"/>
          <w:color w:val="auto"/>
        </w:rPr>
      </w:pPr>
    </w:p>
    <w:p>
      <w:pPr>
        <w:ind w:left="240" w:hanging="236"/>
        <w:spacing w:after="0"/>
        <w:tabs>
          <w:tab w:leader="none" w:pos="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none of the Company or its subsidiaries anticipates material increase in capital expenditures relating to any Environmental Laws.</w:t>
      </w:r>
    </w:p>
    <w:p>
      <w:pPr>
        <w:spacing w:after="0" w:line="102" w:lineRule="exact"/>
        <w:rPr>
          <w:rFonts w:ascii="Arial" w:cs="Arial" w:eastAsia="Arial" w:hAnsi="Arial"/>
          <w:sz w:val="18"/>
          <w:szCs w:val="18"/>
          <w:color w:val="auto"/>
        </w:rPr>
      </w:pPr>
    </w:p>
    <w:p>
      <w:pPr>
        <w:ind w:firstLine="443"/>
        <w:spacing w:after="0" w:line="269" w:lineRule="auto"/>
        <w:tabs>
          <w:tab w:leader="none" w:pos="763" w:val="left"/>
        </w:tabs>
        <w:numPr>
          <w:ilvl w:val="1"/>
          <w:numId w:val="142"/>
        </w:numPr>
        <w:rPr>
          <w:rFonts w:ascii="Arial" w:cs="Arial" w:eastAsia="Arial" w:hAnsi="Arial"/>
          <w:sz w:val="17"/>
          <w:szCs w:val="17"/>
          <w:color w:val="auto"/>
        </w:rPr>
      </w:pPr>
      <w:r>
        <w:rPr>
          <w:rFonts w:ascii="Arial" w:cs="Arial" w:eastAsia="Arial" w:hAnsi="Arial"/>
          <w:sz w:val="17"/>
          <w:szCs w:val="17"/>
          <w:i w:val="1"/>
          <w:iCs w:val="1"/>
          <w:color w:val="auto"/>
        </w:rPr>
        <w:t>Compliance with ERISA</w:t>
      </w:r>
      <w:r>
        <w:rPr>
          <w:rFonts w:ascii="Arial" w:cs="Arial" w:eastAsia="Arial" w:hAnsi="Arial"/>
          <w:sz w:val="17"/>
          <w:szCs w:val="17"/>
          <w:color w:val="auto"/>
        </w:rPr>
        <w:t>. (i) Each employee benefit plan, within the meaning of Section 3(3) of the Employee Retirement Income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with its terms and the requirements of any applicable statutes, orders, rules and regulations, including but not limited to ERISA and the Code, except for noncompliance that would not reasonably be expected to result in material liability to the Company; (ii) no prohibited transaction, within the meaning of Section 406 of ERISA or Section 4975 of the Code, has occurred with respect to any Plan, excluding transactions effected pursuant to a statutory or administrative exemption that would not reasonably be expected to result in material liability to the Company;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to the knowledge of the Company, no Plan is, or is reasonably expected to be, in “at risk status” (within the meaning</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226" w:name="page227"/>
    <w:bookmarkEnd w:id="22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to the knowledge of the Company, is reasonably expected to occur that either has resulted, or would reasonably be expected to result, in material liability to the Company;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73" w:lineRule="exact"/>
        <w:rPr>
          <w:sz w:val="20"/>
          <w:szCs w:val="20"/>
          <w:color w:val="auto"/>
        </w:rPr>
      </w:pPr>
    </w:p>
    <w:p>
      <w:pPr>
        <w:ind w:right="160" w:firstLine="443"/>
        <w:spacing w:after="0" w:line="297" w:lineRule="auto"/>
        <w:tabs>
          <w:tab w:leader="none" w:pos="783"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Company and its subsidiaries maintain an effective system of “disclosure controls and procedures”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50" w:lineRule="exact"/>
        <w:rPr>
          <w:rFonts w:ascii="Arial" w:cs="Arial" w:eastAsia="Arial" w:hAnsi="Arial"/>
          <w:sz w:val="16"/>
          <w:szCs w:val="16"/>
          <w:color w:val="auto"/>
        </w:rPr>
      </w:pPr>
    </w:p>
    <w:p>
      <w:pPr>
        <w:ind w:right="80" w:firstLine="443"/>
        <w:spacing w:after="0" w:line="273" w:lineRule="auto"/>
        <w:tabs>
          <w:tab w:leader="none" w:pos="763"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 xml:space="preserve">Accounting Controls. </w:t>
      </w:r>
      <w:r>
        <w:rPr>
          <w:rFonts w:ascii="Arial" w:cs="Arial" w:eastAsia="Arial" w:hAnsi="Arial"/>
          <w:sz w:val="17"/>
          <w:szCs w:val="17"/>
          <w:color w:val="auto"/>
        </w:rPr>
        <w:t>The Company and its subsidiaries maintain systems of “internal control over financial reporting” (as defined in Rule</w:t>
      </w:r>
      <w:r>
        <w:rPr>
          <w:rFonts w:ascii="Arial" w:cs="Arial" w:eastAsia="Arial" w:hAnsi="Arial"/>
          <w:sz w:val="17"/>
          <w:szCs w:val="17"/>
          <w:i w:val="1"/>
          <w:iCs w:val="1"/>
          <w:color w:val="auto"/>
        </w:rPr>
        <w:t xml:space="preserve"> </w:t>
      </w:r>
      <w:r>
        <w:rPr>
          <w:rFonts w:ascii="Arial" w:cs="Arial" w:eastAsia="Arial" w:hAnsi="Arial"/>
          <w:sz w:val="17"/>
          <w:szCs w:val="17"/>
          <w:color w:val="auto"/>
        </w:rPr>
        <w:t>13a-15(f) of the Exchange Act) that have been designed to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227" w:name="page228"/>
    <w:bookmarkEnd w:id="227"/>
    <w:p>
      <w:pPr>
        <w:ind w:right="1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w:t>
      </w:r>
    </w:p>
    <w:p>
      <w:pPr>
        <w:spacing w:after="0" w:line="2" w:lineRule="exact"/>
        <w:rPr>
          <w:sz w:val="20"/>
          <w:szCs w:val="20"/>
          <w:color w:val="auto"/>
        </w:rPr>
      </w:pPr>
    </w:p>
    <w:p>
      <w:pPr>
        <w:ind w:firstLine="4"/>
        <w:spacing w:after="0" w:line="254" w:lineRule="auto"/>
        <w:tabs>
          <w:tab w:leader="none" w:pos="21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if any, in the design or operation of internal controls over financial reporting which have adversely affected or are reasonably likely to adversely affect the Company’s ability to record, process, summarize and report financial information; and (ii) to the knowledge of the Company, any fraud, whether or not material, that involves management or other employees who have a significant role in the Company’s internal controls over financial reporting.</w:t>
      </w:r>
    </w:p>
    <w:p>
      <w:pPr>
        <w:spacing w:after="0" w:line="81" w:lineRule="exact"/>
        <w:rPr>
          <w:rFonts w:ascii="Arial" w:cs="Arial" w:eastAsia="Arial" w:hAnsi="Arial"/>
          <w:sz w:val="18"/>
          <w:szCs w:val="18"/>
          <w:color w:val="auto"/>
        </w:rPr>
      </w:pPr>
    </w:p>
    <w:p>
      <w:pPr>
        <w:ind w:right="20" w:firstLine="443"/>
        <w:spacing w:after="0" w:line="293" w:lineRule="auto"/>
        <w:tabs>
          <w:tab w:leader="none" w:pos="720" w:val="left"/>
        </w:tabs>
        <w:numPr>
          <w:ilvl w:val="1"/>
          <w:numId w:val="144"/>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amounts and insures against such losses and risks which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56" w:lineRule="exact"/>
        <w:rPr>
          <w:rFonts w:ascii="Arial" w:cs="Arial" w:eastAsia="Arial" w:hAnsi="Arial"/>
          <w:sz w:val="16"/>
          <w:szCs w:val="16"/>
          <w:color w:val="auto"/>
        </w:rPr>
      </w:pPr>
    </w:p>
    <w:p>
      <w:pPr>
        <w:jc w:val="both"/>
        <w:ind w:right="80" w:firstLine="443"/>
        <w:spacing w:after="0" w:line="288" w:lineRule="auto"/>
        <w:tabs>
          <w:tab w:leader="none" w:pos="783" w:val="left"/>
        </w:tabs>
        <w:numPr>
          <w:ilvl w:val="1"/>
          <w:numId w:val="144"/>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Company nor any of its subsidiaries, nor any director, officer or employee of the Company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w:t>
      </w:r>
    </w:p>
    <w:p>
      <w:pPr>
        <w:ind w:right="320" w:firstLine="4"/>
        <w:spacing w:after="0" w:line="281" w:lineRule="auto"/>
        <w:tabs>
          <w:tab w:leader="none" w:pos="26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2" w:lineRule="exact"/>
        <w:rPr>
          <w:rFonts w:ascii="Arial" w:cs="Arial" w:eastAsia="Arial" w:hAnsi="Arial"/>
          <w:sz w:val="16"/>
          <w:szCs w:val="16"/>
          <w:color w:val="auto"/>
        </w:rPr>
      </w:pPr>
    </w:p>
    <w:p>
      <w:pPr>
        <w:ind w:right="80" w:firstLine="4"/>
        <w:spacing w:after="0" w:line="252" w:lineRule="auto"/>
        <w:tabs>
          <w:tab w:leader="none" w:pos="31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74" w:right="239" w:bottom="1440" w:gutter="0" w:footer="0" w:header="0"/>
        </w:sectPr>
      </w:pPr>
    </w:p>
    <w:bookmarkStart w:id="228" w:name="page229"/>
    <w:bookmarkEnd w:id="228"/>
    <w:p>
      <w:pPr>
        <w:ind w:right="20" w:firstLine="443"/>
        <w:spacing w:after="0" w:line="255" w:lineRule="auto"/>
        <w:tabs>
          <w:tab w:leader="none" w:pos="783"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Anti-Money Laundering Laws</w:t>
      </w:r>
      <w:r>
        <w:rPr>
          <w:rFonts w:ascii="Arial" w:cs="Arial" w:eastAsia="Arial" w:hAnsi="Arial"/>
          <w:sz w:val="18"/>
          <w:szCs w:val="18"/>
          <w:color w:val="auto"/>
        </w:rPr>
        <w:t>. The operations of the Company and its subsidiaries are and have been conducted at all</w:t>
      </w:r>
      <w:r>
        <w:rPr>
          <w:rFonts w:ascii="Arial" w:cs="Arial" w:eastAsia="Arial" w:hAnsi="Arial"/>
          <w:sz w:val="18"/>
          <w:szCs w:val="18"/>
          <w:i w:val="1"/>
          <w:iCs w:val="1"/>
          <w:color w:val="auto"/>
        </w:rPr>
        <w:t xml:space="preserve"> </w:t>
      </w:r>
      <w:r>
        <w:rPr>
          <w:rFonts w:ascii="Arial" w:cs="Arial" w:eastAsia="Arial" w:hAnsi="Arial"/>
          <w:sz w:val="18"/>
          <w:szCs w:val="18"/>
          <w:color w:val="auto"/>
        </w:rPr>
        <w:t>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81" w:lineRule="exact"/>
        <w:rPr>
          <w:rFonts w:ascii="Arial" w:cs="Arial" w:eastAsia="Arial" w:hAnsi="Arial"/>
          <w:sz w:val="18"/>
          <w:szCs w:val="18"/>
          <w:color w:val="auto"/>
        </w:rPr>
      </w:pPr>
    </w:p>
    <w:p>
      <w:pPr>
        <w:ind w:firstLine="443"/>
        <w:spacing w:after="0" w:line="286" w:lineRule="auto"/>
        <w:tabs>
          <w:tab w:leader="none" w:pos="703"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with Sanctions Laws. </w:t>
      </w:r>
      <w:r>
        <w:rPr>
          <w:rFonts w:ascii="Arial" w:cs="Arial" w:eastAsia="Arial" w:hAnsi="Arial"/>
          <w:sz w:val="16"/>
          <w:szCs w:val="16"/>
          <w:color w:val="auto"/>
        </w:rPr>
        <w:t>Neither the Company nor any of its subsidiaries, directors, officers or employees, nor, to the knowledge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nor is the Company or any of its subsidiaries located, organized or resident in a country or territory that is the subject or target of Sanctions, including, without limitation, Cuba, Iran, North Korea, Sudan, Syria and Crimea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the Company’s inception,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63" w:lineRule="exact"/>
        <w:rPr>
          <w:rFonts w:ascii="Arial" w:cs="Arial" w:eastAsia="Arial" w:hAnsi="Arial"/>
          <w:sz w:val="16"/>
          <w:szCs w:val="16"/>
          <w:color w:val="auto"/>
        </w:rPr>
      </w:pPr>
    </w:p>
    <w:p>
      <w:pPr>
        <w:ind w:right="260" w:firstLine="443"/>
        <w:spacing w:after="0" w:line="279" w:lineRule="auto"/>
        <w:tabs>
          <w:tab w:leader="none" w:pos="703" w:val="left"/>
        </w:tabs>
        <w:numPr>
          <w:ilvl w:val="0"/>
          <w:numId w:val="147"/>
        </w:numPr>
        <w:rPr>
          <w:rFonts w:ascii="Arial" w:cs="Arial" w:eastAsia="Arial" w:hAnsi="Arial"/>
          <w:sz w:val="17"/>
          <w:szCs w:val="17"/>
          <w:color w:val="auto"/>
        </w:rPr>
      </w:pPr>
      <w:r>
        <w:rPr>
          <w:rFonts w:ascii="Arial" w:cs="Arial" w:eastAsia="Arial" w:hAnsi="Arial"/>
          <w:sz w:val="17"/>
          <w:szCs w:val="17"/>
          <w:i w:val="1"/>
          <w:iCs w:val="1"/>
          <w:color w:val="auto"/>
        </w:rPr>
        <w:t>No Restrictions on Subsidiaries</w:t>
      </w:r>
      <w:r>
        <w:rPr>
          <w:rFonts w:ascii="Arial" w:cs="Arial" w:eastAsia="Arial" w:hAnsi="Arial"/>
          <w:sz w:val="17"/>
          <w:szCs w:val="17"/>
          <w:color w:val="auto"/>
        </w:rPr>
        <w:t>. No subsidiary of the Company is currently prohibited, directly or indirectly, under any agreement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229" w:name="page230"/>
    <w:bookmarkEnd w:id="229"/>
    <w:p>
      <w:pPr>
        <w:jc w:val="both"/>
        <w:ind w:right="260" w:firstLine="443"/>
        <w:spacing w:after="0" w:line="264" w:lineRule="auto"/>
        <w:tabs>
          <w:tab w:leader="none" w:pos="783"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Broker’s Fees. </w:t>
      </w:r>
      <w:r>
        <w:rPr>
          <w:rFonts w:ascii="Arial" w:cs="Arial" w:eastAsia="Arial" w:hAnsi="Arial"/>
          <w:sz w:val="18"/>
          <w:szCs w:val="18"/>
          <w:color w:val="auto"/>
        </w:rPr>
        <w:t>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any of them or any Underwriter for a brokerage commission, finder’s fee or like payment in connection with the offering and sale of the Shares.</w:t>
      </w:r>
    </w:p>
    <w:p>
      <w:pPr>
        <w:spacing w:after="0" w:line="73" w:lineRule="exact"/>
        <w:rPr>
          <w:rFonts w:ascii="Arial" w:cs="Arial" w:eastAsia="Arial" w:hAnsi="Arial"/>
          <w:sz w:val="18"/>
          <w:szCs w:val="18"/>
          <w:color w:val="auto"/>
        </w:rPr>
      </w:pPr>
    </w:p>
    <w:p>
      <w:pPr>
        <w:ind w:firstLine="443"/>
        <w:spacing w:after="0" w:line="264" w:lineRule="auto"/>
        <w:tabs>
          <w:tab w:leader="none" w:pos="703"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No Registration Rights</w:t>
      </w:r>
      <w:r>
        <w:rPr>
          <w:rFonts w:ascii="Arial" w:cs="Arial" w:eastAsia="Arial" w:hAnsi="Arial"/>
          <w:sz w:val="18"/>
          <w:szCs w:val="18"/>
          <w:color w:val="auto"/>
        </w:rPr>
        <w:t>. No person has the right to require the Company or any of its subsidiaries to register any securities for sale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by reason of the filing of the Registration Statement with the Commission, the issuance and sale of the Shares, other than rights that have been validly waived.</w:t>
      </w:r>
    </w:p>
    <w:p>
      <w:pPr>
        <w:spacing w:after="0" w:line="73" w:lineRule="exact"/>
        <w:rPr>
          <w:rFonts w:ascii="Arial" w:cs="Arial" w:eastAsia="Arial" w:hAnsi="Arial"/>
          <w:sz w:val="18"/>
          <w:szCs w:val="18"/>
          <w:color w:val="auto"/>
        </w:rPr>
      </w:pPr>
    </w:p>
    <w:p>
      <w:pPr>
        <w:ind w:right="20" w:firstLine="443"/>
        <w:spacing w:after="0" w:line="277" w:lineRule="auto"/>
        <w:tabs>
          <w:tab w:leader="none" w:pos="883"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has not taken, directly or indirectly, any action designed to or that could reasonably be expected to cause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any stabilization or manipulation of the price of the Shares.</w:t>
      </w:r>
    </w:p>
    <w:p>
      <w:pPr>
        <w:spacing w:after="0" w:line="62" w:lineRule="exact"/>
        <w:rPr>
          <w:rFonts w:ascii="Arial" w:cs="Arial" w:eastAsia="Arial" w:hAnsi="Arial"/>
          <w:sz w:val="18"/>
          <w:szCs w:val="18"/>
          <w:color w:val="auto"/>
        </w:rPr>
      </w:pPr>
    </w:p>
    <w:p>
      <w:pPr>
        <w:ind w:right="80" w:firstLine="443"/>
        <w:spacing w:after="0" w:line="264" w:lineRule="auto"/>
        <w:tabs>
          <w:tab w:leader="none" w:pos="783"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Margin Rules</w:t>
      </w:r>
      <w:r>
        <w:rPr>
          <w:rFonts w:ascii="Arial" w:cs="Arial" w:eastAsia="Arial" w:hAnsi="Arial"/>
          <w:sz w:val="18"/>
          <w:szCs w:val="18"/>
          <w:color w:val="auto"/>
        </w:rPr>
        <w:t>. Neither the issuance, sale and delivery of the Shares nor the application of the proceeds thereof by the Company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each of the Registration Statement, the Pricing Disclosure Package and the Prospectus will not violate Regulation T, U or X of the Board of Governors of the Federal Reserve System or any other regulation of such Board of Governors.</w:t>
      </w:r>
    </w:p>
    <w:p>
      <w:pPr>
        <w:spacing w:after="0" w:line="73" w:lineRule="exact"/>
        <w:rPr>
          <w:rFonts w:ascii="Arial" w:cs="Arial" w:eastAsia="Arial" w:hAnsi="Arial"/>
          <w:sz w:val="18"/>
          <w:szCs w:val="18"/>
          <w:color w:val="auto"/>
        </w:rPr>
      </w:pPr>
    </w:p>
    <w:p>
      <w:pPr>
        <w:ind w:right="200" w:firstLine="443"/>
        <w:spacing w:after="0" w:line="264" w:lineRule="auto"/>
        <w:tabs>
          <w:tab w:leader="none" w:pos="783"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jc w:val="both"/>
        <w:ind w:right="220" w:firstLine="443"/>
        <w:spacing w:after="0" w:line="264" w:lineRule="auto"/>
        <w:tabs>
          <w:tab w:leader="none" w:pos="783"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 statistical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market-related data included in each of the Registration Statement, the Pricing Disclosure Package and the Prospectus is not based on or derived from sources that are reliable and accurate in all material respects.</w:t>
      </w:r>
    </w:p>
    <w:p>
      <w:pPr>
        <w:spacing w:after="0" w:line="73" w:lineRule="exact"/>
        <w:rPr>
          <w:rFonts w:ascii="Arial" w:cs="Arial" w:eastAsia="Arial" w:hAnsi="Arial"/>
          <w:sz w:val="18"/>
          <w:szCs w:val="18"/>
          <w:color w:val="auto"/>
        </w:rPr>
      </w:pPr>
    </w:p>
    <w:p>
      <w:pPr>
        <w:ind w:right="140" w:firstLine="443"/>
        <w:spacing w:after="0" w:line="259" w:lineRule="auto"/>
        <w:tabs>
          <w:tab w:leader="none" w:pos="783"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There is and has been no failure on the part of the Company or, to the Company’s knowledge, any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officers, in their capacities as such, to comply with any applicable provision of the Sarbanes-Oxley Act of 2002, as amended and the rules and regulations promulgated in connection therewith (the “Sarbanes-Oxley Act”), including Section 402 related to loans and Sections 302 and 906 related to certifications.</w:t>
      </w:r>
    </w:p>
    <w:p>
      <w:pPr>
        <w:spacing w:after="0" w:line="78" w:lineRule="exact"/>
        <w:rPr>
          <w:rFonts w:ascii="Arial" w:cs="Arial" w:eastAsia="Arial" w:hAnsi="Arial"/>
          <w:sz w:val="18"/>
          <w:szCs w:val="18"/>
          <w:color w:val="auto"/>
        </w:rPr>
      </w:pPr>
    </w:p>
    <w:p>
      <w:pPr>
        <w:ind w:right="20" w:firstLine="443"/>
        <w:spacing w:after="0" w:line="276" w:lineRule="auto"/>
        <w:tabs>
          <w:tab w:leader="none" w:pos="723" w:val="left"/>
        </w:tabs>
        <w:numPr>
          <w:ilvl w:val="0"/>
          <w:numId w:val="148"/>
        </w:numPr>
        <w:rPr>
          <w:rFonts w:ascii="Arial" w:cs="Arial" w:eastAsia="Arial" w:hAnsi="Arial"/>
          <w:sz w:val="17"/>
          <w:szCs w:val="17"/>
          <w:color w:val="auto"/>
        </w:rPr>
      </w:pPr>
      <w:r>
        <w:rPr>
          <w:rFonts w:ascii="Arial" w:cs="Arial" w:eastAsia="Arial" w:hAnsi="Arial"/>
          <w:sz w:val="17"/>
          <w:szCs w:val="17"/>
          <w:i w:val="1"/>
          <w:iCs w:val="1"/>
          <w:color w:val="auto"/>
        </w:rPr>
        <w:t>Status under the Securities Act</w:t>
      </w:r>
      <w:r>
        <w:rPr>
          <w:rFonts w:ascii="Arial" w:cs="Arial" w:eastAsia="Arial" w:hAnsi="Arial"/>
          <w:sz w:val="17"/>
          <w:szCs w:val="17"/>
          <w:color w:val="auto"/>
        </w:rPr>
        <w:t>. At the time of filing the Registration Statement and any post-effective amendment thereto, at the earliest time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thereafter that the Company or any offering participant made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under the Securities Act) of the Shares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74" w:right="259" w:bottom="1440" w:gutter="0" w:footer="0" w:header="0"/>
        </w:sectPr>
      </w:pPr>
    </w:p>
    <w:bookmarkStart w:id="230" w:name="page231"/>
    <w:bookmarkEnd w:id="230"/>
    <w:p>
      <w:pPr>
        <w:ind w:right="180" w:firstLine="443"/>
        <w:spacing w:after="0" w:line="264" w:lineRule="auto"/>
        <w:tabs>
          <w:tab w:leader="none" w:pos="743"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Ratings</w:t>
      </w:r>
      <w:r>
        <w:rPr>
          <w:rFonts w:ascii="Arial" w:cs="Arial" w:eastAsia="Arial" w:hAnsi="Arial"/>
          <w:sz w:val="18"/>
          <w:szCs w:val="18"/>
          <w:color w:val="auto"/>
        </w:rPr>
        <w:t>. There are (and prior to the Closing Date, will be) no debt securities or preferred stock issued or guaranteed by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of its subsidiaries that are rated by a “nationally recognized statistical rating organization”, as such term is defined in Section 3(a)(62) under the Exchange Act.</w:t>
      </w:r>
    </w:p>
    <w:p>
      <w:pPr>
        <w:spacing w:after="0" w:line="73" w:lineRule="exact"/>
        <w:rPr>
          <w:rFonts w:ascii="Arial" w:cs="Arial" w:eastAsia="Arial" w:hAnsi="Arial"/>
          <w:sz w:val="18"/>
          <w:szCs w:val="18"/>
          <w:color w:val="auto"/>
        </w:rPr>
      </w:pPr>
    </w:p>
    <w:p>
      <w:pPr>
        <w:ind w:firstLine="443"/>
        <w:spacing w:after="0" w:line="285" w:lineRule="auto"/>
        <w:tabs>
          <w:tab w:leader="none" w:pos="703" w:val="left"/>
        </w:tabs>
        <w:numPr>
          <w:ilvl w:val="0"/>
          <w:numId w:val="149"/>
        </w:numPr>
        <w:rPr>
          <w:rFonts w:ascii="Arial" w:cs="Arial" w:eastAsia="Arial" w:hAnsi="Arial"/>
          <w:sz w:val="16"/>
          <w:szCs w:val="16"/>
          <w:color w:val="auto"/>
        </w:rPr>
      </w:pPr>
      <w:r>
        <w:rPr>
          <w:rFonts w:ascii="Arial" w:cs="Arial" w:eastAsia="Arial" w:hAnsi="Arial"/>
          <w:sz w:val="16"/>
          <w:szCs w:val="16"/>
          <w:i w:val="1"/>
          <w:iCs w:val="1"/>
          <w:color w:val="auto"/>
        </w:rPr>
        <w:t>Preclinical Studies and Clinical Trials</w:t>
      </w:r>
      <w:r>
        <w:rPr>
          <w:rFonts w:ascii="Arial" w:cs="Arial" w:eastAsia="Arial" w:hAnsi="Arial"/>
          <w:sz w:val="16"/>
          <w:szCs w:val="16"/>
          <w:color w:val="auto"/>
        </w:rPr>
        <w:t>. (i) Except as described in the Registration Statement, the Pricing Disclosure Package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 preclinical studies and clinical trials conducted by or, to the knowledge of the Company, on behalf of or sponsored by the Company or its subsidiaries, or in which the Company or its subsidiaries have participated, that are described in the Registration Statement, the Pricing Disclosure Package and the Prospectus, or the results of which are referred to in the Registration Statement, the Pricing Disclosure Package and the Prospectus, as applicable, were, and if still pending are, being conducted in all material respects in accordance with standard medical and scientific research standards and procedures for products or product candidates comparable to those being developed by the Company and all applicable statutes and all applicable rules and regulations of the U.S. Food and Drug Administration and comparable regulatory agencies outside of the United States to which they are subject, including the European Medicines Agency (collectively, the “Regulatory Authorities”) and Good Clinical Practice and Good Laboratory Practice requirements; (ii) the descriptions in the Registration Statement, the Pricing Disclosure Package and the Prospectus of the results of such studies and trials are accurate and complete descriptions in all material respects and fairly present the data derived therefrom; (iii) the Company has no knowledge of any other studies or trials not described in the Registration Statement, the Pricing Disclosure Package and the Prospectus, the results of which are inconsistent with or call into question the results described or referred to in the Registration Statement, the Pricing Disclosure Package and the Prospectus; (iv) the Company and its subsidiaries have operated at all times and are currently in compliance with all applicable statutes, rules and regulations of the Regulatory Authorities, except that where such non-compliance would not, individually or in the aggregate, have a Material Adverse Effect; and (v) neither the Company nor any of its subsidiaries have received any written notices, correspondence or other communications from the Regulatory Authorities or any other governmental agency requiring or threatening the termination, material modification or suspension of any preclinical studies or clinical trials that are described in the Registration Statement, the Pricing Disclosure Package and the Prospectus or the results of which are referred to in the Registration Statement, the Pricing Disclosure Package and the Prospectus, other than ordinary course communications with respect to modifications in connection with the design and implementation of such studies or trials, and, to the Company’s knowledge, there are no reasonable grounds for the same.</w:t>
      </w:r>
    </w:p>
    <w:p>
      <w:pPr>
        <w:spacing w:after="0" w:line="278" w:lineRule="exact"/>
        <w:rPr>
          <w:rFonts w:ascii="Arial" w:cs="Arial" w:eastAsia="Arial" w:hAnsi="Arial"/>
          <w:sz w:val="16"/>
          <w:szCs w:val="16"/>
          <w:color w:val="auto"/>
        </w:rPr>
      </w:pPr>
    </w:p>
    <w:p>
      <w:pPr>
        <w:ind w:right="100" w:firstLine="443"/>
        <w:spacing w:after="0" w:line="264" w:lineRule="auto"/>
        <w:tabs>
          <w:tab w:leader="none" w:pos="783"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Regulatory Filings</w:t>
      </w:r>
      <w:r>
        <w:rPr>
          <w:rFonts w:ascii="Arial" w:cs="Arial" w:eastAsia="Arial" w:hAnsi="Arial"/>
          <w:sz w:val="18"/>
          <w:szCs w:val="18"/>
          <w:color w:val="auto"/>
        </w:rPr>
        <w:t>. The Company has not failed to file with the Regulatory Authorities any required filing, declaration, listing,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or submission with respect to the Company’s product candidates that are described or referred to in the Registration Statement, the Pricing Disclosure Package and the Prospectus; all such filings,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74" w:right="259" w:bottom="1440" w:gutter="0" w:footer="0" w:header="0"/>
        </w:sectPr>
      </w:pPr>
    </w:p>
    <w:bookmarkStart w:id="231" w:name="page232"/>
    <w:bookmarkEnd w:id="231"/>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declarations, listings, registrations, reports or submissions, as applicable, were in material compliance with applicable laws when filed; and no material deficiencies regarding compliance with applicable law have been asserted by any applicable regulatory authority with respect to any such filings, declarations, listings, registrations, reports or submissions.</w:t>
      </w:r>
    </w:p>
    <w:p>
      <w:pPr>
        <w:spacing w:after="0" w:line="181" w:lineRule="exact"/>
        <w:rPr>
          <w:sz w:val="20"/>
          <w:szCs w:val="20"/>
          <w:color w:val="auto"/>
        </w:rPr>
      </w:pPr>
    </w:p>
    <w:p>
      <w:pPr>
        <w:ind w:left="180" w:hanging="176"/>
        <w:spacing w:after="0"/>
        <w:tabs>
          <w:tab w:leader="none" w:pos="1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right="40" w:firstLine="443"/>
        <w:spacing w:after="0" w:line="257" w:lineRule="auto"/>
        <w:tabs>
          <w:tab w:leader="none" w:pos="683" w:val="left"/>
        </w:tabs>
        <w:numPr>
          <w:ilvl w:val="1"/>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Required Filings. </w:t>
      </w:r>
      <w:r>
        <w:rPr>
          <w:rFonts w:ascii="Arial" w:cs="Arial" w:eastAsia="Arial" w:hAnsi="Arial"/>
          <w:sz w:val="18"/>
          <w:szCs w:val="18"/>
          <w:color w:val="auto"/>
        </w:rPr>
        <w:t>The Company will file the final Prospectus with the Commission within the time periods specified by Rule 424(b) and Rule</w:t>
      </w:r>
      <w:r>
        <w:rPr>
          <w:rFonts w:ascii="Arial" w:cs="Arial" w:eastAsia="Arial" w:hAnsi="Arial"/>
          <w:sz w:val="18"/>
          <w:szCs w:val="18"/>
          <w:i w:val="1"/>
          <w:iCs w:val="1"/>
          <w:color w:val="auto"/>
        </w:rPr>
        <w:t xml:space="preserve"> </w:t>
      </w:r>
      <w:r>
        <w:rPr>
          <w:rFonts w:ascii="Arial" w:cs="Arial" w:eastAsia="Arial" w:hAnsi="Arial"/>
          <w:sz w:val="18"/>
          <w:szCs w:val="18"/>
          <w:color w:val="auto"/>
        </w:rPr>
        <w:t>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80" w:lineRule="exact"/>
        <w:rPr>
          <w:rFonts w:ascii="Arial" w:cs="Arial" w:eastAsia="Arial" w:hAnsi="Arial"/>
          <w:sz w:val="18"/>
          <w:szCs w:val="18"/>
          <w:color w:val="auto"/>
        </w:rPr>
      </w:pPr>
    </w:p>
    <w:p>
      <w:pPr>
        <w:jc w:val="both"/>
        <w:ind w:right="100" w:firstLine="443"/>
        <w:spacing w:after="0" w:line="291" w:lineRule="auto"/>
        <w:tabs>
          <w:tab w:leader="none" w:pos="693" w:val="left"/>
        </w:tabs>
        <w:numPr>
          <w:ilvl w:val="1"/>
          <w:numId w:val="150"/>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without charge, (i) to the Representatives upon request, two signed copies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originally filed and each amendment thereto, in each case including all exhibits and consents filed therewith; and (ii) to each Underwriter</w:t>
      </w:r>
    </w:p>
    <w:p>
      <w:pPr>
        <w:ind w:right="40"/>
        <w:spacing w:after="0" w:line="292" w:lineRule="auto"/>
        <w:rPr>
          <w:rFonts w:ascii="Arial" w:cs="Arial" w:eastAsia="Arial" w:hAnsi="Arial"/>
          <w:sz w:val="16"/>
          <w:szCs w:val="16"/>
          <w:color w:val="auto"/>
        </w:rPr>
      </w:pPr>
      <w:r>
        <w:rPr>
          <w:rFonts w:ascii="Arial" w:cs="Arial" w:eastAsia="Arial" w:hAnsi="Arial"/>
          <w:sz w:val="16"/>
          <w:szCs w:val="16"/>
          <w:color w:val="auto"/>
        </w:rPr>
        <w:t>(A)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54" w:lineRule="exact"/>
        <w:rPr>
          <w:rFonts w:ascii="Arial" w:cs="Arial" w:eastAsia="Arial" w:hAnsi="Arial"/>
          <w:sz w:val="16"/>
          <w:szCs w:val="16"/>
          <w:color w:val="auto"/>
        </w:rPr>
      </w:pPr>
    </w:p>
    <w:p>
      <w:pPr>
        <w:ind w:firstLine="443"/>
        <w:spacing w:after="0" w:line="257" w:lineRule="auto"/>
        <w:tabs>
          <w:tab w:leader="none" w:pos="683" w:val="left"/>
        </w:tabs>
        <w:numPr>
          <w:ilvl w:val="1"/>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Issuer Free Writing Prospectuses. </w:t>
      </w:r>
      <w:r>
        <w:rPr>
          <w:rFonts w:ascii="Arial" w:cs="Arial" w:eastAsia="Arial" w:hAnsi="Arial"/>
          <w:sz w:val="18"/>
          <w:szCs w:val="18"/>
          <w:color w:val="auto"/>
        </w:rPr>
        <w:t>Before making, preparing, using, authorizing, approving, referring to or filing</w:t>
      </w:r>
      <w:r>
        <w:rPr>
          <w:rFonts w:ascii="Arial" w:cs="Arial" w:eastAsia="Arial" w:hAnsi="Arial"/>
          <w:sz w:val="18"/>
          <w:szCs w:val="18"/>
          <w:i w:val="1"/>
          <w:iCs w:val="1"/>
          <w:color w:val="auto"/>
        </w:rPr>
        <w:t xml:space="preserve"> </w:t>
      </w:r>
      <w:r>
        <w:rPr>
          <w:rFonts w:ascii="Arial" w:cs="Arial" w:eastAsia="Arial" w:hAnsi="Arial"/>
          <w:sz w:val="18"/>
          <w:szCs w:val="18"/>
          <w:color w:val="auto"/>
        </w:rPr>
        <w:t>any Issuer Free Writing Prospectus, and before filing any amendment or supplement to the Registration Statement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80" w:lineRule="exact"/>
        <w:rPr>
          <w:rFonts w:ascii="Arial" w:cs="Arial" w:eastAsia="Arial" w:hAnsi="Arial"/>
          <w:sz w:val="18"/>
          <w:szCs w:val="18"/>
          <w:color w:val="auto"/>
        </w:rPr>
      </w:pPr>
    </w:p>
    <w:p>
      <w:pPr>
        <w:ind w:right="260" w:firstLine="443"/>
        <w:spacing w:after="0" w:line="312" w:lineRule="auto"/>
        <w:tabs>
          <w:tab w:leader="none" w:pos="693" w:val="left"/>
        </w:tabs>
        <w:numPr>
          <w:ilvl w:val="1"/>
          <w:numId w:val="150"/>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(i)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has become effective; (ii) when any amendment to the Registration Statement has been filed or becomes effective; (iii) when any supplement to the Prospectus, any Issuer Free Writing Prospectus or any Written Testing-the-Waters Communication or any amendment</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4" w:right="259" w:bottom="1440" w:gutter="0" w:footer="0" w:header="0"/>
        </w:sectPr>
      </w:pPr>
    </w:p>
    <w:bookmarkStart w:id="232" w:name="page233"/>
    <w:bookmarkEnd w:id="232"/>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pacing w:after="0" w:line="73" w:lineRule="exact"/>
        <w:rPr>
          <w:sz w:val="20"/>
          <w:szCs w:val="20"/>
          <w:color w:val="auto"/>
        </w:rPr>
      </w:pPr>
    </w:p>
    <w:p>
      <w:pPr>
        <w:ind w:firstLine="443"/>
        <w:spacing w:after="0" w:line="269" w:lineRule="auto"/>
        <w:tabs>
          <w:tab w:leader="none" w:pos="683" w:val="left"/>
        </w:tabs>
        <w:numPr>
          <w:ilvl w:val="0"/>
          <w:numId w:val="151"/>
        </w:numPr>
        <w:rPr>
          <w:rFonts w:ascii="Arial" w:cs="Arial" w:eastAsia="Arial" w:hAnsi="Arial"/>
          <w:sz w:val="17"/>
          <w:szCs w:val="17"/>
          <w:color w:val="auto"/>
        </w:rPr>
      </w:pPr>
      <w:r>
        <w:rPr>
          <w:rFonts w:ascii="Arial" w:cs="Arial" w:eastAsia="Arial" w:hAnsi="Arial"/>
          <w:sz w:val="17"/>
          <w:szCs w:val="17"/>
          <w:i w:val="1"/>
          <w:iCs w:val="1"/>
          <w:color w:val="auto"/>
        </w:rPr>
        <w:t xml:space="preserve">Ongoing Compliance. </w:t>
      </w:r>
      <w:r>
        <w:rPr>
          <w:rFonts w:ascii="Arial" w:cs="Arial" w:eastAsia="Arial" w:hAnsi="Arial"/>
          <w:sz w:val="17"/>
          <w:szCs w:val="17"/>
          <w:color w:val="auto"/>
        </w:rPr>
        <w:t>(1) If during the Prospectus Delivery Period (i) any event or development shall occur or condition shall exist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700" w:top="274" w:right="279" w:bottom="1440" w:gutter="0" w:footer="0" w:header="0"/>
        </w:sectPr>
      </w:pPr>
    </w:p>
    <w:bookmarkStart w:id="233" w:name="page234"/>
    <w:bookmarkEnd w:id="233"/>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46" w:lineRule="exact"/>
        <w:rPr>
          <w:sz w:val="20"/>
          <w:szCs w:val="20"/>
          <w:color w:val="auto"/>
        </w:rPr>
      </w:pPr>
    </w:p>
    <w:p>
      <w:pPr>
        <w:ind w:firstLine="443"/>
        <w:spacing w:after="0" w:line="257" w:lineRule="auto"/>
        <w:tabs>
          <w:tab w:leader="none" w:pos="663"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Blue Sky Compliance. </w:t>
      </w:r>
      <w:r>
        <w:rPr>
          <w:rFonts w:ascii="Arial" w:cs="Arial" w:eastAsia="Arial" w:hAnsi="Arial"/>
          <w:sz w:val="18"/>
          <w:szCs w:val="18"/>
          <w:color w:val="auto"/>
        </w:rPr>
        <w:t>The Company will qualify the Shares for offer and sale under the securities or Blue Sky laws of such jurisdictions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shall reasonably request and will continue such qualifications in effect so long as required for distribution of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0" w:lineRule="exact"/>
        <w:rPr>
          <w:rFonts w:ascii="Arial" w:cs="Arial" w:eastAsia="Arial" w:hAnsi="Arial"/>
          <w:sz w:val="18"/>
          <w:szCs w:val="18"/>
          <w:color w:val="auto"/>
        </w:rPr>
      </w:pPr>
    </w:p>
    <w:p>
      <w:pPr>
        <w:ind w:right="80" w:firstLine="443"/>
        <w:spacing w:after="0" w:line="297" w:lineRule="auto"/>
        <w:tabs>
          <w:tab w:leader="none" w:pos="693"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Earning Statement. </w:t>
      </w:r>
      <w:r>
        <w:rPr>
          <w:rFonts w:ascii="Arial" w:cs="Arial" w:eastAsia="Arial" w:hAnsi="Arial"/>
          <w:sz w:val="16"/>
          <w:szCs w:val="16"/>
          <w:color w:val="auto"/>
        </w:rPr>
        <w:t>The Company will make generally available to its security holders and the Representatives as soon as practicable an</w:t>
      </w:r>
      <w:r>
        <w:rPr>
          <w:rFonts w:ascii="Arial" w:cs="Arial" w:eastAsia="Arial" w:hAnsi="Arial"/>
          <w:sz w:val="16"/>
          <w:szCs w:val="16"/>
          <w:i w:val="1"/>
          <w:iCs w:val="1"/>
          <w:color w:val="auto"/>
        </w:rPr>
        <w:t xml:space="preserve"> </w:t>
      </w:r>
      <w:r>
        <w:rPr>
          <w:rFonts w:ascii="Arial" w:cs="Arial" w:eastAsia="Arial" w:hAnsi="Arial"/>
          <w:sz w:val="16"/>
          <w:szCs w:val="16"/>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statements to its security holders and the Representative to the extent they are filed on the Commission’s Electronic Data Gathering, Analysis, and Retrieval system (“EDGAR”) or any successor system.</w:t>
      </w:r>
    </w:p>
    <w:p>
      <w:pPr>
        <w:spacing w:after="0" w:line="50" w:lineRule="exact"/>
        <w:rPr>
          <w:rFonts w:ascii="Arial" w:cs="Arial" w:eastAsia="Arial" w:hAnsi="Arial"/>
          <w:sz w:val="16"/>
          <w:szCs w:val="16"/>
          <w:color w:val="auto"/>
        </w:rPr>
      </w:pPr>
    </w:p>
    <w:p>
      <w:pPr>
        <w:ind w:firstLine="443"/>
        <w:spacing w:after="0" w:line="269" w:lineRule="auto"/>
        <w:tabs>
          <w:tab w:leader="none" w:pos="693"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 xml:space="preserve">Clear Market. </w:t>
      </w:r>
      <w:r>
        <w:rPr>
          <w:rFonts w:ascii="Arial" w:cs="Arial" w:eastAsia="Arial" w:hAnsi="Arial"/>
          <w:sz w:val="17"/>
          <w:szCs w:val="17"/>
          <w:color w:val="auto"/>
        </w:rPr>
        <w:t>For a period of 180 days after the date of the Prospectus, the Company will not (i) offer, pledge, sell, contract to sell, sell any</w:t>
      </w:r>
      <w:r>
        <w:rPr>
          <w:rFonts w:ascii="Arial" w:cs="Arial" w:eastAsia="Arial" w:hAnsi="Arial"/>
          <w:sz w:val="17"/>
          <w:szCs w:val="17"/>
          <w:i w:val="1"/>
          <w:iCs w:val="1"/>
          <w:color w:val="auto"/>
        </w:rPr>
        <w:t xml:space="preserve"> </w:t>
      </w:r>
      <w:r>
        <w:rPr>
          <w:rFonts w:ascii="Arial" w:cs="Arial" w:eastAsia="Arial" w:hAnsi="Arial"/>
          <w:sz w:val="17"/>
          <w:szCs w:val="17"/>
          <w:color w:val="auto"/>
        </w:rPr>
        <w:t>option or contract to purchase, purchase any option or contract to sell, grant any option, right or warrant to purchase, or otherwise transfer or dispose of, directly or indirectly, or file with or confidentially submit to the Commission a registration statement under the Securities Act relating to, any shares of Stock or any securities convertible into or exercisable or exchangeable for Stock,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the Representatives, other than (A) the Shares to be sold hereunder, (B) any shares of Stock of the Company issued upon the exercise of options granted under Company Stock Plans, (C) upon exercise of any warrant or option or the conversion of the units of the Company outstanding as of the date of this Agreement provided that the recipient execute a lockup agreement for the remainder of the Restricted Period in the form of Exhibit D hereto, (D) up to 5% of the Company’s outstanding securities issued by the Company in connection with mergers, acquisitions, licenses or commercial collaboration or strategic transactions provided that the recipient execute a lockup agreement for</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234" w:name="page235"/>
    <w:bookmarkEnd w:id="234"/>
    <w:p>
      <w:pPr>
        <w:ind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remainder of the Restricted Period in the form of Exhibit D hereto, or (E) the filing by the Company of any registration statement on Form S-8 or a successor form thereto relating to a Company Stock Plan described in the Registration Statement, the Pricing Disclosure Package and the Prospectus.</w:t>
      </w:r>
    </w:p>
    <w:p>
      <w:pPr>
        <w:spacing w:after="0" w:line="16" w:lineRule="exact"/>
        <w:rPr>
          <w:sz w:val="20"/>
          <w:szCs w:val="20"/>
          <w:color w:val="auto"/>
        </w:rPr>
      </w:pPr>
    </w:p>
    <w:p>
      <w:pPr>
        <w:ind w:right="120" w:firstLine="438"/>
        <w:spacing w:after="0" w:line="257" w:lineRule="auto"/>
        <w:rPr>
          <w:sz w:val="20"/>
          <w:szCs w:val="20"/>
          <w:color w:val="auto"/>
        </w:rPr>
      </w:pPr>
      <w:r>
        <w:rPr>
          <w:rFonts w:ascii="Arial" w:cs="Arial" w:eastAsia="Arial" w:hAnsi="Arial"/>
          <w:sz w:val="18"/>
          <w:szCs w:val="18"/>
          <w:color w:val="auto"/>
        </w:rPr>
        <w:t>If the Representatives, in their sole discretion, agrees to release or waive the restrictions set forth in a lock-up letter described in Section 6(m)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by a press release substantially in the form of Exhibit C hereto through a major news service at least two business days before the effective date of the release or waiver.</w:t>
      </w:r>
    </w:p>
    <w:p>
      <w:pPr>
        <w:spacing w:after="0" w:line="80" w:lineRule="exact"/>
        <w:rPr>
          <w:sz w:val="20"/>
          <w:szCs w:val="20"/>
          <w:color w:val="auto"/>
        </w:rPr>
      </w:pPr>
    </w:p>
    <w:p>
      <w:pPr>
        <w:ind w:right="80" w:firstLine="443"/>
        <w:spacing w:after="0" w:line="277" w:lineRule="auto"/>
        <w:tabs>
          <w:tab w:leader="none" w:pos="653"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Shares as described in each of the Registration Statement,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Disclosure Package and the Prospectus under the heading “Use of proceeds”.</w:t>
      </w:r>
    </w:p>
    <w:p>
      <w:pPr>
        <w:spacing w:after="0" w:line="62" w:lineRule="exact"/>
        <w:rPr>
          <w:rFonts w:ascii="Arial" w:cs="Arial" w:eastAsia="Arial" w:hAnsi="Arial"/>
          <w:sz w:val="18"/>
          <w:szCs w:val="18"/>
          <w:color w:val="auto"/>
        </w:rPr>
      </w:pPr>
    </w:p>
    <w:p>
      <w:pPr>
        <w:ind w:right="280" w:firstLine="443"/>
        <w:spacing w:after="0" w:line="277" w:lineRule="auto"/>
        <w:tabs>
          <w:tab w:leader="none" w:pos="653"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will not take, directly or indirectly, any action designed to or that could reasonably be expected to cause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any stabilization or manipulation of the price of the Stock.</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Exchange Listing. </w:t>
      </w:r>
      <w:r>
        <w:rPr>
          <w:rFonts w:ascii="Arial" w:cs="Arial" w:eastAsia="Arial" w:hAnsi="Arial"/>
          <w:sz w:val="16"/>
          <w:szCs w:val="16"/>
          <w:color w:val="auto"/>
        </w:rPr>
        <w:t>The Company will use its reasonable best efforts to list, subject to notice of issuance, the Shares on the Nasdaq Global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Market.</w:t>
      </w:r>
    </w:p>
    <w:p>
      <w:pPr>
        <w:spacing w:after="0" w:line="102" w:lineRule="exact"/>
        <w:rPr>
          <w:rFonts w:ascii="Arial" w:cs="Arial" w:eastAsia="Arial" w:hAnsi="Arial"/>
          <w:sz w:val="16"/>
          <w:szCs w:val="16"/>
          <w:color w:val="auto"/>
        </w:rPr>
      </w:pPr>
    </w:p>
    <w:p>
      <w:pPr>
        <w:ind w:right="20" w:firstLine="443"/>
        <w:spacing w:after="0" w:line="257" w:lineRule="auto"/>
        <w:tabs>
          <w:tab w:leader="none" w:pos="653"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three years from the date of this Agreement, the Company will furnish to the Representatives, as soon as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the Commission’s Electronic Data Gathering, Analysis, and Retrieval system, or any successor to such system.</w:t>
      </w:r>
    </w:p>
    <w:p>
      <w:pPr>
        <w:spacing w:after="0" w:line="80" w:lineRule="exact"/>
        <w:rPr>
          <w:rFonts w:ascii="Arial" w:cs="Arial" w:eastAsia="Arial" w:hAnsi="Arial"/>
          <w:sz w:val="18"/>
          <w:szCs w:val="18"/>
          <w:color w:val="auto"/>
        </w:rPr>
      </w:pPr>
    </w:p>
    <w:p>
      <w:pPr>
        <w:ind w:right="180" w:firstLine="443"/>
        <w:spacing w:after="0" w:line="277" w:lineRule="auto"/>
        <w:tabs>
          <w:tab w:leader="none" w:pos="743"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Record Retention</w:t>
      </w:r>
      <w:r>
        <w:rPr>
          <w:rFonts w:ascii="Arial" w:cs="Arial" w:eastAsia="Arial" w:hAnsi="Arial"/>
          <w:sz w:val="18"/>
          <w:szCs w:val="18"/>
          <w:color w:val="auto"/>
        </w:rPr>
        <w:t>. The Company will, pursuant to reasonable procedures developed in good faith, retain copies of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that is not filed with the Commission in accordance with Rule 433 under the Securities Act.</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The Company will file with the Commission such reports as may be required by Rule 463 under the Securities Act.</w:t>
      </w:r>
    </w:p>
    <w:p>
      <w:pPr>
        <w:spacing w:after="0" w:line="117" w:lineRule="exact"/>
        <w:rPr>
          <w:rFonts w:ascii="Arial" w:cs="Arial" w:eastAsia="Arial" w:hAnsi="Arial"/>
          <w:sz w:val="18"/>
          <w:szCs w:val="18"/>
          <w:color w:val="auto"/>
        </w:rPr>
      </w:pPr>
    </w:p>
    <w:p>
      <w:pPr>
        <w:ind w:firstLine="443"/>
        <w:spacing w:after="0" w:line="264" w:lineRule="auto"/>
        <w:tabs>
          <w:tab w:leader="none" w:pos="693"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Shares within the meaning of the Securities Act and (ii) completion of the 180-day restricted period referred to in Section 4(h) hereof.</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700" w:top="274" w:right="279" w:bottom="1440" w:gutter="0" w:footer="0" w:header="0"/>
        </w:sectPr>
      </w:pPr>
    </w:p>
    <w:bookmarkStart w:id="235" w:name="page236"/>
    <w:bookmarkEnd w:id="235"/>
    <w:p>
      <w:pPr>
        <w:ind w:left="560" w:hanging="176"/>
        <w:spacing w:after="0"/>
        <w:tabs>
          <w:tab w:leader="none" w:pos="5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1060" w:hanging="237"/>
        <w:spacing w:after="0"/>
        <w:tabs>
          <w:tab w:leader="none" w:pos="106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It has not and will not use, authorize use of, refer to or participate in the planning for use of, any “free writing prospectus”, as defined in Rule</w:t>
      </w:r>
    </w:p>
    <w:p>
      <w:pPr>
        <w:spacing w:after="0" w:line="46" w:lineRule="exact"/>
        <w:rPr>
          <w:rFonts w:ascii="Arial" w:cs="Arial" w:eastAsia="Arial" w:hAnsi="Arial"/>
          <w:sz w:val="16"/>
          <w:szCs w:val="16"/>
          <w:color w:val="auto"/>
        </w:rPr>
      </w:pPr>
    </w:p>
    <w:p>
      <w:pPr>
        <w:ind w:left="380" w:firstLine="4"/>
        <w:spacing w:after="0" w:line="252" w:lineRule="auto"/>
        <w:tabs>
          <w:tab w:leader="none" w:pos="6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84" w:lineRule="exact"/>
        <w:rPr>
          <w:rFonts w:ascii="Arial" w:cs="Arial" w:eastAsia="Arial" w:hAnsi="Arial"/>
          <w:sz w:val="18"/>
          <w:szCs w:val="18"/>
          <w:color w:val="auto"/>
        </w:rPr>
      </w:pPr>
    </w:p>
    <w:p>
      <w:pPr>
        <w:ind w:left="380" w:right="20" w:firstLine="443"/>
        <w:spacing w:after="0" w:line="257" w:lineRule="auto"/>
        <w:tabs>
          <w:tab w:leader="none" w:pos="107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Underwriters may use a term sheet substantially in the form of Annex C hereto without the consent of the Company;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Underwriter using such term sheet shall notify the Company, and provide a copy of such term sheet to the Company, prior to, or substantially concurrently with, the first use of such term sheet.</w:t>
      </w:r>
    </w:p>
    <w:p>
      <w:pPr>
        <w:spacing w:after="0" w:line="80" w:lineRule="exact"/>
        <w:rPr>
          <w:rFonts w:ascii="Arial" w:cs="Arial" w:eastAsia="Arial" w:hAnsi="Arial"/>
          <w:sz w:val="18"/>
          <w:szCs w:val="18"/>
          <w:color w:val="auto"/>
        </w:rPr>
      </w:pPr>
    </w:p>
    <w:p>
      <w:pPr>
        <w:ind w:left="380" w:right="200" w:firstLine="443"/>
        <w:spacing w:after="0" w:line="277" w:lineRule="auto"/>
        <w:tabs>
          <w:tab w:leader="none" w:pos="106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70" w:lineRule="exact"/>
        <w:rPr>
          <w:rFonts w:ascii="Arial" w:cs="Arial" w:eastAsia="Arial" w:hAnsi="Arial"/>
          <w:sz w:val="18"/>
          <w:szCs w:val="18"/>
          <w:color w:val="auto"/>
        </w:rPr>
      </w:pPr>
    </w:p>
    <w:p>
      <w:pPr>
        <w:ind w:left="-80" w:firstLine="464"/>
        <w:spacing w:after="0" w:line="264" w:lineRule="auto"/>
        <w:tabs>
          <w:tab w:leader="none" w:pos="55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w:t>
      </w:r>
    </w:p>
    <w:p>
      <w:pPr>
        <w:spacing w:after="0" w:line="73" w:lineRule="exact"/>
        <w:rPr>
          <w:rFonts w:ascii="Arial" w:cs="Arial" w:eastAsia="Arial" w:hAnsi="Arial"/>
          <w:sz w:val="18"/>
          <w:szCs w:val="18"/>
          <w:color w:val="auto"/>
        </w:rPr>
      </w:pPr>
    </w:p>
    <w:p>
      <w:pPr>
        <w:ind w:left="380" w:right="20" w:firstLine="443"/>
        <w:spacing w:after="0" w:line="276" w:lineRule="auto"/>
        <w:tabs>
          <w:tab w:leader="none" w:pos="1063" w:val="left"/>
        </w:tabs>
        <w:numPr>
          <w:ilvl w:val="1"/>
          <w:numId w:val="156"/>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Compliance; No Stop Order. </w:t>
      </w:r>
      <w:r>
        <w:rPr>
          <w:rFonts w:ascii="Arial" w:cs="Arial" w:eastAsia="Arial" w:hAnsi="Arial"/>
          <w:sz w:val="17"/>
          <w:szCs w:val="17"/>
          <w:color w:val="auto"/>
        </w:rPr>
        <w:t>No order suspending the effectiveness of the Registration Statement shall be in effect,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64" w:lineRule="exact"/>
        <w:rPr>
          <w:rFonts w:ascii="Arial" w:cs="Arial" w:eastAsia="Arial" w:hAnsi="Arial"/>
          <w:sz w:val="17"/>
          <w:szCs w:val="17"/>
          <w:color w:val="auto"/>
        </w:rPr>
      </w:pPr>
    </w:p>
    <w:p>
      <w:pPr>
        <w:ind w:left="380" w:right="240" w:firstLine="443"/>
        <w:spacing w:after="0" w:line="277" w:lineRule="auto"/>
        <w:tabs>
          <w:tab w:leader="none" w:pos="1073"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contained herein shall be true and correct 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and on and as of the Closing Date or the Additional Closing Date, as the case may be; and the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80"/>
          </w:cols>
          <w:pgMar w:left="320" w:top="274" w:right="299" w:bottom="1440" w:gutter="0" w:footer="0" w:header="0"/>
        </w:sectPr>
      </w:pPr>
    </w:p>
    <w:bookmarkStart w:id="236" w:name="page237"/>
    <w:bookmarkEnd w:id="236"/>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Company and its officers made in any certificates delivered pursuant to this Agreement shall be true and correct on and as of the Closing Date or the Additional Closing Date, as the case may be.</w:t>
      </w:r>
    </w:p>
    <w:p>
      <w:pPr>
        <w:spacing w:after="0" w:line="62" w:lineRule="exact"/>
        <w:rPr>
          <w:sz w:val="20"/>
          <w:szCs w:val="20"/>
          <w:color w:val="auto"/>
        </w:rPr>
      </w:pPr>
    </w:p>
    <w:p>
      <w:pPr>
        <w:ind w:firstLine="443"/>
        <w:spacing w:after="0" w:line="276" w:lineRule="auto"/>
        <w:tabs>
          <w:tab w:leader="none" w:pos="683" w:val="left"/>
        </w:tabs>
        <w:numPr>
          <w:ilvl w:val="0"/>
          <w:numId w:val="157"/>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No event or condition of a type described in Section 3(h) hereof shall have occurred or shall exist, which event</w:t>
      </w:r>
      <w:r>
        <w:rPr>
          <w:rFonts w:ascii="Arial" w:cs="Arial" w:eastAsia="Arial" w:hAnsi="Arial"/>
          <w:sz w:val="17"/>
          <w:szCs w:val="17"/>
          <w:i w:val="1"/>
          <w:iCs w:val="1"/>
          <w:color w:val="auto"/>
        </w:rPr>
        <w:t xml:space="preserve"> </w:t>
      </w:r>
      <w:r>
        <w:rPr>
          <w:rFonts w:ascii="Arial" w:cs="Arial" w:eastAsia="Arial" w:hAnsi="Arial"/>
          <w:sz w:val="17"/>
          <w:szCs w:val="17"/>
          <w:color w:val="auto"/>
        </w:rPr>
        <w:t>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64" w:lineRule="exact"/>
        <w:rPr>
          <w:rFonts w:ascii="Arial" w:cs="Arial" w:eastAsia="Arial" w:hAnsi="Arial"/>
          <w:sz w:val="17"/>
          <w:szCs w:val="17"/>
          <w:color w:val="auto"/>
        </w:rPr>
      </w:pPr>
    </w:p>
    <w:p>
      <w:pPr>
        <w:ind w:right="140" w:firstLine="443"/>
        <w:spacing w:after="0" w:line="270" w:lineRule="auto"/>
        <w:tabs>
          <w:tab w:leader="none" w:pos="693" w:val="left"/>
        </w:tabs>
        <w:numPr>
          <w:ilvl w:val="0"/>
          <w:numId w:val="157"/>
        </w:numPr>
        <w:rPr>
          <w:rFonts w:ascii="Arial" w:cs="Arial" w:eastAsia="Arial" w:hAnsi="Arial"/>
          <w:sz w:val="17"/>
          <w:szCs w:val="17"/>
          <w:color w:val="auto"/>
        </w:rPr>
      </w:pPr>
      <w:r>
        <w:rPr>
          <w:rFonts w:ascii="Arial" w:cs="Arial" w:eastAsia="Arial" w:hAnsi="Arial"/>
          <w:sz w:val="17"/>
          <w:szCs w:val="17"/>
          <w:i w:val="1"/>
          <w:iCs w:val="1"/>
          <w:color w:val="auto"/>
        </w:rPr>
        <w:t xml:space="preserve">Officer’s Certificate. </w:t>
      </w:r>
      <w:r>
        <w:rPr>
          <w:rFonts w:ascii="Arial" w:cs="Arial" w:eastAsia="Arial" w:hAnsi="Arial"/>
          <w:sz w:val="17"/>
          <w:szCs w:val="17"/>
          <w:color w:val="auto"/>
        </w:rPr>
        <w:t>The Representatives shall have received on and as of the Closing Date or the Additional Closing Date, as the case may</w:t>
      </w:r>
      <w:r>
        <w:rPr>
          <w:rFonts w:ascii="Arial" w:cs="Arial" w:eastAsia="Arial" w:hAnsi="Arial"/>
          <w:sz w:val="17"/>
          <w:szCs w:val="17"/>
          <w:i w:val="1"/>
          <w:iCs w:val="1"/>
          <w:color w:val="auto"/>
        </w:rPr>
        <w:t xml:space="preserve"> </w:t>
      </w:r>
      <w:r>
        <w:rPr>
          <w:rFonts w:ascii="Arial" w:cs="Arial" w:eastAsia="Arial" w:hAnsi="Arial"/>
          <w:sz w:val="17"/>
          <w:szCs w:val="17"/>
          <w:color w:val="auto"/>
        </w:rPr>
        <w:t>be, a certificate of the chief financial officer or chief accounting officer of the Company and one additional senior executive officer of the Company who is satisfactory to the Representatives on behalf of the Company and not in their individual capacities (i) confirming that such officers have carefully reviewed the Registration Statement, the Pricing Disclosure Package and the Prospectus and, to the knowledge of such officers, the representations set forth in Sections 3(b) and 3(f) hereof are true and correct in all material respects except as already so qualified, (ii) confirming that the other representations and warranties of the Company in this Agreement are true and correct in all material respects except as already so qualified and that the Company has complied with all agreements in all material respects and satisfied all conditions in all material respects on its part to be performed or satisfied hereunder at or prior to the Closing Date or the Additional Closing Date, as the case may be, and (iii) to the effect set forth in paragraphs (a), (b) and (c) above.</w:t>
      </w:r>
    </w:p>
    <w:p>
      <w:pPr>
        <w:spacing w:after="0" w:line="73" w:lineRule="exact"/>
        <w:rPr>
          <w:rFonts w:ascii="Arial" w:cs="Arial" w:eastAsia="Arial" w:hAnsi="Arial"/>
          <w:sz w:val="17"/>
          <w:szCs w:val="17"/>
          <w:color w:val="auto"/>
        </w:rPr>
      </w:pPr>
    </w:p>
    <w:p>
      <w:pPr>
        <w:ind w:right="60" w:firstLine="443"/>
        <w:spacing w:after="0" w:line="272" w:lineRule="auto"/>
        <w:tabs>
          <w:tab w:leader="none" w:pos="683" w:val="left"/>
        </w:tabs>
        <w:numPr>
          <w:ilvl w:val="0"/>
          <w:numId w:val="157"/>
        </w:numPr>
        <w:rPr>
          <w:rFonts w:ascii="Arial" w:cs="Arial" w:eastAsia="Arial" w:hAnsi="Arial"/>
          <w:sz w:val="17"/>
          <w:szCs w:val="17"/>
          <w:color w:val="auto"/>
        </w:rPr>
      </w:pPr>
      <w:r>
        <w:rPr>
          <w:rFonts w:ascii="Arial" w:cs="Arial" w:eastAsia="Arial" w:hAnsi="Arial"/>
          <w:sz w:val="17"/>
          <w:szCs w:val="17"/>
          <w:i w:val="1"/>
          <w:iCs w:val="1"/>
          <w:color w:val="auto"/>
        </w:rPr>
        <w:t xml:space="preserve">Comfort Letters. </w:t>
      </w:r>
      <w:r>
        <w:rPr>
          <w:rFonts w:ascii="Arial" w:cs="Arial" w:eastAsia="Arial" w:hAnsi="Arial"/>
          <w:sz w:val="17"/>
          <w:szCs w:val="17"/>
          <w:color w:val="auto"/>
        </w:rPr>
        <w:t>On the date of this Agreement and on the Closing Date or the Additional Closing Date, as the case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PricewaterhouseCoopers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69" w:lineRule="exact"/>
        <w:rPr>
          <w:rFonts w:ascii="Arial" w:cs="Arial" w:eastAsia="Arial" w:hAnsi="Arial"/>
          <w:sz w:val="17"/>
          <w:szCs w:val="17"/>
          <w:color w:val="auto"/>
        </w:rPr>
      </w:pPr>
    </w:p>
    <w:p>
      <w:pPr>
        <w:ind w:right="240" w:firstLine="443"/>
        <w:spacing w:after="0" w:line="286" w:lineRule="auto"/>
        <w:tabs>
          <w:tab w:leader="none" w:pos="663" w:val="left"/>
        </w:tabs>
        <w:numPr>
          <w:ilvl w:val="0"/>
          <w:numId w:val="157"/>
        </w:numPr>
        <w:rPr>
          <w:rFonts w:ascii="Arial" w:cs="Arial" w:eastAsia="Arial" w:hAnsi="Arial"/>
          <w:sz w:val="17"/>
          <w:szCs w:val="17"/>
          <w:color w:val="auto"/>
        </w:rPr>
      </w:pPr>
      <w:r>
        <w:rPr>
          <w:rFonts w:ascii="Arial" w:cs="Arial" w:eastAsia="Arial" w:hAnsi="Arial"/>
          <w:sz w:val="17"/>
          <w:szCs w:val="17"/>
          <w:i w:val="1"/>
          <w:iCs w:val="1"/>
          <w:color w:val="auto"/>
        </w:rPr>
        <w:t xml:space="preserve">Opinion and 10b-5 Statement of Counsel for the Company. </w:t>
      </w:r>
      <w:r>
        <w:rPr>
          <w:rFonts w:ascii="Arial" w:cs="Arial" w:eastAsia="Arial" w:hAnsi="Arial"/>
          <w:sz w:val="17"/>
          <w:szCs w:val="17"/>
          <w:color w:val="auto"/>
        </w:rPr>
        <w:t>Proskauer Rose LLP, counsel for the Company, shall have furnished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700" w:top="274" w:right="259" w:bottom="1440" w:gutter="0" w:footer="0" w:header="0"/>
        </w:sectPr>
      </w:pPr>
    </w:p>
    <w:bookmarkStart w:id="237" w:name="page238"/>
    <w:bookmarkEnd w:id="237"/>
    <w:p>
      <w:pPr>
        <w:ind w:left="460" w:right="20" w:firstLine="443"/>
        <w:spacing w:after="0" w:line="286" w:lineRule="auto"/>
        <w:tabs>
          <w:tab w:leader="none" w:pos="1153" w:val="left"/>
        </w:tabs>
        <w:numPr>
          <w:ilvl w:val="0"/>
          <w:numId w:val="15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Opinion of Intellectual Property Counsel for the Company. </w:t>
      </w:r>
      <w:r>
        <w:rPr>
          <w:rFonts w:ascii="Arial" w:cs="Arial" w:eastAsia="Arial" w:hAnsi="Arial"/>
          <w:sz w:val="17"/>
          <w:szCs w:val="17"/>
          <w:color w:val="auto"/>
        </w:rPr>
        <w:t>Mintz, Levin, Cohn, Ferris, Glovsky and Popeo, P.C., intellectual property counsel</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Company, shall have furnished to the Representatives, their written opinion, dated the Closing Date or the Additional Closing Date, as the case may be, and addressed to the Underwriters, in form and substance reasonably satisfactory to the Representatives.</w:t>
      </w:r>
    </w:p>
    <w:p>
      <w:pPr>
        <w:spacing w:after="0" w:line="57" w:lineRule="exact"/>
        <w:rPr>
          <w:rFonts w:ascii="Arial" w:cs="Arial" w:eastAsia="Arial" w:hAnsi="Arial"/>
          <w:sz w:val="17"/>
          <w:szCs w:val="17"/>
          <w:color w:val="auto"/>
        </w:rPr>
      </w:pPr>
    </w:p>
    <w:p>
      <w:pPr>
        <w:ind w:left="460" w:right="180" w:firstLine="443"/>
        <w:spacing w:after="0" w:line="259" w:lineRule="auto"/>
        <w:tabs>
          <w:tab w:leader="none" w:pos="1153"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Underwriters. </w:t>
      </w:r>
      <w:r>
        <w:rPr>
          <w:rFonts w:ascii="Arial" w:cs="Arial" w:eastAsia="Arial" w:hAnsi="Arial"/>
          <w:sz w:val="18"/>
          <w:szCs w:val="18"/>
          <w:color w:val="auto"/>
        </w:rPr>
        <w:t>The Representatives shall have received on and as of the Closing Date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Closing Date, as the case may be, an opinion and 10b-5 statement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78" w:lineRule="exact"/>
        <w:rPr>
          <w:rFonts w:ascii="Arial" w:cs="Arial" w:eastAsia="Arial" w:hAnsi="Arial"/>
          <w:sz w:val="18"/>
          <w:szCs w:val="18"/>
          <w:color w:val="auto"/>
        </w:rPr>
      </w:pPr>
    </w:p>
    <w:p>
      <w:pPr>
        <w:ind w:left="460" w:right="40" w:firstLine="443"/>
        <w:spacing w:after="0" w:line="302" w:lineRule="auto"/>
        <w:tabs>
          <w:tab w:leader="none" w:pos="1113"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 xml:space="preserve">No Legal Impediment to Issuance. </w:t>
      </w:r>
      <w:r>
        <w:rPr>
          <w:rFonts w:ascii="Arial" w:cs="Arial" w:eastAsia="Arial" w:hAnsi="Arial"/>
          <w:sz w:val="16"/>
          <w:szCs w:val="16"/>
          <w:color w:val="auto"/>
        </w:rPr>
        <w:t>No action shall have been taken and no statute, rule, regulation or order shall have been enacted, adopted or</w:t>
      </w:r>
      <w:r>
        <w:rPr>
          <w:rFonts w:ascii="Arial" w:cs="Arial" w:eastAsia="Arial" w:hAnsi="Arial"/>
          <w:sz w:val="16"/>
          <w:szCs w:val="16"/>
          <w:i w:val="1"/>
          <w:iCs w:val="1"/>
          <w:color w:val="auto"/>
        </w:rPr>
        <w:t xml:space="preserve"> </w:t>
      </w:r>
      <w:r>
        <w:rPr>
          <w:rFonts w:ascii="Arial" w:cs="Arial" w:eastAsia="Arial" w:hAnsi="Arial"/>
          <w:sz w:val="16"/>
          <w:szCs w:val="16"/>
          <w:color w:val="auto"/>
        </w:rPr>
        <w:t>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46" w:lineRule="exact"/>
        <w:rPr>
          <w:rFonts w:ascii="Arial" w:cs="Arial" w:eastAsia="Arial" w:hAnsi="Arial"/>
          <w:sz w:val="16"/>
          <w:szCs w:val="16"/>
          <w:color w:val="auto"/>
        </w:rPr>
      </w:pPr>
    </w:p>
    <w:p>
      <w:pPr>
        <w:ind w:left="460" w:right="160" w:firstLine="443"/>
        <w:spacing w:after="0" w:line="259" w:lineRule="auto"/>
        <w:tabs>
          <w:tab w:leader="none" w:pos="1113"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or the Additional Closing Date,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evidence of the good standing of the Company and its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78" w:lineRule="exact"/>
        <w:rPr>
          <w:rFonts w:ascii="Arial" w:cs="Arial" w:eastAsia="Arial" w:hAnsi="Arial"/>
          <w:sz w:val="18"/>
          <w:szCs w:val="18"/>
          <w:color w:val="auto"/>
        </w:rPr>
      </w:pPr>
    </w:p>
    <w:p>
      <w:pPr>
        <w:ind w:left="460" w:right="620" w:firstLine="443"/>
        <w:spacing w:after="0" w:line="277" w:lineRule="auto"/>
        <w:tabs>
          <w:tab w:leader="none" w:pos="1153"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Shares to be delivered on the Closing Date or the Additional Closing Date, as the case may be,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for listing on the Nasdaq Global Market, subject to official notice of issuance.</w:t>
      </w:r>
    </w:p>
    <w:p>
      <w:pPr>
        <w:spacing w:after="0" w:line="62" w:lineRule="exact"/>
        <w:rPr>
          <w:rFonts w:ascii="Arial" w:cs="Arial" w:eastAsia="Arial" w:hAnsi="Arial"/>
          <w:sz w:val="18"/>
          <w:szCs w:val="18"/>
          <w:color w:val="auto"/>
        </w:rPr>
      </w:pPr>
    </w:p>
    <w:p>
      <w:pPr>
        <w:ind w:left="460" w:firstLine="443"/>
        <w:spacing w:after="0" w:line="312" w:lineRule="auto"/>
        <w:tabs>
          <w:tab w:leader="none" w:pos="1113"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Lock-up Agreements</w:t>
      </w:r>
      <w:r>
        <w:rPr>
          <w:rFonts w:ascii="Arial" w:cs="Arial" w:eastAsia="Arial" w:hAnsi="Arial"/>
          <w:sz w:val="16"/>
          <w:szCs w:val="16"/>
          <w:color w:val="auto"/>
        </w:rPr>
        <w:t>. The “lock-up” agreements, each substantially in the form of Exhibit D hereto, between you and certain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directors of the Company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38" w:lineRule="exact"/>
        <w:rPr>
          <w:rFonts w:ascii="Arial" w:cs="Arial" w:eastAsia="Arial" w:hAnsi="Arial"/>
          <w:sz w:val="16"/>
          <w:szCs w:val="16"/>
          <w:color w:val="auto"/>
        </w:rPr>
      </w:pPr>
    </w:p>
    <w:p>
      <w:pPr>
        <w:ind w:left="460" w:right="20" w:firstLine="443"/>
        <w:spacing w:after="0" w:line="277" w:lineRule="auto"/>
        <w:tabs>
          <w:tab w:leader="none" w:pos="1203"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or the Additional Closing Date, as the case may be,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Representatives such further certificates and documents as the Representatives may reasonably request.</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38" w:name="page239"/>
    <w:bookmarkEnd w:id="238"/>
    <w:p>
      <w:pPr>
        <w:ind w:left="640" w:hanging="176"/>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86" w:lineRule="auto"/>
        <w:tabs>
          <w:tab w:leader="none" w:pos="701" w:val="left"/>
        </w:tabs>
        <w:numPr>
          <w:ilvl w:val="0"/>
          <w:numId w:val="160"/>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agrees to indemnify and hold harmless each Underwriter, its affiliates that are broker dealers</w:t>
      </w:r>
      <w:r>
        <w:rPr>
          <w:rFonts w:ascii="Arial" w:cs="Arial" w:eastAsia="Arial" w:hAnsi="Arial"/>
          <w:sz w:val="16"/>
          <w:szCs w:val="16"/>
          <w:i w:val="1"/>
          <w:iCs w:val="1"/>
          <w:color w:val="auto"/>
        </w:rPr>
        <w:t xml:space="preserve"> </w:t>
      </w:r>
      <w:r>
        <w:rPr>
          <w:rFonts w:ascii="Arial" w:cs="Arial" w:eastAsia="Arial" w:hAnsi="Arial"/>
          <w:sz w:val="16"/>
          <w:szCs w:val="16"/>
          <w:color w:val="auto"/>
        </w:rPr>
        <w:t>and selling Shares on behalf of the Underwriters, its directors and officers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spacing w:after="0" w:line="16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also agrees to indemnify and hold harmless, Goldman Sachs &amp; Co. LLC, its affiliates, directors and officers and each person, if any, who controls Goldman Sachs &amp; Co. LLC within the meaning of Section 15 of the Securities Act or Section 20 of the Exchange Act, from and against any and all losses, claims, damages and liabilities incurred as a result of Goldman Sachs &amp; Co. LLC’s participation as a “qualified independent underwriter” within the meaning of FINRA Rule 5121 in connection with the offering of the Shares.</w:t>
      </w:r>
    </w:p>
    <w:p>
      <w:pPr>
        <w:spacing w:after="0" w:line="187" w:lineRule="exact"/>
        <w:rPr>
          <w:sz w:val="20"/>
          <w:szCs w:val="20"/>
          <w:color w:val="auto"/>
        </w:rPr>
      </w:pPr>
    </w:p>
    <w:p>
      <w:pPr>
        <w:ind w:right="80" w:firstLine="464"/>
        <w:spacing w:after="0" w:line="271" w:lineRule="auto"/>
        <w:tabs>
          <w:tab w:leader="none" w:pos="711" w:val="left"/>
        </w:tabs>
        <w:numPr>
          <w:ilvl w:val="0"/>
          <w:numId w:val="161"/>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Company. </w:t>
      </w:r>
      <w:r>
        <w:rPr>
          <w:rFonts w:ascii="Arial" w:cs="Arial" w:eastAsia="Arial" w:hAnsi="Arial"/>
          <w:sz w:val="17"/>
          <w:szCs w:val="17"/>
          <w:color w:val="auto"/>
        </w:rPr>
        <w:t>Each Underwriter agrees, severally and not jointly, to indemnify and hold harmless the Company, its directors, its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any Written Testing-the-Waters Communication, any road show or any Pricing Disclosure Package (including any Pricing Disclosure Package that has subsequently been amended), it being understood and agreed upon that the only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39" w:name="page240"/>
    <w:bookmarkEnd w:id="239"/>
    <w:p>
      <w:pPr>
        <w:ind w:right="5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information furnished by any Underwriter consists of the following information in the Prospectus furnished on behalf of each Underwriter: the concession and reallowance figures appearing in the third paragraph under the caption “Underwriting”, the information contained in the fourteenth and fifteenth paragraphs relating to stabilizing transactions under the caption “Underwriting.”</w:t>
      </w:r>
    </w:p>
    <w:p>
      <w:pPr>
        <w:spacing w:after="0" w:line="181" w:lineRule="exact"/>
        <w:rPr>
          <w:sz w:val="20"/>
          <w:szCs w:val="20"/>
          <w:color w:val="auto"/>
        </w:rPr>
      </w:pPr>
    </w:p>
    <w:p>
      <w:pPr>
        <w:ind w:firstLine="464"/>
        <w:spacing w:after="0" w:line="284" w:lineRule="auto"/>
        <w:tabs>
          <w:tab w:leader="none" w:pos="701"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 brought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fees and documented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provided, however that if indemnity may be sought pursuant to the second paragraph of Section 7(a) above in respect of such proceeding, then in addition to such separate firm of the Underwriters, their affiliates and such control persons of the Underwriters the indemnifying party shall be liable for the reasonable documented fees and expenses of not more than one separate firm (in addition to any local counsel) for Goldman Sachs &amp; Co. LLC in its capacity as a “qualified independent underwriter”, its affiliates, directors, officers and all persons, if any, who control the Company within the meaning of either Section 15 of the Securities Act or Section 20 of the Exchange Act.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40" w:name="page241"/>
    <w:bookmarkEnd w:id="240"/>
    <w:p>
      <w:pPr>
        <w:ind w:right="8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separate firm for any Underwriter, its affiliates, directors and officers and any control persons of such Underwriter shall be designated in writing by J.P. Morgan Securities LLC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documented fees and expenses of counsel as contemplated by this paragraph, the Indemnifying Person shall be liable for any settlement of any proceeding effected without its written consent if (i) such settlement is entered into more than 60 days after receipt by the Indemnifying Person of such request and</w:t>
      </w:r>
    </w:p>
    <w:p>
      <w:pPr>
        <w:spacing w:after="0" w:line="1" w:lineRule="exact"/>
        <w:rPr>
          <w:sz w:val="20"/>
          <w:szCs w:val="20"/>
          <w:color w:val="auto"/>
        </w:rPr>
      </w:pPr>
    </w:p>
    <w:p>
      <w:pPr>
        <w:ind w:firstLine="8"/>
        <w:spacing w:after="0" w:line="252" w:lineRule="auto"/>
        <w:tabs>
          <w:tab w:leader="none" w:pos="26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94" w:lineRule="exact"/>
        <w:rPr>
          <w:rFonts w:ascii="Arial" w:cs="Arial" w:eastAsia="Arial" w:hAnsi="Arial"/>
          <w:sz w:val="18"/>
          <w:szCs w:val="18"/>
          <w:color w:val="auto"/>
        </w:rPr>
      </w:pPr>
    </w:p>
    <w:p>
      <w:pPr>
        <w:ind w:right="100" w:firstLine="464"/>
        <w:spacing w:after="0" w:line="268" w:lineRule="auto"/>
        <w:tabs>
          <w:tab w:leader="none" w:pos="711" w:val="left"/>
        </w:tabs>
        <w:numPr>
          <w:ilvl w:val="1"/>
          <w:numId w:val="163"/>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and (b) above is unavailable to an Indemnified Person or insufficient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or Goldman Sachs &amp; Co. LLC in its capacity as a “qualified independent underwriter”, as the case may be,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or Goldman Sachs &amp; Co. LLC in its capacity as a “qualified independent underwriter”, as the case may be, on the other, in connection with the statements or omissions that resulted in such losses, claims, damages or liabilities, as well as any other relevant equitable considerations. The relative benefits received by the Company, on the one hand, and the Underwriters or Goldman Sachs &amp; Co. LLC in its capacity as a “qualified independent underwriter”, as the case may be,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or the fee to be received by Goldman Sachs &amp; Co. LLC in its capacity as a “qualified independent underwriter”, as the case may be, bear to the aggregate offering price of the Shares. The relative fault of the Company, on the one hand, and the Underwriters or Goldman Sachs &amp; Co. LLC in its capacity as a “qualified independent underwriter”, as the case may be,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74" w:right="299" w:bottom="1440" w:gutter="0" w:footer="0" w:header="0"/>
        </w:sectPr>
      </w:pPr>
    </w:p>
    <w:bookmarkStart w:id="241" w:name="page242"/>
    <w:bookmarkEnd w:id="24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other, shall be determined by reference to, among other things, whether the untrue or alleged untrue statement of a material fact or the omission or alleged omission to state a material fact relates to information supplied by the Company or by the Underwriters or Goldman Sachs &amp; Co. LLC in its capacity as a “qualified independent underwriter”, as the case may be, and the parties’ relative intent, knowledge, access to information and opportunity to correct or prevent such statement or omission.</w:t>
      </w:r>
    </w:p>
    <w:p>
      <w:pPr>
        <w:spacing w:after="0" w:line="187" w:lineRule="exact"/>
        <w:rPr>
          <w:sz w:val="20"/>
          <w:szCs w:val="20"/>
          <w:color w:val="auto"/>
        </w:rPr>
      </w:pPr>
    </w:p>
    <w:p>
      <w:pPr>
        <w:ind w:left="700" w:hanging="236"/>
        <w:spacing w:after="0"/>
        <w:tabs>
          <w:tab w:leader="none" w:pos="700" w:val="left"/>
        </w:tabs>
        <w:numPr>
          <w:ilvl w:val="1"/>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and the Underwriters agree that it would not be just and equitable if contribution pursuant to paragraph</w:t>
      </w:r>
    </w:p>
    <w:p>
      <w:pPr>
        <w:spacing w:after="0" w:line="34" w:lineRule="exact"/>
        <w:rPr>
          <w:rFonts w:ascii="Arial" w:cs="Arial" w:eastAsia="Arial" w:hAnsi="Arial"/>
          <w:sz w:val="17"/>
          <w:szCs w:val="17"/>
          <w:color w:val="auto"/>
        </w:rPr>
      </w:pPr>
    </w:p>
    <w:p>
      <w:pPr>
        <w:ind w:firstLine="8"/>
        <w:spacing w:after="0" w:line="268" w:lineRule="auto"/>
        <w:tabs>
          <w:tab w:leader="none" w:pos="25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above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documented legal or other reasonable documented expenses incurred by such Indemnified Person in connection with any such action or claim. Notwithstanding the provisions of paragraph (d),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are several in proportion to their respective purchase obligations hereunder and not joint.</w:t>
      </w:r>
    </w:p>
    <w:p>
      <w:pPr>
        <w:spacing w:after="0" w:line="179" w:lineRule="exact"/>
        <w:rPr>
          <w:rFonts w:ascii="Arial" w:cs="Arial" w:eastAsia="Arial" w:hAnsi="Arial"/>
          <w:sz w:val="17"/>
          <w:szCs w:val="17"/>
          <w:color w:val="auto"/>
        </w:rPr>
      </w:pPr>
    </w:p>
    <w:p>
      <w:pPr>
        <w:ind w:right="200" w:firstLine="464"/>
        <w:spacing w:after="0" w:line="277" w:lineRule="auto"/>
        <w:tabs>
          <w:tab w:leader="none" w:pos="681"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paragraphs (a) through (e) are not exclusive and shall not limit any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which may otherwise be available to any Indemnified Person at law or in equity.</w:t>
      </w:r>
    </w:p>
    <w:p>
      <w:pPr>
        <w:spacing w:after="0" w:line="170" w:lineRule="exact"/>
        <w:rPr>
          <w:sz w:val="20"/>
          <w:szCs w:val="20"/>
          <w:color w:val="auto"/>
        </w:rPr>
      </w:pPr>
    </w:p>
    <w:p>
      <w:pPr>
        <w:ind w:left="640" w:hanging="176"/>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w:t>
      </w:r>
    </w:p>
    <w:p>
      <w:pPr>
        <w:spacing w:after="0" w:line="225" w:lineRule="exact"/>
        <w:rPr>
          <w:rFonts w:ascii="Arial" w:cs="Arial" w:eastAsia="Arial" w:hAnsi="Arial"/>
          <w:sz w:val="18"/>
          <w:szCs w:val="18"/>
          <w:color w:val="auto"/>
        </w:rPr>
      </w:pPr>
    </w:p>
    <w:p>
      <w:pPr>
        <w:ind w:firstLine="464"/>
        <w:spacing w:after="0" w:line="253" w:lineRule="auto"/>
        <w:tabs>
          <w:tab w:leader="none" w:pos="636"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Representatives, by notice to the Company, if after the execution and delivery of this Agreement and on or prior to the Closing Date or, in the case of the Option Shares, prior to the Additional Closing Date (i) trading generally shall have been suspended or materially limited on or by either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242" w:name="page243"/>
    <w:bookmarkEnd w:id="242"/>
    <w:p>
      <w:pPr>
        <w:ind w:left="700" w:hanging="276"/>
        <w:spacing w:after="0"/>
        <w:tabs>
          <w:tab w:leader="none" w:pos="70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Underwriter</w:t>
      </w:r>
      <w:r>
        <w:rPr>
          <w:rFonts w:ascii="Arial" w:cs="Arial" w:eastAsia="Arial" w:hAnsi="Arial"/>
          <w:sz w:val="18"/>
          <w:szCs w:val="18"/>
          <w:color w:val="auto"/>
        </w:rPr>
        <w:t>.</w:t>
      </w:r>
    </w:p>
    <w:p>
      <w:pPr>
        <w:spacing w:after="0" w:line="117" w:lineRule="exact"/>
        <w:rPr>
          <w:sz w:val="20"/>
          <w:szCs w:val="20"/>
          <w:color w:val="auto"/>
        </w:rPr>
      </w:pPr>
    </w:p>
    <w:p>
      <w:pPr>
        <w:ind w:left="-40" w:firstLine="464"/>
        <w:spacing w:after="0" w:line="287" w:lineRule="auto"/>
        <w:tabs>
          <w:tab w:leader="none" w:pos="661"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172" w:lineRule="exact"/>
        <w:rPr>
          <w:rFonts w:ascii="Arial" w:cs="Arial" w:eastAsia="Arial" w:hAnsi="Arial"/>
          <w:sz w:val="16"/>
          <w:szCs w:val="16"/>
          <w:color w:val="auto"/>
        </w:rPr>
      </w:pPr>
    </w:p>
    <w:p>
      <w:pPr>
        <w:ind w:left="-40" w:right="40" w:firstLine="464"/>
        <w:spacing w:after="0" w:line="273" w:lineRule="auto"/>
        <w:tabs>
          <w:tab w:leader="none" w:pos="67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one-tenth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78" w:lineRule="exact"/>
        <w:rPr>
          <w:rFonts w:ascii="Arial" w:cs="Arial" w:eastAsia="Arial" w:hAnsi="Arial"/>
          <w:sz w:val="17"/>
          <w:szCs w:val="17"/>
          <w:color w:val="auto"/>
        </w:rPr>
      </w:pPr>
    </w:p>
    <w:p>
      <w:pPr>
        <w:ind w:left="-40" w:firstLine="464"/>
        <w:spacing w:after="0" w:line="254" w:lineRule="auto"/>
        <w:tabs>
          <w:tab w:leader="none" w:pos="66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one-tenth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92" w:lineRule="exact"/>
        <w:rPr>
          <w:rFonts w:ascii="Arial" w:cs="Arial" w:eastAsia="Arial" w:hAnsi="Arial"/>
          <w:sz w:val="18"/>
          <w:szCs w:val="18"/>
          <w:color w:val="auto"/>
        </w:rPr>
      </w:pPr>
    </w:p>
    <w:p>
      <w:pPr>
        <w:ind w:left="-40" w:right="120" w:firstLine="464"/>
        <w:spacing w:after="0" w:line="277" w:lineRule="auto"/>
        <w:tabs>
          <w:tab w:leader="none" w:pos="67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80" w:top="274" w:right="279" w:bottom="1440" w:gutter="0" w:footer="0" w:header="0"/>
        </w:sectPr>
      </w:pPr>
    </w:p>
    <w:bookmarkStart w:id="243" w:name="page244"/>
    <w:bookmarkEnd w:id="243"/>
    <w:p>
      <w:pPr>
        <w:ind w:left="700" w:hanging="256"/>
        <w:spacing w:after="0"/>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Expenses</w:t>
      </w:r>
      <w:r>
        <w:rPr>
          <w:rFonts w:ascii="Arial" w:cs="Arial" w:eastAsia="Arial" w:hAnsi="Arial"/>
          <w:sz w:val="18"/>
          <w:szCs w:val="18"/>
          <w:i w:val="1"/>
          <w:iCs w:val="1"/>
          <w:color w:val="auto"/>
        </w:rPr>
        <w:t>.</w:t>
      </w:r>
    </w:p>
    <w:p>
      <w:pPr>
        <w:spacing w:after="0" w:line="117" w:lineRule="exact"/>
        <w:rPr>
          <w:sz w:val="20"/>
          <w:szCs w:val="20"/>
          <w:color w:val="auto"/>
        </w:rPr>
      </w:pPr>
    </w:p>
    <w:p>
      <w:pPr>
        <w:ind w:left="-20" w:firstLine="464"/>
        <w:spacing w:after="0" w:line="286" w:lineRule="auto"/>
        <w:tabs>
          <w:tab w:leader="none" w:pos="68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reasonable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provided that the amount payable by the Company pursuant to clauses (iv) and (vii) shall not exceed $50,000; (viii) all expenses incurred by the Company in connection with any “road show” presentation to potential investors (provided that, (A) the Company and the Underwriters will each bear 50% of the costs associated with any chartered aircraft used; (B) the Company and the Underwriters will each pay their own costs associated with hotel accommodations; and (C) the Underwriters will pay the costs and expenses associated with ground transportation, group functions and any electronic “road show”) and (ix) all expenses and application fees related to the listing of the Shares on the Nasdaq Global Market.</w:t>
      </w:r>
    </w:p>
    <w:p>
      <w:pPr>
        <w:spacing w:after="0" w:line="171" w:lineRule="exact"/>
        <w:rPr>
          <w:rFonts w:ascii="Arial" w:cs="Arial" w:eastAsia="Arial" w:hAnsi="Arial"/>
          <w:sz w:val="16"/>
          <w:szCs w:val="16"/>
          <w:color w:val="auto"/>
        </w:rPr>
      </w:pPr>
    </w:p>
    <w:p>
      <w:pPr>
        <w:ind w:left="-20" w:right="60" w:firstLine="464"/>
        <w:spacing w:after="0" w:line="255" w:lineRule="auto"/>
        <w:tabs>
          <w:tab w:leader="none" w:pos="69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(i) this Agreement is terminated pursuant to Section 9, (ii) the Company for any reason fails to tender the Shares for delivery to the Underwriters (other than by reason of a default by any Underwriter) or (iii) the Underwriters decline to purchase the Shares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 For avoidance of doubt, it is understood that the Company shall not pay or reimburse any costs, fees or expenses incurred by an Underwriter pursuant to this paragraph (b) that defaults on its obligations to purchase the Shares.</w:t>
      </w:r>
    </w:p>
    <w:p>
      <w:pPr>
        <w:spacing w:after="0" w:line="193" w:lineRule="exact"/>
        <w:rPr>
          <w:sz w:val="20"/>
          <w:szCs w:val="20"/>
          <w:color w:val="auto"/>
        </w:rPr>
      </w:pPr>
    </w:p>
    <w:p>
      <w:pPr>
        <w:ind w:left="-20" w:right="180" w:firstLine="464"/>
        <w:spacing w:after="0" w:line="257" w:lineRule="auto"/>
        <w:tabs>
          <w:tab w:leader="none" w:pos="706"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8" w:lineRule="exact"/>
        <w:rPr>
          <w:rFonts w:ascii="Arial" w:cs="Arial" w:eastAsia="Arial" w:hAnsi="Arial"/>
          <w:sz w:val="18"/>
          <w:szCs w:val="18"/>
          <w:color w:val="auto"/>
        </w:rPr>
      </w:pPr>
    </w:p>
    <w:p>
      <w:pPr>
        <w:ind w:left="-20" w:right="460" w:firstLine="464"/>
        <w:spacing w:after="0" w:line="342" w:lineRule="auto"/>
        <w:tabs>
          <w:tab w:leader="none" w:pos="706"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60" w:top="274" w:right="239" w:bottom="1440" w:gutter="0" w:footer="0" w:header="0"/>
        </w:sectPr>
      </w:pPr>
    </w:p>
    <w:bookmarkStart w:id="244" w:name="page245"/>
    <w:bookmarkEnd w:id="24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delivered pursuant hereto shall survive the delivery of and payment for the Shares and shall remain in full force and effect, regardless of any termination of this Agreement or any investigation made by or on behalf of the Company or the Underwriters.</w:t>
      </w:r>
    </w:p>
    <w:p>
      <w:pPr>
        <w:spacing w:after="0" w:line="170" w:lineRule="exact"/>
        <w:rPr>
          <w:sz w:val="20"/>
          <w:szCs w:val="20"/>
          <w:color w:val="auto"/>
        </w:rPr>
      </w:pPr>
    </w:p>
    <w:p>
      <w:pPr>
        <w:ind w:right="40" w:firstLine="464"/>
        <w:spacing w:after="0" w:line="286" w:lineRule="auto"/>
        <w:tabs>
          <w:tab w:leader="none" w:pos="726"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right="360" w:firstLine="464"/>
        <w:spacing w:after="0" w:line="259" w:lineRule="auto"/>
        <w:tabs>
          <w:tab w:leader="none" w:pos="72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94" w:lineRule="exact"/>
        <w:rPr>
          <w:rFonts w:ascii="Arial" w:cs="Arial" w:eastAsia="Arial" w:hAnsi="Arial"/>
          <w:sz w:val="18"/>
          <w:szCs w:val="18"/>
          <w:color w:val="auto"/>
        </w:rPr>
      </w:pPr>
    </w:p>
    <w:p>
      <w:pPr>
        <w:ind w:left="740" w:hanging="276"/>
        <w:spacing w:after="0"/>
        <w:tabs>
          <w:tab w:leader="none" w:pos="74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76" w:lineRule="auto"/>
        <w:tabs>
          <w:tab w:leader="none" w:pos="701"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notices and other communications hereunder shall be in writing and shall be deemed to have been duly given if mailed or transmitted</w:t>
      </w:r>
      <w:r>
        <w:rPr>
          <w:rFonts w:ascii="Arial" w:cs="Arial" w:eastAsia="Arial" w:hAnsi="Arial"/>
          <w:sz w:val="17"/>
          <w:szCs w:val="17"/>
          <w:i w:val="1"/>
          <w:iCs w:val="1"/>
          <w:color w:val="auto"/>
        </w:rPr>
        <w:t xml:space="preserve"> </w:t>
      </w:r>
      <w:r>
        <w:rPr>
          <w:rFonts w:ascii="Arial" w:cs="Arial" w:eastAsia="Arial" w:hAnsi="Arial"/>
          <w:sz w:val="17"/>
          <w:szCs w:val="17"/>
          <w:color w:val="auto"/>
        </w:rPr>
        <w:t>and confirmed by any standard form of telecommunication. Notices to the Underwriters shall be given to the Representatives c/o J.P. Morgan Securities LLC, 383 Madison Avenue, New York, New York 10179 (fax: (212) 622-8358); Attention: Equity Syndicate Desk; c/o Goldman Sachs &amp; Co. LLC, 200 West Street, New York, New York 10282, Attention: Control Room; c/o Leerink Partners LLC, One Federal Street, 37th Floor, Boston, MA 02110 Notices to the Company shall be given to it at 161 First Street, Third Floor, Cambridge, MA 02142, (fax:[●]); Attention:[●].</w:t>
      </w:r>
    </w:p>
    <w:p>
      <w:pPr>
        <w:spacing w:after="0" w:line="172" w:lineRule="exact"/>
        <w:rPr>
          <w:rFonts w:ascii="Arial" w:cs="Arial" w:eastAsia="Arial" w:hAnsi="Arial"/>
          <w:sz w:val="17"/>
          <w:szCs w:val="17"/>
          <w:color w:val="auto"/>
        </w:rPr>
      </w:pPr>
    </w:p>
    <w:p>
      <w:pPr>
        <w:ind w:right="640" w:firstLine="464"/>
        <w:spacing w:after="0" w:line="277" w:lineRule="auto"/>
        <w:tabs>
          <w:tab w:leader="none" w:pos="711"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and any claim, controversy or dispute arising under or related to this Agreement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laws of the State of New York.</w:t>
      </w:r>
    </w:p>
    <w:p>
      <w:pPr>
        <w:spacing w:after="0" w:line="170"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Each of the parties hereto hereby waives any right to trial by jury in any suit or proceeding arising out of or relating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rFonts w:ascii="Arial" w:cs="Arial" w:eastAsia="Arial" w:hAnsi="Arial"/>
          <w:sz w:val="18"/>
          <w:szCs w:val="18"/>
          <w:color w:val="auto"/>
        </w:rPr>
      </w:pPr>
    </w:p>
    <w:p>
      <w:pPr>
        <w:ind w:right="1320" w:firstLine="464"/>
        <w:spacing w:after="0" w:line="308" w:lineRule="auto"/>
        <w:tabs>
          <w:tab w:leader="none" w:pos="711"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146" w:lineRule="exact"/>
        <w:rPr>
          <w:rFonts w:ascii="Arial" w:cs="Arial" w:eastAsia="Arial" w:hAnsi="Arial"/>
          <w:sz w:val="17"/>
          <w:szCs w:val="17"/>
          <w:color w:val="auto"/>
        </w:rPr>
      </w:pPr>
    </w:p>
    <w:p>
      <w:pPr>
        <w:ind w:right="300" w:firstLine="464"/>
        <w:spacing w:after="0" w:line="277" w:lineRule="auto"/>
        <w:tabs>
          <w:tab w:leader="none" w:pos="701"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right="600" w:firstLine="464"/>
        <w:spacing w:after="0" w:line="277" w:lineRule="auto"/>
        <w:tabs>
          <w:tab w:leader="none" w:pos="681"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4" w:right="299" w:bottom="1440" w:gutter="0" w:footer="0" w:header="0"/>
        </w:sectPr>
      </w:pPr>
    </w:p>
    <w:bookmarkStart w:id="245" w:name="page246"/>
    <w:bookmarkEnd w:id="24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SOLID BIOSCIENCES,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-1905</wp:posOffset>
            </wp:positionV>
            <wp:extent cx="26587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-1905</wp:posOffset>
            </wp:positionV>
            <wp:extent cx="265874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-1905</wp:posOffset>
            </wp:positionV>
            <wp:extent cx="265874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-1905</wp:posOffset>
            </wp:positionV>
            <wp:extent cx="26587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274" w:right="45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Underwriter</w:t>
            </w:r>
          </w:p>
        </w:tc>
        <w:tc>
          <w:tcPr>
            <w:tcW w:w="5340" w:type="dxa"/>
            <w:vAlign w:val="bottom"/>
          </w:tcPr>
          <w:p>
            <w:pPr>
              <w:spacing w:after="0"/>
              <w:rPr>
                <w:sz w:val="14"/>
                <w:szCs w:val="14"/>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Number of Shares</w:t>
            </w:r>
          </w:p>
        </w:tc>
      </w:tr>
      <w:tr>
        <w:trPr>
          <w:trHeight w:val="224"/>
        </w:trPr>
        <w:tc>
          <w:tcPr>
            <w:tcW w:w="60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670"/>
              <w:spacing w:after="0"/>
              <w:rPr>
                <w:sz w:val="20"/>
                <w:szCs w:val="20"/>
                <w:color w:val="auto"/>
              </w:rPr>
            </w:pPr>
            <w:r>
              <w:rPr>
                <w:rFonts w:ascii="Arial" w:cs="Arial" w:eastAsia="Arial" w:hAnsi="Arial"/>
                <w:sz w:val="18"/>
                <w:szCs w:val="18"/>
                <w:color w:val="auto"/>
              </w:rPr>
              <w:t>]</w:t>
            </w: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670"/>
              <w:spacing w:after="0"/>
              <w:rPr>
                <w:sz w:val="20"/>
                <w:szCs w:val="20"/>
                <w:color w:val="auto"/>
              </w:rPr>
            </w:pPr>
            <w:r>
              <w:rPr>
                <w:rFonts w:ascii="Arial" w:cs="Arial" w:eastAsia="Arial" w:hAnsi="Arial"/>
                <w:sz w:val="18"/>
                <w:szCs w:val="18"/>
                <w:color w:val="auto"/>
              </w:rPr>
              <w:t>]</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Leerink Partners LLC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670"/>
              <w:spacing w:after="0"/>
              <w:rPr>
                <w:sz w:val="20"/>
                <w:szCs w:val="20"/>
                <w:color w:val="auto"/>
              </w:rPr>
            </w:pPr>
            <w:r>
              <w:rPr>
                <w:rFonts w:ascii="Arial" w:cs="Arial" w:eastAsia="Arial" w:hAnsi="Arial"/>
                <w:sz w:val="18"/>
                <w:szCs w:val="18"/>
                <w:color w:val="auto"/>
              </w:rPr>
              <w:t>]</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Chardan Capital Markets, LLC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670"/>
              <w:spacing w:after="0"/>
              <w:rPr>
                <w:sz w:val="20"/>
                <w:szCs w:val="20"/>
                <w:color w:val="auto"/>
              </w:rPr>
            </w:pPr>
            <w:r>
              <w:rPr>
                <w:rFonts w:ascii="Arial" w:cs="Arial" w:eastAsia="Arial" w:hAnsi="Arial"/>
                <w:sz w:val="18"/>
                <w:szCs w:val="18"/>
                <w:color w:val="auto"/>
              </w:rPr>
              <w:t>]</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Nomura Securities International, Inc.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67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4218305</wp:posOffset>
            </wp:positionH>
            <wp:positionV relativeFrom="paragraph">
              <wp:posOffset>180340</wp:posOffset>
            </wp:positionV>
            <wp:extent cx="257175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Total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1-1</w:t>
      </w:r>
    </w:p>
    <w:p>
      <w:pPr>
        <w:sectPr>
          <w:pgSz w:w="11900" w:h="16838" w:orient="portrait"/>
          <w:cols w:equalWidth="0" w:num="1">
            <w:col w:w="11420"/>
          </w:cols>
          <w:pgMar w:left="240" w:top="274"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Subsidiaries</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Sch. 2-1</w:t>
      </w:r>
    </w:p>
    <w:p>
      <w:pPr>
        <w:sectPr>
          <w:pgSz w:w="11900" w:h="16838" w:orient="portrait"/>
          <w:cols w:equalWidth="0" w:num="1">
            <w:col w:w="10220"/>
          </w:cols>
          <w:pgMar w:left="1440" w:top="274"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Pricing Disclosure Package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Pricing Information Provided Orally by Underwriters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Underwritten Shares: [●]</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Shares: [●]</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Public Offering Price Per Share: $[●]</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w:t>
      </w:r>
    </w:p>
    <w:p>
      <w:pPr>
        <w:sectPr>
          <w:pgSz w:w="11900" w:h="16838" w:orient="portrait"/>
          <w:cols w:equalWidth="0" w:num="1">
            <w:col w:w="11420"/>
          </w:cols>
          <w:pgMar w:left="240" w:top="274"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Testing-the-Waters Communications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Investor Presentation dated [●],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w:t>
      </w:r>
    </w:p>
    <w:p>
      <w:pPr>
        <w:sectPr>
          <w:pgSz w:w="11900" w:h="16838" w:orient="portrait"/>
          <w:cols w:equalWidth="0" w:num="1">
            <w:col w:w="11420"/>
          </w:cols>
          <w:pgMar w:left="240" w:top="274"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[Issuer Name]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Pricing Term Sheet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[To come, to the extent needed.]</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Annex C-1</w:t>
      </w:r>
    </w:p>
    <w:p>
      <w:pPr>
        <w:sectPr>
          <w:pgSz w:w="11900" w:h="16838" w:orient="portrait"/>
          <w:cols w:equalWidth="0" w:num="1">
            <w:col w:w="10220"/>
          </w:cols>
          <w:pgMar w:left="1440" w:top="274"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D-1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[Form of Opinion of Counsel for the Company]</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Annex D-1</w:t>
      </w:r>
    </w:p>
    <w:p>
      <w:pPr>
        <w:sectPr>
          <w:pgSz w:w="11900" w:h="16838" w:orient="portrait"/>
          <w:cols w:equalWidth="0" w:num="1">
            <w:col w:w="10220"/>
          </w:cols>
          <w:pgMar w:left="1440" w:top="274"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D-2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[Form of Opinion of IP Counsel for the Company]</w:t>
      </w:r>
    </w:p>
    <w:p>
      <w:pPr>
        <w:sectPr>
          <w:pgSz w:w="11900" w:h="16838" w:orient="portrait"/>
          <w:cols w:equalWidth="0" w:num="1">
            <w:col w:w="10220"/>
          </w:cols>
          <w:pgMar w:left="1440" w:top="274" w:right="239" w:bottom="1440" w:gutter="0" w:footer="0" w:header="0"/>
        </w:sectPr>
      </w:pPr>
    </w:p>
    <w:bookmarkStart w:id="253" w:name="page254"/>
    <w:bookmarkEnd w:id="253"/>
    <w:p>
      <w:pPr>
        <w:ind w:left="107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EGC–Testing the waters authorization (to be delivered by the issuer to J.P. Morgan Securities LLC, Goldman Sachs &amp; Co. LLC and Leerink Partners LLC in email or letter form)</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reliance on Section 5(d) of the Securities Act of 1933, as amended (the “Act”), Solid Biosciences, LLC (the “Issuer”) hereby authorizes J.P. Morgan Securities LLC (“J.P. Morgan”), Goldman Sachs &amp; Co. LLC (“Goldman”), and Leerink Partners LLC (“Leerink”) (collectively, the “Representatives”) and their affiliates and their respective employees, to engage on behalf of the Issuer in oral and written communications with potential investors that are “qualified institutional buyers”, as defined in Rule 144A under the Act, or institutions that are “accredited investors”, as defined in Regulation D under the Act, to determine whether such investors might have an interest in the Issuer’s contemplated initial public offering (“Testing-the-Waters Communications”). A “Written Testing-the Waters Communication” means any Testing-the-Waters Communication that is a written communication within the meaning of Rule 405 under the Act.</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Issuer represents that it is an “emerging growth company” as defined in Section 2(a)(19) of the Act (“Emerging Growth Company”) and agrees to promptly notify J.P. Morgan, Goldman and Leerink in writing if the Issuer hereafter ceases to be an Emerging Growth Company while this authorization is in effect. 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J.P. Morgan, Goldman and Leerink and will promptly amend or supplement, at its own expense, such Written Testing-the-Waters Communication to eliminate or correct such untrue statement or omission.</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Nothing in this authorization is intended to limit or otherwise affect the ability of J.P. Morgan, Goldman and Leerink and their affiliates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J.P. Morgan, Goldman and Leerink a written notice revoking this authorization. All notices as described herein shall be sent by email to the attention of David Ke at David.ke@jpmorgan.com, Jack Bannister at jack.bannister@gs.com and Rahul Chaudhary at rahul.chaudhary@leerink.com, with copies to Deana Kirkpatrick at deanna.kirkpatrick@davispolk.com and Yasin Keshvargar at yasin.keshvargar@davispolk.com.</w:t>
      </w:r>
    </w:p>
    <w:p>
      <w:pPr>
        <w:sectPr>
          <w:pgSz w:w="11900" w:h="16838" w:orient="portrait"/>
          <w:cols w:equalWidth="0" w:num="1">
            <w:col w:w="11420"/>
          </w:cols>
          <w:pgMar w:left="240" w:top="274"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 MORGAN SECURITIES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GOLDMAN SACHS &amp; CO.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LEERINK PARTNERS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1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25"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This letter is being delivered to you in connection with the offering by Solid Biosciences, Inc. (the “Company”) of [●] shares of common stock, $ par value (the “Common Stock”), of the Company and the lock-up letter dated , 2017 (the “Lock-up Letter”), executed by you in connection with such offering, and your request for a [waiver] [release] dated , 20 with respect to [●] shares of Common Stock (the “Shares”).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Securities LLC, Goldman Sachs &amp; Co. LLC and Leerink Partners LLC hereby agree to [waive] [release] the transfer restrictions set forth</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the Lock-up Letter, but only with respect to the Shares, effective , 20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25"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Yours very truly,</w:t>
      </w: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[Signature of J.P. Morgan Securities LLC Representative]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[Name of J.P. Morgan Securities LLC Representative]</w:t>
      </w:r>
    </w:p>
    <w:p>
      <w:pPr>
        <w:sectPr>
          <w:pgSz w:w="11900" w:h="16838" w:orient="portrait"/>
          <w:cols w:equalWidth="0" w:num="1">
            <w:col w:w="11420"/>
          </w:cols>
          <w:pgMar w:left="240" w:top="274" w:right="239" w:bottom="1440" w:gutter="0" w:footer="0" w:header="0"/>
        </w:sectPr>
      </w:pPr>
    </w:p>
    <w:bookmarkStart w:id="255" w:name="page256"/>
    <w:bookmarkEnd w:id="255"/>
    <w:p>
      <w:pPr>
        <w:ind w:left="593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of Goldman Sachs &amp; Co. LLC Representative]</w:t>
      </w:r>
    </w:p>
    <w:p>
      <w:pPr>
        <w:spacing w:after="0" w:line="248" w:lineRule="exact"/>
        <w:rPr>
          <w:sz w:val="20"/>
          <w:szCs w:val="20"/>
          <w:color w:val="auto"/>
        </w:rPr>
      </w:pPr>
    </w:p>
    <w:p>
      <w:pPr>
        <w:ind w:left="5932"/>
        <w:spacing w:after="0"/>
        <w:rPr>
          <w:sz w:val="20"/>
          <w:szCs w:val="20"/>
          <w:color w:val="auto"/>
        </w:rPr>
      </w:pPr>
      <w:r>
        <w:rPr>
          <w:rFonts w:ascii="Arial" w:cs="Arial" w:eastAsia="Arial" w:hAnsi="Arial"/>
          <w:sz w:val="17"/>
          <w:szCs w:val="17"/>
          <w:b w:val="1"/>
          <w:bCs w:val="1"/>
          <w:color w:val="auto"/>
        </w:rPr>
        <w:t>[Name of Goldman Sachs &amp; Co. LLC Representative]</w:t>
      </w:r>
    </w:p>
    <w:p>
      <w:pPr>
        <w:spacing w:after="0" w:line="237" w:lineRule="exact"/>
        <w:rPr>
          <w:sz w:val="20"/>
          <w:szCs w:val="20"/>
          <w:color w:val="auto"/>
        </w:rPr>
      </w:pPr>
    </w:p>
    <w:p>
      <w:pPr>
        <w:ind w:left="5932"/>
        <w:spacing w:after="0"/>
        <w:rPr>
          <w:sz w:val="20"/>
          <w:szCs w:val="20"/>
          <w:color w:val="auto"/>
        </w:rPr>
      </w:pPr>
      <w:r>
        <w:rPr>
          <w:rFonts w:ascii="Arial" w:cs="Arial" w:eastAsia="Arial" w:hAnsi="Arial"/>
          <w:sz w:val="18"/>
          <w:szCs w:val="18"/>
          <w:b w:val="1"/>
          <w:bCs w:val="1"/>
          <w:color w:val="auto"/>
        </w:rPr>
        <w:t>[Signature of Leerink Partners LLC Representative]</w:t>
      </w:r>
    </w:p>
    <w:p>
      <w:pPr>
        <w:spacing w:after="0" w:line="225" w:lineRule="exact"/>
        <w:rPr>
          <w:sz w:val="20"/>
          <w:szCs w:val="20"/>
          <w:color w:val="auto"/>
        </w:rPr>
      </w:pPr>
    </w:p>
    <w:p>
      <w:pPr>
        <w:ind w:left="5932"/>
        <w:spacing w:after="0"/>
        <w:rPr>
          <w:sz w:val="20"/>
          <w:szCs w:val="20"/>
          <w:color w:val="auto"/>
        </w:rPr>
      </w:pPr>
      <w:r>
        <w:rPr>
          <w:rFonts w:ascii="Arial" w:cs="Arial" w:eastAsia="Arial" w:hAnsi="Arial"/>
          <w:sz w:val="18"/>
          <w:szCs w:val="18"/>
          <w:b w:val="1"/>
          <w:bCs w:val="1"/>
          <w:color w:val="auto"/>
        </w:rPr>
        <w:t>[Name of Leerink Partners LLC Representative]</w:t>
      </w:r>
    </w:p>
    <w:p>
      <w:pPr>
        <w:spacing w:after="0" w:line="378" w:lineRule="exact"/>
        <w:rPr>
          <w:sz w:val="20"/>
          <w:szCs w:val="20"/>
          <w:color w:val="auto"/>
        </w:rPr>
      </w:pPr>
    </w:p>
    <w:p>
      <w:pPr>
        <w:ind w:left="452" w:hanging="452"/>
        <w:spacing w:after="0"/>
        <w:tabs>
          <w:tab w:leader="none" w:pos="4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Company</w:t>
      </w:r>
    </w:p>
    <w:p>
      <w:pPr>
        <w:spacing w:after="0" w:line="158" w:lineRule="exact"/>
        <w:rPr>
          <w:sz w:val="20"/>
          <w:szCs w:val="20"/>
          <w:color w:val="auto"/>
        </w:rPr>
      </w:pPr>
    </w:p>
    <w:p>
      <w:pPr>
        <w:ind w:left="559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52"/>
          </w:cols>
          <w:pgMar w:left="248" w:top="270" w:right="129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IPOs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Solid Biosciences,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Solid Biosciences, Inc. (“Company”) announced today that J.P. Morgan Securities LLC, Goldman Sachs &amp; Co. LLC and Leerink Partners LLC, the lead</w:t>
      </w:r>
    </w:p>
    <w:p>
      <w:pPr>
        <w:spacing w:after="0" w:line="35"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book-running managers in the Company’s recent public sale of shares of common stock, are [waiving] [releasing] a lock-up restriction with respect to shares of the Company’s common stock held by [certain officers or directors] [an officer or director] of the Company. The [waiver] [release] will</w:t>
      </w:r>
    </w:p>
    <w:p>
      <w:pPr>
        <w:spacing w:after="0"/>
        <w:tabs>
          <w:tab w:leader="none" w:pos="1540" w:val="left"/>
          <w:tab w:leader="none" w:pos="2000" w:val="left"/>
        </w:tabs>
        <w:rPr>
          <w:sz w:val="20"/>
          <w:szCs w:val="20"/>
          <w:color w:val="auto"/>
        </w:rPr>
      </w:pPr>
      <w:r>
        <w:rPr>
          <w:rFonts w:ascii="Arial" w:cs="Arial" w:eastAsia="Arial" w:hAnsi="Arial"/>
          <w:sz w:val="18"/>
          <w:szCs w:val="18"/>
          <w:color w:val="auto"/>
        </w:rPr>
        <w:t>take effect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and the shares may be sold on or after such date.</w:t>
      </w:r>
    </w:p>
    <w:p>
      <w:pPr>
        <w:spacing w:after="0" w:line="207"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 2017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10171</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SOLID BIOSCIENCES, LLC —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undersigned understands that you, as Representatives of the several Underwriters, propose to enter into an underwriting agreement (the “Underwriting Agreement”) with Solid Biosciences, LLC, a Delaware limited liability company (the “Company”), providing for the public offering (the “Public Offering”) by the several Underwriters named in Schedule 1 to the Underwriting Agreement (the “Underwriters”), of common stock, par value $[●] of the Company (the “Securities”). Prior to the Public Offering, the Company will convert to a corporation, expected to be named, Solid Biosciences, Inc. Capitalized terms used herein and not otherwise defined shall have the meanings set forth in the Underwriting Agreement.</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the Representatives on behalf of the Underwriters, the undersigned will not, during the period beginning on the date of this letter agreement (this “Letter Agreement”) and ending 180 days after the date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58" w:name="page259"/>
    <w:bookmarkEnd w:id="25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prospectus relating to the Public Offering (the “Prospectus”) (such period, the “Restricted Period”) , (1) offer, pledge, sell, contract to sell, sell any option or contract to purchase, purchase any option or contract to sell, grant any option, right or warrant to purchase, or otherwise transfer or dispose of, directly or indirectly, any shares of Common Stock, $[0.001] per share par value, of the Company (the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w:t>
      </w:r>
    </w:p>
    <w:p>
      <w:pPr>
        <w:spacing w:after="0" w:line="1" w:lineRule="exact"/>
        <w:rPr>
          <w:sz w:val="20"/>
          <w:szCs w:val="20"/>
          <w:color w:val="auto"/>
        </w:rPr>
      </w:pPr>
    </w:p>
    <w:p>
      <w:pPr>
        <w:ind w:right="40" w:firstLine="8"/>
        <w:spacing w:after="0" w:line="261" w:lineRule="auto"/>
        <w:tabs>
          <w:tab w:leader="none" w:pos="2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 any security convertible into or exercisable or exchangeable for Common Stock.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paragraph shall not apply to:</w:t>
      </w:r>
    </w:p>
    <w:p>
      <w:pPr>
        <w:spacing w:after="0" w:line="225" w:lineRule="exact"/>
        <w:rPr>
          <w:sz w:val="20"/>
          <w:szCs w:val="20"/>
          <w:color w:val="auto"/>
        </w:rPr>
      </w:pPr>
    </w:p>
    <w:p>
      <w:pPr>
        <w:ind w:right="240" w:firstLine="464"/>
        <w:spacing w:after="0" w:line="277" w:lineRule="auto"/>
        <w:tabs>
          <w:tab w:leader="none" w:pos="75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that the undersigned may purchase in the Public Offering (provided that the undersigned is not an officer or director of the Company) or in open market transactions during the Restricted Period,</w:t>
      </w:r>
    </w:p>
    <w:p>
      <w:pPr>
        <w:spacing w:after="0" w:line="170" w:lineRule="exact"/>
        <w:rPr>
          <w:rFonts w:ascii="Arial" w:cs="Arial" w:eastAsia="Arial" w:hAnsi="Arial"/>
          <w:sz w:val="18"/>
          <w:szCs w:val="18"/>
          <w:color w:val="auto"/>
        </w:rPr>
      </w:pPr>
    </w:p>
    <w:p>
      <w:pPr>
        <w:jc w:val="both"/>
        <w:ind w:right="60" w:firstLine="464"/>
        <w:spacing w:after="0" w:line="279" w:lineRule="auto"/>
        <w:tabs>
          <w:tab w:leader="none" w:pos="741"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exercise, including by “net” exercise, so long as exercised in accordance with clauses (C) and (D) below, of any options or warrants to acquire shares of Common Stock or the conversion of any convertible security into Common Stock described in the Pricing Disclosure Package and the Prospectus, or issued pursuant to an equity plan described in the Pricing Disclosure Package and the Prospectus, it being understood that any shares of Common Stock received shall be subject to the restrictions on transfer set forth in this Letter Agreement,</w:t>
      </w:r>
    </w:p>
    <w:p>
      <w:pPr>
        <w:spacing w:after="0" w:line="171" w:lineRule="exact"/>
        <w:rPr>
          <w:rFonts w:ascii="Arial" w:cs="Arial" w:eastAsia="Arial" w:hAnsi="Arial"/>
          <w:sz w:val="17"/>
          <w:szCs w:val="17"/>
          <w:color w:val="auto"/>
        </w:rPr>
      </w:pPr>
    </w:p>
    <w:p>
      <w:pPr>
        <w:ind w:right="260" w:firstLine="464"/>
        <w:spacing w:after="0" w:line="277" w:lineRule="auto"/>
        <w:tabs>
          <w:tab w:leader="none" w:pos="74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sale or transfer to the Company of such number of shares of Common Stock acquired by the undersigned in connection with the exercise of such options or warrants on a “net” exercise basis described in the foregoing clause,</w:t>
      </w:r>
    </w:p>
    <w:p>
      <w:pPr>
        <w:spacing w:after="0" w:line="170" w:lineRule="exact"/>
        <w:rPr>
          <w:rFonts w:ascii="Arial" w:cs="Arial" w:eastAsia="Arial" w:hAnsi="Arial"/>
          <w:sz w:val="18"/>
          <w:szCs w:val="18"/>
          <w:color w:val="auto"/>
        </w:rPr>
      </w:pPr>
    </w:p>
    <w:p>
      <w:pPr>
        <w:ind w:right="260" w:firstLine="464"/>
        <w:spacing w:after="0" w:line="308" w:lineRule="auto"/>
        <w:tabs>
          <w:tab w:leader="none" w:pos="751"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sale or transfer to the Company of such number of shares of Common Stock necessary to generate only such amount of cash needed for the payment of taxes (including estimated taxes) due as a result of the exercise of such options or warrant described in clause (C),</w:t>
      </w:r>
    </w:p>
    <w:p>
      <w:pPr>
        <w:spacing w:after="0" w:line="146" w:lineRule="exact"/>
        <w:rPr>
          <w:rFonts w:ascii="Arial" w:cs="Arial" w:eastAsia="Arial" w:hAnsi="Arial"/>
          <w:sz w:val="17"/>
          <w:szCs w:val="17"/>
          <w:color w:val="auto"/>
        </w:rPr>
      </w:pPr>
    </w:p>
    <w:p>
      <w:pPr>
        <w:ind w:left="740" w:hanging="276"/>
        <w:spacing w:after="0"/>
        <w:tabs>
          <w:tab w:leader="none" w:pos="7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transfers of shares of Common Stock as a bona fide gift or gifts or pursuant to a negotiated divorce settlement,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transfers pursuant to a qualified domestic relations order,</w:t>
      </w:r>
    </w:p>
    <w:p>
      <w:pPr>
        <w:spacing w:after="0" w:line="225" w:lineRule="exact"/>
        <w:rPr>
          <w:rFonts w:ascii="Arial" w:cs="Arial" w:eastAsia="Arial" w:hAnsi="Arial"/>
          <w:sz w:val="18"/>
          <w:szCs w:val="18"/>
          <w:color w:val="auto"/>
        </w:rPr>
      </w:pPr>
    </w:p>
    <w:p>
      <w:pPr>
        <w:ind w:right="400" w:firstLine="464"/>
        <w:spacing w:after="0" w:line="277" w:lineRule="auto"/>
        <w:tabs>
          <w:tab w:leader="none" w:pos="75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distributions or transfers of shares of Common Stock or other securities to subsidiaries, limited or general partners, members, stockholders or affiliates of, or any investment fund or other entity that controls or manages, the undersigned,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4" w:right="339" w:bottom="1440" w:gutter="0" w:footer="0" w:header="0"/>
        </w:sectPr>
      </w:pPr>
    </w:p>
    <w:bookmarkStart w:id="259" w:name="page260"/>
    <w:bookmarkEnd w:id="259"/>
    <w:p>
      <w:pPr>
        <w:ind w:firstLine="464"/>
        <w:spacing w:after="0" w:line="257" w:lineRule="auto"/>
        <w:tabs>
          <w:tab w:leader="none" w:pos="751"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transfers of shares of Common Stock or other securities to any immediate family member, trusts for the direct or indirect benefit of the undersigned or the immediate family members of the undersigned or any of their successors upon death, or any partnerships or limited liability company, the partners or members of which consist of or are for the direct or indirect benefit of the undersigned and/or immediate family members or other dependents of the undersigned, (for purposes of this Letter Agreement, “immediate family” means any relationship by blood, marriage or adoption, not more remote than first cousin),</w:t>
      </w:r>
    </w:p>
    <w:p>
      <w:pPr>
        <w:spacing w:after="0" w:line="188" w:lineRule="exact"/>
        <w:rPr>
          <w:rFonts w:ascii="Arial" w:cs="Arial" w:eastAsia="Arial" w:hAnsi="Arial"/>
          <w:sz w:val="18"/>
          <w:szCs w:val="18"/>
          <w:color w:val="auto"/>
        </w:rPr>
      </w:pPr>
    </w:p>
    <w:p>
      <w:pPr>
        <w:ind w:right="240" w:firstLine="464"/>
        <w:spacing w:after="0" w:line="342" w:lineRule="auto"/>
        <w:tabs>
          <w:tab w:leader="none" w:pos="68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transfers of shares of Common Stock or other securities of the Company by will, other testamentary document or intestate succession to the legal representative, heir, beneficiary or a member of the immediate family of the undersigned in a transaction not involving a disposition for value,</w:t>
      </w:r>
    </w:p>
    <w:p>
      <w:pPr>
        <w:spacing w:after="0" w:line="123" w:lineRule="exact"/>
        <w:rPr>
          <w:rFonts w:ascii="Arial" w:cs="Arial" w:eastAsia="Arial" w:hAnsi="Arial"/>
          <w:sz w:val="16"/>
          <w:szCs w:val="16"/>
          <w:color w:val="auto"/>
        </w:rPr>
      </w:pPr>
    </w:p>
    <w:p>
      <w:pPr>
        <w:ind w:right="40" w:firstLine="464"/>
        <w:spacing w:after="0" w:line="259" w:lineRule="auto"/>
        <w:tabs>
          <w:tab w:leader="none" w:pos="69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any forfeiture, sale or other transfer to the Company of any shares of Common Stock or other securities in connection with the termination of the undersigned’s employment with or services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public announcement reporting a reduction in the beneficial ownership shall be voluntarily made, and any required announcement, including any announcement under the Securities Exchange Act of 1934, as amended, shall clearly indicate the reason for such reduction,</w:t>
      </w:r>
    </w:p>
    <w:p>
      <w:pPr>
        <w:spacing w:after="0" w:line="186" w:lineRule="exact"/>
        <w:rPr>
          <w:rFonts w:ascii="Arial" w:cs="Arial" w:eastAsia="Arial" w:hAnsi="Arial"/>
          <w:sz w:val="18"/>
          <w:szCs w:val="18"/>
          <w:color w:val="auto"/>
        </w:rPr>
      </w:pPr>
    </w:p>
    <w:p>
      <w:pPr>
        <w:ind w:right="60" w:firstLine="464"/>
        <w:spacing w:after="0" w:line="264" w:lineRule="auto"/>
        <w:tabs>
          <w:tab w:leader="none" w:pos="75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conversion of common or preferred units of the Company into shares of Common Stock in connection with the consummation of the Public Offering, it being understood that any such shares of Common Stock received by the undersigned upon such conversion shall be subject to the restrictions on transfer set forth in this Letter Agreement;</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transfer or distribution pursuant to clauses (E), (G), (H) and (I), each donee, distributee or transferee shall execute and deliver to the Representatives a lock-up letter in the form of this paragraph;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the case of any transfer or distribution pursuant to clauses (A) through (E) and (G) through (I), no filing by any party (donor, donee, transferor or transferee) under the Securities Exchange Act of 1934, as amended, or other public announcement reporting a reduction in the beneficial ownership shall be required or shall be made voluntarily in connection with such transfer or distribution (other than a filing on a Form 5 or 13F filing made after the expiration of the Restricted Period and any required Schedule 13G (or 13G/A)).</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the foregoing paragraph shall not apply to the establishment of a trading plan by the undersigned pursuant to Rule 10b5-1 under the Exchange Act for the transfer of shares of Common Stock, provided that such plan does not provide for the transfer of Common Stock during the Restricted Period and, no public announcement or filing under the Exchange Act, if any, is required of or is voluntarily made by or on behalf of the undersigned or the Company regarding such plan.</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provisions shall be equally applicable to any Company-directed Securities the undersigned may purchase in the Public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60" w:name="page261"/>
    <w:bookmarkEnd w:id="260"/>
    <w:p>
      <w:pPr>
        <w:ind w:right="10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restrictions contained herein shall not apply to any transfers, sales, tenders or other dispositions of Common Stock or any security convertible into or exercisable or exchangeable for Common Stock pursuant to a bona fide third-party tender offer, merger, amalgamation, consolidation or other similar transaction made to or involving all holders of the Common Stock or such other securities pursuant to a change of control of the ownership of the Company (including, without limitation, the entry into any lock-up, voting or similar agreement pursuant to which the undersigned may agree to transfer, sell, tender or otherwise dispose of Common Stock or other such securities in favor of any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tender offer, merger, amalgamation, consolidation or other similar transaction is not completed, any Common Stock or any security convertible into or exercisable or exchangeable for Common Stock subject to this Letter Agreement shall remain subject to the restrictions contained in this Letter Agreement. For purposes of this Letter Agreement, “change of control” shall mean the consummation of any bona fide third party tender offer, merger, amalgamation, consolidation or other similar transaction the result of which is that any “person” (as defined in Section 13(d)(3) of the Exchange Act), or group of persons, other than the Company, becomes the beneficial owner (as defined in Rules 13d-3 and 13d-5 of the Exchange Act) of 50% of total voting power of the voting stock of the Company.</w:t>
      </w:r>
    </w:p>
    <w:p>
      <w:pPr>
        <w:spacing w:after="0" w:line="16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If the undersigned is an officer or director of the Company, (i) the Representatives on behalf of the Underwriters agrees that, at least three business days before the effective date of any release or waiver of the foregoing restrictions in connection with a transfer of shares of Common Stock, the Representatives on behalf of the Underwriters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on behalf of the Underwriters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79"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24"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addition, the undersigned hereby waives any and all notice requirements and rights with respect to the registration of any securities pursuant to any agreement, instrument, understanding or otherwise, including any registration rights agreement or similar agreement, to which the undersigned is a party or under which the undersigned is entitled to any right or benefit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61" w:name="page262"/>
    <w:bookmarkEnd w:id="261"/>
    <w:p>
      <w:pPr>
        <w:ind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tag-along rights or other similar rights to have any securities included in the Public Offering. The Company is an intended third-party beneficiary of the waiver provided by the undersigned in this paragraph and may rely on such waiver as if the Letter Agreement was directly addressed to it.</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understands that, if (A) either the Company, on the one hand, or the Representatives on behalf of the Underwriters, on the other hand, notifies the other in writing, prior to the execution of the Underwriting Agreement, that they have determined not to proceed with the Public Offering, (B) the Underwriting Agreement does not become effective by February 28, 2018, (C) the Underwriting Agreement (other than the provisions thereof which survive termination) shall terminate or be terminated prior to payment for and delivery of the Common Stock to be sold thereunder or (D) the registration statement filed with the Securities and Exchange Commission in connection with the Public Offering is withdrawn,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262" w:name="page263"/>
    <w:bookmarkEnd w:id="26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Agreement and any claim, controversy or dispute arising under or related to this Letter Agreement shall be governed by and construed in accordance with the laws of the State of New York.</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STOCKHOLDER]</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-1905</wp:posOffset>
            </wp:positionV>
            <wp:extent cx="265874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240" w:top="274" w:right="49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SOLID BIOSCIENCES,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SOLID GT, LLC</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Dated as of March 29, 2017</w:t>
      </w:r>
    </w:p>
    <w:p>
      <w:pPr>
        <w:sectPr>
          <w:pgSz w:w="11900" w:h="16838" w:orient="portrait"/>
          <w:cols w:equalWidth="0" w:num="1">
            <w:col w:w="10220"/>
          </w:cols>
          <w:pgMar w:left="1440" w:top="121" w:right="2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34"/>
        </w:trPr>
        <w:tc>
          <w:tcPr>
            <w:tcW w:w="1108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80" w:type="dxa"/>
            <w:vAlign w:val="bottom"/>
            <w:vMerge w:val="restart"/>
          </w:tcPr>
          <w:p>
            <w:pPr>
              <w:spacing w:after="0"/>
              <w:rPr>
                <w:sz w:val="20"/>
                <w:szCs w:val="20"/>
                <w:color w:val="auto"/>
              </w:rPr>
            </w:pPr>
            <w:r>
              <w:rPr>
                <w:rFonts w:ascii="Arial" w:cs="Arial" w:eastAsia="Arial" w:hAnsi="Arial"/>
                <w:sz w:val="18"/>
                <w:szCs w:val="18"/>
                <w:color w:val="auto"/>
              </w:rPr>
              <w:t>ARTICLE I MERGER; MERGER CONSIDERATION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1108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1080" w:type="dxa"/>
            <w:vAlign w:val="bottom"/>
          </w:tcPr>
          <w:p>
            <w:pPr>
              <w:ind w:left="360"/>
              <w:spacing w:after="0"/>
              <w:rPr>
                <w:sz w:val="20"/>
                <w:szCs w:val="20"/>
                <w:color w:val="auto"/>
              </w:rPr>
            </w:pPr>
            <w:r>
              <w:rPr>
                <w:rFonts w:ascii="Arial" w:cs="Arial" w:eastAsia="Arial" w:hAnsi="Arial"/>
                <w:sz w:val="18"/>
                <w:szCs w:val="18"/>
                <w:color w:val="auto"/>
              </w:rPr>
              <w:t>Section 1. 1 The Merger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80" w:type="dxa"/>
            <w:vAlign w:val="bottom"/>
          </w:tcPr>
          <w:p>
            <w:pPr>
              <w:ind w:left="360"/>
              <w:spacing w:after="0"/>
              <w:rPr>
                <w:sz w:val="20"/>
                <w:szCs w:val="20"/>
                <w:color w:val="auto"/>
              </w:rPr>
            </w:pPr>
            <w:r>
              <w:rPr>
                <w:rFonts w:ascii="Arial" w:cs="Arial" w:eastAsia="Arial" w:hAnsi="Arial"/>
                <w:sz w:val="18"/>
                <w:szCs w:val="18"/>
                <w:color w:val="auto"/>
              </w:rPr>
              <w:t>Section 1. 2 Closing; Effective Time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80" w:type="dxa"/>
            <w:vAlign w:val="bottom"/>
          </w:tcPr>
          <w:p>
            <w:pPr>
              <w:ind w:left="360"/>
              <w:spacing w:after="0"/>
              <w:rPr>
                <w:sz w:val="20"/>
                <w:szCs w:val="20"/>
                <w:color w:val="auto"/>
              </w:rPr>
            </w:pPr>
            <w:r>
              <w:rPr>
                <w:rFonts w:ascii="Arial" w:cs="Arial" w:eastAsia="Arial" w:hAnsi="Arial"/>
                <w:sz w:val="18"/>
                <w:szCs w:val="18"/>
                <w:color w:val="auto"/>
              </w:rPr>
              <w:t>Section 1. 3 Operating Agreement; Managers and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1080" w:type="dxa"/>
            <w:vAlign w:val="bottom"/>
          </w:tcPr>
          <w:p>
            <w:pPr>
              <w:ind w:left="360"/>
              <w:spacing w:after="0"/>
              <w:rPr>
                <w:sz w:val="20"/>
                <w:szCs w:val="20"/>
                <w:color w:val="auto"/>
              </w:rPr>
            </w:pPr>
            <w:r>
              <w:rPr>
                <w:rFonts w:ascii="Arial" w:cs="Arial" w:eastAsia="Arial" w:hAnsi="Arial"/>
                <w:sz w:val="18"/>
                <w:szCs w:val="18"/>
                <w:color w:val="auto"/>
              </w:rPr>
              <w:t>Section 1. 4 Effect of the Merger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1080" w:type="dxa"/>
            <w:vAlign w:val="bottom"/>
          </w:tcPr>
          <w:p>
            <w:pPr>
              <w:spacing w:after="0"/>
              <w:rPr>
                <w:sz w:val="20"/>
                <w:szCs w:val="20"/>
                <w:color w:val="auto"/>
              </w:rPr>
            </w:pPr>
            <w:r>
              <w:rPr>
                <w:rFonts w:ascii="Arial" w:cs="Arial" w:eastAsia="Arial" w:hAnsi="Arial"/>
                <w:sz w:val="18"/>
                <w:szCs w:val="18"/>
                <w:color w:val="auto"/>
              </w:rPr>
              <w:t>ARTICLE II REPRESENTATIONS AND WARRANTIES OF BIO</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11080" w:type="dxa"/>
            <w:vAlign w:val="bottom"/>
          </w:tcPr>
          <w:p>
            <w:pPr>
              <w:ind w:left="360"/>
              <w:spacing w:after="0"/>
              <w:rPr>
                <w:sz w:val="20"/>
                <w:szCs w:val="20"/>
                <w:color w:val="auto"/>
              </w:rPr>
            </w:pPr>
            <w:r>
              <w:rPr>
                <w:rFonts w:ascii="Arial" w:cs="Arial" w:eastAsia="Arial" w:hAnsi="Arial"/>
                <w:sz w:val="18"/>
                <w:szCs w:val="18"/>
                <w:color w:val="auto"/>
              </w:rPr>
              <w:t>Section 2. 1 Organization and Qualification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080" w:type="dxa"/>
            <w:vAlign w:val="bottom"/>
          </w:tcPr>
          <w:p>
            <w:pPr>
              <w:ind w:left="360"/>
              <w:spacing w:after="0"/>
              <w:rPr>
                <w:sz w:val="20"/>
                <w:szCs w:val="20"/>
                <w:color w:val="auto"/>
              </w:rPr>
            </w:pPr>
            <w:r>
              <w:rPr>
                <w:rFonts w:ascii="Arial" w:cs="Arial" w:eastAsia="Arial" w:hAnsi="Arial"/>
                <w:sz w:val="18"/>
                <w:szCs w:val="18"/>
                <w:color w:val="auto"/>
              </w:rPr>
              <w:t>Section 2. 2 Authorization and Enforceability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1080" w:type="dxa"/>
            <w:vAlign w:val="bottom"/>
          </w:tcPr>
          <w:p>
            <w:pPr>
              <w:ind w:left="360"/>
              <w:spacing w:after="0"/>
              <w:rPr>
                <w:sz w:val="20"/>
                <w:szCs w:val="20"/>
                <w:color w:val="auto"/>
              </w:rPr>
            </w:pPr>
            <w:r>
              <w:rPr>
                <w:rFonts w:ascii="Arial" w:cs="Arial" w:eastAsia="Arial" w:hAnsi="Arial"/>
                <w:sz w:val="18"/>
                <w:szCs w:val="18"/>
                <w:color w:val="auto"/>
              </w:rPr>
              <w:t>Section 2. 3 No Violation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1080" w:type="dxa"/>
            <w:vAlign w:val="bottom"/>
          </w:tcPr>
          <w:p>
            <w:pPr>
              <w:spacing w:after="0"/>
              <w:rPr>
                <w:sz w:val="20"/>
                <w:szCs w:val="20"/>
                <w:color w:val="auto"/>
              </w:rPr>
            </w:pPr>
            <w:r>
              <w:rPr>
                <w:rFonts w:ascii="Arial" w:cs="Arial" w:eastAsia="Arial" w:hAnsi="Arial"/>
                <w:sz w:val="18"/>
                <w:szCs w:val="18"/>
                <w:color w:val="auto"/>
              </w:rPr>
              <w:t>ARTICLE III REPRESENTATIONS AND WARRANTIES OF GT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0"/>
        </w:trPr>
        <w:tc>
          <w:tcPr>
            <w:tcW w:w="11080" w:type="dxa"/>
            <w:vAlign w:val="bottom"/>
          </w:tcPr>
          <w:p>
            <w:pPr>
              <w:ind w:left="360"/>
              <w:spacing w:after="0"/>
              <w:rPr>
                <w:sz w:val="20"/>
                <w:szCs w:val="20"/>
                <w:color w:val="auto"/>
              </w:rPr>
            </w:pPr>
            <w:r>
              <w:rPr>
                <w:rFonts w:ascii="Arial" w:cs="Arial" w:eastAsia="Arial" w:hAnsi="Arial"/>
                <w:sz w:val="18"/>
                <w:szCs w:val="18"/>
                <w:color w:val="auto"/>
              </w:rPr>
              <w:t>Section 3. 1 Organization and Qualification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080" w:type="dxa"/>
            <w:vAlign w:val="bottom"/>
          </w:tcPr>
          <w:p>
            <w:pPr>
              <w:ind w:left="360"/>
              <w:spacing w:after="0"/>
              <w:rPr>
                <w:sz w:val="20"/>
                <w:szCs w:val="20"/>
                <w:color w:val="auto"/>
              </w:rPr>
            </w:pPr>
            <w:r>
              <w:rPr>
                <w:rFonts w:ascii="Arial" w:cs="Arial" w:eastAsia="Arial" w:hAnsi="Arial"/>
                <w:sz w:val="18"/>
                <w:szCs w:val="18"/>
                <w:color w:val="auto"/>
              </w:rPr>
              <w:t>Section 3. 2 Authorization and Enforceability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1080" w:type="dxa"/>
            <w:vAlign w:val="bottom"/>
          </w:tcPr>
          <w:p>
            <w:pPr>
              <w:ind w:left="360"/>
              <w:spacing w:after="0"/>
              <w:rPr>
                <w:sz w:val="20"/>
                <w:szCs w:val="20"/>
                <w:color w:val="auto"/>
              </w:rPr>
            </w:pPr>
            <w:r>
              <w:rPr>
                <w:rFonts w:ascii="Arial" w:cs="Arial" w:eastAsia="Arial" w:hAnsi="Arial"/>
                <w:sz w:val="18"/>
                <w:szCs w:val="18"/>
                <w:color w:val="auto"/>
              </w:rPr>
              <w:t>Section 3. 3 No Violation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1080" w:type="dxa"/>
            <w:vAlign w:val="bottom"/>
          </w:tcPr>
          <w:p>
            <w:pPr>
              <w:spacing w:after="0"/>
              <w:rPr>
                <w:sz w:val="20"/>
                <w:szCs w:val="20"/>
                <w:color w:val="auto"/>
              </w:rPr>
            </w:pPr>
            <w:r>
              <w:rPr>
                <w:rFonts w:ascii="Arial" w:cs="Arial" w:eastAsia="Arial" w:hAnsi="Arial"/>
                <w:sz w:val="18"/>
                <w:szCs w:val="18"/>
                <w:color w:val="auto"/>
              </w:rPr>
              <w:t>ARTICLE IV 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11080" w:type="dxa"/>
            <w:vAlign w:val="bottom"/>
          </w:tcPr>
          <w:p>
            <w:pPr>
              <w:ind w:left="360"/>
              <w:spacing w:after="0"/>
              <w:rPr>
                <w:sz w:val="20"/>
                <w:szCs w:val="20"/>
                <w:color w:val="auto"/>
              </w:rPr>
            </w:pPr>
            <w:r>
              <w:rPr>
                <w:rFonts w:ascii="Arial" w:cs="Arial" w:eastAsia="Arial" w:hAnsi="Arial"/>
                <w:sz w:val="18"/>
                <w:szCs w:val="18"/>
                <w:color w:val="auto"/>
              </w:rPr>
              <w:t>Section 4. 1 Notices, Consents,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80" w:type="dxa"/>
            <w:vAlign w:val="bottom"/>
          </w:tcPr>
          <w:p>
            <w:pPr>
              <w:ind w:left="360"/>
              <w:spacing w:after="0"/>
              <w:rPr>
                <w:sz w:val="20"/>
                <w:szCs w:val="20"/>
                <w:color w:val="auto"/>
              </w:rPr>
            </w:pPr>
            <w:r>
              <w:rPr>
                <w:rFonts w:ascii="Arial" w:cs="Arial" w:eastAsia="Arial" w:hAnsi="Arial"/>
                <w:sz w:val="18"/>
                <w:szCs w:val="18"/>
                <w:color w:val="auto"/>
              </w:rPr>
              <w:t>Section 4. 2 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80" w:type="dxa"/>
            <w:vAlign w:val="bottom"/>
          </w:tcPr>
          <w:p>
            <w:pPr>
              <w:ind w:left="360"/>
              <w:spacing w:after="0"/>
              <w:rPr>
                <w:sz w:val="20"/>
                <w:szCs w:val="20"/>
                <w:color w:val="auto"/>
              </w:rPr>
            </w:pPr>
            <w:r>
              <w:rPr>
                <w:rFonts w:ascii="Arial" w:cs="Arial" w:eastAsia="Arial" w:hAnsi="Arial"/>
                <w:sz w:val="18"/>
                <w:szCs w:val="18"/>
                <w:color w:val="auto"/>
              </w:rPr>
              <w:t>Section 4. 3 Successors; Assignment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80" w:type="dxa"/>
            <w:vAlign w:val="bottom"/>
          </w:tcPr>
          <w:p>
            <w:pPr>
              <w:ind w:left="360"/>
              <w:spacing w:after="0"/>
              <w:rPr>
                <w:sz w:val="20"/>
                <w:szCs w:val="20"/>
                <w:color w:val="auto"/>
              </w:rPr>
            </w:pPr>
            <w:r>
              <w:rPr>
                <w:rFonts w:ascii="Arial" w:cs="Arial" w:eastAsia="Arial" w:hAnsi="Arial"/>
                <w:sz w:val="18"/>
                <w:szCs w:val="18"/>
                <w:color w:val="auto"/>
              </w:rPr>
              <w:t>Section 4. 4 Counterparts; Facsimile Signatures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80" w:type="dxa"/>
            <w:vAlign w:val="bottom"/>
          </w:tcPr>
          <w:p>
            <w:pPr>
              <w:ind w:left="360"/>
              <w:spacing w:after="0"/>
              <w:rPr>
                <w:sz w:val="20"/>
                <w:szCs w:val="20"/>
                <w:color w:val="auto"/>
              </w:rPr>
            </w:pPr>
            <w:r>
              <w:rPr>
                <w:rFonts w:ascii="Arial" w:cs="Arial" w:eastAsia="Arial" w:hAnsi="Arial"/>
                <w:sz w:val="18"/>
                <w:szCs w:val="18"/>
                <w:color w:val="auto"/>
              </w:rPr>
              <w:t>Section 4. 5 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80" w:type="dxa"/>
            <w:vAlign w:val="bottom"/>
          </w:tcPr>
          <w:p>
            <w:pPr>
              <w:ind w:left="360"/>
              <w:spacing w:after="0"/>
              <w:rPr>
                <w:sz w:val="20"/>
                <w:szCs w:val="20"/>
                <w:color w:val="auto"/>
              </w:rPr>
            </w:pPr>
            <w:r>
              <w:rPr>
                <w:rFonts w:ascii="Arial" w:cs="Arial" w:eastAsia="Arial" w:hAnsi="Arial"/>
                <w:sz w:val="18"/>
                <w:szCs w:val="18"/>
                <w:color w:val="auto"/>
              </w:rPr>
              <w:t>Section 4. 6 Table of Contents and Headings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80" w:type="dxa"/>
            <w:vAlign w:val="bottom"/>
          </w:tcPr>
          <w:p>
            <w:pPr>
              <w:ind w:left="360"/>
              <w:spacing w:after="0"/>
              <w:rPr>
                <w:sz w:val="20"/>
                <w:szCs w:val="20"/>
                <w:color w:val="auto"/>
              </w:rPr>
            </w:pPr>
            <w:r>
              <w:rPr>
                <w:rFonts w:ascii="Arial" w:cs="Arial" w:eastAsia="Arial" w:hAnsi="Arial"/>
                <w:sz w:val="18"/>
                <w:szCs w:val="18"/>
                <w:color w:val="auto"/>
              </w:rPr>
              <w:t>Section 4. 7 Entire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1080" w:type="dxa"/>
            <w:vAlign w:val="bottom"/>
          </w:tcPr>
          <w:p>
            <w:pPr>
              <w:ind w:left="360"/>
              <w:spacing w:after="0"/>
              <w:rPr>
                <w:sz w:val="20"/>
                <w:szCs w:val="20"/>
                <w:color w:val="auto"/>
              </w:rPr>
            </w:pPr>
            <w:r>
              <w:rPr>
                <w:rFonts w:ascii="Arial" w:cs="Arial" w:eastAsia="Arial" w:hAnsi="Arial"/>
                <w:sz w:val="18"/>
                <w:szCs w:val="18"/>
                <w:color w:val="auto"/>
              </w:rPr>
              <w:t>Section 4. 8 Interpretive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Schedule of Defined Terms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A – A&amp;R Bio Operating Agreement</w:t>
      </w:r>
    </w:p>
    <w:p>
      <w:pPr>
        <w:sectPr>
          <w:pgSz w:w="11900" w:h="16838" w:orient="portrait"/>
          <w:cols w:equalWidth="0" w:num="1">
            <w:col w:w="11360"/>
          </w:cols>
          <w:pgMar w:left="240" w:top="270" w:right="299" w:bottom="144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PLAN OF MERGER</w:t>
      </w:r>
    </w:p>
    <w:p>
      <w:pPr>
        <w:spacing w:after="0" w:line="225"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This AGREEMENT AND PLAN OF MERGER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 made and entered into as of March 29, 2017, by and between Solid</w:t>
      </w:r>
      <w:r>
        <w:rPr>
          <w:rFonts w:ascii="Arial" w:cs="Arial" w:eastAsia="Arial" w:hAnsi="Arial"/>
          <w:sz w:val="18"/>
          <w:szCs w:val="18"/>
          <w:b w:val="1"/>
          <w:bCs w:val="1"/>
          <w:color w:val="auto"/>
        </w:rPr>
        <w:t xml:space="preserve"> </w:t>
      </w:r>
      <w:r>
        <w:rPr>
          <w:rFonts w:ascii="Arial" w:cs="Arial" w:eastAsia="Arial" w:hAnsi="Arial"/>
          <w:sz w:val="18"/>
          <w:szCs w:val="18"/>
          <w:color w:val="auto"/>
        </w:rPr>
        <w:t>Biosciences, LLC, a Delaware limited liability company (“</w:t>
      </w:r>
      <w:r>
        <w:rPr>
          <w:rFonts w:ascii="Arial" w:cs="Arial" w:eastAsia="Arial" w:hAnsi="Arial"/>
          <w:sz w:val="18"/>
          <w:szCs w:val="18"/>
          <w:b w:val="1"/>
          <w:bCs w:val="1"/>
          <w:color w:val="auto"/>
        </w:rPr>
        <w:t>Bio</w:t>
      </w:r>
      <w:r>
        <w:rPr>
          <w:rFonts w:ascii="Arial" w:cs="Arial" w:eastAsia="Arial" w:hAnsi="Arial"/>
          <w:sz w:val="18"/>
          <w:szCs w:val="18"/>
          <w:color w:val="auto"/>
        </w:rPr>
        <w:t>”), and Solid GT, LLC, a Delaware limited liability company (“</w:t>
      </w:r>
      <w:r>
        <w:rPr>
          <w:rFonts w:ascii="Arial" w:cs="Arial" w:eastAsia="Arial" w:hAnsi="Arial"/>
          <w:sz w:val="18"/>
          <w:szCs w:val="18"/>
          <w:b w:val="1"/>
          <w:bCs w:val="1"/>
          <w:color w:val="auto"/>
        </w:rPr>
        <w:t>GT</w:t>
      </w:r>
      <w:r>
        <w:rPr>
          <w:rFonts w:ascii="Arial" w:cs="Arial" w:eastAsia="Arial" w:hAnsi="Arial"/>
          <w:sz w:val="18"/>
          <w:szCs w:val="18"/>
          <w:color w:val="auto"/>
        </w:rPr>
        <w:t>”). Each of the parties referred to above may be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Capitalized terms used, but not otherwise defined, herein shall have the meanings set forth on the Schedule of Defined Terms attached hereto, the terms, provisions and contents of which are hereby incorporated by reference herein and made part hereof.</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upon the terms and subject to the conditions set forth herein, Bio and GT desire to merge their respective businesses through a merger of GT with and into Bio; and</w:t>
      </w:r>
    </w:p>
    <w:p>
      <w:pPr>
        <w:spacing w:after="0" w:line="170"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WHEREAS, the board of managers and the members of each of Bio and GT have approved this Agreement and the transactions contemplated hereby upon the terms and subject to the conditions set forth herein and in accordance with the Delaware Limited Liability Company Act (the “</w:t>
      </w:r>
      <w:r>
        <w:rPr>
          <w:rFonts w:ascii="Arial" w:cs="Arial" w:eastAsia="Arial" w:hAnsi="Arial"/>
          <w:sz w:val="17"/>
          <w:szCs w:val="17"/>
          <w:b w:val="1"/>
          <w:bCs w:val="1"/>
          <w:color w:val="auto"/>
        </w:rPr>
        <w:t>Act</w:t>
      </w:r>
      <w:r>
        <w:rPr>
          <w:rFonts w:ascii="Arial" w:cs="Arial" w:eastAsia="Arial" w:hAnsi="Arial"/>
          <w:sz w:val="17"/>
          <w:szCs w:val="17"/>
          <w:color w:val="auto"/>
        </w:rPr>
        <w:t>”).</w:t>
      </w:r>
    </w:p>
    <w:p>
      <w:pPr>
        <w:spacing w:after="0" w:line="14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herein, and other good and valuable consideration, the receipt and sufficiency of which are hereby acknowledged, the Parties hereby agree as follows: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MERGER; MERGER CONSIDERATION</w:t>
      </w:r>
    </w:p>
    <w:p>
      <w:pPr>
        <w:spacing w:after="0" w:line="225"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 xml:space="preserve">Section 1. 1 </w:t>
      </w:r>
      <w:r>
        <w:rPr>
          <w:rFonts w:ascii="Arial" w:cs="Arial" w:eastAsia="Arial" w:hAnsi="Arial"/>
          <w:sz w:val="18"/>
          <w:szCs w:val="18"/>
          <w:b w:val="1"/>
          <w:bCs w:val="1"/>
          <w:u w:val="single" w:color="auto"/>
          <w:color w:val="auto"/>
        </w:rPr>
        <w:t>The Merger</w:t>
      </w:r>
      <w:r>
        <w:rPr>
          <w:rFonts w:ascii="Arial" w:cs="Arial" w:eastAsia="Arial" w:hAnsi="Arial"/>
          <w:sz w:val="18"/>
          <w:szCs w:val="18"/>
          <w:color w:val="auto"/>
        </w:rPr>
        <w:t>. Upon the terms and subject to the conditions of this Agreement, and in accordance with the relevant provisions of the Act,</w:t>
      </w:r>
      <w:r>
        <w:rPr>
          <w:rFonts w:ascii="Arial" w:cs="Arial" w:eastAsia="Arial" w:hAnsi="Arial"/>
          <w:sz w:val="18"/>
          <w:szCs w:val="18"/>
          <w:b w:val="1"/>
          <w:bCs w:val="1"/>
          <w:color w:val="auto"/>
        </w:rPr>
        <w:t xml:space="preserve"> </w:t>
      </w:r>
      <w:r>
        <w:rPr>
          <w:rFonts w:ascii="Arial" w:cs="Arial" w:eastAsia="Arial" w:hAnsi="Arial"/>
          <w:sz w:val="18"/>
          <w:szCs w:val="18"/>
          <w:color w:val="auto"/>
        </w:rPr>
        <w:t>at the Effective Time, GT shall be merged with and into Bio (the “</w:t>
      </w:r>
      <w:r>
        <w:rPr>
          <w:rFonts w:ascii="Arial" w:cs="Arial" w:eastAsia="Arial" w:hAnsi="Arial"/>
          <w:sz w:val="18"/>
          <w:szCs w:val="18"/>
          <w:b w:val="1"/>
          <w:bCs w:val="1"/>
          <w:color w:val="auto"/>
        </w:rPr>
        <w:t>Merger</w:t>
      </w:r>
      <w:r>
        <w:rPr>
          <w:rFonts w:ascii="Arial" w:cs="Arial" w:eastAsia="Arial" w:hAnsi="Arial"/>
          <w:sz w:val="18"/>
          <w:szCs w:val="18"/>
          <w:color w:val="auto"/>
        </w:rPr>
        <w:t>”) and the separate existence of GT shall cease. Following the Effective Time, Bio shall continue as the surviving company in the Merger (the “</w:t>
      </w:r>
      <w:r>
        <w:rPr>
          <w:rFonts w:ascii="Arial" w:cs="Arial" w:eastAsia="Arial" w:hAnsi="Arial"/>
          <w:sz w:val="18"/>
          <w:szCs w:val="18"/>
          <w:b w:val="1"/>
          <w:bCs w:val="1"/>
          <w:color w:val="auto"/>
        </w:rPr>
        <w:t>Surviving Company</w:t>
      </w:r>
      <w:r>
        <w:rPr>
          <w:rFonts w:ascii="Arial" w:cs="Arial" w:eastAsia="Arial" w:hAnsi="Arial"/>
          <w:sz w:val="18"/>
          <w:szCs w:val="18"/>
          <w:color w:val="auto"/>
        </w:rPr>
        <w:t>”).</w:t>
      </w:r>
    </w:p>
    <w:p>
      <w:pPr>
        <w:spacing w:after="0" w:line="284"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b w:val="1"/>
          <w:bCs w:val="1"/>
          <w:color w:val="auto"/>
        </w:rPr>
        <w:t>Section 1. 2</w:t>
      </w:r>
      <w:r>
        <w:rPr>
          <w:sz w:val="20"/>
          <w:szCs w:val="20"/>
          <w:color w:val="auto"/>
        </w:rPr>
        <w:tab/>
      </w:r>
      <w:r>
        <w:rPr>
          <w:rFonts w:ascii="Arial" w:cs="Arial" w:eastAsia="Arial" w:hAnsi="Arial"/>
          <w:sz w:val="16"/>
          <w:szCs w:val="16"/>
          <w:b w:val="1"/>
          <w:bCs w:val="1"/>
          <w:u w:val="single" w:color="auto"/>
          <w:color w:val="auto"/>
        </w:rPr>
        <w:t>Closing; Effective Time</w:t>
      </w:r>
      <w:r>
        <w:rPr>
          <w:rFonts w:ascii="Arial" w:cs="Arial" w:eastAsia="Arial" w:hAnsi="Arial"/>
          <w:sz w:val="16"/>
          <w:szCs w:val="16"/>
          <w:color w:val="auto"/>
        </w:rPr>
        <w:t>.</w:t>
      </w:r>
    </w:p>
    <w:p>
      <w:pPr>
        <w:spacing w:after="0" w:line="117" w:lineRule="exact"/>
        <w:rPr>
          <w:sz w:val="20"/>
          <w:szCs w:val="20"/>
          <w:color w:val="auto"/>
        </w:rPr>
      </w:pPr>
    </w:p>
    <w:p>
      <w:pPr>
        <w:ind w:right="40" w:firstLine="921"/>
        <w:spacing w:after="0" w:line="289" w:lineRule="auto"/>
        <w:tabs>
          <w:tab w:leader="none" w:pos="128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consummation of the transactions contemplated by this Agreement (the “</w:t>
      </w:r>
      <w:r>
        <w:rPr>
          <w:rFonts w:ascii="Arial" w:cs="Arial" w:eastAsia="Arial" w:hAnsi="Arial"/>
          <w:sz w:val="17"/>
          <w:szCs w:val="17"/>
          <w:b w:val="1"/>
          <w:bCs w:val="1"/>
          <w:color w:val="auto"/>
        </w:rPr>
        <w:t>Closing</w:t>
      </w:r>
      <w:r>
        <w:rPr>
          <w:rFonts w:ascii="Arial" w:cs="Arial" w:eastAsia="Arial" w:hAnsi="Arial"/>
          <w:sz w:val="17"/>
          <w:szCs w:val="17"/>
          <w:color w:val="auto"/>
        </w:rPr>
        <w:t>”) shall take place at the offices of Proskauer Rose LLP, One International Place, Boston, MA 02110 at 10:00 a.m. (Eastern time) on the date of this Agreement, or at such other time or on such other date as the Parties may mutually agree. The date on which the Closing occurs is referred to herein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62" w:lineRule="exact"/>
        <w:rPr>
          <w:rFonts w:ascii="Arial" w:cs="Arial" w:eastAsia="Arial" w:hAnsi="Arial"/>
          <w:sz w:val="17"/>
          <w:szCs w:val="17"/>
          <w:color w:val="auto"/>
        </w:rPr>
      </w:pPr>
    </w:p>
    <w:p>
      <w:pPr>
        <w:ind w:left="1320" w:hanging="399"/>
        <w:spacing w:after="0"/>
        <w:tabs>
          <w:tab w:leader="none" w:pos="13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Contemporaneously with or as promptly as practicable after the Closing, the parties hereto shall cause a certificate of merger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Merger</w:t>
      </w:r>
      <w:r>
        <w:rPr>
          <w:rFonts w:ascii="Arial" w:cs="Arial" w:eastAsia="Arial" w:hAnsi="Arial"/>
          <w:sz w:val="18"/>
          <w:szCs w:val="18"/>
          <w:color w:val="auto"/>
        </w:rPr>
        <w:t>”), conforming to the requirements of the Act, to be executed and filed with the Secretary of State of the State of</w:t>
      </w:r>
    </w:p>
    <w:p>
      <w:pPr>
        <w:sectPr>
          <w:pgSz w:w="11900" w:h="16838" w:orient="portrait"/>
          <w:cols w:equalWidth="0" w:num="1">
            <w:col w:w="11420"/>
          </w:cols>
          <w:pgMar w:left="240" w:top="270" w:right="239" w:bottom="1440" w:gutter="0" w:footer="0" w:header="0"/>
        </w:sectPr>
      </w:pPr>
    </w:p>
    <w:bookmarkStart w:id="266" w:name="page267"/>
    <w:bookmarkEnd w:id="266"/>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Delaware. The Merger shall become effective as of the time that the Certificate of Merger is filed with the Secretary of State of the State of Delaware or at such later date or time as may be agreed by the Parties in writing and specified in the Certificate of Merger in accordance with the Act (the effective time of the Merger being referred to herein as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177" w:lineRule="exact"/>
        <w:rPr>
          <w:sz w:val="20"/>
          <w:szCs w:val="20"/>
          <w:color w:val="auto"/>
        </w:rPr>
      </w:pPr>
    </w:p>
    <w:p>
      <w:pPr>
        <w:ind w:right="260" w:firstLine="456"/>
        <w:spacing w:after="0" w:line="313" w:lineRule="auto"/>
        <w:rPr>
          <w:sz w:val="20"/>
          <w:szCs w:val="20"/>
          <w:color w:val="auto"/>
        </w:rPr>
      </w:pPr>
      <w:r>
        <w:rPr>
          <w:rFonts w:ascii="Arial" w:cs="Arial" w:eastAsia="Arial" w:hAnsi="Arial"/>
          <w:sz w:val="17"/>
          <w:szCs w:val="17"/>
          <w:b w:val="1"/>
          <w:bCs w:val="1"/>
          <w:color w:val="auto"/>
        </w:rPr>
        <w:t xml:space="preserve">Section 1. 3 </w:t>
      </w:r>
      <w:r>
        <w:rPr>
          <w:rFonts w:ascii="Arial" w:cs="Arial" w:eastAsia="Arial" w:hAnsi="Arial"/>
          <w:sz w:val="17"/>
          <w:szCs w:val="17"/>
          <w:b w:val="1"/>
          <w:bCs w:val="1"/>
          <w:u w:val="single" w:color="auto"/>
          <w:color w:val="auto"/>
        </w:rPr>
        <w:t>Operating Agreement; Managers and Officers</w:t>
      </w:r>
      <w:r>
        <w:rPr>
          <w:rFonts w:ascii="Arial" w:cs="Arial" w:eastAsia="Arial" w:hAnsi="Arial"/>
          <w:sz w:val="17"/>
          <w:szCs w:val="17"/>
          <w:color w:val="auto"/>
        </w:rPr>
        <w:t>. At the Effective Time: (a) the certificate of formation of Bio shall continue as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formation of the Surviving Company, until thereafter changed or amended as provided therein or by applicable Law;</w:t>
      </w:r>
    </w:p>
    <w:p>
      <w:pPr>
        <w:spacing w:after="0" w:line="142" w:lineRule="exact"/>
        <w:rPr>
          <w:sz w:val="20"/>
          <w:szCs w:val="20"/>
          <w:color w:val="auto"/>
        </w:rPr>
      </w:pPr>
    </w:p>
    <w:p>
      <w:pPr>
        <w:jc w:val="both"/>
        <w:ind w:firstLine="921"/>
        <w:spacing w:after="0" w:line="259" w:lineRule="auto"/>
        <w:tabs>
          <w:tab w:leader="none" w:pos="130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the operating agreement of Bio shall be amended and restated as of the Effective Time substantially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and, as so amended, shall be the operating agreement of the Surviving Company (the “</w:t>
      </w:r>
      <w:r>
        <w:rPr>
          <w:rFonts w:ascii="Arial" w:cs="Arial" w:eastAsia="Arial" w:hAnsi="Arial"/>
          <w:sz w:val="18"/>
          <w:szCs w:val="18"/>
          <w:b w:val="1"/>
          <w:bCs w:val="1"/>
          <w:color w:val="auto"/>
        </w:rPr>
        <w:t>A&amp;R Bio Operating Agreement</w:t>
      </w:r>
      <w:r>
        <w:rPr>
          <w:rFonts w:ascii="Arial" w:cs="Arial" w:eastAsia="Arial" w:hAnsi="Arial"/>
          <w:sz w:val="18"/>
          <w:szCs w:val="18"/>
          <w:color w:val="auto"/>
        </w:rPr>
        <w:t>”) until thereafter changed or amended as provided therein or by applicable Law, and the Surviving Company Units and the holders thereof, including by operation of the Merger, shall be subject to the terms of the A&amp;R Bio Operating Agreement; and</w:t>
      </w:r>
    </w:p>
    <w:p>
      <w:pPr>
        <w:spacing w:after="0" w:line="186" w:lineRule="exact"/>
        <w:rPr>
          <w:rFonts w:ascii="Arial" w:cs="Arial" w:eastAsia="Arial" w:hAnsi="Arial"/>
          <w:sz w:val="18"/>
          <w:szCs w:val="18"/>
          <w:color w:val="auto"/>
        </w:rPr>
      </w:pPr>
    </w:p>
    <w:p>
      <w:pPr>
        <w:jc w:val="both"/>
        <w:ind w:right="200" w:firstLine="921"/>
        <w:spacing w:after="0" w:line="264" w:lineRule="auto"/>
        <w:tabs>
          <w:tab w:leader="none" w:pos="129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managers and officers of the Surviving Company as of the Effective Time shall be as set forth in the A&amp;R Bio Operating Agreement, until the earlier of their resignation or removal or until their respective successors are duly elected and qualified, as the case may be, in accordance with the terms of the A&amp;R Bio Operating Agreement.</w:t>
      </w:r>
    </w:p>
    <w:p>
      <w:pPr>
        <w:spacing w:after="0" w:line="177" w:lineRule="exact"/>
        <w:rPr>
          <w:sz w:val="20"/>
          <w:szCs w:val="20"/>
          <w:color w:val="auto"/>
        </w:rPr>
      </w:pPr>
    </w:p>
    <w:p>
      <w:pPr>
        <w:ind w:right="760" w:firstLine="456"/>
        <w:spacing w:after="0" w:line="282" w:lineRule="auto"/>
        <w:rPr>
          <w:sz w:val="20"/>
          <w:szCs w:val="20"/>
          <w:color w:val="auto"/>
        </w:rPr>
      </w:pPr>
      <w:r>
        <w:rPr>
          <w:rFonts w:ascii="Arial" w:cs="Arial" w:eastAsia="Arial" w:hAnsi="Arial"/>
          <w:sz w:val="18"/>
          <w:szCs w:val="18"/>
          <w:b w:val="1"/>
          <w:bCs w:val="1"/>
          <w:color w:val="auto"/>
        </w:rPr>
        <w:t xml:space="preserve">Section 1. 4 </w:t>
      </w:r>
      <w:r>
        <w:rPr>
          <w:rFonts w:ascii="Arial" w:cs="Arial" w:eastAsia="Arial" w:hAnsi="Arial"/>
          <w:sz w:val="18"/>
          <w:szCs w:val="18"/>
          <w:b w:val="1"/>
          <w:bCs w:val="1"/>
          <w:u w:val="single" w:color="auto"/>
          <w:color w:val="auto"/>
        </w:rPr>
        <w:t>Effect of the Merger</w:t>
      </w:r>
      <w:r>
        <w:rPr>
          <w:rFonts w:ascii="Arial" w:cs="Arial" w:eastAsia="Arial" w:hAnsi="Arial"/>
          <w:sz w:val="18"/>
          <w:szCs w:val="18"/>
          <w:color w:val="auto"/>
        </w:rPr>
        <w:t>. The Merger shall have the effects set forth in the applicable provisions of the Act and as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6" w:lineRule="exact"/>
        <w:rPr>
          <w:sz w:val="20"/>
          <w:szCs w:val="20"/>
          <w:color w:val="auto"/>
        </w:rPr>
      </w:pPr>
    </w:p>
    <w:p>
      <w:pPr>
        <w:ind w:right="60" w:firstLine="921"/>
        <w:spacing w:after="0" w:line="277" w:lineRule="auto"/>
        <w:tabs>
          <w:tab w:leader="none" w:pos="128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At the Effective Time, as a result of the Merger, each issued and outstanding Preferred Unit of Bio shall be converted into 0.7145789 Series A Common Units of the Surviving Company.</w:t>
      </w:r>
    </w:p>
    <w:p>
      <w:pPr>
        <w:spacing w:after="0" w:line="170" w:lineRule="exact"/>
        <w:rPr>
          <w:rFonts w:ascii="Arial" w:cs="Arial" w:eastAsia="Arial" w:hAnsi="Arial"/>
          <w:sz w:val="18"/>
          <w:szCs w:val="18"/>
          <w:color w:val="auto"/>
        </w:rPr>
      </w:pPr>
    </w:p>
    <w:p>
      <w:pPr>
        <w:ind w:right="800" w:firstLine="921"/>
        <w:spacing w:after="0" w:line="308" w:lineRule="auto"/>
        <w:tabs>
          <w:tab w:leader="none" w:pos="1293"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At the Effective Time, as a result of the Merger, each issued and outstanding Series A Common Unit of Bio held by the Founders immediately prior to the Effective Time shall be converted into 0.7145789 Series B Common Units of the Surviving Company.</w:t>
      </w:r>
    </w:p>
    <w:p>
      <w:pPr>
        <w:spacing w:after="0" w:line="146" w:lineRule="exact"/>
        <w:rPr>
          <w:rFonts w:ascii="Arial" w:cs="Arial" w:eastAsia="Arial" w:hAnsi="Arial"/>
          <w:sz w:val="17"/>
          <w:szCs w:val="17"/>
          <w:color w:val="auto"/>
        </w:rPr>
      </w:pPr>
    </w:p>
    <w:p>
      <w:pPr>
        <w:ind w:right="140" w:firstLine="921"/>
        <w:spacing w:after="0" w:line="308" w:lineRule="auto"/>
        <w:tabs>
          <w:tab w:leader="none" w:pos="1283"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At the Effective Time, as a result of the Merger, each issued and outstanding Series A Common Unit of Bio held by Persons other than the Founders immediately prior to the Effective Time shall be converted into 0.7145786 Series D Common Units of the Surviving Company.</w:t>
      </w:r>
    </w:p>
    <w:p>
      <w:pPr>
        <w:spacing w:after="0" w:line="146" w:lineRule="exact"/>
        <w:rPr>
          <w:rFonts w:ascii="Arial" w:cs="Arial" w:eastAsia="Arial" w:hAnsi="Arial"/>
          <w:sz w:val="17"/>
          <w:szCs w:val="17"/>
          <w:color w:val="auto"/>
        </w:rPr>
      </w:pPr>
    </w:p>
    <w:p>
      <w:pPr>
        <w:ind w:left="1300" w:hanging="379"/>
        <w:spacing w:after="0"/>
        <w:tabs>
          <w:tab w:leader="none" w:pos="13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At the Effective Time, as a result of the Merger, each issued and outstanding Class A Voting Unit of GT shall be extinguished and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cease to exist.</w:t>
      </w:r>
    </w:p>
    <w:p>
      <w:pPr>
        <w:spacing w:after="0" w:line="210" w:lineRule="exact"/>
        <w:rPr>
          <w:rFonts w:ascii="Arial" w:cs="Arial" w:eastAsia="Arial" w:hAnsi="Arial"/>
          <w:sz w:val="16"/>
          <w:szCs w:val="16"/>
          <w:color w:val="auto"/>
        </w:rPr>
      </w:pPr>
    </w:p>
    <w:p>
      <w:pPr>
        <w:ind w:left="1300" w:hanging="379"/>
        <w:spacing w:after="0"/>
        <w:tabs>
          <w:tab w:leader="none" w:pos="13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At the Effective Time, as a result of the Merger, each issued and outstanding Class B Non-Voting Unit of GT shall be converted into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32.7183200 Series C Common Units of the Surviving Company.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67" w:name="page268"/>
    <w:bookmarkEnd w:id="267"/>
    <w:p>
      <w:pPr>
        <w:ind w:right="620" w:firstLine="921"/>
        <w:spacing w:after="0" w:line="277" w:lineRule="auto"/>
        <w:tabs>
          <w:tab w:leader="none" w:pos="1263"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Effective Time, as a result of the Merger, each issued and outstanding Class C Non-Voting Unit of GT shall be converted into 32.7183080 Series D Common Units of the Surviving Company.</w:t>
      </w:r>
    </w:p>
    <w:p>
      <w:pPr>
        <w:spacing w:after="0" w:line="170" w:lineRule="exact"/>
        <w:rPr>
          <w:rFonts w:ascii="Arial" w:cs="Arial" w:eastAsia="Arial" w:hAnsi="Arial"/>
          <w:sz w:val="18"/>
          <w:szCs w:val="18"/>
          <w:color w:val="auto"/>
        </w:rPr>
      </w:pPr>
    </w:p>
    <w:p>
      <w:pPr>
        <w:ind w:right="40" w:firstLine="921"/>
        <w:spacing w:after="0" w:line="277" w:lineRule="auto"/>
        <w:tabs>
          <w:tab w:leader="none" w:pos="129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At the Effective Time, as a result of the Merger, each issued and outstanding Class D Voting Unit of GT shall be converted into 32.7183220 Junior Preferred Units of the Surviving Company.</w:t>
      </w:r>
    </w:p>
    <w:p>
      <w:pPr>
        <w:spacing w:after="0" w:line="170" w:lineRule="exact"/>
        <w:rPr>
          <w:rFonts w:ascii="Arial" w:cs="Arial" w:eastAsia="Arial" w:hAnsi="Arial"/>
          <w:sz w:val="18"/>
          <w:szCs w:val="18"/>
          <w:color w:val="auto"/>
        </w:rPr>
      </w:pPr>
    </w:p>
    <w:p>
      <w:pPr>
        <w:jc w:val="both"/>
        <w:ind w:right="160" w:firstLine="921"/>
        <w:spacing w:after="0" w:line="264" w:lineRule="auto"/>
        <w:tabs>
          <w:tab w:leader="none" w:pos="130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From and after the Effective Time, all Bio Units and all GT Units issued and outstanding immediately prior to the Effective Time shall no longer be outstanding and the holders thereof shall cease to have any rights with respect thereto, except the right to receive the Surviving Company Units as set forth in this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right="160" w:firstLine="921"/>
        <w:spacing w:after="0" w:line="259" w:lineRule="auto"/>
        <w:tabs>
          <w:tab w:leader="none" w:pos="126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fractional Units will be issued in connection with the Merger, and no certificates or scrip for any such fractional Units will be issued in connection with the Merger. Any Person who would otherwise be entitled to receive a fraction of a Unit in the Merger (after aggregating all fractional Units issuable to such Person in the Merger) will, in lieu of such fraction of a Unit, be paid in cash the dollar amount (rounded to the nearest whole cent), without interest, determined by multiplying such fraction by $10.00.</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REPRESENTATIONS AND WARRANTIES OF BIO</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Bio hereby represents and warrants to GT, with respect to the matters specified in this Article II:</w:t>
      </w:r>
    </w:p>
    <w:p>
      <w:pPr>
        <w:spacing w:after="0" w:line="113" w:lineRule="exact"/>
        <w:rPr>
          <w:sz w:val="20"/>
          <w:szCs w:val="20"/>
          <w:color w:val="auto"/>
        </w:rPr>
      </w:pPr>
    </w:p>
    <w:p>
      <w:pPr>
        <w:ind w:right="160" w:firstLine="913"/>
        <w:spacing w:after="0" w:line="289" w:lineRule="auto"/>
        <w:rPr>
          <w:sz w:val="20"/>
          <w:szCs w:val="20"/>
          <w:color w:val="auto"/>
        </w:rPr>
      </w:pPr>
      <w:r>
        <w:rPr>
          <w:rFonts w:ascii="Arial" w:cs="Arial" w:eastAsia="Arial" w:hAnsi="Arial"/>
          <w:sz w:val="17"/>
          <w:szCs w:val="17"/>
          <w:b w:val="1"/>
          <w:bCs w:val="1"/>
          <w:color w:val="auto"/>
        </w:rPr>
        <w:t xml:space="preserve">Section 2. 1 </w:t>
      </w:r>
      <w:r>
        <w:rPr>
          <w:rFonts w:ascii="Arial" w:cs="Arial" w:eastAsia="Arial" w:hAnsi="Arial"/>
          <w:sz w:val="17"/>
          <w:szCs w:val="17"/>
          <w:b w:val="1"/>
          <w:bCs w:val="1"/>
          <w:u w:val="single" w:color="auto"/>
          <w:color w:val="auto"/>
        </w:rPr>
        <w:t>Organization and Qualification</w:t>
      </w:r>
      <w:r>
        <w:rPr>
          <w:rFonts w:ascii="Arial" w:cs="Arial" w:eastAsia="Arial" w:hAnsi="Arial"/>
          <w:sz w:val="17"/>
          <w:szCs w:val="17"/>
          <w:color w:val="auto"/>
        </w:rPr>
        <w:t>. Bio is a limited liability company, duly organized, validly existing and in good standing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Laws of the State of Delaware. Bio is duly qualified to conduct its business under the Laws of the jurisdictions in which it does so except for any jurisdiction where the failure to be qualified would not, individually or in the aggregate, have a material adverse effect on Bio.</w:t>
      </w:r>
    </w:p>
    <w:p>
      <w:pPr>
        <w:spacing w:after="0" w:line="15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b w:val="1"/>
          <w:bCs w:val="1"/>
          <w:color w:val="auto"/>
        </w:rPr>
        <w:t xml:space="preserve">Section 2. 2 </w:t>
      </w:r>
      <w:r>
        <w:rPr>
          <w:rFonts w:ascii="Arial" w:cs="Arial" w:eastAsia="Arial" w:hAnsi="Arial"/>
          <w:sz w:val="17"/>
          <w:szCs w:val="17"/>
          <w:b w:val="1"/>
          <w:bCs w:val="1"/>
          <w:u w:val="single" w:color="auto"/>
          <w:color w:val="auto"/>
        </w:rPr>
        <w:t>Authorization and Enforceability</w:t>
      </w:r>
      <w:r>
        <w:rPr>
          <w:rFonts w:ascii="Arial" w:cs="Arial" w:eastAsia="Arial" w:hAnsi="Arial"/>
          <w:sz w:val="17"/>
          <w:szCs w:val="17"/>
          <w:color w:val="auto"/>
        </w:rPr>
        <w:t>. Bio has the requisite limited liability company power and authority to execute and deliver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perform its obligations under this Agreement and to consummate the transactions contemplated by this Agreement, and each of the foregoing has been duly authorized by all necessary limited liability company action with respect to the Bio. This Agreement and the transactions contemplated hereby have been approved by the requisite holders of Bio Units and there is no other vote required by the holders of Bio Units or any other equity securities of Bio to approve this Agreement. This Agreement has been duly executed and delivered by Bio, and this Agreement, assuming the due authorization, execution and delivery by GT, will constitute, upon such execution and delivery hereof, the legal, valid and binding obligation of Bio, enforceable in accordance with its terms and conditions, except as such enforceability may be limited by the General Enforceability Exceptions.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68" w:name="page269"/>
    <w:bookmarkEnd w:id="268"/>
    <w:p>
      <w:pPr>
        <w:ind w:right="12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3 </w:t>
      </w:r>
      <w:r>
        <w:rPr>
          <w:rFonts w:ascii="Arial" w:cs="Arial" w:eastAsia="Arial" w:hAnsi="Arial"/>
          <w:sz w:val="16"/>
          <w:szCs w:val="16"/>
          <w:b w:val="1"/>
          <w:bCs w:val="1"/>
          <w:u w:val="single" w:color="auto"/>
          <w:color w:val="auto"/>
        </w:rPr>
        <w:t>No Violation</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execution and delivery of this Agreement by Bio, nor the performance by Bio of its obligations 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consummation of the transactions contemplated hereby (a) conflict with, violate or constitute a default under the Organizational Documents of Bio,</w:t>
      </w:r>
    </w:p>
    <w:p>
      <w:pPr>
        <w:spacing w:after="0" w:line="1" w:lineRule="exact"/>
        <w:rPr>
          <w:sz w:val="20"/>
          <w:szCs w:val="20"/>
          <w:color w:val="auto"/>
        </w:rPr>
      </w:pPr>
    </w:p>
    <w:p>
      <w:pPr>
        <w:ind w:firstLine="8"/>
        <w:spacing w:after="0" w:line="271" w:lineRule="auto"/>
        <w:tabs>
          <w:tab w:leader="none" w:pos="25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result in a material breach or default (with or without the giving of notice, the lapse of time or both) under, give rise to any right of termination, cancellation or acceleration of any rights or payment or increase or loss of any benefits under any of the terms, conditions or provisions of any material Contract to which Bio is a party or material license or material permit held by Bio, (c) result in the creation or imposition of any Lien upon any of the material properties or assets of Bio, or (d) conflict with or violate in any material respect any Laws applicable to Bio or by which any of its properties are bound, except, in each case, as would not, individually or in the aggregate, have a material adverse effect on Bio.</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 OF GT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GT hereby represents and warrants to Bio, with respect to the matters specified in this Article III:</w:t>
      </w:r>
    </w:p>
    <w:p>
      <w:pPr>
        <w:spacing w:after="0" w:line="113"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Section 3. 1 </w:t>
      </w:r>
      <w:r>
        <w:rPr>
          <w:rFonts w:ascii="Arial" w:cs="Arial" w:eastAsia="Arial" w:hAnsi="Arial"/>
          <w:sz w:val="18"/>
          <w:szCs w:val="18"/>
          <w:b w:val="1"/>
          <w:bCs w:val="1"/>
          <w:u w:val="single" w:color="auto"/>
          <w:color w:val="auto"/>
        </w:rPr>
        <w:t>Organization and Qualification</w:t>
      </w:r>
      <w:r>
        <w:rPr>
          <w:rFonts w:ascii="Arial" w:cs="Arial" w:eastAsia="Arial" w:hAnsi="Arial"/>
          <w:sz w:val="18"/>
          <w:szCs w:val="18"/>
          <w:color w:val="auto"/>
        </w:rPr>
        <w:t>. GT is a limited liability company, duly organized, validly existing and in good standing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Delaware. GT is duly qualified to conduct its business under the Laws of the jurisdictions in which it does so except for any jurisdiction where the failure to be qualified would not, individually or in the aggregate, have a material adverse effect on GT.</w:t>
      </w:r>
    </w:p>
    <w:p>
      <w:pPr>
        <w:spacing w:after="0" w:line="17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 xml:space="preserve">Section 3. 2 </w:t>
      </w:r>
      <w:r>
        <w:rPr>
          <w:rFonts w:ascii="Arial" w:cs="Arial" w:eastAsia="Arial" w:hAnsi="Arial"/>
          <w:sz w:val="17"/>
          <w:szCs w:val="17"/>
          <w:b w:val="1"/>
          <w:bCs w:val="1"/>
          <w:u w:val="single" w:color="auto"/>
          <w:color w:val="auto"/>
        </w:rPr>
        <w:t>Authorization and Enforceability</w:t>
      </w:r>
      <w:r>
        <w:rPr>
          <w:rFonts w:ascii="Arial" w:cs="Arial" w:eastAsia="Arial" w:hAnsi="Arial"/>
          <w:sz w:val="17"/>
          <w:szCs w:val="17"/>
          <w:color w:val="auto"/>
        </w:rPr>
        <w:t>. GT has the requisite limited liability company power and authority to execute and deliver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perform its obligations under this Agreement and to consummate the transactions contemplated by this Agreement, and each of the foregoing has been duly authorized by all necessary limited liability company action with respect to the GT. This Agreement and the transactions contemplated hereby have been approved by the requisite holders of GT Units and there is no other vote required by the holders of GT Units or any other equity securities of GT to approve this Agreement. This Agreement has been duly executed and delivered by GT, and this Agreement, assuming the due authorization, execution and delivery by Bio, will constitute, upon such execution and delivery hereof, the legal, valid and binding obligation of GT, enforceable in accordance with its terms and conditions, except as such enforceability may be limited by the General Enforceability Exceptions.</w:t>
      </w:r>
    </w:p>
    <w:p>
      <w:pPr>
        <w:spacing w:after="0" w:line="172"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color w:val="auto"/>
        </w:rPr>
        <w:t xml:space="preserve">Section 3. 3 </w:t>
      </w:r>
      <w:r>
        <w:rPr>
          <w:rFonts w:ascii="Arial" w:cs="Arial" w:eastAsia="Arial" w:hAnsi="Arial"/>
          <w:sz w:val="16"/>
          <w:szCs w:val="16"/>
          <w:b w:val="1"/>
          <w:bCs w:val="1"/>
          <w:u w:val="single" w:color="auto"/>
          <w:color w:val="auto"/>
        </w:rPr>
        <w:t>No Violation</w:t>
      </w:r>
      <w:r>
        <w:rPr>
          <w:rFonts w:ascii="Arial" w:cs="Arial" w:eastAsia="Arial" w:hAnsi="Arial"/>
          <w:sz w:val="16"/>
          <w:szCs w:val="16"/>
          <w:color w:val="auto"/>
        </w:rPr>
        <w:t>. Neither the execution and delivery of this Agreement by GT, nor the performance by GT of its obligations 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consummation of the transactions contemplated hereby (a) conflict with, violate or constitute a default under the Organizational Documents of GT,</w:t>
      </w:r>
    </w:p>
    <w:p>
      <w:pPr>
        <w:spacing w:after="0" w:line="1" w:lineRule="exact"/>
        <w:rPr>
          <w:sz w:val="20"/>
          <w:szCs w:val="20"/>
          <w:color w:val="auto"/>
        </w:rPr>
      </w:pPr>
    </w:p>
    <w:p>
      <w:pPr>
        <w:ind w:right="40" w:firstLine="8"/>
        <w:spacing w:after="0" w:line="271" w:lineRule="auto"/>
        <w:tabs>
          <w:tab w:leader="none" w:pos="25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result in a material breach or default (with or without the giving of notice, the lapse of time or both) under, give rise to any right of termination, cancellation or acceleration of any rights or payment or increase or loss of any benefits under any of the terms, conditions or provisions of any material Contract to which GT is a party or material license or material permit held by GT, (c) result in the creation or imposition of any Lien upon any of the material properties or assets of GT, or (d) conflict with or violate in any material respect any Laws applicable to GT or by which any of its properties are bound, except, in each case, as would not, individually or in the aggregate, have a material adverse effect on GT.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269" w:name="page270"/>
    <w:bookmarkEnd w:id="2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Section 4. 1 </w:t>
      </w:r>
      <w:r>
        <w:rPr>
          <w:rFonts w:ascii="Arial" w:cs="Arial" w:eastAsia="Arial" w:hAnsi="Arial"/>
          <w:sz w:val="18"/>
          <w:szCs w:val="18"/>
          <w:b w:val="1"/>
          <w:bCs w:val="1"/>
          <w:u w:val="single" w:color="auto"/>
          <w:color w:val="auto"/>
        </w:rPr>
        <w:t>Notices, Consents, Etc</w:t>
      </w:r>
      <w:r>
        <w:rPr>
          <w:rFonts w:ascii="Arial" w:cs="Arial" w:eastAsia="Arial" w:hAnsi="Arial"/>
          <w:sz w:val="18"/>
          <w:szCs w:val="18"/>
          <w:color w:val="auto"/>
        </w:rPr>
        <w:t>. Any notices, consents or other communications required to be sent or given hereunder by either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 every case be in writing and shall be deemed properly served if and when (a) delivered by hand, (b) transmitted by E-mail, or (c) delivered by Federal Express or other express overnight delivery service, or registered or certified mail, return receipt requested, to the Parties at the addresses as set forth below or at such other addresses as may be furnished in writing:</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to GT (prior to the Closing):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Solid GT, LLC</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161 First Street,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Cambridge, MA 02142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Ilan Ganot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w:t>
      </w:r>
    </w:p>
    <w:p>
      <w:pPr>
        <w:spacing w:after="0" w:line="3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Proskauer Rose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International Place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Daniel P. Finkelman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w:t>
      </w:r>
    </w:p>
    <w:p>
      <w:pPr>
        <w:spacing w:after="0" w:line="35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to Bio or the Surviving Company:</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Solid Biosciences, LLC</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161 First Street,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Cambridge, MA 02142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Ilan Ganot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w:t>
      </w:r>
    </w:p>
    <w:p>
      <w:pPr>
        <w:spacing w:after="0" w:line="3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Proskauer Rose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Daniel P. Finkelman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270" w:name="page271"/>
    <w:bookmarkEnd w:id="270"/>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of service of such notice, consent or other communication shall be (i) the date such notice, consent or other communication is delivered by hand or by E-mail, (ii) one Business Day following the delivery by express overnight delivery service, or (iii) three (3) days after the date of mailing if sent by certified or registered mail.</w:t>
      </w:r>
    </w:p>
    <w:p>
      <w:pPr>
        <w:spacing w:after="0" w:line="17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Section 4. 2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unenforceability or invalidity of any provision of this Agreement shall not affect the enforceability or validity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w:t>
      </w:r>
    </w:p>
    <w:p>
      <w:pPr>
        <w:spacing w:after="0" w:line="162"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b w:val="1"/>
          <w:bCs w:val="1"/>
          <w:color w:val="auto"/>
        </w:rPr>
        <w:t xml:space="preserve">Section 4. 3 </w:t>
      </w:r>
      <w:r>
        <w:rPr>
          <w:rFonts w:ascii="Arial" w:cs="Arial" w:eastAsia="Arial" w:hAnsi="Arial"/>
          <w:sz w:val="18"/>
          <w:szCs w:val="18"/>
          <w:b w:val="1"/>
          <w:bCs w:val="1"/>
          <w:u w:val="single" w:color="auto"/>
          <w:color w:val="auto"/>
        </w:rPr>
        <w:t>Successors; Assignment</w:t>
      </w:r>
      <w:r>
        <w:rPr>
          <w:rFonts w:ascii="Arial" w:cs="Arial" w:eastAsia="Arial" w:hAnsi="Arial"/>
          <w:sz w:val="18"/>
          <w:szCs w:val="18"/>
          <w:color w:val="auto"/>
        </w:rPr>
        <w:t>. This Agreement will be binding upon, and inure to the benefit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permitted assigns, but will not be assignable or delegable by Bio without the prior written consent of the GT, and will not be assignable or delegable by GT without the prior written consent of the Bio.</w:t>
      </w:r>
    </w:p>
    <w:p>
      <w:pPr>
        <w:spacing w:after="0" w:line="17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color w:val="auto"/>
        </w:rPr>
        <w:t xml:space="preserve">Section 4. 4 </w:t>
      </w:r>
      <w:r>
        <w:rPr>
          <w:rFonts w:ascii="Arial" w:cs="Arial" w:eastAsia="Arial" w:hAnsi="Arial"/>
          <w:sz w:val="16"/>
          <w:szCs w:val="16"/>
          <w:b w:val="1"/>
          <w:bCs w:val="1"/>
          <w:u w:val="single" w:color="auto"/>
          <w:color w:val="auto"/>
        </w:rPr>
        <w:t>Counterparts; Facsimile Signatures</w:t>
      </w:r>
      <w:r>
        <w:rPr>
          <w:rFonts w:ascii="Arial" w:cs="Arial" w:eastAsia="Arial" w:hAnsi="Arial"/>
          <w:sz w:val="16"/>
          <w:szCs w:val="16"/>
          <w:color w:val="auto"/>
        </w:rPr>
        <w:t>. This Agreement may be executed simultaneously in multiple counterparts, each of which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an original but all of which together shall constitute one and the same instrument. This Agreement, any and all agreements and instruments executed and delivered in accordance herewith, along with any amendments hereto or thereto, to the extent signed and delivered by means of a facsimile machine or other means of electronic transmission, shall be treated in all manner and respects and for all purposes as an original signature, agreement or instrument and shall be considered to have the same binding legal effect as if it were the original signed version thereof delivered in person.</w:t>
      </w:r>
    </w:p>
    <w:p>
      <w:pPr>
        <w:spacing w:after="0" w:line="154" w:lineRule="exact"/>
        <w:rPr>
          <w:sz w:val="20"/>
          <w:szCs w:val="20"/>
          <w:color w:val="auto"/>
        </w:rPr>
      </w:pPr>
    </w:p>
    <w:p>
      <w:pPr>
        <w:ind w:right="220" w:firstLine="456"/>
        <w:spacing w:after="0" w:line="314" w:lineRule="auto"/>
        <w:rPr>
          <w:sz w:val="20"/>
          <w:szCs w:val="20"/>
          <w:color w:val="auto"/>
        </w:rPr>
      </w:pPr>
      <w:r>
        <w:rPr>
          <w:rFonts w:ascii="Arial" w:cs="Arial" w:eastAsia="Arial" w:hAnsi="Arial"/>
          <w:sz w:val="16"/>
          <w:szCs w:val="16"/>
          <w:b w:val="1"/>
          <w:bCs w:val="1"/>
          <w:color w:val="auto"/>
        </w:rPr>
        <w:t xml:space="preserve">Section 4. 5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All matters relating to the interpretation, construction, validity and enforcement of this Agreement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by and construed in accordance with the domestic laws of the State of Delaware without giving effect to any choice or conflict of law provision or rule (whether of the State of Delaware or any other jurisdiction) that would cause the application of laws of any jurisdiction other than the State of Delaware.</w:t>
      </w:r>
    </w:p>
    <w:p>
      <w:pPr>
        <w:spacing w:after="0" w:line="14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Section 4. 6 </w:t>
      </w:r>
      <w:r>
        <w:rPr>
          <w:rFonts w:ascii="Arial" w:cs="Arial" w:eastAsia="Arial" w:hAnsi="Arial"/>
          <w:sz w:val="18"/>
          <w:szCs w:val="18"/>
          <w:b w:val="1"/>
          <w:bCs w:val="1"/>
          <w:u w:val="single" w:color="auto"/>
          <w:color w:val="auto"/>
        </w:rPr>
        <w:t>Table of Contents and Headings</w:t>
      </w:r>
      <w:r>
        <w:rPr>
          <w:rFonts w:ascii="Arial" w:cs="Arial" w:eastAsia="Arial" w:hAnsi="Arial"/>
          <w:sz w:val="18"/>
          <w:szCs w:val="18"/>
          <w:color w:val="auto"/>
        </w:rPr>
        <w:t>. The table of contents and section headings of this Agreement are included for reference purposes only</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affect the construction or interpretation of any of the provisions of this Agreement.</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Section 4. 7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sets forth the entire understanding of the Parties with respect to the transactions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supersedes all prior discussions, understandings, agreements and representations and shall not be modified or affected by any offer, proposal, statement or representation, oral or written, made by or for any Party in connection with the negotiation of the terms hereof. This Agreement may be modified only by subsequent instruments signed by the Parties hereto.</w:t>
      </w:r>
    </w:p>
    <w:p>
      <w:pPr>
        <w:spacing w:after="0" w:line="18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Section 4. 8 </w:t>
      </w:r>
      <w:r>
        <w:rPr>
          <w:rFonts w:ascii="Arial" w:cs="Arial" w:eastAsia="Arial" w:hAnsi="Arial"/>
          <w:sz w:val="18"/>
          <w:szCs w:val="18"/>
          <w:b w:val="1"/>
          <w:bCs w:val="1"/>
          <w:u w:val="single" w:color="auto"/>
          <w:color w:val="auto"/>
        </w:rPr>
        <w:t>Interpretive Matters</w:t>
      </w:r>
      <w:r>
        <w:rPr>
          <w:rFonts w:ascii="Arial" w:cs="Arial" w:eastAsia="Arial" w:hAnsi="Arial"/>
          <w:sz w:val="18"/>
          <w:szCs w:val="18"/>
          <w:color w:val="auto"/>
        </w:rPr>
        <w:t>. Unless the context otherwise requires, (a) all references to Articles, Sections, Schedules or Exhibits shall mean</w:t>
      </w:r>
      <w:r>
        <w:rPr>
          <w:rFonts w:ascii="Arial" w:cs="Arial" w:eastAsia="Arial" w:hAnsi="Arial"/>
          <w:sz w:val="18"/>
          <w:szCs w:val="18"/>
          <w:b w:val="1"/>
          <w:bCs w:val="1"/>
          <w:color w:val="auto"/>
        </w:rPr>
        <w:t xml:space="preserve"> </w:t>
      </w:r>
      <w:r>
        <w:rPr>
          <w:rFonts w:ascii="Arial" w:cs="Arial" w:eastAsia="Arial" w:hAnsi="Arial"/>
          <w:sz w:val="18"/>
          <w:szCs w:val="18"/>
          <w:color w:val="auto"/>
        </w:rPr>
        <w:t>and refer to Articles, Sections, Schedules or Exhibits in this Agreement, (b) words in the singular or plural shall include the singular and plural, and pronouns stated in either the masculine, feminine or neuter gender shall include the masculine, feminine and neuter, (c) the term “including” shall mean “including without limitation” (</w:t>
      </w:r>
      <w:r>
        <w:rPr>
          <w:rFonts w:ascii="Arial" w:cs="Arial" w:eastAsia="Arial" w:hAnsi="Arial"/>
          <w:sz w:val="18"/>
          <w:szCs w:val="18"/>
          <w:i w:val="1"/>
          <w:iCs w:val="1"/>
          <w:color w:val="auto"/>
        </w:rPr>
        <w:t>i.e</w:t>
      </w:r>
      <w:r>
        <w:rPr>
          <w:rFonts w:ascii="Arial" w:cs="Arial" w:eastAsia="Arial" w:hAnsi="Arial"/>
          <w:sz w:val="18"/>
          <w:szCs w:val="18"/>
          <w:color w:val="auto"/>
        </w:rPr>
        <w:t>., by way of example and not by way of limitation), (d) all references to statutes and related regulations shall include all amendments of the same and any successor or replacement statutes and regulations, and, in the case of statutes, all rules and regulations promulgated thereunder, (e) references to “hereof”, “herein”, “hereby” and similar terms shall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71" w:name="page272"/>
    <w:bookmarkEnd w:id="27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 to this entire Agreement (including the Schedules and Exhibits hereto), (f) references to any Person shall be deemed to mean and include the successors and permitted assigns of such Person and (g) whenever this Agreement refers to a number of days, such number shall refer to calendar days, unless such reference is specifically to “Business Days.”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 signature pages follow.]</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4" w:right="33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8"/>
          <w:szCs w:val="18"/>
          <w:color w:val="auto"/>
        </w:rPr>
        <w:t>the Parties have executed this Agreement on the date first written above.</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SOLID BIOSCIENCES, LLC</w:t>
      </w:r>
    </w:p>
    <w:p>
      <w:pPr>
        <w:spacing w:after="0" w:line="229"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Ilan Ganot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Ilan Ganot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SOLID GT,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Ilan Ganot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Ilan Ganot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Signature Page to Agreement and Plan of Merger</w:t>
      </w:r>
    </w:p>
    <w:p>
      <w:pPr>
        <w:sectPr>
          <w:pgSz w:w="11900" w:h="16838" w:orient="portrait"/>
          <w:cols w:equalWidth="0" w:num="1">
            <w:col w:w="10500"/>
          </w:cols>
          <w:pgMar w:left="1160" w:top="270" w:right="239" w:bottom="1440" w:gutter="0" w:footer="0" w:header="0"/>
        </w:sectPr>
      </w:pPr>
    </w:p>
    <w:bookmarkStart w:id="273" w:name="page274"/>
    <w:bookmarkEnd w:id="273"/>
    <w:p>
      <w:pPr>
        <w:ind w:left="46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Defined Terms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A&amp;R Bio Operating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Bio Units</w:t>
      </w:r>
      <w:r>
        <w:rPr>
          <w:rFonts w:ascii="Arial" w:cs="Arial" w:eastAsia="Arial" w:hAnsi="Arial"/>
          <w:sz w:val="18"/>
          <w:szCs w:val="18"/>
          <w:color w:val="auto"/>
        </w:rPr>
        <w:t>” means Units as such term is defined in the Existing Bio LLC Agreement.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day on which banks in Cambridge, Massachusetts are authorized or obligated by Law or executive order to close.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Voting Unit of GT</w:t>
      </w:r>
      <w:r>
        <w:rPr>
          <w:rFonts w:ascii="Arial" w:cs="Arial" w:eastAsia="Arial" w:hAnsi="Arial"/>
          <w:sz w:val="18"/>
          <w:szCs w:val="18"/>
          <w:color w:val="auto"/>
        </w:rPr>
        <w:t>” means a Class A Voting Unit as such term is defined in the Existing GT LLC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Non-Voting Unit of GT</w:t>
      </w:r>
      <w:r>
        <w:rPr>
          <w:rFonts w:ascii="Arial" w:cs="Arial" w:eastAsia="Arial" w:hAnsi="Arial"/>
          <w:sz w:val="18"/>
          <w:szCs w:val="18"/>
          <w:color w:val="auto"/>
        </w:rPr>
        <w:t>” means a Class B Non-Voting Unit as such term is defined in the Existing GT LLC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C Non-Voting Unit of GT</w:t>
      </w:r>
      <w:r>
        <w:rPr>
          <w:rFonts w:ascii="Arial" w:cs="Arial" w:eastAsia="Arial" w:hAnsi="Arial"/>
          <w:sz w:val="18"/>
          <w:szCs w:val="18"/>
          <w:color w:val="auto"/>
        </w:rPr>
        <w:t>” means a Class C Non-Voting Unit as such term is defined in the Existing GT LLC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D Voting Unit of GT</w:t>
      </w:r>
      <w:r>
        <w:rPr>
          <w:rFonts w:ascii="Arial" w:cs="Arial" w:eastAsia="Arial" w:hAnsi="Arial"/>
          <w:sz w:val="18"/>
          <w:szCs w:val="18"/>
          <w:color w:val="auto"/>
        </w:rPr>
        <w:t>” means a Class D Voting Unit as such term is defined in the Existing GT LLC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agreement, note, mortgage, indenture, lease, deed of trust, license, plan, instrument or other contract.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1.2(b)</w:t>
      </w:r>
      <w:r>
        <w:rPr>
          <w:rFonts w:ascii="Arial" w:cs="Arial" w:eastAsia="Arial" w:hAnsi="Arial"/>
          <w:sz w:val="18"/>
          <w:szCs w:val="18"/>
          <w:color w:val="auto"/>
        </w:rPr>
        <w:t>.</w:t>
      </w:r>
    </w:p>
    <w:p>
      <w:pPr>
        <w:spacing w:after="0" w:line="22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Bio LLC Agreement</w:t>
      </w:r>
      <w:r>
        <w:rPr>
          <w:rFonts w:ascii="Arial" w:cs="Arial" w:eastAsia="Arial" w:hAnsi="Arial"/>
          <w:sz w:val="18"/>
          <w:szCs w:val="18"/>
          <w:color w:val="auto"/>
        </w:rPr>
        <w:t>” means that certain Second Amended and Restated Limited Liability Company Agreement of Bio (f/k/a Solid Ventures, LLC), dated as of December 27, 2013.</w:t>
      </w:r>
    </w:p>
    <w:p>
      <w:pPr>
        <w:spacing w:after="0" w:line="162"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GT LLC Agreement</w:t>
      </w:r>
      <w:r>
        <w:rPr>
          <w:rFonts w:ascii="Arial" w:cs="Arial" w:eastAsia="Arial" w:hAnsi="Arial"/>
          <w:sz w:val="18"/>
          <w:szCs w:val="18"/>
          <w:color w:val="auto"/>
        </w:rPr>
        <w:t>” means that certain Second Amended and Restated Limited Liability Company Agreement of GT, dated as of November 2, 2015.</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Founders</w:t>
      </w:r>
      <w:r>
        <w:rPr>
          <w:rFonts w:ascii="Arial" w:cs="Arial" w:eastAsia="Arial" w:hAnsi="Arial"/>
          <w:sz w:val="18"/>
          <w:szCs w:val="18"/>
          <w:color w:val="auto"/>
        </w:rPr>
        <w:t>” means Ilan Ganot, Gilad Hayeem and Andrey Zarur.</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270" w:right="419" w:bottom="1440" w:gutter="0" w:footer="0" w:header="0"/>
        </w:sectPr>
      </w:pPr>
    </w:p>
    <w:bookmarkStart w:id="274" w:name="page275"/>
    <w:bookmarkEnd w:id="274"/>
    <w:p>
      <w:pPr>
        <w:ind w:right="12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General Enforceability Exceptions</w:t>
      </w:r>
      <w:r>
        <w:rPr>
          <w:rFonts w:ascii="Arial" w:cs="Arial" w:eastAsia="Arial" w:hAnsi="Arial"/>
          <w:sz w:val="18"/>
          <w:szCs w:val="18"/>
          <w:color w:val="auto"/>
        </w:rPr>
        <w:t>” means those exceptions to enforceability due to applicable bankruptcy, insolvency, reorganization, moratorium or other similar Laws affecting the enforcement of creditors’ rights generally, and general principles of equity (regardless of whether such enforceability is considered in a proceeding at Law or in equity).</w:t>
      </w:r>
    </w:p>
    <w:p>
      <w:pPr>
        <w:spacing w:after="0" w:line="176"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the United States or any state, provincial, local or foreign government, or any subdivision, agency or authority of any thereof.</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GT Units</w:t>
      </w:r>
      <w:r>
        <w:rPr>
          <w:rFonts w:ascii="Arial" w:cs="Arial" w:eastAsia="Arial" w:hAnsi="Arial"/>
          <w:sz w:val="18"/>
          <w:szCs w:val="18"/>
          <w:color w:val="auto"/>
        </w:rPr>
        <w:t>” means Units as such term is defined in the Existing GT LLC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Junior Preferred Unit of the Surviving Company</w:t>
      </w:r>
      <w:r>
        <w:rPr>
          <w:rFonts w:ascii="Arial" w:cs="Arial" w:eastAsia="Arial" w:hAnsi="Arial"/>
          <w:sz w:val="16"/>
          <w:szCs w:val="16"/>
          <w:color w:val="auto"/>
        </w:rPr>
        <w:t>” means a Junior Preferred Unit as such term is defined in the A&amp;R Bio Operating Agreement.</w:t>
      </w:r>
    </w:p>
    <w:p>
      <w:pPr>
        <w:spacing w:after="0" w:line="248"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each provision of any federal, state or local law, statute, ordinance, order, binding directive, code, rule or regulation, promulgated or issued by any Governmental Authority, and common law.</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pledge, hypothecation, right of others, claim, security interest, encumbrance, lease, sublease, license, occupancy agreement, adverse claim or interest, easement, covenant, encroachment, burden, title defect, title retention agreement, voting trust agreement, interest, equity, option, lien, right of first refusal, preemptive right, subscription right or any similar right, charge or other restrictions or limitations of any nature whatsoever, other than restrictions on the offer and sale of securities under federal and state securities Laws.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Organizational Documents</w:t>
      </w:r>
      <w:r>
        <w:rPr>
          <w:rFonts w:ascii="Arial" w:cs="Arial" w:eastAsia="Arial" w:hAnsi="Arial"/>
          <w:sz w:val="16"/>
          <w:szCs w:val="16"/>
          <w:color w:val="auto"/>
        </w:rPr>
        <w:t>” means (a) with respect to any entity, any charter or similar document adopted or filed in connection with the creation, formation or organization of such entity (including limited liability company operating agreements); and (b) any amendment to any of the foregoing.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sole proprietorship, partnership, joint venture, trust, unincorporated association, corporation, limited liability company, entity or government (whether federal, state, county, city or otherwise, including any instrumentality, division, agency or department thereof).</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Unit of Bio</w:t>
      </w:r>
      <w:r>
        <w:rPr>
          <w:rFonts w:ascii="Arial" w:cs="Arial" w:eastAsia="Arial" w:hAnsi="Arial"/>
          <w:sz w:val="18"/>
          <w:szCs w:val="18"/>
          <w:color w:val="auto"/>
        </w:rPr>
        <w:t>” means a Preferred Unit as such term is defined in the Existing Bio LLC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Common Unit of Bio</w:t>
      </w:r>
      <w:r>
        <w:rPr>
          <w:rFonts w:ascii="Arial" w:cs="Arial" w:eastAsia="Arial" w:hAnsi="Arial"/>
          <w:sz w:val="18"/>
          <w:szCs w:val="18"/>
          <w:color w:val="auto"/>
        </w:rPr>
        <w:t>” means a Series A Common Unit as such term is defined in the Existing Bio LLC Agreement.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275" w:name="page276"/>
    <w:bookmarkEnd w:id="2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Series A Common Unit of the Surviving Company</w:t>
      </w:r>
      <w:r>
        <w:rPr>
          <w:rFonts w:ascii="Arial" w:cs="Arial" w:eastAsia="Arial" w:hAnsi="Arial"/>
          <w:sz w:val="16"/>
          <w:szCs w:val="16"/>
          <w:color w:val="auto"/>
        </w:rPr>
        <w:t>” means a Series A Common Unit as such term is defined in the A&amp;R Bio Operating Agreement.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Common Unit of the Surviving Company</w:t>
      </w:r>
      <w:r>
        <w:rPr>
          <w:rFonts w:ascii="Arial" w:cs="Arial" w:eastAsia="Arial" w:hAnsi="Arial"/>
          <w:sz w:val="16"/>
          <w:szCs w:val="16"/>
          <w:color w:val="auto"/>
        </w:rPr>
        <w:t>” means a Series B Common Unit as such term is defined in the A&amp;R Bio Operating Agreement.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Common Unit of the Surviving Company</w:t>
      </w:r>
      <w:r>
        <w:rPr>
          <w:rFonts w:ascii="Arial" w:cs="Arial" w:eastAsia="Arial" w:hAnsi="Arial"/>
          <w:sz w:val="16"/>
          <w:szCs w:val="16"/>
          <w:color w:val="auto"/>
        </w:rPr>
        <w:t>” means a Series C Common Unit as such term is defined in the A&amp;R Bio Operating Agreement.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Common Unit of the Surviving Company</w:t>
      </w:r>
      <w:r>
        <w:rPr>
          <w:rFonts w:ascii="Arial" w:cs="Arial" w:eastAsia="Arial" w:hAnsi="Arial"/>
          <w:sz w:val="16"/>
          <w:szCs w:val="16"/>
          <w:color w:val="auto"/>
        </w:rPr>
        <w:t>” means a Series D Common Unit as such term is defined in the A&amp;R Bio Operating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Company Units</w:t>
      </w:r>
      <w:r>
        <w:rPr>
          <w:rFonts w:ascii="Arial" w:cs="Arial" w:eastAsia="Arial" w:hAnsi="Arial"/>
          <w:sz w:val="18"/>
          <w:szCs w:val="18"/>
          <w:color w:val="auto"/>
        </w:rPr>
        <w:t>” means Units as such term is defined in the A&amp;R Bio Operating Agreement.</w:t>
      </w:r>
    </w:p>
    <w:p>
      <w:pPr>
        <w:spacing w:after="0" w:line="1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70" w:right="279" w:bottom="1440" w:gutter="0" w:footer="0" w:header="0"/>
        </w:sectPr>
      </w:pPr>
    </w:p>
    <w:bookmarkStart w:id="276" w:name="page277"/>
    <w:bookmarkEnd w:id="27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A&amp;R Bio Operating Agreement</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Exhibit 3.1 to the Registration Statement]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019"/>
          </w:cols>
          <w:pgMar w:left="1440" w:top="270" w:right="1440"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PLAN OF CONVERSION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 xml:space="preserve">THIS PLAN OF CONVERSION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dated as of , 2018, is hereby adopted and approved by Solid Biosciences, LLC, a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formed under the laws of Delaware (the “</w:t>
      </w:r>
      <w:r>
        <w:rPr>
          <w:rFonts w:ascii="Arial" w:cs="Arial" w:eastAsia="Arial" w:hAnsi="Arial"/>
          <w:sz w:val="18"/>
          <w:szCs w:val="18"/>
          <w:b w:val="1"/>
          <w:bCs w:val="1"/>
          <w:i w:val="1"/>
          <w:iCs w:val="1"/>
          <w:color w:val="auto"/>
        </w:rPr>
        <w:t>LLC</w:t>
      </w:r>
      <w:r>
        <w:rPr>
          <w:rFonts w:ascii="Arial" w:cs="Arial" w:eastAsia="Arial" w:hAnsi="Arial"/>
          <w:sz w:val="18"/>
          <w:szCs w:val="18"/>
          <w:color w:val="auto"/>
        </w:rPr>
        <w:t>”), to set forth the terms, conditions and procedures governing the conversion of the LLC to a Delaware corporation pursuant to Section 18-216 of the Delaware Limited Liability Company Act (the “</w:t>
      </w:r>
      <w:r>
        <w:rPr>
          <w:rFonts w:ascii="Arial" w:cs="Arial" w:eastAsia="Arial" w:hAnsi="Arial"/>
          <w:sz w:val="18"/>
          <w:szCs w:val="18"/>
          <w:b w:val="1"/>
          <w:bCs w:val="1"/>
          <w:i w:val="1"/>
          <w:iCs w:val="1"/>
          <w:color w:val="auto"/>
        </w:rPr>
        <w:t>DLLCA</w:t>
      </w:r>
      <w:r>
        <w:rPr>
          <w:rFonts w:ascii="Arial" w:cs="Arial" w:eastAsia="Arial" w:hAnsi="Arial"/>
          <w:sz w:val="18"/>
          <w:szCs w:val="18"/>
          <w:color w:val="auto"/>
        </w:rPr>
        <w:t>”) and Section 265 of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0"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LLC is a limited liability company formed and existing under the laws of the State of Delaware and is operating under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Limited Liability Company Agreement of the LLC, dated as of March 29, 2017, as amended (the “</w:t>
      </w:r>
      <w:r>
        <w:rPr>
          <w:rFonts w:ascii="Arial" w:cs="Arial" w:eastAsia="Arial" w:hAnsi="Arial"/>
          <w:sz w:val="18"/>
          <w:szCs w:val="18"/>
          <w:b w:val="1"/>
          <w:bCs w:val="1"/>
          <w:i w:val="1"/>
          <w:iCs w:val="1"/>
          <w:color w:val="auto"/>
        </w:rPr>
        <w:t>LLC Agreement</w:t>
      </w:r>
      <w:r>
        <w:rPr>
          <w:rFonts w:ascii="Arial" w:cs="Arial" w:eastAsia="Arial" w:hAnsi="Arial"/>
          <w:sz w:val="18"/>
          <w:szCs w:val="18"/>
          <w:color w:val="auto"/>
        </w:rPr>
        <w:t>”), by and among the LLC and the Members (as defined in the LLC Agreement);</w:t>
      </w:r>
    </w:p>
    <w:p>
      <w:pPr>
        <w:spacing w:after="0" w:line="176"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(as defined in the LLC Agreement) has determined that it is in the best interests of the LLC for the LLC to convert to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pursuant to Section 18-216 of the DLLCA and Section 265 of the DGCL upon the terms and conditions and in accordance with the procedures set forth herein, and the Board has authorized and approved the Conversion (as defined below) and the execution, delivery and filing of any and all instruments, certificates and documents necessary or desirable in connection therewith;</w:t>
      </w:r>
    </w:p>
    <w:p>
      <w:pPr>
        <w:spacing w:after="0" w:line="180" w:lineRule="exact"/>
        <w:rPr>
          <w:sz w:val="20"/>
          <w:szCs w:val="20"/>
          <w:color w:val="auto"/>
        </w:rPr>
      </w:pPr>
    </w:p>
    <w:p>
      <w:pPr>
        <w:ind w:right="60" w:firstLine="456"/>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11.1 of the LLC Agreement, the conditions for a QIPO (as defined in the LLC Agreement) have been met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has the right to cause the LLC to convert to a corporation in accordance with the terms of the LLC Agreement by such means as the Board shall select;</w:t>
      </w:r>
    </w:p>
    <w:p>
      <w:pPr>
        <w:spacing w:after="0" w:line="116" w:lineRule="exact"/>
        <w:rPr>
          <w:sz w:val="20"/>
          <w:szCs w:val="20"/>
          <w:color w:val="auto"/>
        </w:rPr>
      </w:pPr>
    </w:p>
    <w:p>
      <w:pPr>
        <w:jc w:val="both"/>
        <w:ind w:right="660" w:firstLine="45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terms of an Agreement and Plan of Merger, dated as of the date hereof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each of BCLS Solid Bio, Inc. and FC Fund III Solid Holdings, Inc. shall merge with and into the Corporation (as defined below), and the Corporation shall be the surviving entity in such mergers; and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it is intended that the Conversion (as defined below) will be governed by Section 351 of the Internal Revenue Code of 1986, as amended.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LLC does hereby adopt this Plan to effectuate the conversion of the LLC to a Delaware corporation as follows:</w:t>
      </w:r>
    </w:p>
    <w:p>
      <w:pPr>
        <w:spacing w:after="0" w:line="121" w:lineRule="exact"/>
        <w:rPr>
          <w:sz w:val="20"/>
          <w:szCs w:val="20"/>
          <w:color w:val="auto"/>
        </w:rPr>
      </w:pPr>
    </w:p>
    <w:p>
      <w:pPr>
        <w:ind w:right="60" w:firstLine="464"/>
        <w:spacing w:after="0" w:line="264" w:lineRule="auto"/>
        <w:tabs>
          <w:tab w:leader="none" w:pos="771"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Conversion; Effect of Conversion</w:t>
      </w:r>
      <w:r>
        <w:rPr>
          <w:rFonts w:ascii="Arial" w:cs="Arial" w:eastAsia="Arial" w:hAnsi="Arial"/>
          <w:sz w:val="18"/>
          <w:szCs w:val="18"/>
          <w:color w:val="auto"/>
        </w:rPr>
        <w:t>. Upon and subject to the terms and conditions of this Plan and pursuant to the relevant provisions of the DLLCA and the DGCL, including without limitation Section 18-216 of the DLLCA and Section 265 of the DGCL, the LLC shall convert (the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to a Delaware corporation named “Solid Biosciences Inc.” (the</w:t>
      </w:r>
    </w:p>
    <w:p>
      <w:pPr>
        <w:sectPr>
          <w:pgSz w:w="11900" w:h="16838" w:orient="portrait"/>
          <w:cols w:equalWidth="0" w:num="1">
            <w:col w:w="11420"/>
          </w:cols>
          <w:pgMar w:left="240" w:top="122" w:right="239" w:bottom="1440" w:gutter="0" w:footer="0" w:header="0"/>
        </w:sectPr>
      </w:pPr>
    </w:p>
    <w:bookmarkStart w:id="278" w:name="page279"/>
    <w:bookmarkEnd w:id="27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at the Effective Time (as defined below). The Corporation shall thereafter be subject to all of the provisions of the DGCL, except that notwithstanding Section 106 of the DGCL, the existence of the Corporation shall be deemed to have commenced on the date the LLC commenced its existence. The Conversion shall not affect any obligations or liabilities of the LLC incurred prior to the Effective Time. The LLC shall not be required to wind up its affairs or pay its liabilities and distribute its assets, and the Conversion shall not constitute a dissolution of the LLC and shall constitute a continuation of the existence of the LLC in the form of a Delaware corporation. Upon the Effective Time, all of the rights, privileges and powers of the LLC, and all property and all debts due to the LLC, as well as all other things and causes of action belonging to the LLC, shall remain vested in the Corporation and shall be the property of the Corporation, and the title to any real property vested by deed or otherwise in the LLC shall not revert or be in any way impaired by reason of the Conversion, and all rights of creditors and all liens upon any property of the LLC shall be preserved unimpaired, and all debts, liabilities and duties of the LLC shall remain attached to the Corporation and may be enforced against it to the same extent as if such debts, liabilities and duties had been incurred or contracted by it in its capacity as a corporation.</w:t>
      </w:r>
    </w:p>
    <w:p>
      <w:pPr>
        <w:spacing w:after="0" w:line="70" w:lineRule="exact"/>
        <w:rPr>
          <w:sz w:val="20"/>
          <w:szCs w:val="20"/>
          <w:color w:val="auto"/>
        </w:rPr>
      </w:pPr>
    </w:p>
    <w:p>
      <w:pPr>
        <w:ind w:right="20" w:firstLine="464"/>
        <w:spacing w:after="0" w:line="255" w:lineRule="auto"/>
        <w:tabs>
          <w:tab w:leader="none" w:pos="771"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Certificate of Conversion; Certificate of Incorporation; Effective Time</w:t>
      </w:r>
      <w:r>
        <w:rPr>
          <w:rFonts w:ascii="Arial" w:cs="Arial" w:eastAsia="Arial" w:hAnsi="Arial"/>
          <w:sz w:val="18"/>
          <w:szCs w:val="18"/>
          <w:color w:val="auto"/>
        </w:rPr>
        <w:t xml:space="preserve">. The Conversion shall be effected by the filing with the Secretary of State of the State of Delaware of: (a) a duly executed Certificate of Conversion,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b w:val="1"/>
          <w:bCs w:val="1"/>
          <w:i w:val="1"/>
          <w:i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and (b) a duly executed Certificate of Incorporation of the Corporation,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attached hereto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The Conversion shall be effective immediately upon the filing of (i) the Certificate of Conversion and (ii) the Certificate of Incorporation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Secretary of State of the State of Delaware or at such later time as may be specified in both the Certificate of Conversion and the Certificate of Incorporation (such time of effectiveness,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right="60" w:firstLine="464"/>
        <w:spacing w:after="0" w:line="279" w:lineRule="auto"/>
        <w:tabs>
          <w:tab w:leader="none" w:pos="771"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Bylaws of the Corporation</w:t>
      </w:r>
      <w:r>
        <w:rPr>
          <w:rFonts w:ascii="Arial" w:cs="Arial" w:eastAsia="Arial" w:hAnsi="Arial"/>
          <w:sz w:val="17"/>
          <w:szCs w:val="17"/>
          <w:color w:val="auto"/>
        </w:rPr>
        <w:t xml:space="preserve">. As promptly as practical following the Effective Time, the board of directors of the Corporation shall adopt the Bylaws of the Corporation in substantially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From and after the Effective Time, except as set forth in Section 7 below, the LLC Agreement shall terminate and no longer govern the affairs of the Corporation, but instead the affairs of the Corporation shall be governed by the DGCL, the Certificate of Incorporation and, following their adoption by the board of directors of the Corporation, the Bylaws.</w:t>
      </w:r>
    </w:p>
    <w:p>
      <w:pPr>
        <w:spacing w:after="0" w:line="63" w:lineRule="exact"/>
        <w:rPr>
          <w:rFonts w:ascii="Arial" w:cs="Arial" w:eastAsia="Arial" w:hAnsi="Arial"/>
          <w:sz w:val="17"/>
          <w:szCs w:val="17"/>
          <w:color w:val="auto"/>
        </w:rPr>
      </w:pPr>
    </w:p>
    <w:p>
      <w:pPr>
        <w:ind w:right="80" w:firstLine="464"/>
        <w:spacing w:after="0" w:line="297" w:lineRule="auto"/>
        <w:tabs>
          <w:tab w:leader="none" w:pos="771"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Directors and Officers</w:t>
      </w:r>
      <w:r>
        <w:rPr>
          <w:rFonts w:ascii="Arial" w:cs="Arial" w:eastAsia="Arial" w:hAnsi="Arial"/>
          <w:sz w:val="16"/>
          <w:szCs w:val="16"/>
          <w:color w:val="auto"/>
        </w:rPr>
        <w:t>. At the Effective Time, (a) the members of the Board of the LLC as of the Effective Time shall be the members of the board of directors of the Corporation and shall hold office until their respective successors are duly elected and qualified, or their earlier death, resignation or removal and (b) the officers of the LLC as of the Effective Time shall be the officers of the Corporation and shall hold office until their respective successors are duly elected and qualified, or their earlier death, resignation or removal. The LLC and, after the Effective Time, the Corporation and its board of directors shall take all necessary actions to cause each of such individuals to be appointed as a director and/or officer, as the case may be, of the Corporation.</w:t>
      </w:r>
    </w:p>
    <w:p>
      <w:pPr>
        <w:spacing w:after="0" w:line="50" w:lineRule="exact"/>
        <w:rPr>
          <w:rFonts w:ascii="Arial" w:cs="Arial" w:eastAsia="Arial" w:hAnsi="Arial"/>
          <w:sz w:val="16"/>
          <w:szCs w:val="16"/>
          <w:color w:val="auto"/>
        </w:rPr>
      </w:pPr>
    </w:p>
    <w:p>
      <w:pPr>
        <w:ind w:left="780" w:hanging="316"/>
        <w:spacing w:after="0"/>
        <w:tabs>
          <w:tab w:leader="none" w:pos="78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Effect of the Conversion on Equity Interests in the LLC</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79" w:name="page280"/>
    <w:bookmarkEnd w:id="279"/>
    <w:p>
      <w:pPr>
        <w:ind w:left="-40" w:right="60" w:firstLine="921"/>
        <w:spacing w:after="0" w:line="257" w:lineRule="auto"/>
        <w:tabs>
          <w:tab w:leader="none" w:pos="1253"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Conversion of Outstanding Securities</w:t>
      </w:r>
      <w:r>
        <w:rPr>
          <w:rFonts w:ascii="Arial" w:cs="Arial" w:eastAsia="Arial" w:hAnsi="Arial"/>
          <w:sz w:val="18"/>
          <w:szCs w:val="18"/>
          <w:color w:val="auto"/>
        </w:rPr>
        <w:t>. Subject to the terms and conditions of this Plan, at the Effective Time, automatically by virtue of the Conversion and without any further action on the part of the LLC, the Corporation or any holder of Units (as defined in the LLC Agreement), each Unit (as defined in the LLC Agreement) of the LLC that is outstanding immediately prior to the Effective Time shall be converted into share of common stock, par value $0.001 per share, of the Corporation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as of the Effective Time each such share of Common Stock shall be duly and validly issued, fully paid and nonassessable.</w:t>
      </w:r>
    </w:p>
    <w:p>
      <w:pPr>
        <w:spacing w:after="0" w:line="80" w:lineRule="exact"/>
        <w:rPr>
          <w:rFonts w:ascii="Arial" w:cs="Arial" w:eastAsia="Arial" w:hAnsi="Arial"/>
          <w:sz w:val="18"/>
          <w:szCs w:val="18"/>
          <w:color w:val="auto"/>
        </w:rPr>
      </w:pPr>
    </w:p>
    <w:p>
      <w:pPr>
        <w:ind w:left="-40" w:right="300" w:firstLine="921"/>
        <w:spacing w:after="0" w:line="259" w:lineRule="auto"/>
        <w:tabs>
          <w:tab w:leader="none" w:pos="1263"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No Further Ownership Rights in Units</w:t>
      </w:r>
      <w:r>
        <w:rPr>
          <w:rFonts w:ascii="Arial" w:cs="Arial" w:eastAsia="Arial" w:hAnsi="Arial"/>
          <w:sz w:val="18"/>
          <w:szCs w:val="18"/>
          <w:color w:val="auto"/>
        </w:rPr>
        <w:t>. All shares of Common Stock into which Units are converted pursuant to the Conversion in accordance with the terms of this Section 5 shall be deemed to have been issued in full satisfaction of all rights pertaining to such Units. Immediately following the Effective Time, Units shall cease to exist, and the holder of any Units immediately prior to the Effective Time shall cease to have any rights with respect thereto.</w:t>
      </w:r>
    </w:p>
    <w:p>
      <w:pPr>
        <w:spacing w:after="0" w:line="78" w:lineRule="exact"/>
        <w:rPr>
          <w:rFonts w:ascii="Arial" w:cs="Arial" w:eastAsia="Arial" w:hAnsi="Arial"/>
          <w:sz w:val="18"/>
          <w:szCs w:val="18"/>
          <w:color w:val="auto"/>
        </w:rPr>
      </w:pPr>
    </w:p>
    <w:p>
      <w:pPr>
        <w:ind w:left="-40" w:right="100" w:firstLine="921"/>
        <w:spacing w:after="0" w:line="259" w:lineRule="auto"/>
        <w:tabs>
          <w:tab w:leader="none" w:pos="1253"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No Impact on Vesting Restrictions and Repurchase Rights</w:t>
      </w:r>
      <w:r>
        <w:rPr>
          <w:rFonts w:ascii="Arial" w:cs="Arial" w:eastAsia="Arial" w:hAnsi="Arial"/>
          <w:sz w:val="18"/>
          <w:szCs w:val="18"/>
          <w:color w:val="auto"/>
        </w:rPr>
        <w:t>. The conversion of Units pursuant to Section 5(a) will not limit, impair or otherwise modify any vesting restrictions or repurchase rights with respect to any equity issued by the LLC to any officer or employee of the LLC or any other person, which vesting restrictions and repurchase rights shall continue to apply to the shares of Common Stock issued hereby to any such persons until the expiration of such vesting restrictions and repurchase rights in accordance with their terms.</w:t>
      </w:r>
    </w:p>
    <w:p>
      <w:pPr>
        <w:spacing w:after="0" w:line="78" w:lineRule="exact"/>
        <w:rPr>
          <w:rFonts w:ascii="Arial" w:cs="Arial" w:eastAsia="Arial" w:hAnsi="Arial"/>
          <w:sz w:val="18"/>
          <w:szCs w:val="18"/>
          <w:color w:val="auto"/>
        </w:rPr>
      </w:pPr>
    </w:p>
    <w:p>
      <w:pPr>
        <w:ind w:left="-40" w:right="120" w:firstLine="921"/>
        <w:spacing w:after="0" w:line="277" w:lineRule="auto"/>
        <w:tabs>
          <w:tab w:leader="none" w:pos="1263"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Transfer Books</w:t>
      </w:r>
      <w:r>
        <w:rPr>
          <w:rFonts w:ascii="Arial" w:cs="Arial" w:eastAsia="Arial" w:hAnsi="Arial"/>
          <w:sz w:val="18"/>
          <w:szCs w:val="18"/>
          <w:color w:val="auto"/>
        </w:rPr>
        <w:t>. At the Effective Time, there shall be no further registration of transfers on the transfer books of the LLC of any Units that were outstanding immediately prior to the Effective Time.</w:t>
      </w:r>
    </w:p>
    <w:p>
      <w:pPr>
        <w:spacing w:after="0" w:line="62" w:lineRule="exact"/>
        <w:rPr>
          <w:rFonts w:ascii="Arial" w:cs="Arial" w:eastAsia="Arial" w:hAnsi="Arial"/>
          <w:sz w:val="18"/>
          <w:szCs w:val="18"/>
          <w:color w:val="auto"/>
        </w:rPr>
      </w:pPr>
    </w:p>
    <w:p>
      <w:pPr>
        <w:ind w:left="-40" w:firstLine="921"/>
        <w:spacing w:after="0" w:line="264" w:lineRule="auto"/>
        <w:tabs>
          <w:tab w:leader="none" w:pos="1253"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Registration in Book-Entry</w:t>
      </w:r>
      <w:r>
        <w:rPr>
          <w:rFonts w:ascii="Arial" w:cs="Arial" w:eastAsia="Arial" w:hAnsi="Arial"/>
          <w:sz w:val="18"/>
          <w:szCs w:val="18"/>
          <w:color w:val="auto"/>
        </w:rPr>
        <w:t>. Shares of Common Stock issued in connection with the Conversion shall be uncertificated, and the Corporation shall register, or cause to be registered, such shares into which each outstanding Unit shall have been converted as a result of the Conversion in book-entry form.</w:t>
      </w:r>
    </w:p>
    <w:p>
      <w:pPr>
        <w:spacing w:after="0" w:line="73" w:lineRule="exact"/>
        <w:rPr>
          <w:rFonts w:ascii="Arial" w:cs="Arial" w:eastAsia="Arial" w:hAnsi="Arial"/>
          <w:sz w:val="18"/>
          <w:szCs w:val="18"/>
          <w:color w:val="auto"/>
        </w:rPr>
      </w:pPr>
    </w:p>
    <w:p>
      <w:pPr>
        <w:ind w:left="-40" w:right="140" w:firstLine="464"/>
        <w:spacing w:after="0" w:line="272" w:lineRule="auto"/>
        <w:tabs>
          <w:tab w:leader="none" w:pos="731"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Licenses, Permits, Titled Property, Etc.</w:t>
      </w:r>
      <w:r>
        <w:rPr>
          <w:rFonts w:ascii="Arial" w:cs="Arial" w:eastAsia="Arial" w:hAnsi="Arial"/>
          <w:sz w:val="17"/>
          <w:szCs w:val="17"/>
          <w:color w:val="auto"/>
        </w:rPr>
        <w:t xml:space="preserve"> As applicable, following the Effective Time, to the extent required, the Corporation shall apply for new state tax identification numbers, qualifications to conduct business (including as a foreign corporation), licenses, permits and similar authorizations on its behalf and in its own name in connection with the Conversion and to reflect the fact that it is a corporation. As required or appropriate, following the Effective Time, all real, personal and intangible property of the LLC which was titled or registered in the name of the LLC shall be re-titled or re-registered, as applicable, in the name of the Corporation by appropriate filings and/or notices to the appropriate parties (including, without limitation, any applicable governmental agencies). In addition, following the Effective Time, the LLC’s customer, vendor and other communications (e.g., business cards, letterhead, websites, etc.) shall be revised to reflect the Conversion and the Corporation’s corporate status.</w:t>
      </w:r>
    </w:p>
    <w:p>
      <w:pPr>
        <w:spacing w:after="0" w:line="69" w:lineRule="exact"/>
        <w:rPr>
          <w:rFonts w:ascii="Arial" w:cs="Arial" w:eastAsia="Arial" w:hAnsi="Arial"/>
          <w:sz w:val="17"/>
          <w:szCs w:val="17"/>
          <w:color w:val="auto"/>
        </w:rPr>
      </w:pPr>
    </w:p>
    <w:p>
      <w:pPr>
        <w:ind w:left="-40" w:right="300" w:firstLine="464"/>
        <w:spacing w:after="0" w:line="264" w:lineRule="auto"/>
        <w:tabs>
          <w:tab w:leader="none" w:pos="731"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Termination of LLC Agreement</w:t>
      </w:r>
      <w:r>
        <w:rPr>
          <w:rFonts w:ascii="Arial" w:cs="Arial" w:eastAsia="Arial" w:hAnsi="Arial"/>
          <w:sz w:val="18"/>
          <w:szCs w:val="18"/>
          <w:color w:val="auto"/>
        </w:rPr>
        <w:t>. As of the Effective Time, the LLC Agreement shall be terminated and of no further force and effect. Notwithstanding the foregoing, the termination of the LLC Agreement shall not relieve any party thereto from any liability arising in connection with any breach by such party of the LLC Agreement, arising prior to the Effective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280" w:name="page281"/>
    <w:bookmarkEnd w:id="280"/>
    <w:p>
      <w:pPr>
        <w:ind w:left="780" w:hanging="316"/>
        <w:spacing w:after="0"/>
        <w:tabs>
          <w:tab w:leader="none" w:pos="78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Assurances</w:t>
      </w:r>
      <w:r>
        <w:rPr>
          <w:rFonts w:ascii="Arial" w:cs="Arial" w:eastAsia="Arial" w:hAnsi="Arial"/>
          <w:sz w:val="17"/>
          <w:szCs w:val="17"/>
          <w:color w:val="auto"/>
        </w:rPr>
        <w:t>. If, at any time after the Effective Time, the Corporation shall determine or be advised that any deeds, bills of sale,</w:t>
      </w:r>
    </w:p>
    <w:p>
      <w:pPr>
        <w:spacing w:after="0" w:line="34" w:lineRule="exact"/>
        <w:rPr>
          <w:rFonts w:ascii="Arial" w:cs="Arial" w:eastAsia="Arial" w:hAnsi="Arial"/>
          <w:sz w:val="17"/>
          <w:szCs w:val="17"/>
          <w:color w:val="auto"/>
        </w:rPr>
      </w:pPr>
    </w:p>
    <w:p>
      <w:pPr>
        <w:spacing w:after="0" w:line="252" w:lineRule="auto"/>
        <w:rPr>
          <w:rFonts w:ascii="Arial" w:cs="Arial" w:eastAsia="Arial" w:hAnsi="Arial"/>
          <w:sz w:val="17"/>
          <w:szCs w:val="17"/>
          <w:color w:val="auto"/>
        </w:rPr>
      </w:pPr>
      <w:r>
        <w:rPr>
          <w:rFonts w:ascii="Arial" w:cs="Arial" w:eastAsia="Arial" w:hAnsi="Arial"/>
          <w:sz w:val="18"/>
          <w:szCs w:val="18"/>
          <w:color w:val="auto"/>
        </w:rPr>
        <w:t>assignments, agreements, documents or assurances or any other acts or things are necessary, desirable or proper, consistent with the terms of this Plan, (a) to vest, perfect or confirm, of record or otherwise, in the Corporation its right, title or interest in, to or under any of the rights, privileges, immunities, powers, purposes, franchises, properties or assets of the LLC, or (b) to otherwise carry out the purposes of this Plan, the Corporation and its proper officers and directors (or their designees) are hereby authorized to solicit in the name of the LLC any third party consents or other documents required to be delivered by any third party, to execute and deliver, in the name and on behalf of the LLC, all such deeds, bills of sale, assignments, agreements, documents and assurances and do, in the name and on behalf of the LLC, all such other acts and things necessary, desirable or proper to vest, perfect or confirm its right, title or interest in, to or under any of the rights, privileges, immunities, powers, purposes, franchises, properties or assets of the LLC and otherwise to carry out the purposes of this Plan.</w:t>
      </w:r>
    </w:p>
    <w:p>
      <w:pPr>
        <w:spacing w:after="0" w:line="83" w:lineRule="exact"/>
        <w:rPr>
          <w:rFonts w:ascii="Arial" w:cs="Arial" w:eastAsia="Arial" w:hAnsi="Arial"/>
          <w:sz w:val="17"/>
          <w:szCs w:val="17"/>
          <w:color w:val="auto"/>
        </w:rPr>
      </w:pPr>
    </w:p>
    <w:p>
      <w:pPr>
        <w:ind w:right="120" w:firstLine="464"/>
        <w:spacing w:after="0" w:line="272" w:lineRule="auto"/>
        <w:tabs>
          <w:tab w:leader="none" w:pos="771"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Implementation and Interpretation; Termination and Amendment</w:t>
      </w:r>
      <w:r>
        <w:rPr>
          <w:rFonts w:ascii="Arial" w:cs="Arial" w:eastAsia="Arial" w:hAnsi="Arial"/>
          <w:sz w:val="17"/>
          <w:szCs w:val="17"/>
          <w:color w:val="auto"/>
        </w:rPr>
        <w:t>. This Plan shall be implemented and interpreted, prior to the Effective Time, by the Board and, following the Effective Time, by the board of directors of the Corporation, (a) each of which shall have full power and authority to delegate and assign any matters covered hereunder to any other party(ies), including, without limitation, any officers of the LLC or any officers of the Corporation, as the case may be, and (b) the interpretations and decisions of which shall be final, binding, and conclusive on all parties. The Board at any time prior to the Effective Time may terminate, amend or modify this Plan. Upon such termination of this Plan, if the Certificate of Conversion and the Certificate of Incorporation have been filed with the Secretary of State of the State of Delaware, but have not become effective, any person or entity that was authorized to execute, deliver and file such certificates may execute, deliver and file a Certificate of Termination of such certificates.</w:t>
      </w:r>
    </w:p>
    <w:p>
      <w:pPr>
        <w:spacing w:after="0" w:line="69" w:lineRule="exact"/>
        <w:rPr>
          <w:rFonts w:ascii="Arial" w:cs="Arial" w:eastAsia="Arial" w:hAnsi="Arial"/>
          <w:sz w:val="17"/>
          <w:szCs w:val="17"/>
          <w:color w:val="auto"/>
        </w:rPr>
      </w:pPr>
    </w:p>
    <w:p>
      <w:pPr>
        <w:ind w:left="860" w:hanging="396"/>
        <w:spacing w:after="0"/>
        <w:tabs>
          <w:tab w:leader="none" w:pos="86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This Plan shall not confer any rights or remedies upon any person or entity other than as express provided herein.</w:t>
      </w:r>
    </w:p>
    <w:p>
      <w:pPr>
        <w:spacing w:after="0" w:line="128" w:lineRule="exact"/>
        <w:rPr>
          <w:rFonts w:ascii="Arial" w:cs="Arial" w:eastAsia="Arial" w:hAnsi="Arial"/>
          <w:sz w:val="17"/>
          <w:szCs w:val="17"/>
          <w:color w:val="auto"/>
        </w:rPr>
      </w:pPr>
    </w:p>
    <w:p>
      <w:pPr>
        <w:ind w:right="160" w:firstLine="464"/>
        <w:spacing w:after="0" w:line="264" w:lineRule="auto"/>
        <w:tabs>
          <w:tab w:leader="none" w:pos="855"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Plan will be interpreted in such manner as to be effective and valid under applicable law, but if any provision of this Plan is held to be prohibited by or invalid under applicable law, such provision will be ineffective only to the extent of such prohibition or invalidity, without invalidating the remainder of this Plan.</w:t>
      </w:r>
    </w:p>
    <w:p>
      <w:pPr>
        <w:spacing w:after="0" w:line="73" w:lineRule="exact"/>
        <w:rPr>
          <w:rFonts w:ascii="Arial" w:cs="Arial" w:eastAsia="Arial" w:hAnsi="Arial"/>
          <w:sz w:val="18"/>
          <w:szCs w:val="18"/>
          <w:color w:val="auto"/>
        </w:rPr>
      </w:pPr>
    </w:p>
    <w:p>
      <w:pPr>
        <w:ind w:right="620" w:firstLine="464"/>
        <w:spacing w:after="0" w:line="277" w:lineRule="auto"/>
        <w:tabs>
          <w:tab w:leader="none" w:pos="861"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Plan shall be governed by and construed in accordance with the laws of the State of Delaware, without regard to the conflicts of laws rules of such state.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81" w:name="page282"/>
    <w:bookmarkEnd w:id="28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LLC has caused this Plan to be executed by its duly authorized representative as of the date first stated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SOLID BIOSCIENCES,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[Signature Page to Plan of Conversion]</w:t>
      </w:r>
    </w:p>
    <w:p>
      <w:pPr>
        <w:sectPr>
          <w:pgSz w:w="11900" w:h="16838" w:orient="portrait"/>
          <w:cols w:equalWidth="0" w:num="1">
            <w:col w:w="10180"/>
          </w:cols>
          <w:pgMar w:left="700" w:top="274" w:right="101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Certificate of Conversion</w:t>
      </w:r>
    </w:p>
    <w:p>
      <w:pPr>
        <w:sectPr>
          <w:pgSz w:w="11900" w:h="16838" w:orient="portrait"/>
          <w:cols w:equalWidth="0" w:num="1">
            <w:col w:w="9019"/>
          </w:cols>
          <w:pgMar w:left="1440" w:top="270" w:right="1440" w:bottom="1440" w:gutter="0" w:footer="0" w:header="0"/>
        </w:sectPr>
      </w:pPr>
    </w:p>
    <w:bookmarkStart w:id="283" w:name="page284"/>
    <w:bookmarkEnd w:id="28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OF DELAWARE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CERTIFICATE OF CONVERSION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SOLID BIOSCIENCES, LLC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FROM A LIMITED LIABILITY COMPANY TO</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 CORPORATION PURSUANT TO SECTION 265 OF</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DELAWARE GENERAL CORPORATION LAW</w:t>
      </w:r>
    </w:p>
    <w:p>
      <w:pPr>
        <w:spacing w:after="0" w:line="22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This Certificate of Conversion to Corporation is being duly executed and filed by Solid Biosciences, LLC, a Delaware limited liability company (the “LLC”), to convert the LLC to Solid Biosciences Inc., a Delaware corporation (the “Corporation”), under the Delaware Limited Liability Company Act (6 </w:t>
      </w:r>
      <w:r>
        <w:rPr>
          <w:rFonts w:ascii="Arial" w:cs="Arial" w:eastAsia="Arial" w:hAnsi="Arial"/>
          <w:sz w:val="18"/>
          <w:szCs w:val="18"/>
          <w:u w:val="single" w:color="auto"/>
          <w:color w:val="auto"/>
        </w:rPr>
        <w:t>Del.C</w:t>
      </w:r>
      <w:r>
        <w:rPr>
          <w:rFonts w:ascii="Arial" w:cs="Arial" w:eastAsia="Arial" w:hAnsi="Arial"/>
          <w:sz w:val="18"/>
          <w:szCs w:val="18"/>
          <w:color w:val="auto"/>
        </w:rPr>
        <w:t xml:space="preserve">. § 18-101, et seq.) and the General Corporation Law of the State of Delaware (8 </w:t>
      </w:r>
      <w:r>
        <w:rPr>
          <w:rFonts w:ascii="Arial" w:cs="Arial" w:eastAsia="Arial" w:hAnsi="Arial"/>
          <w:sz w:val="18"/>
          <w:szCs w:val="18"/>
          <w:u w:val="single" w:color="auto"/>
          <w:color w:val="auto"/>
        </w:rPr>
        <w:t>Del.C.</w:t>
      </w:r>
      <w:r>
        <w:rPr>
          <w:rFonts w:ascii="Arial" w:cs="Arial" w:eastAsia="Arial" w:hAnsi="Arial"/>
          <w:sz w:val="18"/>
          <w:szCs w:val="18"/>
          <w:color w:val="auto"/>
        </w:rPr>
        <w:t xml:space="preserve"> § 101, et seq.)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FIRST: The jurisdiction where the LLC was first formed is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SECOND: The jurisdiction where the LLC was formed immediately prior to filing this Certificate of Conversion is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THIRD: The date the LLC was first formed is March 4, 2013.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FOURTH: The name of the LLC immediately prior to filing this Certificate of Conversion is Solid Biosciences, LLC, a Delaware limited liability company.</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FIFTH: The name of the Corporation as set forth in the Certificate of Incorporation filed in accordance with Section 265(b) of the General Corporation Law of the State of Delaware is Solid Biosciences Inc., a Delaware corporation.</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1240"/>
          </w:cols>
          <w:pgMar w:left="240" w:top="270" w:right="419" w:bottom="1440" w:gutter="0" w:footer="0" w:header="0"/>
        </w:sectPr>
      </w:pPr>
    </w:p>
    <w:bookmarkStart w:id="284" w:name="page285"/>
    <w:bookmarkEnd w:id="28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being duly authorized to sign on behalf of Solid Biosciences, LLC, has executed this Certificate of Conversion on the day of , 2018.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SOLID BIOSCIENCES, LLC</w:t>
      </w:r>
      <w:r>
        <w:rPr>
          <w:rFonts w:ascii="Arial" w:cs="Arial" w:eastAsia="Arial" w:hAnsi="Arial"/>
          <w:sz w:val="18"/>
          <w:szCs w:val="18"/>
          <w:color w:val="auto"/>
        </w:rPr>
        <w: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800"/>
          </w:cols>
          <w:pgMar w:left="240" w:top="274" w:right="85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Certificate of Incorporation of Solid Biosciences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Exhibit 3.3 to the Registration Statement]</w:t>
      </w:r>
    </w:p>
    <w:p>
      <w:pPr>
        <w:sectPr>
          <w:pgSz w:w="11900" w:h="16838" w:orient="portrait"/>
          <w:cols w:equalWidth="0" w:num="1">
            <w:col w:w="9019"/>
          </w:cols>
          <w:pgMar w:left="1440" w:top="270" w:right="1440" w:bottom="1440" w:gutter="0" w:footer="0" w:header="0"/>
        </w:sectPr>
      </w:pPr>
    </w:p>
    <w:bookmarkStart w:id="286" w:name="page287"/>
    <w:bookmarkEnd w:id="28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Bylaws of Solid Biosciences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Exhibit 3.4 to the Registration Statement]</w:t>
      </w:r>
    </w:p>
    <w:p>
      <w:pPr>
        <w:sectPr>
          <w:pgSz w:w="11900" w:h="16838" w:orient="portrait"/>
          <w:cols w:equalWidth="0" w:num="1">
            <w:col w:w="9019"/>
          </w:cols>
          <w:pgMar w:left="1440" w:top="270" w:right="1440"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AGREEMENT AND PLAN OF MERGER</w:t>
      </w:r>
    </w:p>
    <w:p>
      <w:pPr>
        <w:spacing w:after="0" w:line="225"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b w:val="1"/>
          <w:bCs w:val="1"/>
          <w:color w:val="auto"/>
        </w:rPr>
        <w:t>Agreement</w:t>
      </w:r>
      <w:r>
        <w:rPr>
          <w:rFonts w:ascii="Arial" w:cs="Arial" w:eastAsia="Arial" w:hAnsi="Arial"/>
          <w:sz w:val="17"/>
          <w:szCs w:val="17"/>
          <w:color w:val="auto"/>
        </w:rPr>
        <w:t>”) is dated as of , 2018, by and among Solid Biosciences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Bain Capital Life Sciences Fund, L.P., a limited partnership organized under the laws of the Cayman Islands, and BCIP Life Sciences Associates, LP, a limited partnership organized under the laws of Delaware (together, the “</w:t>
      </w:r>
      <w:r>
        <w:rPr>
          <w:rFonts w:ascii="Arial" w:cs="Arial" w:eastAsia="Arial" w:hAnsi="Arial"/>
          <w:sz w:val="17"/>
          <w:szCs w:val="17"/>
          <w:b w:val="1"/>
          <w:bCs w:val="1"/>
          <w:color w:val="auto"/>
        </w:rPr>
        <w:t>Bain Funds</w:t>
      </w:r>
      <w:r>
        <w:rPr>
          <w:rFonts w:ascii="Arial" w:cs="Arial" w:eastAsia="Arial" w:hAnsi="Arial"/>
          <w:sz w:val="17"/>
          <w:szCs w:val="17"/>
          <w:color w:val="auto"/>
        </w:rPr>
        <w:t>”), BCLS Solid Bio, Inc., a Delaware corporation (the “</w:t>
      </w:r>
      <w:r>
        <w:rPr>
          <w:rFonts w:ascii="Arial" w:cs="Arial" w:eastAsia="Arial" w:hAnsi="Arial"/>
          <w:sz w:val="17"/>
          <w:szCs w:val="17"/>
          <w:b w:val="1"/>
          <w:bCs w:val="1"/>
          <w:color w:val="auto"/>
        </w:rPr>
        <w:t>Bain Blocker</w:t>
      </w:r>
      <w:r>
        <w:rPr>
          <w:rFonts w:ascii="Arial" w:cs="Arial" w:eastAsia="Arial" w:hAnsi="Arial"/>
          <w:sz w:val="17"/>
          <w:szCs w:val="17"/>
          <w:color w:val="auto"/>
        </w:rPr>
        <w:t>”), Foresite Capital Fund III, L.P., a limited partnership organized under the laws of Delaware (the “</w:t>
      </w:r>
      <w:r>
        <w:rPr>
          <w:rFonts w:ascii="Arial" w:cs="Arial" w:eastAsia="Arial" w:hAnsi="Arial"/>
          <w:sz w:val="17"/>
          <w:szCs w:val="17"/>
          <w:b w:val="1"/>
          <w:bCs w:val="1"/>
          <w:color w:val="auto"/>
        </w:rPr>
        <w:t>Foresite Fund</w:t>
      </w:r>
      <w:r>
        <w:rPr>
          <w:rFonts w:ascii="Arial" w:cs="Arial" w:eastAsia="Arial" w:hAnsi="Arial"/>
          <w:sz w:val="17"/>
          <w:szCs w:val="17"/>
          <w:color w:val="auto"/>
        </w:rPr>
        <w:t>”) and FC Fund III Solid Holdings, Inc., a Delaware corporation (the “</w:t>
      </w:r>
      <w:r>
        <w:rPr>
          <w:rFonts w:ascii="Arial" w:cs="Arial" w:eastAsia="Arial" w:hAnsi="Arial"/>
          <w:sz w:val="17"/>
          <w:szCs w:val="17"/>
          <w:b w:val="1"/>
          <w:bCs w:val="1"/>
          <w:color w:val="auto"/>
        </w:rPr>
        <w:t>Foresite Blocker</w:t>
      </w:r>
      <w:r>
        <w:rPr>
          <w:rFonts w:ascii="Arial" w:cs="Arial" w:eastAsia="Arial" w:hAnsi="Arial"/>
          <w:sz w:val="17"/>
          <w:szCs w:val="17"/>
          <w:color w:val="auto"/>
        </w:rPr>
        <w:t>”). The Company, the Bain Funds, the Bain Blocker, the Foresite Fund and the Foresite Blocker are collectively referred to herein as the “</w:t>
      </w:r>
      <w:r>
        <w:rPr>
          <w:rFonts w:ascii="Arial" w:cs="Arial" w:eastAsia="Arial" w:hAnsi="Arial"/>
          <w:sz w:val="17"/>
          <w:szCs w:val="17"/>
          <w:b w:val="1"/>
          <w:bCs w:val="1"/>
          <w:color w:val="auto"/>
        </w:rPr>
        <w:t>Parties</w:t>
      </w:r>
      <w:r>
        <w:rPr>
          <w:rFonts w:ascii="Arial" w:cs="Arial" w:eastAsia="Arial" w:hAnsi="Arial"/>
          <w:sz w:val="17"/>
          <w:szCs w:val="17"/>
          <w:color w:val="auto"/>
        </w:rPr>
        <w:t>,” and each individually is referred to herein as a “</w:t>
      </w:r>
      <w:r>
        <w:rPr>
          <w:rFonts w:ascii="Arial" w:cs="Arial" w:eastAsia="Arial" w:hAnsi="Arial"/>
          <w:sz w:val="17"/>
          <w:szCs w:val="17"/>
          <w:b w:val="1"/>
          <w:bCs w:val="1"/>
          <w:color w:val="auto"/>
        </w:rPr>
        <w:t>Party</w:t>
      </w:r>
      <w:r>
        <w:rPr>
          <w:rFonts w:ascii="Arial" w:cs="Arial" w:eastAsia="Arial" w:hAnsi="Arial"/>
          <w:sz w:val="17"/>
          <w:szCs w:val="17"/>
          <w:color w:val="auto"/>
        </w:rPr>
        <w:t>.” All references to the Company include its predecessor, Solid Biosciences, LLC, a Delaware limited liability company.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WHEREAS, in anticipation of the initial public offering of the Company, on the date hereof, the Company has previously completed a conversion (the “</w:t>
      </w:r>
      <w:r>
        <w:rPr>
          <w:rFonts w:ascii="Arial" w:cs="Arial" w:eastAsia="Arial" w:hAnsi="Arial"/>
          <w:sz w:val="18"/>
          <w:szCs w:val="18"/>
          <w:b w:val="1"/>
          <w:bCs w:val="1"/>
          <w:color w:val="auto"/>
        </w:rPr>
        <w:t>Conversion</w:t>
      </w:r>
      <w:r>
        <w:rPr>
          <w:rFonts w:ascii="Arial" w:cs="Arial" w:eastAsia="Arial" w:hAnsi="Arial"/>
          <w:sz w:val="18"/>
          <w:szCs w:val="18"/>
          <w:color w:val="auto"/>
        </w:rPr>
        <w:t>”) from a limited liability company to a corporation,</w:t>
      </w:r>
    </w:p>
    <w:p>
      <w:pPr>
        <w:spacing w:after="0" w:line="170"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WHEREAS, (i) the board of directors of the Company and the board of directors of the Bain Blocker deem it advisable that the Bain Blocker merge with and into the Company (the “</w:t>
      </w:r>
      <w:r>
        <w:rPr>
          <w:rFonts w:ascii="Arial" w:cs="Arial" w:eastAsia="Arial" w:hAnsi="Arial"/>
          <w:sz w:val="18"/>
          <w:szCs w:val="18"/>
          <w:b w:val="1"/>
          <w:bCs w:val="1"/>
          <w:color w:val="auto"/>
        </w:rPr>
        <w:t>Bain Blocker Merger</w:t>
      </w:r>
      <w:r>
        <w:rPr>
          <w:rFonts w:ascii="Arial" w:cs="Arial" w:eastAsia="Arial" w:hAnsi="Arial"/>
          <w:sz w:val="18"/>
          <w:szCs w:val="18"/>
          <w:color w:val="auto"/>
        </w:rPr>
        <w:t>”) and (ii) the board of directors of the Company and the board of directors of the Foresite Blocker deem it advisable that the Foresite Blocker merge with and into the Company (the “</w:t>
      </w:r>
      <w:r>
        <w:rPr>
          <w:rFonts w:ascii="Arial" w:cs="Arial" w:eastAsia="Arial" w:hAnsi="Arial"/>
          <w:sz w:val="18"/>
          <w:szCs w:val="18"/>
          <w:b w:val="1"/>
          <w:bCs w:val="1"/>
          <w:color w:val="auto"/>
        </w:rPr>
        <w:t>Foresite Blocker Merger</w:t>
      </w:r>
      <w:r>
        <w:rPr>
          <w:rFonts w:ascii="Arial" w:cs="Arial" w:eastAsia="Arial" w:hAnsi="Arial"/>
          <w:sz w:val="18"/>
          <w:szCs w:val="18"/>
          <w:color w:val="auto"/>
        </w:rPr>
        <w:t>”, with each of the Bain Blocker Merger and Foresite Blocker Merger, a “</w:t>
      </w:r>
      <w:r>
        <w:rPr>
          <w:rFonts w:ascii="Arial" w:cs="Arial" w:eastAsia="Arial" w:hAnsi="Arial"/>
          <w:sz w:val="18"/>
          <w:szCs w:val="18"/>
          <w:b w:val="1"/>
          <w:bCs w:val="1"/>
          <w:color w:val="auto"/>
        </w:rPr>
        <w:t>Merger</w:t>
      </w:r>
      <w:r>
        <w:rPr>
          <w:rFonts w:ascii="Arial" w:cs="Arial" w:eastAsia="Arial" w:hAnsi="Arial"/>
          <w:sz w:val="18"/>
          <w:szCs w:val="18"/>
          <w:color w:val="auto"/>
        </w:rPr>
        <w:t>”, and collectively the “</w:t>
      </w:r>
      <w:r>
        <w:rPr>
          <w:rFonts w:ascii="Arial" w:cs="Arial" w:eastAsia="Arial" w:hAnsi="Arial"/>
          <w:sz w:val="18"/>
          <w:szCs w:val="18"/>
          <w:b w:val="1"/>
          <w:bCs w:val="1"/>
          <w:color w:val="auto"/>
        </w:rPr>
        <w:t>Mergers</w:t>
      </w:r>
      <w:r>
        <w:rPr>
          <w:rFonts w:ascii="Arial" w:cs="Arial" w:eastAsia="Arial" w:hAnsi="Arial"/>
          <w:sz w:val="18"/>
          <w:szCs w:val="18"/>
          <w:color w:val="auto"/>
        </w:rPr>
        <w:t>”), in each case, upon the terms and subject to the conditions set forth herein and in accordance with the DGCL;</w:t>
      </w:r>
    </w:p>
    <w:p>
      <w:pPr>
        <w:spacing w:after="0" w:line="188"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WHEREAS, the board of directors and, if applicable, the equityholders of each of the Company, the Bain Blocker and the Foresite Blocker have approved the Bain Blocker Merger and the Foresite Blocker Merger, as applicable, in accordance with the requirements of the DGCL and their respective organizational documents; and</w:t>
      </w:r>
    </w:p>
    <w:p>
      <w:pPr>
        <w:spacing w:after="0" w:line="181" w:lineRule="exact"/>
        <w:rPr>
          <w:sz w:val="20"/>
          <w:szCs w:val="20"/>
          <w:color w:val="auto"/>
        </w:rPr>
      </w:pPr>
    </w:p>
    <w:p>
      <w:pPr>
        <w:ind w:right="680" w:firstLine="456"/>
        <w:spacing w:after="0" w:line="264" w:lineRule="auto"/>
        <w:rPr>
          <w:sz w:val="20"/>
          <w:szCs w:val="20"/>
          <w:color w:val="auto"/>
        </w:rPr>
      </w:pPr>
      <w:r>
        <w:rPr>
          <w:rFonts w:ascii="Arial" w:cs="Arial" w:eastAsia="Arial" w:hAnsi="Arial"/>
          <w:sz w:val="18"/>
          <w:szCs w:val="18"/>
          <w:color w:val="auto"/>
        </w:rPr>
        <w:t>WHEREAS, the Parties intend that each Merger qualify as a “reorganization” within the meaning of Section 368 of the Code and the rules and regulations promulgated thereunder and that this Agreement shall constitute a “plan of reorganization” within the meaning of Treasury Regulations Section 1.368-2(g) with respect to each Merger.</w:t>
      </w:r>
    </w:p>
    <w:p>
      <w:pPr>
        <w:spacing w:after="0" w:line="181"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NOW, THEREFORE, in consideration of the premises and of the mutual covenants and agreements contained herein and for other good and valuable consideration, the receipt and sufficiency of which are hereby acknowledged, the Parties, intending to be legally bound, hereby agree as follows: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terms have the following meanings:</w:t>
      </w:r>
    </w:p>
    <w:p>
      <w:pPr>
        <w:sectPr>
          <w:pgSz w:w="11900" w:h="16838" w:orient="portrait"/>
          <w:cols w:equalWidth="0" w:num="1">
            <w:col w:w="11420"/>
          </w:cols>
          <w:pgMar w:left="240" w:top="121" w:right="239" w:bottom="1440" w:gutter="0" w:footer="0" w:header="0"/>
        </w:sectPr>
      </w:pPr>
    </w:p>
    <w:bookmarkStart w:id="288" w:name="page289"/>
    <w:bookmarkEnd w:id="288"/>
    <w:p>
      <w:pPr>
        <w:ind w:right="10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Person directly or indirectly controlling, controlled by, or under common control with such other Person. For purposes of this definition, “control”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have meanings correlative to the foregoing. Notwithstanding the foregoing, for purposes of this Agreement, neither the Company nor any of its Subsidiaries shall be considered an Affiliate of any of the other Parties to this Agreement.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the Closing.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17"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 par value $0.001, with the rights, preferences and privileges as described in the Company’s certificate of incorporation.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General Corporation Law of the State of Delaware.</w:t>
      </w:r>
    </w:p>
    <w:p>
      <w:pPr>
        <w:spacing w:after="0" w:line="11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law, statute, regulation, rule, permit, license, certificate, judgment, order, award or other legally binding decision or requirement of any arbitrator, court, government or governmental agency or instrumentality (domestic or foreign).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with respect to any property or asset, any mortgage, lien, pledge, charge or security interest in respect of such property or asset.</w:t>
      </w:r>
    </w:p>
    <w:p>
      <w:pPr>
        <w:spacing w:after="0" w:line="129"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 material adverse effect on (i) the business, assets or results of operations of the applicable Merged Entity, taken as a whole, or (ii) the ability of the applicable Merged Entity to consummate the transactions contemplated by the Transaction Documents.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Merged Entities</w:t>
      </w:r>
      <w:r>
        <w:rPr>
          <w:rFonts w:ascii="Arial" w:cs="Arial" w:eastAsia="Arial" w:hAnsi="Arial"/>
          <w:sz w:val="16"/>
          <w:szCs w:val="16"/>
          <w:color w:val="auto"/>
        </w:rPr>
        <w:t>” means the Bain Blocker and the Foresite Blocker, and the term “Merged Entity” means either one of them, as the case may be.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 and Exceptions</w:t>
      </w:r>
      <w:r>
        <w:rPr>
          <w:rFonts w:ascii="Arial" w:cs="Arial" w:eastAsia="Arial" w:hAnsi="Arial"/>
          <w:sz w:val="18"/>
          <w:szCs w:val="18"/>
          <w:color w:val="auto"/>
        </w:rPr>
        <w:t>” means Liens for Taxes, assessments and similar charges that are not yet due and payable.</w:t>
      </w:r>
    </w:p>
    <w:p>
      <w:pPr>
        <w:spacing w:after="0" w:line="117"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54"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entity of which securities or other ownership interests having ordinary voting power to elect a majority of the board of directors or other persons performing similar functions are at the time directly or indirectly owned by a Person.</w:t>
      </w:r>
    </w:p>
    <w:p>
      <w:pPr>
        <w:spacing w:after="0" w:line="54"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(1) any tax or other governmental fee or like assessment or charge in the nature of a tax; including, but not limited to, withholding on amounts paid to or by any Person, federal, state or local income taxes, real property gains taxes, sales and use taxes, escheat taxes, payroll taxes, employment taxes, excise taxes, stamp taxes, occupation taxes, premium taxes,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0" w:right="319" w:bottom="1440" w:gutter="0" w:footer="0" w:header="0"/>
        </w:sectPr>
      </w:pPr>
    </w:p>
    <w:bookmarkStart w:id="289" w:name="page290"/>
    <w:bookmarkEnd w:id="289"/>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windfall profits taxes, social security (or similar including FICA) taxes, unemployment taxes, disability taxes, registration taxes, value added taxes, abandoned or unclaimed property taxes, ad valorem taxes, excise taxes, franchise taxes, gross receipts taxes, profits, business license taxes, capital stock taxes, real and personal property taxes, environmental taxes, transfer taxes, severance taxes, alternative or add-on minimum taxes, custom duties, and estimated, together with any interest, penalty, addition to tax or additional amount, whether disputed or not, imposed by any governmental authority (whether federal, state, local, municipal, foreign or otherwise) responsible for the imposition of any such tax and (2) any liability for the payment of any amount of the type described in the immediately preceding clause (1) as a result of a Merged Entity being a member of an affiliated, consolidated or combined group before the Closing, as a result of any tax sharing or tax allocation agreement, arrangement or understanding, or as a result of being liable for another person’s taxes as a transferee or successor, by contract or otherwise.</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and the Exhibits attached hereto.</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terms is defined in the Section set forth opposite such term:</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Pr>
          <w:p>
            <w:pPr>
              <w:ind w:left="2460"/>
              <w:spacing w:after="0"/>
              <w:rPr>
                <w:sz w:val="20"/>
                <w:szCs w:val="20"/>
                <w:color w:val="auto"/>
              </w:rPr>
            </w:pPr>
            <w:r>
              <w:rPr>
                <w:rFonts w:ascii="Arial" w:cs="Arial" w:eastAsia="Arial" w:hAnsi="Arial"/>
                <w:sz w:val="14"/>
                <w:szCs w:val="14"/>
                <w:b w:val="1"/>
                <w:bCs w:val="1"/>
                <w:color w:val="auto"/>
              </w:rPr>
              <w:t>Section</w:t>
            </w:r>
          </w:p>
        </w:tc>
      </w:tr>
      <w:tr>
        <w:trPr>
          <w:trHeight w:val="195"/>
        </w:trPr>
        <w:tc>
          <w:tcPr>
            <w:tcW w:w="20" w:type="dxa"/>
            <w:vAlign w:val="bottom"/>
          </w:tcPr>
          <w:p>
            <w:pPr>
              <w:spacing w:after="0"/>
              <w:rPr>
                <w:sz w:val="16"/>
                <w:szCs w:val="16"/>
                <w:color w:val="auto"/>
              </w:rPr>
            </w:pPr>
          </w:p>
        </w:tc>
        <w:tc>
          <w:tcPr>
            <w:tcW w:w="3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Agreement</w:t>
            </w:r>
          </w:p>
        </w:tc>
        <w:tc>
          <w:tcPr>
            <w:tcW w:w="21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Preamble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Bain Blocker</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Bain Blocker Merger</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Recitals</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Bain Funds</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2.1(b)</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Claim</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7.3(a)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7700" w:type="dxa"/>
            <w:vAlign w:val="bottom"/>
            <w:gridSpan w:val="3"/>
          </w:tcPr>
          <w:p>
            <w:pPr>
              <w:ind w:left="2340"/>
              <w:spacing w:after="0"/>
              <w:rPr>
                <w:sz w:val="20"/>
                <w:szCs w:val="20"/>
                <w:color w:val="auto"/>
              </w:rPr>
            </w:pPr>
            <w:r>
              <w:rPr>
                <w:rFonts w:ascii="Arial" w:cs="Arial" w:eastAsia="Arial" w:hAnsi="Arial"/>
                <w:sz w:val="18"/>
                <w:szCs w:val="18"/>
                <w:color w:val="auto"/>
              </w:rPr>
              <w:t>2.2</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Conversion</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7.2(a)</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Foresite Blocker</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Foresite Fund</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Foresite Blocker Merger</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Recitals</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7.3(a)</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7.3(a)</w:t>
            </w:r>
          </w:p>
        </w:tc>
      </w:tr>
      <w:tr>
        <w:trPr>
          <w:trHeight w:val="36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90" w:name="page291"/>
    <w:bookmarkEnd w:id="2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Term</w:t>
            </w:r>
          </w:p>
        </w:tc>
        <w:tc>
          <w:tcPr>
            <w:tcW w:w="5360" w:type="dxa"/>
            <w:vAlign w:val="bottom"/>
          </w:tcPr>
          <w:p>
            <w:pPr>
              <w:ind w:left="2460"/>
              <w:spacing w:after="0"/>
              <w:rPr>
                <w:sz w:val="20"/>
                <w:szCs w:val="20"/>
                <w:color w:val="auto"/>
              </w:rPr>
            </w:pPr>
            <w:r>
              <w:rPr>
                <w:rFonts w:ascii="Arial" w:cs="Arial" w:eastAsia="Arial" w:hAnsi="Arial"/>
                <w:sz w:val="14"/>
                <w:szCs w:val="14"/>
                <w:b w:val="1"/>
                <w:bCs w:val="1"/>
                <w:color w:val="auto"/>
              </w:rPr>
              <w:t>Section</w:t>
            </w:r>
          </w:p>
        </w:tc>
      </w:tr>
      <w:tr>
        <w:trPr>
          <w:trHeight w:val="195"/>
        </w:trPr>
        <w:tc>
          <w:tcPr>
            <w:tcW w:w="20" w:type="dxa"/>
            <w:vAlign w:val="bottom"/>
          </w:tcPr>
          <w:p>
            <w:pPr>
              <w:spacing w:after="0"/>
              <w:rPr>
                <w:sz w:val="16"/>
                <w:szCs w:val="16"/>
                <w:color w:val="auto"/>
              </w:rPr>
            </w:pPr>
          </w:p>
        </w:tc>
        <w:tc>
          <w:tcPr>
            <w:tcW w:w="5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Merger Effective Time</w:t>
            </w: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2.1(b)</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Mergers</w:t>
            </w:r>
          </w:p>
        </w:tc>
        <w:tc>
          <w:tcPr>
            <w:tcW w:w="5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Parties</w:t>
            </w:r>
          </w:p>
        </w:tc>
        <w:tc>
          <w:tcPr>
            <w:tcW w:w="53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Party</w:t>
            </w:r>
          </w:p>
        </w:tc>
        <w:tc>
          <w:tcPr>
            <w:tcW w:w="53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Potential Contributor</w:t>
            </w:r>
          </w:p>
        </w:tc>
        <w:tc>
          <w:tcPr>
            <w:tcW w:w="5360" w:type="dxa"/>
            <w:vAlign w:val="bottom"/>
          </w:tcPr>
          <w:p>
            <w:pPr>
              <w:spacing w:after="0"/>
              <w:rPr>
                <w:sz w:val="20"/>
                <w:szCs w:val="20"/>
                <w:color w:val="auto"/>
              </w:rPr>
            </w:pPr>
            <w:r>
              <w:rPr>
                <w:rFonts w:ascii="Arial" w:cs="Arial" w:eastAsia="Arial" w:hAnsi="Arial"/>
                <w:sz w:val="18"/>
                <w:szCs w:val="18"/>
                <w:color w:val="auto"/>
              </w:rPr>
              <w:t>7.4</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Registration Statement</w:t>
            </w:r>
          </w:p>
        </w:tc>
        <w:tc>
          <w:tcPr>
            <w:tcW w:w="5360" w:type="dxa"/>
            <w:vAlign w:val="bottom"/>
          </w:tcPr>
          <w:p>
            <w:pPr>
              <w:spacing w:after="0"/>
              <w:rPr>
                <w:sz w:val="20"/>
                <w:szCs w:val="20"/>
                <w:color w:val="auto"/>
              </w:rPr>
            </w:pPr>
            <w:r>
              <w:rPr>
                <w:rFonts w:ascii="Arial" w:cs="Arial" w:eastAsia="Arial" w:hAnsi="Arial"/>
                <w:sz w:val="18"/>
                <w:szCs w:val="18"/>
                <w:color w:val="auto"/>
              </w:rPr>
              <w:t>2.1(b)</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Securities</w:t>
            </w:r>
          </w:p>
        </w:tc>
        <w:tc>
          <w:tcPr>
            <w:tcW w:w="5360" w:type="dxa"/>
            <w:vAlign w:val="bottom"/>
          </w:tcPr>
          <w:p>
            <w:pPr>
              <w:spacing w:after="0"/>
              <w:rPr>
                <w:sz w:val="20"/>
                <w:szCs w:val="20"/>
                <w:color w:val="auto"/>
              </w:rPr>
            </w:pPr>
            <w:r>
              <w:rPr>
                <w:rFonts w:ascii="Arial" w:cs="Arial" w:eastAsia="Arial" w:hAnsi="Arial"/>
                <w:sz w:val="18"/>
                <w:szCs w:val="18"/>
                <w:color w:val="auto"/>
              </w:rPr>
              <w:t>3.5</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Surviving Company</w:t>
            </w:r>
          </w:p>
        </w:tc>
        <w:tc>
          <w:tcPr>
            <w:tcW w:w="5360" w:type="dxa"/>
            <w:vAlign w:val="bottom"/>
          </w:tcPr>
          <w:p>
            <w:pPr>
              <w:spacing w:after="0"/>
              <w:rPr>
                <w:sz w:val="20"/>
                <w:szCs w:val="20"/>
                <w:color w:val="auto"/>
              </w:rPr>
            </w:pPr>
            <w:r>
              <w:rPr>
                <w:rFonts w:ascii="Arial" w:cs="Arial" w:eastAsia="Arial" w:hAnsi="Arial"/>
                <w:sz w:val="18"/>
                <w:szCs w:val="18"/>
                <w:color w:val="auto"/>
              </w:rPr>
              <w:t>2.1(a)</w:t>
            </w:r>
          </w:p>
        </w:tc>
      </w:tr>
      <w:tr>
        <w:trPr>
          <w:trHeight w:val="230"/>
        </w:trPr>
        <w:tc>
          <w:tcPr>
            <w:tcW w:w="6060" w:type="dxa"/>
            <w:vAlign w:val="bottom"/>
            <w:gridSpan w:val="3"/>
          </w:tcPr>
          <w:p>
            <w:pPr>
              <w:spacing w:after="0"/>
              <w:rPr>
                <w:sz w:val="20"/>
                <w:szCs w:val="20"/>
                <w:color w:val="auto"/>
              </w:rPr>
            </w:pPr>
            <w:r>
              <w:rPr>
                <w:rFonts w:ascii="Arial" w:cs="Arial" w:eastAsia="Arial" w:hAnsi="Arial"/>
                <w:sz w:val="18"/>
                <w:szCs w:val="18"/>
                <w:color w:val="auto"/>
              </w:rPr>
              <w:t>Third Party Claim</w:t>
            </w:r>
          </w:p>
        </w:tc>
        <w:tc>
          <w:tcPr>
            <w:tcW w:w="5360" w:type="dxa"/>
            <w:vAlign w:val="bottom"/>
          </w:tcPr>
          <w:p>
            <w:pPr>
              <w:spacing w:after="0"/>
              <w:rPr>
                <w:sz w:val="20"/>
                <w:szCs w:val="20"/>
                <w:color w:val="auto"/>
              </w:rPr>
            </w:pPr>
            <w:r>
              <w:rPr>
                <w:rFonts w:ascii="Arial" w:cs="Arial" w:eastAsia="Arial" w:hAnsi="Arial"/>
                <w:sz w:val="18"/>
                <w:szCs w:val="18"/>
                <w:color w:val="auto"/>
              </w:rPr>
              <w:t>7.3(b)</w:t>
            </w:r>
          </w:p>
        </w:tc>
      </w:tr>
    </w:tbl>
    <w:p>
      <w:pPr>
        <w:spacing w:after="0" w:line="19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and Interpretative Provisions</w:t>
      </w:r>
      <w:r>
        <w:rPr>
          <w:rFonts w:ascii="Arial" w:cs="Arial" w:eastAsia="Arial" w:hAnsi="Arial"/>
          <w:sz w:val="16"/>
          <w:szCs w:val="16"/>
          <w:color w:val="auto"/>
        </w:rPr>
        <w:t>. The words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and “</w:t>
      </w:r>
      <w:r>
        <w:rPr>
          <w:rFonts w:ascii="Arial" w:cs="Arial" w:eastAsia="Arial" w:hAnsi="Arial"/>
          <w:sz w:val="16"/>
          <w:szCs w:val="16"/>
          <w:b w:val="1"/>
          <w:bCs w:val="1"/>
          <w:color w:val="auto"/>
        </w:rPr>
        <w:t>hereunder</w:t>
      </w:r>
      <w:r>
        <w:rPr>
          <w:rFonts w:ascii="Arial" w:cs="Arial" w:eastAsia="Arial" w:hAnsi="Arial"/>
          <w:sz w:val="16"/>
          <w:szCs w:val="16"/>
          <w:color w:val="auto"/>
        </w:rPr>
        <w:t>”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Exhibits are to Articles, Sections, and Exhibits of this Agreement unless otherwise specified. All Exhibits annexed hereto or referred to herein are hereby incorporated in and made a part of this Agreement as if set forth in full herein. Any capitalized terms used in any Exhibit but not otherwise defined therein, shall have the meaning as defined in this Agreement. Any singular term in this Agreement shall be deemed to include the plural, and any plural term the singular. Whenever the words “</w:t>
      </w:r>
      <w:r>
        <w:rPr>
          <w:rFonts w:ascii="Arial" w:cs="Arial" w:eastAsia="Arial" w:hAnsi="Arial"/>
          <w:sz w:val="16"/>
          <w:szCs w:val="16"/>
          <w:b w:val="1"/>
          <w:bCs w:val="1"/>
          <w:color w:val="auto"/>
        </w:rPr>
        <w:t>include</w:t>
      </w:r>
      <w:r>
        <w:rPr>
          <w:rFonts w:ascii="Arial" w:cs="Arial" w:eastAsia="Arial" w:hAnsi="Arial"/>
          <w:sz w:val="16"/>
          <w:szCs w:val="16"/>
          <w:color w:val="auto"/>
        </w:rPr>
        <w:t>,” “</w:t>
      </w:r>
      <w:r>
        <w:rPr>
          <w:rFonts w:ascii="Arial" w:cs="Arial" w:eastAsia="Arial" w:hAnsi="Arial"/>
          <w:sz w:val="16"/>
          <w:szCs w:val="16"/>
          <w:b w:val="1"/>
          <w:bCs w:val="1"/>
          <w:color w:val="auto"/>
        </w:rPr>
        <w:t>includes</w:t>
      </w:r>
      <w:r>
        <w:rPr>
          <w:rFonts w:ascii="Arial" w:cs="Arial" w:eastAsia="Arial" w:hAnsi="Arial"/>
          <w:sz w:val="16"/>
          <w:szCs w:val="16"/>
          <w:color w:val="auto"/>
        </w:rPr>
        <w:t>,” or “</w:t>
      </w:r>
      <w:r>
        <w:rPr>
          <w:rFonts w:ascii="Arial" w:cs="Arial" w:eastAsia="Arial" w:hAnsi="Arial"/>
          <w:sz w:val="16"/>
          <w:szCs w:val="16"/>
          <w:b w:val="1"/>
          <w:bCs w:val="1"/>
          <w:color w:val="auto"/>
        </w:rPr>
        <w:t>including</w:t>
      </w:r>
      <w:r>
        <w:rPr>
          <w:rFonts w:ascii="Arial" w:cs="Arial" w:eastAsia="Arial" w:hAnsi="Arial"/>
          <w:sz w:val="16"/>
          <w:szCs w:val="16"/>
          <w:color w:val="auto"/>
        </w:rPr>
        <w:t>” are used in this Agreement, they shall be deemed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whether or not they are in fact followed by those words or words of like import. “</w:t>
      </w:r>
      <w:r>
        <w:rPr>
          <w:rFonts w:ascii="Arial" w:cs="Arial" w:eastAsia="Arial" w:hAnsi="Arial"/>
          <w:sz w:val="16"/>
          <w:szCs w:val="16"/>
          <w:b w:val="1"/>
          <w:bCs w:val="1"/>
          <w:color w:val="auto"/>
        </w:rPr>
        <w:t>Writing</w:t>
      </w:r>
      <w:r>
        <w:rPr>
          <w:rFonts w:ascii="Arial" w:cs="Arial" w:eastAsia="Arial" w:hAnsi="Arial"/>
          <w:sz w:val="16"/>
          <w:szCs w:val="16"/>
          <w:color w:val="auto"/>
        </w:rPr>
        <w:t>,” “</w:t>
      </w:r>
      <w:r>
        <w:rPr>
          <w:rFonts w:ascii="Arial" w:cs="Arial" w:eastAsia="Arial" w:hAnsi="Arial"/>
          <w:sz w:val="16"/>
          <w:szCs w:val="16"/>
          <w:b w:val="1"/>
          <w:bCs w:val="1"/>
          <w:color w:val="auto"/>
        </w:rPr>
        <w:t>written</w:t>
      </w:r>
      <w:r>
        <w:rPr>
          <w:rFonts w:ascii="Arial" w:cs="Arial" w:eastAsia="Arial" w:hAnsi="Arial"/>
          <w:sz w:val="16"/>
          <w:szCs w:val="16"/>
          <w:color w:val="auto"/>
        </w:rPr>
        <w:t>,”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w:t>
      </w:r>
      <w:r>
        <w:rPr>
          <w:rFonts w:ascii="Arial" w:cs="Arial" w:eastAsia="Arial" w:hAnsi="Arial"/>
          <w:sz w:val="16"/>
          <w:szCs w:val="16"/>
          <w:b w:val="1"/>
          <w:bCs w:val="1"/>
          <w:color w:val="auto"/>
        </w:rPr>
        <w:t>law</w:t>
      </w:r>
      <w:r>
        <w:rPr>
          <w:rFonts w:ascii="Arial" w:cs="Arial" w:eastAsia="Arial" w:hAnsi="Arial"/>
          <w:sz w:val="16"/>
          <w:szCs w:val="16"/>
          <w:color w:val="auto"/>
        </w:rPr>
        <w:t>,” “</w:t>
      </w:r>
      <w:r>
        <w:rPr>
          <w:rFonts w:ascii="Arial" w:cs="Arial" w:eastAsia="Arial" w:hAnsi="Arial"/>
          <w:sz w:val="16"/>
          <w:szCs w:val="16"/>
          <w:b w:val="1"/>
          <w:bCs w:val="1"/>
          <w:color w:val="auto"/>
        </w:rPr>
        <w:t>laws</w:t>
      </w:r>
      <w:r>
        <w:rPr>
          <w:rFonts w:ascii="Arial" w:cs="Arial" w:eastAsia="Arial" w:hAnsi="Arial"/>
          <w:sz w:val="16"/>
          <w:szCs w:val="16"/>
          <w:color w:val="auto"/>
        </w:rPr>
        <w:t>,” or to a particular statute or law shall be deemed also to include any and all Laws.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5" w:right="239" w:bottom="1440" w:gutter="0" w:footer="0" w:header="0"/>
        </w:sectPr>
      </w:pPr>
    </w:p>
    <w:bookmarkStart w:id="291" w:name="page292"/>
    <w:bookmarkEnd w:id="291"/>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The Mergers And Other Transactions</w:t>
      </w:r>
    </w:p>
    <w:p>
      <w:pPr>
        <w:spacing w:after="0" w:line="225" w:lineRule="exact"/>
        <w:rPr>
          <w:sz w:val="20"/>
          <w:szCs w:val="20"/>
          <w:color w:val="auto"/>
        </w:rPr>
      </w:pPr>
    </w:p>
    <w:p>
      <w:pPr>
        <w:ind w:left="452"/>
        <w:spacing w:after="0"/>
        <w:tabs>
          <w:tab w:leader="none" w:pos="83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The Mergers</w:t>
      </w:r>
      <w:r>
        <w:rPr>
          <w:rFonts w:ascii="Arial" w:cs="Arial" w:eastAsia="Arial" w:hAnsi="Arial"/>
          <w:sz w:val="16"/>
          <w:szCs w:val="16"/>
          <w:color w:val="auto"/>
        </w:rPr>
        <w:t>.</w:t>
      </w:r>
    </w:p>
    <w:p>
      <w:pPr>
        <w:spacing w:after="0" w:line="225" w:lineRule="exact"/>
        <w:rPr>
          <w:sz w:val="20"/>
          <w:szCs w:val="20"/>
          <w:color w:val="auto"/>
        </w:rPr>
      </w:pPr>
    </w:p>
    <w:p>
      <w:pPr>
        <w:jc w:val="both"/>
        <w:ind w:left="-8" w:right="120" w:firstLine="921"/>
        <w:spacing w:after="0" w:line="312" w:lineRule="auto"/>
        <w:tabs>
          <w:tab w:leader="none" w:pos="127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At the Merger Effective Time (as defined below), and in accordance with the applicable provisions of this Agreement and the DGCL, each of the Bain Blocker and the Foresite Blocker shall be merged with and into the Company. Following the Mergers, the separate corporate existence of each of the Bain Blocker and the Foresite Blocker shall cease and the Company shall continue as the surviving company (the “</w:t>
      </w:r>
      <w:r>
        <w:rPr>
          <w:rFonts w:ascii="Arial" w:cs="Arial" w:eastAsia="Arial" w:hAnsi="Arial"/>
          <w:sz w:val="16"/>
          <w:szCs w:val="16"/>
          <w:b w:val="1"/>
          <w:bCs w:val="1"/>
          <w:color w:val="auto"/>
        </w:rPr>
        <w:t>Surviving Company</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8" w:right="40" w:firstLine="921"/>
        <w:spacing w:after="0" w:line="293" w:lineRule="auto"/>
        <w:tabs>
          <w:tab w:leader="none" w:pos="128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At the time determined by the Company, promptly following the Conversion and prior to the effectiveness of the Company’s registration statement on Form S-1 (File No. 333- )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xml:space="preserve">”) filed with the Securities and Exchange Commission pursuant to the Securities Act of 1933, as amended, the Company shall cause a certificate of merger in form and substance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Certificate of</w:t>
      </w:r>
      <w:r>
        <w:rPr>
          <w:rFonts w:ascii="Arial" w:cs="Arial" w:eastAsia="Arial" w:hAnsi="Arial"/>
          <w:sz w:val="16"/>
          <w:szCs w:val="16"/>
          <w:color w:val="auto"/>
        </w:rPr>
        <w:t xml:space="preserve"> </w:t>
      </w:r>
      <w:r>
        <w:rPr>
          <w:rFonts w:ascii="Arial" w:cs="Arial" w:eastAsia="Arial" w:hAnsi="Arial"/>
          <w:sz w:val="16"/>
          <w:szCs w:val="16"/>
          <w:b w:val="1"/>
          <w:bCs w:val="1"/>
          <w:color w:val="auto"/>
        </w:rPr>
        <w:t>Merger</w:t>
      </w:r>
      <w:r>
        <w:rPr>
          <w:rFonts w:ascii="Arial" w:cs="Arial" w:eastAsia="Arial" w:hAnsi="Arial"/>
          <w:sz w:val="16"/>
          <w:szCs w:val="16"/>
          <w:color w:val="auto"/>
        </w:rPr>
        <w:t>”) to be executed, acknowledged and filed with the Secretary of State of the State of Delaware, all as provided for and in accordance with Section 251</w:t>
      </w:r>
      <w:r>
        <w:rPr>
          <w:rFonts w:ascii="Arial" w:cs="Arial" w:eastAsia="Arial" w:hAnsi="Arial"/>
          <w:sz w:val="16"/>
          <w:szCs w:val="16"/>
          <w:b w:val="1"/>
          <w:bCs w:val="1"/>
          <w:color w:val="auto"/>
        </w:rPr>
        <w:t xml:space="preserve"> </w:t>
      </w:r>
      <w:r>
        <w:rPr>
          <w:rFonts w:ascii="Arial" w:cs="Arial" w:eastAsia="Arial" w:hAnsi="Arial"/>
          <w:sz w:val="16"/>
          <w:szCs w:val="16"/>
          <w:color w:val="auto"/>
        </w:rPr>
        <w:t>and Section 264 of the DGCL. The Mergers shall become effective at the time and date as provided under the DGCL and as specified in the Certificate of Merger (the “</w:t>
      </w:r>
      <w:r>
        <w:rPr>
          <w:rFonts w:ascii="Arial" w:cs="Arial" w:eastAsia="Arial" w:hAnsi="Arial"/>
          <w:sz w:val="16"/>
          <w:szCs w:val="16"/>
          <w:b w:val="1"/>
          <w:bCs w:val="1"/>
          <w:color w:val="auto"/>
        </w:rPr>
        <w:t>Merger Effective Time</w:t>
      </w:r>
      <w:r>
        <w:rPr>
          <w:rFonts w:ascii="Arial" w:cs="Arial" w:eastAsia="Arial" w:hAnsi="Arial"/>
          <w:sz w:val="16"/>
          <w:szCs w:val="16"/>
          <w:color w:val="auto"/>
        </w:rPr>
        <w:t>”). References to the Company after the Merger Effective Time shall mean the Surviving Company.</w:t>
      </w:r>
    </w:p>
    <w:p>
      <w:pPr>
        <w:spacing w:after="0" w:line="164" w:lineRule="exact"/>
        <w:rPr>
          <w:rFonts w:ascii="Arial" w:cs="Arial" w:eastAsia="Arial" w:hAnsi="Arial"/>
          <w:sz w:val="16"/>
          <w:szCs w:val="16"/>
          <w:color w:val="auto"/>
        </w:rPr>
      </w:pPr>
    </w:p>
    <w:p>
      <w:pPr>
        <w:ind w:left="-8" w:right="280" w:firstLine="921"/>
        <w:spacing w:after="0" w:line="259" w:lineRule="auto"/>
        <w:tabs>
          <w:tab w:leader="none" w:pos="128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Each Merger shall have the effects set forth under the DGCL. Without limiting the generality of the foregoing, and subject thereto, at the Merger Effective Time, all the properties, rights, privileges, and powers of each of the Bain Blocker and the Foresite Blocker shall vest in the Surviving Company, and all debts, liabilities, and duties of each of the Bain Blocker and the Foresite Blocker shall become the debts, liabilities and duties of the Surviving Company.</w:t>
      </w:r>
    </w:p>
    <w:p>
      <w:pPr>
        <w:spacing w:after="0" w:line="186" w:lineRule="exact"/>
        <w:rPr>
          <w:rFonts w:ascii="Arial" w:cs="Arial" w:eastAsia="Arial" w:hAnsi="Arial"/>
          <w:sz w:val="18"/>
          <w:szCs w:val="18"/>
          <w:color w:val="auto"/>
        </w:rPr>
      </w:pPr>
    </w:p>
    <w:p>
      <w:pPr>
        <w:ind w:left="-8" w:right="360" w:firstLine="921"/>
        <w:spacing w:after="0" w:line="342" w:lineRule="auto"/>
        <w:tabs>
          <w:tab w:leader="none" w:pos="1292"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The certificate of incorporation and bylaws of the Company, as in effect immediately prior to the Merger Effective Time, shall be the certificate of incorporation and bylaws of the Surviving Company until thereafter amended in accordance with the provisions thereof and applicable Law.</w:t>
      </w:r>
    </w:p>
    <w:p>
      <w:pPr>
        <w:spacing w:after="0" w:line="123" w:lineRule="exact"/>
        <w:rPr>
          <w:rFonts w:ascii="Arial" w:cs="Arial" w:eastAsia="Arial" w:hAnsi="Arial"/>
          <w:sz w:val="16"/>
          <w:szCs w:val="16"/>
          <w:color w:val="auto"/>
        </w:rPr>
      </w:pPr>
    </w:p>
    <w:p>
      <w:pPr>
        <w:ind w:left="-8" w:firstLine="921"/>
        <w:spacing w:after="0" w:line="291" w:lineRule="auto"/>
        <w:tabs>
          <w:tab w:leader="none" w:pos="128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Subject to applicable Law, (i) the directors of the Company immediately prior to the Merger Effective Time shall be the initial directors of the Surviving Company and shall hold office until their respective successors are duly elected and qualified, or their earlier death, resignation, or removal, and</w:t>
      </w:r>
    </w:p>
    <w:p>
      <w:pPr>
        <w:ind w:left="-8" w:right="260" w:firstLine="8"/>
        <w:spacing w:after="0" w:line="261" w:lineRule="auto"/>
        <w:tabs>
          <w:tab w:leader="none" w:pos="25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officers of the Company immediately prior to the Merger Effective Time shall be the initial officers of the Surviving Company and shall hold office until their respective successors are duly elected and qualified, or their earlier death, resignation, or removal.</w:t>
      </w:r>
    </w:p>
    <w:p>
      <w:pPr>
        <w:spacing w:after="0" w:line="183" w:lineRule="exact"/>
        <w:rPr>
          <w:rFonts w:ascii="Arial" w:cs="Arial" w:eastAsia="Arial" w:hAnsi="Arial"/>
          <w:sz w:val="18"/>
          <w:szCs w:val="18"/>
          <w:color w:val="auto"/>
        </w:rPr>
      </w:pPr>
    </w:p>
    <w:p>
      <w:pPr>
        <w:ind w:left="-8" w:right="140" w:firstLine="921"/>
        <w:spacing w:after="0" w:line="264" w:lineRule="auto"/>
        <w:tabs>
          <w:tab w:leader="none" w:pos="125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All of the equity interests of each of the Bain Blocker and the Foresite Blocker outstanding as of immediately prior to the Merger Effective Time shall, as of the Merger Effective Time, by virtue of the Bain Blocker Merger (in the case of the Bain Blocker) and the Foresite Blocker Merger (in the case of the Foresite Blocker) and without any action on the part</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292" w:name="page293"/>
    <w:bookmarkEnd w:id="292"/>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Party hereto or the holder thereof or any other Person, be canceled and extinguished and converted into the right to receive the consideration specified in Section 2.1(g). All of such outstanding equity interests of the Bain Blocker and the Foresite Blocker when so converted, shall no longer be outstanding and shall automatically be canceled and the former holders thereof shall cease to have any rights with respect thereto, except the right to receive the consideration specified in Section 2.1(g).</w:t>
      </w:r>
    </w:p>
    <w:p>
      <w:pPr>
        <w:spacing w:after="0" w:line="187" w:lineRule="exact"/>
        <w:rPr>
          <w:sz w:val="20"/>
          <w:szCs w:val="20"/>
          <w:color w:val="auto"/>
        </w:rPr>
      </w:pPr>
    </w:p>
    <w:p>
      <w:pPr>
        <w:ind w:left="1300" w:hanging="379"/>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At the Merger Effective Time:</w:t>
      </w:r>
    </w:p>
    <w:p>
      <w:pPr>
        <w:spacing w:after="0" w:line="117" w:lineRule="exact"/>
        <w:rPr>
          <w:rFonts w:ascii="Arial" w:cs="Arial" w:eastAsia="Arial" w:hAnsi="Arial"/>
          <w:sz w:val="18"/>
          <w:szCs w:val="18"/>
          <w:color w:val="auto"/>
        </w:rPr>
      </w:pPr>
    </w:p>
    <w:p>
      <w:pPr>
        <w:ind w:right="120" w:firstLine="1492"/>
        <w:spacing w:after="0" w:line="297" w:lineRule="auto"/>
        <w:tabs>
          <w:tab w:leader="none" w:pos="1833" w:val="left"/>
        </w:tabs>
        <w:numPr>
          <w:ilvl w:val="1"/>
          <w:numId w:val="191"/>
        </w:numPr>
        <w:rPr>
          <w:rFonts w:ascii="Arial" w:cs="Arial" w:eastAsia="Arial" w:hAnsi="Arial"/>
          <w:sz w:val="16"/>
          <w:szCs w:val="16"/>
          <w:color w:val="auto"/>
        </w:rPr>
      </w:pPr>
      <w:r>
        <w:rPr>
          <w:rFonts w:ascii="Arial" w:cs="Arial" w:eastAsia="Arial" w:hAnsi="Arial"/>
          <w:sz w:val="16"/>
          <w:szCs w:val="16"/>
          <w:color w:val="auto"/>
        </w:rPr>
        <w:t>In respect of the outstanding equity interests of the Bain Blocker held by the Bain Funds immediately prior to the Merger Effective Time and canceled and extinguished by virtue of the Bain Blocker Merger, the Bain Funds in the aggregate shall receive the number of shares of Common Stock equal to the number of shares of Common Stock held by the Bain Blocker immediately prior to the Bain Blocker Merger (with such shares to be apportioned 78.79% to Bain Capital Life Sciences Fund, L.P. and 21.21% to BCIP Life Sciences Associates, LP), and such shares of Common Stock of the Company received pursuant to the Bain Blocker Merger shall be free and clear of all security interests, claims, liens, equities or other encumbrances; and</w:t>
      </w:r>
    </w:p>
    <w:p>
      <w:pPr>
        <w:spacing w:after="0" w:line="50" w:lineRule="exact"/>
        <w:rPr>
          <w:rFonts w:ascii="Arial" w:cs="Arial" w:eastAsia="Arial" w:hAnsi="Arial"/>
          <w:sz w:val="16"/>
          <w:szCs w:val="16"/>
          <w:color w:val="auto"/>
        </w:rPr>
      </w:pPr>
    </w:p>
    <w:p>
      <w:pPr>
        <w:ind w:firstLine="1492"/>
        <w:spacing w:after="0" w:line="302" w:lineRule="auto"/>
        <w:tabs>
          <w:tab w:leader="none" w:pos="1883" w:val="left"/>
        </w:tabs>
        <w:numPr>
          <w:ilvl w:val="1"/>
          <w:numId w:val="191"/>
        </w:numPr>
        <w:rPr>
          <w:rFonts w:ascii="Arial" w:cs="Arial" w:eastAsia="Arial" w:hAnsi="Arial"/>
          <w:sz w:val="16"/>
          <w:szCs w:val="16"/>
          <w:color w:val="auto"/>
        </w:rPr>
      </w:pPr>
      <w:r>
        <w:rPr>
          <w:rFonts w:ascii="Arial" w:cs="Arial" w:eastAsia="Arial" w:hAnsi="Arial"/>
          <w:sz w:val="16"/>
          <w:szCs w:val="16"/>
          <w:color w:val="auto"/>
        </w:rPr>
        <w:t>In respect of the outstanding equity interests of the Foresite Blocker held by the Foresite Fund immediately prior to the Merger Effective Time and canceled and extinguished by virtue of the Foresite Blocker Merger, the Foresite Fund shall receive the number of shares of Common Stock equal to the number of shares of Common Stock held by the Foresite Blocker immediately prior to the Merger Effective Time, and such shares of Common Stock received pursuant to the Foresite Blocker Merger shall be free and clear of all security interests, claims, liens, equities or other encumbrances.</w:t>
      </w:r>
    </w:p>
    <w:p>
      <w:pPr>
        <w:spacing w:after="0" w:line="154" w:lineRule="exact"/>
        <w:rPr>
          <w:rFonts w:ascii="Arial" w:cs="Arial" w:eastAsia="Arial" w:hAnsi="Arial"/>
          <w:sz w:val="16"/>
          <w:szCs w:val="16"/>
          <w:color w:val="auto"/>
        </w:rPr>
      </w:pPr>
    </w:p>
    <w:p>
      <w:pPr>
        <w:jc w:val="both"/>
        <w:ind w:right="520" w:firstLine="921"/>
        <w:spacing w:after="0" w:line="286" w:lineRule="auto"/>
        <w:tabs>
          <w:tab w:leader="none" w:pos="1303" w:val="left"/>
        </w:tabs>
        <w:numPr>
          <w:ilvl w:val="0"/>
          <w:numId w:val="191"/>
        </w:numPr>
        <w:rPr>
          <w:rFonts w:ascii="Arial" w:cs="Arial" w:eastAsia="Arial" w:hAnsi="Arial"/>
          <w:sz w:val="17"/>
          <w:szCs w:val="17"/>
          <w:color w:val="auto"/>
        </w:rPr>
      </w:pPr>
      <w:r>
        <w:rPr>
          <w:rFonts w:ascii="Arial" w:cs="Arial" w:eastAsia="Arial" w:hAnsi="Arial"/>
          <w:sz w:val="17"/>
          <w:szCs w:val="17"/>
          <w:color w:val="auto"/>
        </w:rPr>
        <w:t>By their execution of this Agreement, the Bain Funds, as the sole stockholders of the Bain Blocker and the Foresite Fund, as the sole stockholder of the Foresite Blocker, each waives its right to any dissent to the Bain Blocker Merger and the Foresite Blocker Merger, respectively, and demand for appraisal for its shares of the Bain Blocker and the Foresite Blocker, respectively, under the DGCL, or otherwise.</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(the “</w:t>
      </w:r>
      <w:r>
        <w:rPr>
          <w:rFonts w:ascii="Arial" w:cs="Arial" w:eastAsia="Arial" w:hAnsi="Arial"/>
          <w:sz w:val="18"/>
          <w:szCs w:val="18"/>
          <w:b w:val="1"/>
          <w:bCs w:val="1"/>
          <w:color w:val="auto"/>
        </w:rPr>
        <w:t>Closing</w:t>
      </w:r>
      <w:r>
        <w:rPr>
          <w:rFonts w:ascii="Arial" w:cs="Arial" w:eastAsia="Arial" w:hAnsi="Arial"/>
          <w:sz w:val="18"/>
          <w:szCs w:val="18"/>
          <w:color w:val="auto"/>
        </w:rPr>
        <w:t>”) of the transactions contemplated hereunder shall take place at the offices of Proskauer Rose LLP, 11 Times Square, New York, New York 10036. At the Closing:</w:t>
      </w:r>
    </w:p>
    <w:p>
      <w:pPr>
        <w:spacing w:after="0" w:line="58" w:lineRule="exact"/>
        <w:rPr>
          <w:sz w:val="20"/>
          <w:szCs w:val="20"/>
          <w:color w:val="auto"/>
        </w:rPr>
      </w:pPr>
    </w:p>
    <w:p>
      <w:pPr>
        <w:ind w:left="1840" w:hanging="348"/>
        <w:spacing w:after="0"/>
        <w:tabs>
          <w:tab w:leader="none" w:pos="18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Certificate of Merger shall be filed pursuant to the terms of Section 2.1.</w:t>
      </w:r>
    </w:p>
    <w:p>
      <w:pPr>
        <w:spacing w:after="0" w:line="117" w:lineRule="exact"/>
        <w:rPr>
          <w:rFonts w:ascii="Arial" w:cs="Arial" w:eastAsia="Arial" w:hAnsi="Arial"/>
          <w:sz w:val="18"/>
          <w:szCs w:val="18"/>
          <w:color w:val="auto"/>
        </w:rPr>
      </w:pPr>
    </w:p>
    <w:p>
      <w:pPr>
        <w:ind w:right="80" w:firstLine="1492"/>
        <w:spacing w:after="0" w:line="277" w:lineRule="auto"/>
        <w:tabs>
          <w:tab w:leader="none" w:pos="188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of the Parties shall deliver such other documents, instruments and agreements as are required to be delivered by such Party at the Closing pursuant to this Agreement.</w:t>
      </w:r>
    </w:p>
    <w:p>
      <w:pPr>
        <w:spacing w:after="0" w:line="62" w:lineRule="exact"/>
        <w:rPr>
          <w:rFonts w:ascii="Arial" w:cs="Arial" w:eastAsia="Arial" w:hAnsi="Arial"/>
          <w:sz w:val="18"/>
          <w:szCs w:val="18"/>
          <w:color w:val="auto"/>
        </w:rPr>
      </w:pPr>
    </w:p>
    <w:p>
      <w:pPr>
        <w:ind w:right="280" w:firstLine="1492"/>
        <w:spacing w:after="0" w:line="277" w:lineRule="auto"/>
        <w:tabs>
          <w:tab w:leader="none" w:pos="193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Foresite Fund shall deliver to the Company an affidavit dated as of the Closing Date, in form and substance required under Treasury Regulations Section 1.1445-2(b) and in a form reasonably acceptable to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93" w:name="page294"/>
    <w:bookmarkEnd w:id="293"/>
    <w:p>
      <w:pPr>
        <w:ind w:right="80" w:firstLine="1492"/>
        <w:spacing w:after="0" w:line="284" w:lineRule="auto"/>
        <w:tabs>
          <w:tab w:leader="none" w:pos="1923" w:val="left"/>
        </w:tabs>
        <w:numPr>
          <w:ilvl w:val="1"/>
          <w:numId w:val="1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Closing Date prior to the Closing, (i) the Company shall deliver to the Bain Blocker a statement signed under penalties of perjury and dated as of the Closing Date, satisfying the requirements of Treasury Regulations Section 1.897-2(g)(2)(ii) and 1.897-2(h) and in form and substance reasonably satisfactory to the Bain Funds, certifying that shares of the Company’s stock are not “United States real property interests” within the meaning of Section 897 of the Code, and (ii) following its receipt of the statement described in clause (i) above, the Bain Blocker shall deliver to the Bain Funds a statement signed under penalties of perjury and dated as of the Closing Date, satisfying the requirements of Treasury Regulations Section 1.897-2(h) and in form and substance reasonably satisfactory to the Bain Funds, certifying that shares of the Bain Blocker’s stock are not “United States real property interests” within the meaning of Section 897 of the Code. Within fifteen (15) days following the Closing Date, the Company (on its own behalf with respect to the statement delivered pursuant to clause (i) above and as the successor to the Bain Blocker with respect to the statement delivered pursuant to clause</w:t>
      </w:r>
    </w:p>
    <w:p>
      <w:pPr>
        <w:spacing w:after="0" w:line="1" w:lineRule="exact"/>
        <w:rPr>
          <w:rFonts w:ascii="Arial" w:cs="Arial" w:eastAsia="Arial" w:hAnsi="Arial"/>
          <w:sz w:val="16"/>
          <w:szCs w:val="16"/>
          <w:color w:val="auto"/>
        </w:rPr>
      </w:pPr>
    </w:p>
    <w:p>
      <w:pPr>
        <w:ind w:right="20" w:firstLine="8"/>
        <w:spacing w:after="0" w:line="323" w:lineRule="auto"/>
        <w:tabs>
          <w:tab w:leader="none" w:pos="26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above) shall provide notices to the Internal Revenue Service in accordance with Treasury Regulations Section 1.897-2(h)(2) with respect to the statements delivered pursuant to clauses (i) and (ii) above, and shall deliver to the Bain Funds copies of such notices and certified mail receipts with respect thereto.</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The Merged Entities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Each of the Merged Entities, severally and not jointly, the Bain Funds (jointly and severally with the Bain Blocker and one another and solely with respect to the Bain Blocker) and the Foresite Fund (jointly and severally with the Foresite Blocker and solely with respect to the Foresite Blocker) represents and warrants to the Company as of the date hereof that:</w:t>
      </w:r>
    </w:p>
    <w:p>
      <w:pPr>
        <w:spacing w:after="0" w:line="73"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Such Merged Entity is a corporation incorporated, validly existing and in good standing under the laws of its jurisdiction of incorporation, with full power and authority to conduct its business as it is now being conducted and to own or use the properties and assets that it purports to own or use.</w:t>
      </w:r>
    </w:p>
    <w:p>
      <w:pPr>
        <w:spacing w:after="0" w:line="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delivery and performance by such Merged Entity of the Transaction Documents to which it is or will be a party and the consummation of the transactions contemplated thereby are within the corporate powers and authority of such Merged Entity and have been duly authorized by all necessary corporate action on the part of such Merged Entity. Each of the Transaction Documents to which it is or will be a party constitutes, or will when executed constitute, the legal, valid and binding obligation of such Merged Entity enforceable against such Merged Entity in accordance with its respective terms, (a) except as enforcement may be limited by applicable bankruptcy, insolvency, reorganization, moratorium or similar laws now or hereafter in effect relating to or affecting creditors’ rights generally, including the effect of statutory and other laws concerning fraudulent conveyances and preferential transfers and (b) subject to the limitations imposed by general equitable principles (regardless of whether such enforceability is considered in proceeding at law or in equity).</w:t>
      </w:r>
    </w:p>
    <w:p>
      <w:pPr>
        <w:spacing w:after="0" w:line="8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The execution, delivery and performance by such Merged Entity of each of the Transaction Documents to which it is or will be a party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94" w:name="page295"/>
    <w:bookmarkEnd w:id="294"/>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the transactions contemplated thereby require no action, consent or approval by or in respect of, filing with or notice to, any governmental body, agency or official other than the Certificate of Merger and any other such action or filing as to which the failure to make or obtain would not have, individually or in the aggregate, a Material Adverse Effect.</w:t>
      </w:r>
    </w:p>
    <w:p>
      <w:pPr>
        <w:spacing w:after="0" w:line="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such Merged Entity of any of the Transaction Documents to which it is or will be a party, and the consummation of the transactions contemplated thereby do not and will not (a) violate or conflict with the organizational documents of such Merged Entity or any resolution adopted by or any action taken by the board of directors or equityholders of such Merged Entity, (b) assuming compliance with the matters referred to in Section 3.3, contravene or conflict with or constitute a violation of any provision of any Law binding upon or applicable to such Merged Entity, (c) with or without the giving of notice or the lapse of time, or both, constitute a default under or give rise to any right of termination, cancellation or acceleration of any right or obligation of such Merged Entity, or to a loss of any benefit to which such Merged Entity is entitled, under any provision of any agreement, contract or other instrument to which such Party is a party or by which it or its properties or assets is bound or (d) result in the creation or imposition of any Lien (other than Permitted Liens and Exceptions) upon or with respect to such Merged Party or its assets.</w:t>
      </w:r>
    </w:p>
    <w:p>
      <w:pPr>
        <w:spacing w:after="0" w:line="58"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Capitalization</w:t>
      </w:r>
      <w:r>
        <w:rPr>
          <w:rFonts w:ascii="Arial" w:cs="Arial" w:eastAsia="Arial" w:hAnsi="Arial"/>
          <w:sz w:val="16"/>
          <w:szCs w:val="16"/>
          <w:color w:val="auto"/>
        </w:rPr>
        <w:t>. The Bain Blocker represents and warrants that the Bain Funds own 100% of the issued and outstanding capital stock of the Bain Blocker. The Foresite Blocker represents and warrants that the Foresite Fund owns 100% of the issued and outstanding capital stock of the Foresite Blocker. All of the capital stock of such Merged Party have been duly authorized and validly issued and are fully paid and non-assessable. Other than the capital stock issued to the Bain Funds and the Foresite Fund described in this Section 3.5, there are no outstanding (a) capital stock or other voting securities of such Merged Entity, (b) securities of such Merged Entity convertible into or exchangeable for capital stock or other voting securities of such Merged Entity or</w:t>
      </w:r>
    </w:p>
    <w:p>
      <w:pPr>
        <w:spacing w:after="0" w:line="2" w:lineRule="exact"/>
        <w:rPr>
          <w:sz w:val="20"/>
          <w:szCs w:val="20"/>
          <w:color w:val="auto"/>
        </w:rPr>
      </w:pPr>
    </w:p>
    <w:p>
      <w:pPr>
        <w:ind w:right="160" w:firstLine="8"/>
        <w:spacing w:after="0" w:line="281" w:lineRule="auto"/>
        <w:tabs>
          <w:tab w:leader="none" w:pos="24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options or other rights to acquire from such Merged Entity, or other obligation of such Merged Entity to issue, any capital stock or other voting securities of such Merged Entity or securities convertible into or exchangeable for capital stock or other voting securities of such Merged Entity (the items in clauses</w:t>
      </w:r>
    </w:p>
    <w:p>
      <w:pPr>
        <w:spacing w:after="0" w:line="1" w:lineRule="exact"/>
        <w:rPr>
          <w:rFonts w:ascii="Arial" w:cs="Arial" w:eastAsia="Arial" w:hAnsi="Arial"/>
          <w:sz w:val="16"/>
          <w:szCs w:val="16"/>
          <w:color w:val="auto"/>
        </w:rPr>
      </w:pPr>
    </w:p>
    <w:p>
      <w:pPr>
        <w:ind w:right="480" w:firstLine="8"/>
        <w:spacing w:after="0" w:line="255" w:lineRule="auto"/>
        <w:tabs>
          <w:tab w:leader="none" w:pos="24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through (c) being referred to collectively as the “</w:t>
      </w:r>
      <w:r>
        <w:rPr>
          <w:rFonts w:ascii="Arial" w:cs="Arial" w:eastAsia="Arial" w:hAnsi="Arial"/>
          <w:sz w:val="18"/>
          <w:szCs w:val="18"/>
          <w:b w:val="1"/>
          <w:bCs w:val="1"/>
          <w:color w:val="auto"/>
        </w:rPr>
        <w:t>Securities</w:t>
      </w:r>
      <w:r>
        <w:rPr>
          <w:rFonts w:ascii="Arial" w:cs="Arial" w:eastAsia="Arial" w:hAnsi="Arial"/>
          <w:sz w:val="18"/>
          <w:szCs w:val="18"/>
          <w:color w:val="auto"/>
        </w:rPr>
        <w:t>”). There are no outstanding obligations of such Merged Entity to repurchase, redeem or otherwise acquire any Securities and there are no agreements or other instruments relating to the issuance, sale or transfer by such Merged Entity of any Securities.</w:t>
      </w:r>
    </w:p>
    <w:p>
      <w:pPr>
        <w:spacing w:after="0" w:line="8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Subsidiaries</w:t>
      </w:r>
      <w:r>
        <w:rPr>
          <w:rFonts w:ascii="Arial" w:cs="Arial" w:eastAsia="Arial" w:hAnsi="Arial"/>
          <w:sz w:val="18"/>
          <w:szCs w:val="18"/>
          <w:color w:val="auto"/>
        </w:rPr>
        <w:t>. Such Merged Entity has no Subsidiaries. Such Merged Entity does not control directly or indirectly or have any direct or indirect equity participation in any corporation, partnership, trust, or other business association (other than the Company).</w:t>
      </w:r>
    </w:p>
    <w:p>
      <w:pPr>
        <w:spacing w:after="0" w:line="6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No Liabilities</w:t>
      </w:r>
      <w:r>
        <w:rPr>
          <w:rFonts w:ascii="Arial" w:cs="Arial" w:eastAsia="Arial" w:hAnsi="Arial"/>
          <w:sz w:val="18"/>
          <w:szCs w:val="18"/>
          <w:color w:val="auto"/>
        </w:rPr>
        <w:t>. Such Merged Entity does not conduct any operating or other business or related general business operations, other than its activities as a holding company incident to its direct or indirect ownership of capital stock of the Company. Such Merged Entity does not have any liabilities of any kind, character or description (whether known or unknown, accrued, absolute, contingent or otherwise).</w:t>
      </w:r>
    </w:p>
    <w:p>
      <w:pPr>
        <w:spacing w:after="0" w:line="7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Related Party Agreements</w:t>
      </w:r>
      <w:r>
        <w:rPr>
          <w:rFonts w:ascii="Arial" w:cs="Arial" w:eastAsia="Arial" w:hAnsi="Arial"/>
          <w:sz w:val="18"/>
          <w:szCs w:val="18"/>
          <w:color w:val="auto"/>
        </w:rPr>
        <w:t>. Except as otherwise provided in the Transaction Documents, there are no agreements, contracts, commitments or understandings, other than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95" w:name="page296"/>
    <w:bookmarkEnd w:id="29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agreements, contracts, commitments or understandings that will be terminated as of Closing without any further liability or obligation on the part of such Merged Entity, by and between such Merged Entity, on the one hand, and such Merged Entity’s Affiliates, on the other hand, including, without limitation, any such agreements, contracts, commitments or understandings pursuant to which such Affiliate provides or receives any information, assets, properties, support or other services to or from such entity.</w:t>
      </w:r>
    </w:p>
    <w:p>
      <w:pPr>
        <w:spacing w:after="0" w:line="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claim, action, suit, investigation or proceeding pending against or, to the knowledge of such Merged Entity, threatened against, such Merged Entity or any of its assets before any court or arbitrator or any governmental body, agency or official.</w:t>
      </w:r>
    </w:p>
    <w:p>
      <w:pPr>
        <w:spacing w:after="0" w:line="62"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Such Merged Entity is, and at all times since the date of its incorporation or formation, as applicable, has been, in compliance with all applicable Laws.</w:t>
      </w:r>
    </w:p>
    <w:p>
      <w:pPr>
        <w:spacing w:after="0" w:line="62"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auto"/>
        </w:rPr>
        <w:t>Assets</w:t>
      </w:r>
      <w:r>
        <w:rPr>
          <w:rFonts w:ascii="Arial" w:cs="Arial" w:eastAsia="Arial" w:hAnsi="Arial"/>
          <w:sz w:val="16"/>
          <w:szCs w:val="16"/>
          <w:color w:val="auto"/>
        </w:rPr>
        <w:t>. The sole asset of each Merged Entity is an ownership interest in the Company.</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Inspections; No Other Representations</w:t>
      </w:r>
      <w:r>
        <w:rPr>
          <w:rFonts w:ascii="Arial" w:cs="Arial" w:eastAsia="Arial" w:hAnsi="Arial"/>
          <w:sz w:val="16"/>
          <w:szCs w:val="16"/>
          <w:color w:val="auto"/>
        </w:rPr>
        <w:t>. No Merged Entity makes any express or implied representations or warranties of any nature, whether in writing, oral or otherwise, made by or on behalf of or imputed to any Merged Entity or any of its Affiliates, except as expressly set forth in this Agreement. Without limiting the generality of the foregoing, no Merged Entity nor any of its Affiliates makes any representation or warranty with respect to any projections, estimates or budgets delivered to or made available to the Company of future revenues, future results of operations (or any component thereof), future cash flows or future financial condition (or any component thereof) or any other information or documents made available to the Company or its counsel, accountants or advisors with respect to any Merged Entity or any of the foregoing business, assets, liabilities or operations.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represents and warrants to each of the other Parties, as of the date hereof, that:</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The Company is a corporation duly incorporated, validly existing and in good standing under the laws of its jurisdiction of incorporation, with full power and authority to conduct its business as it is now being conducted and to own or use the properties and assets that it purports to own or use. The shares of Common Stock to be issued by the Company in the Mergers will be duly authorized, validly issued, fully paid and non-assessable.</w:t>
      </w:r>
    </w:p>
    <w:p>
      <w:pPr>
        <w:spacing w:after="0" w:line="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Corporate Authorization</w:t>
      </w:r>
      <w:r>
        <w:rPr>
          <w:rFonts w:ascii="Arial" w:cs="Arial" w:eastAsia="Arial" w:hAnsi="Arial"/>
          <w:sz w:val="18"/>
          <w:szCs w:val="18"/>
          <w:color w:val="auto"/>
        </w:rPr>
        <w:t>. The execution, delivery and performance by the Company of the Transaction Documents to which it is or will be a party and the consummation of the transactions contemplated thereby are within the corporate powers and authority of the Company and have been duly authorized by all necessary corporate action on the part of the Company. Each of the Transaction Documents to which the Company is or will be a party constitutes, or will when executed constitute, the legal, valid and binding obligation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96" w:name="page297"/>
    <w:bookmarkEnd w:id="296"/>
    <w:p>
      <w:pPr>
        <w:ind w:right="3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enforceable against the Company in accordance with its respective terms, (a) except as enforcement may be limited by applicable bankruptcy, insolvency, reorganization, moratorium or similar laws now or hereafter in effect relating to or affecting creditors’ rights generally, including the effect of statutory and other laws concerning fraudulent conveyances and preferential transfers, and (b) subject to the limitations imposed by general equitable principles (regardless of whether such enforceability is considered in a proceeding at law or in equity).</w:t>
      </w:r>
    </w:p>
    <w:p>
      <w:pPr>
        <w:spacing w:after="0" w:line="6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The execution, delivery and performance by the Company of each of the Transaction Documents to which it is or will be a party and the consummation of the transactions contemplated thereby require no action, consent or approval by or in respect of, filing with or material notice to, any governmental body, agency or official other than: (a) the filing of the Certificate of Merger; and (b) any other such action or filing as to which the failure to make or obtain would not have, individually or in the aggregate, a material adverse effect on the ability of the Company to consummate the transactions contemplated by the Transaction Documents.</w:t>
      </w:r>
    </w:p>
    <w:p>
      <w:pPr>
        <w:spacing w:after="0" w:line="8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Noncontravention</w:t>
      </w:r>
      <w:r>
        <w:rPr>
          <w:rFonts w:ascii="Arial" w:cs="Arial" w:eastAsia="Arial" w:hAnsi="Arial"/>
          <w:sz w:val="17"/>
          <w:szCs w:val="17"/>
          <w:color w:val="auto"/>
        </w:rPr>
        <w:t>. The execution, delivery and performance by the Company of any of the Transaction Documents to which it is or will be a party and the consummation of the transactions contemplated thereby do not and will not (a) violate or conflict with the certificate of incorporation of the Company or any resolution adopted by or any action taken by the board of directors or stockholders of the Company, (b) assuming compliance with the matters referred to in Section 4.3, contravene or conflict with or constitute a violation of any provision of any Law binding upon or applicable to the Company, (c) with or without the giving of notice or the lapse of time, or both, constitute a default under or give rise to any right of termination, cancellation or acceleration of any right or obligation of the Company, or to a loss of any benefit to which the Company is entitled under any provision of any agreement, contract or other instrument to which the Company is a party or by which the Company or its properties or assets are bound or (d) result in the creation or imposition of any Lien (other than Permitted Liens and Exceptions) upon or with respect to the Company or its properties or assets, except, in the case of clauses (b), (c) or (d), for any such contravention, conflict, violation, default, termination, cancellation, acceleration or loss that would not have, individually or in the aggregate, a material adverse effect on the Company and its Subsidiaries, taken as a whole.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Covenants Of The Parties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Parties hereto agrees that: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Reasonable Best Efforts; Further Assurances</w:t>
      </w:r>
      <w:r>
        <w:rPr>
          <w:rFonts w:ascii="Arial" w:cs="Arial" w:eastAsia="Arial" w:hAnsi="Arial"/>
          <w:sz w:val="18"/>
          <w:szCs w:val="18"/>
          <w:color w:val="auto"/>
        </w:rPr>
        <w:t>. Subject to the terms and conditions of this Agreement, each Party will use its reasonable best efforts to take, or cause to be taken, all actions and to do, or cause to be done, all things necessary or desirable to consummate the transactions contemplated by any of the Transaction Documents. Each Party shall execute and deliver such other documents, certificates, agreements and other writings and to take such other actions as may be necessary or appropriate in order to consummate or implement expeditiously the transactions contemplated by any of the Transaction Documents.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97" w:name="page298"/>
    <w:bookmarkEnd w:id="297"/>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Other than the Company, none of the other Parties hereto may issue any press release or make any public statement with respect to any Transaction Document or the transactions contemplated thereby.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Tax Matters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Tax Reporting</w:t>
      </w:r>
      <w:r>
        <w:rPr>
          <w:rFonts w:ascii="Arial" w:cs="Arial" w:eastAsia="Arial" w:hAnsi="Arial"/>
          <w:sz w:val="18"/>
          <w:szCs w:val="18"/>
          <w:color w:val="auto"/>
        </w:rPr>
        <w:t>. The Parties acknowledge that each Merger is intended to be treated as a “reorganization” within the meaning of Section 368 of the Code. Neither the Company nor any holder of securities of either Merged Entity shall take any position on any tax return in a manner inconsistent with such intended treatment.</w:t>
      </w:r>
    </w:p>
    <w:p>
      <w:pPr>
        <w:spacing w:after="0" w:line="18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Preparation of Tax Returns</w:t>
      </w:r>
      <w:r>
        <w:rPr>
          <w:rFonts w:ascii="Arial" w:cs="Arial" w:eastAsia="Arial" w:hAnsi="Arial"/>
          <w:sz w:val="16"/>
          <w:szCs w:val="16"/>
          <w:color w:val="auto"/>
        </w:rPr>
        <w:t>.</w:t>
      </w:r>
    </w:p>
    <w:p>
      <w:pPr>
        <w:spacing w:after="0" w:line="225" w:lineRule="exact"/>
        <w:rPr>
          <w:sz w:val="20"/>
          <w:szCs w:val="20"/>
          <w:color w:val="auto"/>
        </w:rPr>
      </w:pPr>
    </w:p>
    <w:p>
      <w:pPr>
        <w:ind w:firstLine="921"/>
        <w:spacing w:after="0" w:line="259" w:lineRule="auto"/>
        <w:tabs>
          <w:tab w:leader="none" w:pos="128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 and the Bain Funds shall use commercially reasonable efforts to (x) allow the Bain Funds to prepare (or cause to be prepared) drafts of all Tax returns of the Bain Blocker for any Tax period ending on or before the Closing Date, and (y) allow the Company to review and timely file such Tax returns, which shall be filed as modified by the Company’s reasonable comments thereto (with the Company to provide notice to the Bain Funds of any such comments and an opportunity to discuss such comments).</w:t>
      </w:r>
    </w:p>
    <w:p>
      <w:pPr>
        <w:spacing w:after="0" w:line="186" w:lineRule="exact"/>
        <w:rPr>
          <w:rFonts w:ascii="Arial" w:cs="Arial" w:eastAsia="Arial" w:hAnsi="Arial"/>
          <w:sz w:val="18"/>
          <w:szCs w:val="18"/>
          <w:color w:val="auto"/>
        </w:rPr>
      </w:pPr>
    </w:p>
    <w:p>
      <w:pPr>
        <w:ind w:right="120" w:firstLine="921"/>
        <w:spacing w:after="0" w:line="259" w:lineRule="auto"/>
        <w:tabs>
          <w:tab w:leader="none" w:pos="13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 and the Foresite Fund shall use commercially reasonable efforts to (x) allow the Foresite Fund to prepare (or cause to be prepared) drafts of all Tax returns of the Foresite Blocker for any Tax period ending on or before the Closing Date, and (y) allow the Company to review and timely file such Tax returns, which shall be filed as modified by the Company’s reasonable comments thereto (with the Company to provide notice to the Foresite Fund of any such comments and an opportunity to discuss such comments).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Survival; Indemnification</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of any of the Parties hereto contained in this Agreement shall survive Closing and shall continue in full force and effect indefinitely. Except as otherwise provided in this Agreement, the covenants and agreements of the Parties contained in this Agreement shall survive Closing and shall continue in full force and effect indefinitely or for the shorter period specified in this Agreement. Any breach of representation, warranty, covenant or agreement in respect of which indemnity may be sought under this Agreement shall survive the time at which it would otherwise terminate pursuant to this Section 7.1 if notice of the inaccuracy or breach thereof giving rise to such right of indemnity shall have been given to the Party against whom such indemnity may be sought prior to such time.</w:t>
      </w:r>
    </w:p>
    <w:p>
      <w:pPr>
        <w:spacing w:after="0" w:line="19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right="320" w:firstLine="921"/>
        <w:spacing w:after="0" w:line="277" w:lineRule="auto"/>
        <w:tabs>
          <w:tab w:leader="none" w:pos="129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From and after Closing, the Company hereby indemnifies the Bain Funds and the Foresite Fund against and agrees to hold each of them harmless from (i) any and 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98" w:name="page299"/>
    <w:bookmarkEnd w:id="298"/>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damage, loss, liability and expense (including, without limitation, reasonable expenses of investigation and reasonable attorneys’ fees and expenses in connection with any action, suit or proceeding) (“</w:t>
      </w:r>
      <w:r>
        <w:rPr>
          <w:rFonts w:ascii="Arial" w:cs="Arial" w:eastAsia="Arial" w:hAnsi="Arial"/>
          <w:sz w:val="17"/>
          <w:szCs w:val="17"/>
          <w:b w:val="1"/>
          <w:bCs w:val="1"/>
          <w:color w:val="auto"/>
        </w:rPr>
        <w:t>Damages</w:t>
      </w:r>
      <w:r>
        <w:rPr>
          <w:rFonts w:ascii="Arial" w:cs="Arial" w:eastAsia="Arial" w:hAnsi="Arial"/>
          <w:sz w:val="17"/>
          <w:szCs w:val="17"/>
          <w:color w:val="auto"/>
        </w:rPr>
        <w:t>”) actually incurred or suffered by the Bain Funds or the Foresite Fund, as applicable, arising out of or resulting from any inaccuracy or breach of any representation and warranty or breach of a covenant, in each case of the Company contained in the Transaction Documents or in the exhibits, schedules or certificates to, or delivered in connection with, the Transaction Documents or (ii) any and all Damages incurred or suffered by the Bain Funds or the Foresite Fund, as applicable, on account of the gross negligence, intentional misrepresentation, willful misconduct or fraud of the Company in connection with the execution of the Merger.</w:t>
      </w:r>
    </w:p>
    <w:p>
      <w:pPr>
        <w:spacing w:after="0" w:line="178" w:lineRule="exact"/>
        <w:rPr>
          <w:sz w:val="20"/>
          <w:szCs w:val="20"/>
          <w:color w:val="auto"/>
        </w:rPr>
      </w:pPr>
    </w:p>
    <w:p>
      <w:pPr>
        <w:ind w:right="20" w:firstLine="921"/>
        <w:spacing w:after="0" w:line="273" w:lineRule="auto"/>
        <w:tabs>
          <w:tab w:leader="none" w:pos="130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From and after Closing, the Bain Funds hereby indemnify the Company against and agrees to hold it harmless from (i) any and all Damages actually incurred or suffered by the Company arising out of, resulting from or related to any inaccuracy or breach of any representation and warranty or breach of a covenant, in each case of the Bain Funds or the Bain Blocker contained in the Transaction Documents or in the exhibits, schedules or certificates to, or delivered in connection with, the Transaction Documents, (ii) any and all Damages incurred or suffered by the Company on account of the gross negligence, intentional misrepresentation, willful misconduct or fraud of the Bain Funds or the Bain Blocker, and (iii) any and all Damages arising out of, resulting from or related to a liability of the Bain Blocker (including, for the avoidance of doubt, any Taxes of the Bain Blocker).</w:t>
      </w:r>
    </w:p>
    <w:p>
      <w:pPr>
        <w:spacing w:after="0" w:line="178" w:lineRule="exact"/>
        <w:rPr>
          <w:rFonts w:ascii="Arial" w:cs="Arial" w:eastAsia="Arial" w:hAnsi="Arial"/>
          <w:sz w:val="17"/>
          <w:szCs w:val="17"/>
          <w:color w:val="auto"/>
        </w:rPr>
      </w:pPr>
    </w:p>
    <w:p>
      <w:pPr>
        <w:ind w:right="200" w:firstLine="921"/>
        <w:spacing w:after="0" w:line="255" w:lineRule="auto"/>
        <w:tabs>
          <w:tab w:leader="none" w:pos="129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From and after Closing, the Foresite Fund hereby indemnifies the Company against and agrees to hold it harmless from (i) any and all Damages actually incurred or suffered by the Company arising out of, resulting from or related to any inaccuracy or breach of any representation and warranty or breach of a covenant, in each case of the Foresite Fund or the Foresite Blocker contained in the Transaction Documents or in the exhibits, schedules or certificates to, or delivered in connection with, the Transaction Documents, (ii) any and all Damages incurred or suffered by the Company on account of the gross negligence, intentional misrepresentation, willful misconduct or fraud of the Foresite Fund or the Foresite Blocker, and (iii) any and all Damages arising out of, resulting from or related to a liability of the Foresite Blocker (including, for the avoidance of doubt, any Taxes of the Foresite Blocker).</w:t>
      </w:r>
    </w:p>
    <w:p>
      <w:pPr>
        <w:spacing w:after="0" w:line="189" w:lineRule="exact"/>
        <w:rPr>
          <w:rFonts w:ascii="Arial" w:cs="Arial" w:eastAsia="Arial" w:hAnsi="Arial"/>
          <w:sz w:val="18"/>
          <w:szCs w:val="18"/>
          <w:color w:val="auto"/>
        </w:rPr>
      </w:pPr>
    </w:p>
    <w:p>
      <w:pPr>
        <w:ind w:right="140" w:firstLine="921"/>
        <w:spacing w:after="0" w:line="259" w:lineRule="auto"/>
        <w:tabs>
          <w:tab w:leader="none" w:pos="130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other than in the case of a claim based on gross negligence, intentional misrepresentation, willful misconduct or fraud, no Party shall be entitled to seek, nor be entitled to, incidental, indirect punitive, special or consequential damages (including damages for any lost profits) in any Claim for indemnification or recovery of Damages pursuant to this Agreement except to the extent damages of such type are paid by such Party to an unaffiliated or unrelated third party.</w:t>
      </w:r>
    </w:p>
    <w:p>
      <w:pPr>
        <w:spacing w:after="0" w:line="18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u w:val="single" w:color="auto"/>
          <w:color w:val="auto"/>
        </w:rPr>
        <w:t>Procedures</w:t>
      </w:r>
      <w:r>
        <w:rPr>
          <w:rFonts w:ascii="Arial" w:cs="Arial" w:eastAsia="Arial" w:hAnsi="Arial"/>
          <w:sz w:val="15"/>
          <w:szCs w:val="15"/>
          <w:color w:val="auto"/>
        </w:rPr>
        <w:t>.</w:t>
      </w:r>
    </w:p>
    <w:p>
      <w:pPr>
        <w:spacing w:after="0" w:line="221" w:lineRule="exact"/>
        <w:rPr>
          <w:sz w:val="20"/>
          <w:szCs w:val="20"/>
          <w:color w:val="auto"/>
        </w:rPr>
      </w:pPr>
    </w:p>
    <w:p>
      <w:pPr>
        <w:ind w:firstLine="921"/>
        <w:spacing w:after="0" w:line="277" w:lineRule="auto"/>
        <w:tabs>
          <w:tab w:leader="none" w:pos="128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Party seeking indemnification under Section 7.2 (the “</w:t>
      </w:r>
      <w:r>
        <w:rPr>
          <w:rFonts w:ascii="Arial" w:cs="Arial" w:eastAsia="Arial" w:hAnsi="Arial"/>
          <w:sz w:val="17"/>
          <w:szCs w:val="17"/>
          <w:b w:val="1"/>
          <w:bCs w:val="1"/>
          <w:color w:val="auto"/>
        </w:rPr>
        <w:t>Indemnified Party</w:t>
      </w:r>
      <w:r>
        <w:rPr>
          <w:rFonts w:ascii="Arial" w:cs="Arial" w:eastAsia="Arial" w:hAnsi="Arial"/>
          <w:sz w:val="17"/>
          <w:szCs w:val="17"/>
          <w:color w:val="auto"/>
        </w:rPr>
        <w:t>”) agrees to give prompt notice to the Party against whom indemnity is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of the assertion of any claim, or the commencement of any suit, action or proceeding (“</w:t>
      </w:r>
      <w:r>
        <w:rPr>
          <w:rFonts w:ascii="Arial" w:cs="Arial" w:eastAsia="Arial" w:hAnsi="Arial"/>
          <w:sz w:val="17"/>
          <w:szCs w:val="17"/>
          <w:b w:val="1"/>
          <w:bCs w:val="1"/>
          <w:color w:val="auto"/>
        </w:rPr>
        <w:t>Claim</w:t>
      </w:r>
      <w:r>
        <w:rPr>
          <w:rFonts w:ascii="Arial" w:cs="Arial" w:eastAsia="Arial" w:hAnsi="Arial"/>
          <w:sz w:val="17"/>
          <w:szCs w:val="17"/>
          <w:color w:val="auto"/>
        </w:rPr>
        <w:t>”) in respect of which indemnity may be sought under such Section and will promptly provide the Indemnifying Party such information and access to personnel with respect thereto that the Indemnifying Party may reasonably request. The failure to so notify the Indemnifying Party shall not relieve the Indemnifying Party of its obligations hereunder, except to the extent such failure shall have prejudiced the Indemnifying Party.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99" w:name="page300"/>
    <w:bookmarkEnd w:id="299"/>
    <w:p>
      <w:pPr>
        <w:ind w:right="720" w:firstLine="921"/>
        <w:spacing w:after="0" w:line="308" w:lineRule="auto"/>
        <w:tabs>
          <w:tab w:leader="none" w:pos="13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Indemnified Party shall obtain the prior written consent of the Indemnifying Party (which shall not be unreasonably withheld, conditioned or delayed) before entering into any settlement of any Claim asserted by any third party (“</w:t>
      </w:r>
      <w:r>
        <w:rPr>
          <w:rFonts w:ascii="Arial" w:cs="Arial" w:eastAsia="Arial" w:hAnsi="Arial"/>
          <w:sz w:val="17"/>
          <w:szCs w:val="17"/>
          <w:b w:val="1"/>
          <w:bCs w:val="1"/>
          <w:color w:val="auto"/>
        </w:rPr>
        <w:t>Third Party Claim</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firstLine="921"/>
        <w:spacing w:after="0" w:line="276" w:lineRule="auto"/>
        <w:tabs>
          <w:tab w:leader="none" w:pos="1293" w:val="left"/>
        </w:tabs>
        <w:numPr>
          <w:ilvl w:val="0"/>
          <w:numId w:val="201"/>
        </w:numPr>
        <w:rPr>
          <w:rFonts w:ascii="Arial" w:cs="Arial" w:eastAsia="Arial" w:hAnsi="Arial"/>
          <w:sz w:val="17"/>
          <w:szCs w:val="17"/>
          <w:color w:val="auto"/>
        </w:rPr>
      </w:pPr>
      <w:r>
        <w:rPr>
          <w:rFonts w:ascii="Arial" w:cs="Arial" w:eastAsia="Arial" w:hAnsi="Arial"/>
          <w:sz w:val="17"/>
          <w:szCs w:val="17"/>
          <w:color w:val="auto"/>
        </w:rPr>
        <w:t>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 The Indemnified Party shall (i) keep the Indemnifying Party reasonably informed of the status of any Third Party Claim, (ii) permit the Indemnifying Party to participate in the defense or prosecution of any Third Party Claim, and (iii) consult in good faith with the Indemnifying Party regarding the defense or prosecution of any Third Party Claim.</w:t>
      </w:r>
    </w:p>
    <w:p>
      <w:pPr>
        <w:spacing w:after="0" w:line="172" w:lineRule="exact"/>
        <w:rPr>
          <w:rFonts w:ascii="Arial" w:cs="Arial" w:eastAsia="Arial" w:hAnsi="Arial"/>
          <w:sz w:val="17"/>
          <w:szCs w:val="17"/>
          <w:color w:val="auto"/>
        </w:rPr>
      </w:pPr>
    </w:p>
    <w:p>
      <w:pPr>
        <w:ind w:right="100" w:firstLine="921"/>
        <w:spacing w:after="0" w:line="276" w:lineRule="auto"/>
        <w:tabs>
          <w:tab w:leader="none" w:pos="13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Where required by applicable Law, each Indemnified Party will undertake commercially reasonable efforts to mitigate any loss for which such Indemnified Party seeks indemnification under this Agreement. If such Indemnified Party mitigates its loss after the Indemnifying Party has paid the Indemnified Party under any indemnification provision of this Agreement in respect of that loss, the Indemnified Party must promptly notify the Indemnifying Party and promptly pay to the Indemnifying Party the extent of the value of the benefit (or, if less, the amount of any such loss previously paid by the Indemnifying Party) to the Indemnified Party of that mitigation (less the Indemnified Party’s reasonable costs of mitigation).</w:t>
      </w:r>
    </w:p>
    <w:p>
      <w:pPr>
        <w:spacing w:after="0" w:line="172" w:lineRule="exact"/>
        <w:rPr>
          <w:rFonts w:ascii="Arial" w:cs="Arial" w:eastAsia="Arial" w:hAnsi="Arial"/>
          <w:sz w:val="17"/>
          <w:szCs w:val="17"/>
          <w:color w:val="auto"/>
        </w:rPr>
      </w:pPr>
    </w:p>
    <w:p>
      <w:pPr>
        <w:ind w:right="120" w:firstLine="921"/>
        <w:spacing w:after="0" w:line="264" w:lineRule="auto"/>
        <w:tabs>
          <w:tab w:leader="none" w:pos="129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Indemnified Party shall use reasonable efforts to collect any amounts available under insurance coverage or through indemnification, contribution or other reimbursement arrangements from any other Person alleged to be responsible, for any Damages payable under Section 7.2, and the amounts received from such sources shall offset any Damages otherwise payable under Section 7.2.</w:t>
      </w:r>
    </w:p>
    <w:p>
      <w:pPr>
        <w:spacing w:after="0" w:line="181" w:lineRule="exact"/>
        <w:rPr>
          <w:rFonts w:ascii="Arial" w:cs="Arial" w:eastAsia="Arial" w:hAnsi="Arial"/>
          <w:sz w:val="18"/>
          <w:szCs w:val="18"/>
          <w:color w:val="auto"/>
        </w:rPr>
      </w:pPr>
    </w:p>
    <w:p>
      <w:pPr>
        <w:ind w:right="220" w:firstLine="921"/>
        <w:spacing w:after="0" w:line="276" w:lineRule="auto"/>
        <w:tabs>
          <w:tab w:leader="none" w:pos="1273"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Assignment of Claims</w:t>
      </w:r>
      <w:r>
        <w:rPr>
          <w:rFonts w:ascii="Arial" w:cs="Arial" w:eastAsia="Arial" w:hAnsi="Arial"/>
          <w:sz w:val="17"/>
          <w:szCs w:val="17"/>
          <w:color w:val="auto"/>
        </w:rPr>
        <w:t>. If the Indemnified Party receives any payment from an Indemnifying Party in respect of any Damages pursuant to Section 7.2 and the Indemnified Party could have recovered all or a part of such Damages from a third party (other than any Subsidiary of the Company or any current or former employee or agent of such Persons) (a “</w:t>
      </w:r>
      <w:r>
        <w:rPr>
          <w:rFonts w:ascii="Arial" w:cs="Arial" w:eastAsia="Arial" w:hAnsi="Arial"/>
          <w:sz w:val="17"/>
          <w:szCs w:val="17"/>
          <w:b w:val="1"/>
          <w:bCs w:val="1"/>
          <w:color w:val="auto"/>
        </w:rPr>
        <w:t>Potential Contributor</w:t>
      </w:r>
      <w:r>
        <w:rPr>
          <w:rFonts w:ascii="Arial" w:cs="Arial" w:eastAsia="Arial" w:hAnsi="Arial"/>
          <w:sz w:val="17"/>
          <w:szCs w:val="17"/>
          <w:color w:val="auto"/>
        </w:rPr>
        <w:t>”) based on the underlying Claim asserted against the Indemnifying Party, the Indemnified Party shall assign such of its rights to proceed against the Potential Contributor as are necessary to permit the Indemnifying Party to recover from the Potential Contributor the amount of such payment.</w:t>
      </w:r>
    </w:p>
    <w:p>
      <w:pPr>
        <w:spacing w:after="0" w:line="173"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Exclusivity</w:t>
      </w:r>
      <w:r>
        <w:rPr>
          <w:rFonts w:ascii="Arial" w:cs="Arial" w:eastAsia="Arial" w:hAnsi="Arial"/>
          <w:sz w:val="16"/>
          <w:szCs w:val="16"/>
          <w:color w:val="auto"/>
        </w:rPr>
        <w:t>. After the Closing, Article VII will provide the sole and exclusive remedy for any misrepresentation, breach of warranty, covenant or other agreement or other claim arising out of the Transaction Documents or the transactions contemplated thereby, including any claim for gross negligence, intentional misrepresentation, willful misconduct or fraud. Notwithstanding the foregoing, it is understood that nothing herein shall prohibit any Party hereto from exercising its rights to seek equitable relief with respect to a breach of covenant or agreement under any Transaction Document.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300" w:name="page301"/>
    <w:bookmarkEnd w:id="30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or consents required or permitted to be given under this Agreement must be in writing and shall be deemed to have been given (a) three (3) days after the date mailed by registered or certified mail, addressed to the recipient, with return receipt requested, (b) upon delivery to the recipient in person or by courier, or (c) upon receipt of a facsimile or e-mail transmission by the recipient. Such notices, requests and consents shall be given,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Bain Funds or the Bain Blocker,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Bain Capital Life Sciences, 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 North America Private Investments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Foresite Fund or the Foresite Blocker,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Foresite Capital Management, LLC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1345 Avenue of the Americas, Third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jc w:val="center"/>
        <w:ind w:right="8920"/>
        <w:spacing w:after="0"/>
        <w:rPr>
          <w:sz w:val="20"/>
          <w:szCs w:val="20"/>
          <w:color w:val="auto"/>
        </w:rPr>
      </w:pPr>
      <w:r>
        <w:rPr>
          <w:rFonts w:ascii="Arial" w:cs="Arial" w:eastAsia="Arial" w:hAnsi="Arial"/>
          <w:sz w:val="18"/>
          <w:szCs w:val="18"/>
          <w:color w:val="auto"/>
        </w:rPr>
        <w:t>Attn: [●]</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Solid Biosciences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161 First Street, Third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Daniel Finkelman, Esq.</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Proskauer Rose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Arnold May, Esq.</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or to such other address or facsimile number and with such other copies, as such Party may hereafter specify for the purpose by notice to the other Parties.</w:t>
      </w:r>
    </w:p>
    <w:p>
      <w:pPr>
        <w:spacing w:after="0" w:line="24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Whenever any notice is required to be given by Law or this Agreement, a written waiver thereof, signed by the person entitled to notice, whether before or after the time stated therein, shall be deemed equivalent to the giving of such notice. Without limiting the manner by which notice otherwise may be given effectively to the Parties pursuant to this Agreement, any notice to the Parties given by the Company under any provision of this Agreement shall be effective if given by a form of electronic transmission consented to by the Party to whom the notice is given. Any such consent shall be revocable by such Party by written notice to the Company.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301" w:name="page302"/>
    <w:bookmarkEnd w:id="301"/>
    <w:p>
      <w:pPr>
        <w:ind w:left="460"/>
        <w:spacing w:after="0"/>
        <w:tabs>
          <w:tab w:leader="none" w:pos="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w:t>
      </w:r>
      <w:r>
        <w:rPr>
          <w:sz w:val="20"/>
          <w:szCs w:val="20"/>
          <w:color w:val="auto"/>
        </w:rPr>
        <w:tab/>
      </w:r>
      <w:r>
        <w:rPr>
          <w:rFonts w:ascii="Arial" w:cs="Arial" w:eastAsia="Arial" w:hAnsi="Arial"/>
          <w:sz w:val="16"/>
          <w:szCs w:val="16"/>
          <w:u w:val="single" w:color="auto"/>
          <w:color w:val="auto"/>
        </w:rPr>
        <w:t>Amendments and Waivers</w:t>
      </w:r>
      <w:r>
        <w:rPr>
          <w:rFonts w:ascii="Arial" w:cs="Arial" w:eastAsia="Arial" w:hAnsi="Arial"/>
          <w:sz w:val="16"/>
          <w:szCs w:val="16"/>
          <w:color w:val="auto"/>
        </w:rPr>
        <w:t>.</w:t>
      </w:r>
    </w:p>
    <w:p>
      <w:pPr>
        <w:spacing w:after="0" w:line="225" w:lineRule="exact"/>
        <w:rPr>
          <w:sz w:val="20"/>
          <w:szCs w:val="20"/>
          <w:color w:val="auto"/>
        </w:rPr>
      </w:pPr>
    </w:p>
    <w:p>
      <w:pPr>
        <w:ind w:right="260" w:firstLine="921"/>
        <w:spacing w:after="0" w:line="308" w:lineRule="auto"/>
        <w:tabs>
          <w:tab w:leader="none" w:pos="128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146" w:lineRule="exact"/>
        <w:rPr>
          <w:rFonts w:ascii="Arial" w:cs="Arial" w:eastAsia="Arial" w:hAnsi="Arial"/>
          <w:sz w:val="17"/>
          <w:szCs w:val="17"/>
          <w:color w:val="auto"/>
        </w:rPr>
      </w:pPr>
    </w:p>
    <w:p>
      <w:pPr>
        <w:jc w:val="both"/>
        <w:ind w:right="80" w:firstLine="921"/>
        <w:spacing w:after="0" w:line="264" w:lineRule="auto"/>
        <w:tabs>
          <w:tab w:leader="none" w:pos="130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Expenses</w:t>
      </w:r>
      <w:r>
        <w:rPr>
          <w:rFonts w:ascii="Arial" w:cs="Arial" w:eastAsia="Arial" w:hAnsi="Arial"/>
          <w:sz w:val="17"/>
          <w:szCs w:val="17"/>
          <w:color w:val="auto"/>
        </w:rPr>
        <w:t>. All costs and expenses incurred by the Bain Funds and the Bain Blocker in connection with the negotiation, preparation, execution and delivery of this Agreement and the Transaction Documents and the consummation of the Closing shall be paid by the Bain Funds. All costs and expenses incurred by the Foresite Fund and the Foresite Blocker in connection with the negotiation, preparation, execution and delivery of this Agreement and the Transaction Documents and the consummation of the Closing shall be paid by the Foresite Fund. The Bain Funds (collectively) and the Foresite Fund shall each pay fifty percent (50%) of the costs and expenses incurred by the Company in connection with the negotiation, preparation, execution and delivery of this Agreement and the Transaction Documents and the consummation of the Closing; provided that the Bain Funds (collectively) and the Foresite Fund shall each have a maximum obligation pursuant to this sentence of $10,000.</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each other Party hereto.</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governed by and shall be construed in accordance with the law of the State of Delaware, without regard to the conflicts of law rules of such state.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Except as otherwise expressly provided in this Agreement, the Parties agree that any suit, action or proceeding seeking to enforce any provision of, or based on any matter arising out of or in connection with, any of the Transaction Documents or the transactions contemplated thereby shall be brought in the United States District Court or any Delaware state court sitting in Wilmington, Delaware, so long as one of such courts shall have subject matter jurisdiction over such suit, action or proceeding, and that any cause of action arising out of any of the Transaction Documents shall be deemed to have arisen from a transaction of business in the State of Delaware, and each of the Parties hereby irrevocably consents to the jurisdiction of such courts (and of the appropriate appellate courts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302" w:name="page303"/>
    <w:bookmarkEnd w:id="302"/>
    <w:p>
      <w:pPr>
        <w:ind w:right="3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8.1 shall be deemed effective service of process on such Party.</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Counterparts; Third Party Beneficiaries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 Each Transaction Document shall become effective when each Party thereto shall have received a counterpart thereof signed by the other Party thereto. No Transaction Document is intended to confer upon any Person other than the Parties thereto any rights or remedies hereunder.</w:t>
      </w:r>
    </w:p>
    <w:p>
      <w:pPr>
        <w:spacing w:after="0" w:line="18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constitute the entire agreement between the parties with respect to the subject matter of this Agreement and supersede all prior agreements and understandings, both oral and written, between the parties with respect to the subject matter of this Agreement. No representation, inducement, promise, understanding, condition or warranty not set forth herein has been made or relied upon by any Party hereto.</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303" w:name="page304"/>
    <w:bookmarkEnd w:id="30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and Plan of Merger to be duly executed as of the day and year first above-written.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SOLID BIOSCIENCES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11160"/>
          </w:cols>
          <w:pgMar w:left="240" w:top="274" w:right="499" w:bottom="1440" w:gutter="0" w:footer="0" w:header="0"/>
        </w:sectPr>
      </w:pPr>
    </w:p>
    <w:bookmarkStart w:id="304" w:name="page305"/>
    <w:bookmarkEnd w:id="30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BAIN FUNDS</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BAIN CAPITAL LIFE SCIENCES FUND, L.P.</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Its: [●]</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-130810</wp:posOffset>
            </wp:positionV>
            <wp:extent cx="27273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BCIP LIFE SCIENCES ASSOCIATES, LP</w:t>
      </w:r>
    </w:p>
    <w:p>
      <w:pPr>
        <w:spacing w:after="0" w:line="225" w:lineRule="exact"/>
        <w:rPr>
          <w:sz w:val="20"/>
          <w:szCs w:val="20"/>
          <w:color w:val="auto"/>
        </w:rPr>
      </w:pPr>
    </w:p>
    <w:p>
      <w:pPr>
        <w:ind w:left="5660"/>
        <w:spacing w:after="0"/>
        <w:tabs>
          <w:tab w:leader="none" w:pos="6040" w:val="left"/>
        </w:tabs>
        <w:rPr>
          <w:sz w:val="20"/>
          <w:szCs w:val="20"/>
          <w:color w:val="auto"/>
        </w:rPr>
      </w:pPr>
      <w:r>
        <w:rPr>
          <w:rFonts w:ascii="Arial" w:cs="Arial" w:eastAsia="Arial" w:hAnsi="Arial"/>
          <w:sz w:val="18"/>
          <w:szCs w:val="18"/>
          <w:color w:val="auto"/>
        </w:rPr>
        <w:t>By:</w:t>
        <w:tab/>
        <w:t>[●]</w:t>
      </w:r>
    </w:p>
    <w:p>
      <w:pPr>
        <w:spacing w:after="0" w:line="225" w:lineRule="exact"/>
        <w:rPr>
          <w:sz w:val="20"/>
          <w:szCs w:val="20"/>
          <w:color w:val="auto"/>
        </w:rPr>
      </w:pPr>
    </w:p>
    <w:p>
      <w:pPr>
        <w:ind w:left="5660"/>
        <w:spacing w:after="0"/>
        <w:tabs>
          <w:tab w:leader="none" w:pos="6040" w:val="left"/>
        </w:tabs>
        <w:rPr>
          <w:sz w:val="20"/>
          <w:szCs w:val="20"/>
          <w:color w:val="auto"/>
        </w:rPr>
      </w:pPr>
      <w:r>
        <w:rPr>
          <w:rFonts w:ascii="Arial" w:cs="Arial" w:eastAsia="Arial" w:hAnsi="Arial"/>
          <w:sz w:val="18"/>
          <w:szCs w:val="18"/>
          <w:color w:val="auto"/>
        </w:rPr>
        <w:t>Its:</w:t>
        <w:tab/>
        <w: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-130810</wp:posOffset>
            </wp:positionV>
            <wp:extent cx="268414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BAIN BLOCKER</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BCLS SOLID BIO,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Its: [●]</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-130810</wp:posOffset>
            </wp:positionV>
            <wp:extent cx="27273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jc w:val="right"/>
        <w:ind w:right="27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2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Agreement and Plan of Merger</w:t>
      </w:r>
      <w:r>
        <w:rPr>
          <w:rFonts w:ascii="Arial" w:cs="Arial" w:eastAsia="Arial" w:hAnsi="Arial"/>
          <w:sz w:val="16"/>
          <w:szCs w:val="16"/>
          <w:color w:val="auto"/>
        </w:rPr>
        <w:t>]</w:t>
      </w:r>
    </w:p>
    <w:p>
      <w:pPr>
        <w:sectPr>
          <w:pgSz w:w="11900" w:h="16838" w:orient="portrait"/>
          <w:cols w:equalWidth="0" w:num="1">
            <w:col w:w="9120"/>
          </w:cols>
          <w:pgMar w:left="1440" w:top="269" w:right="1339" w:bottom="1440" w:gutter="0" w:footer="0" w:header="0"/>
        </w:sectPr>
      </w:pPr>
    </w:p>
    <w:bookmarkStart w:id="305" w:name="page306"/>
    <w:bookmarkEnd w:id="30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FORESITE FUND</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FORESITE CAPITAL FUND III,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Its: [●]</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FORESITE BLOCKER</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FC FUND III SOLID HOLDINGS,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Its:  [●]</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-130810</wp:posOffset>
            </wp:positionV>
            <wp:extent cx="27101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Agreement and Plan of Merger</w:t>
      </w:r>
      <w:r>
        <w:rPr>
          <w:rFonts w:ascii="Arial" w:cs="Arial" w:eastAsia="Arial" w:hAnsi="Arial"/>
          <w:sz w:val="16"/>
          <w:szCs w:val="16"/>
          <w:color w:val="auto"/>
        </w:rPr>
        <w:t>]</w:t>
      </w:r>
    </w:p>
    <w:p>
      <w:pPr>
        <w:sectPr>
          <w:pgSz w:w="11900" w:h="16838" w:orient="portrait"/>
          <w:cols w:equalWidth="0" w:num="1">
            <w:col w:w="9019"/>
          </w:cols>
          <w:pgMar w:left="1440" w:top="269" w:right="1440"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TO AGREEMENT AND PLAN OF MERGER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BCLS SOLID 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FC FUND III SOLID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AND INTO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SOLID BIOSCIENCES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Pursuant to Title 8, Section 251 of the Delaware General Corporation Law (“</w:t>
      </w:r>
      <w:r>
        <w:rPr>
          <w:rFonts w:ascii="Arial" w:cs="Arial" w:eastAsia="Arial" w:hAnsi="Arial"/>
          <w:sz w:val="18"/>
          <w:szCs w:val="18"/>
          <w:b w:val="1"/>
          <w:bCs w:val="1"/>
          <w:color w:val="auto"/>
        </w:rPr>
        <w:t>DGCL</w:t>
      </w:r>
      <w:r>
        <w:rPr>
          <w:rFonts w:ascii="Arial" w:cs="Arial" w:eastAsia="Arial" w:hAnsi="Arial"/>
          <w:sz w:val="18"/>
          <w:szCs w:val="18"/>
          <w:color w:val="auto"/>
        </w:rPr>
        <w:t>”), Solid Biosciences Inc., a Delaware corporation (the</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 the merger of BCLS Solid Bio, Inc., a Delaware corporation (the “</w:t>
      </w:r>
      <w:r>
        <w:rPr>
          <w:rFonts w:ascii="Arial" w:cs="Arial" w:eastAsia="Arial" w:hAnsi="Arial"/>
          <w:sz w:val="16"/>
          <w:szCs w:val="16"/>
          <w:b w:val="1"/>
          <w:bCs w:val="1"/>
          <w:color w:val="auto"/>
        </w:rPr>
        <w:t>Bain Blocker</w:t>
      </w:r>
      <w:r>
        <w:rPr>
          <w:rFonts w:ascii="Arial" w:cs="Arial" w:eastAsia="Arial" w:hAnsi="Arial"/>
          <w:sz w:val="16"/>
          <w:szCs w:val="16"/>
          <w:color w:val="auto"/>
        </w:rPr>
        <w:t>”), with and into the Company and</w:t>
      </w:r>
    </w:p>
    <w:p>
      <w:pPr>
        <w:spacing w:after="0" w:line="32" w:lineRule="exact"/>
        <w:rPr>
          <w:sz w:val="20"/>
          <w:szCs w:val="20"/>
          <w:color w:val="auto"/>
        </w:rPr>
      </w:pPr>
    </w:p>
    <w:p>
      <w:pPr>
        <w:ind w:right="60" w:firstLine="8"/>
        <w:spacing w:after="0" w:line="261" w:lineRule="auto"/>
        <w:tabs>
          <w:tab w:leader="none" w:pos="26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merger of FC Fund III Solid Holdings, Inc., a Delaware corporation (the “</w:t>
      </w:r>
      <w:r>
        <w:rPr>
          <w:rFonts w:ascii="Arial" w:cs="Arial" w:eastAsia="Arial" w:hAnsi="Arial"/>
          <w:sz w:val="18"/>
          <w:szCs w:val="18"/>
          <w:b w:val="1"/>
          <w:bCs w:val="1"/>
          <w:color w:val="auto"/>
        </w:rPr>
        <w:t>Foresite Blocker</w:t>
      </w:r>
      <w:r>
        <w:rPr>
          <w:rFonts w:ascii="Arial" w:cs="Arial" w:eastAsia="Arial" w:hAnsi="Arial"/>
          <w:sz w:val="18"/>
          <w:szCs w:val="18"/>
          <w:color w:val="auto"/>
        </w:rPr>
        <w:t>”), with and into the Company (such mergers, together, the “</w:t>
      </w:r>
      <w:r>
        <w:rPr>
          <w:rFonts w:ascii="Arial" w:cs="Arial" w:eastAsia="Arial" w:hAnsi="Arial"/>
          <w:sz w:val="18"/>
          <w:szCs w:val="18"/>
          <w:b w:val="1"/>
          <w:bCs w:val="1"/>
          <w:color w:val="auto"/>
        </w:rPr>
        <w:t>Merger</w:t>
      </w:r>
      <w:r>
        <w:rPr>
          <w:rFonts w:ascii="Arial" w:cs="Arial" w:eastAsia="Arial" w:hAnsi="Arial"/>
          <w:sz w:val="18"/>
          <w:szCs w:val="18"/>
          <w:color w:val="auto"/>
        </w:rPr>
        <w:t>”), hereby certifies as follows: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The names and states of domicile of the constituent corporations to the Merger (the “</w:t>
      </w:r>
      <w:r>
        <w:rPr>
          <w:rFonts w:ascii="Arial" w:cs="Arial" w:eastAsia="Arial" w:hAnsi="Arial"/>
          <w:sz w:val="18"/>
          <w:szCs w:val="18"/>
          <w:b w:val="1"/>
          <w:bCs w:val="1"/>
          <w:color w:val="auto"/>
        </w:rPr>
        <w:t>Constituent Corporations</w:t>
      </w:r>
      <w:r>
        <w:rPr>
          <w:rFonts w:ascii="Arial" w:cs="Arial" w:eastAsia="Arial" w:hAnsi="Arial"/>
          <w:sz w:val="18"/>
          <w:szCs w:val="18"/>
          <w:color w:val="auto"/>
        </w:rPr>
        <w:t>”) 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1"/>
              </w:rPr>
              <w:t>State of Domicile</w:t>
            </w:r>
          </w:p>
        </w:tc>
      </w:tr>
      <w:tr>
        <w:trPr>
          <w:trHeight w:val="224"/>
        </w:trPr>
        <w:tc>
          <w:tcPr>
            <w:tcW w:w="20" w:type="dxa"/>
            <w:vAlign w:val="bottom"/>
          </w:tcPr>
          <w:p>
            <w:pPr>
              <w:spacing w:after="0"/>
              <w:rPr>
                <w:sz w:val="19"/>
                <w:szCs w:val="19"/>
                <w:color w:val="auto"/>
              </w:rPr>
            </w:pPr>
          </w:p>
        </w:tc>
        <w:tc>
          <w:tcPr>
            <w:tcW w:w="5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Solid Biosciences Inc.</w:t>
            </w:r>
          </w:p>
        </w:tc>
        <w:tc>
          <w:tcPr>
            <w:tcW w:w="240" w:type="dxa"/>
            <w:vAlign w:val="bottom"/>
          </w:tcPr>
          <w:p>
            <w:pPr>
              <w:spacing w:after="0"/>
              <w:rPr>
                <w:sz w:val="19"/>
                <w:szCs w:val="19"/>
                <w:color w:val="auto"/>
              </w:rPr>
            </w:pPr>
          </w:p>
        </w:tc>
        <w:tc>
          <w:tcPr>
            <w:tcW w:w="5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r>
      <w:tr>
        <w:trPr>
          <w:trHeight w:val="418"/>
        </w:trPr>
        <w:tc>
          <w:tcPr>
            <w:tcW w:w="20" w:type="dxa"/>
            <w:vAlign w:val="bottom"/>
          </w:tcPr>
          <w:p>
            <w:pPr>
              <w:spacing w:after="0"/>
              <w:rPr>
                <w:sz w:val="24"/>
                <w:szCs w:val="24"/>
                <w:color w:val="auto"/>
              </w:rPr>
            </w:pPr>
          </w:p>
        </w:tc>
        <w:tc>
          <w:tcPr>
            <w:tcW w:w="60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BCLS Solid Bio, Inc.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20" w:type="dxa"/>
            <w:vAlign w:val="bottom"/>
          </w:tcPr>
          <w:p>
            <w:pPr>
              <w:spacing w:after="0"/>
              <w:rPr>
                <w:sz w:val="24"/>
                <w:szCs w:val="24"/>
                <w:color w:val="auto"/>
              </w:rPr>
            </w:pPr>
          </w:p>
        </w:tc>
        <w:tc>
          <w:tcPr>
            <w:tcW w:w="60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FC Fund III Solid Holdings, Inc.</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pacing w:after="0" w:line="198"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SECOND: An Agreement and Plan of Merger, dated as of , 2018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the Company, Bain Capital Life Sciences Fund, L.P., BCIP Life Sciences Associates, LP, the Bain Blocker, Foresite Capital Fund III, L.P. and the Foresite Blocker has been approved, adopted, certified, executed and acknowledged by Bain Capital Life Sciences Fund, L.P., BCIP Life Sciences Associates, LP, the Bain Blocker, the Foresite Blocker and Foresite Capital Fund III, L.P. in accordance with Sections 228 and 251 of the DGCL.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The Company shall be the surviving entity in the Merger. The name of the surviving entity shall be “</w:t>
      </w:r>
      <w:r>
        <w:rPr>
          <w:rFonts w:ascii="Arial" w:cs="Arial" w:eastAsia="Arial" w:hAnsi="Arial"/>
          <w:sz w:val="18"/>
          <w:szCs w:val="18"/>
          <w:b w:val="1"/>
          <w:bCs w:val="1"/>
          <w:color w:val="auto"/>
        </w:rPr>
        <w:t>Solid Biosciences Inc</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307" w:name="page308"/>
    <w:bookmarkEnd w:id="30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FOURTH: The Merger shall become effective upon the filing of this Certificate of Merger with the Secretary of State of the State of Delaware.</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FIFTH: An executed copy of the Merger Agreement is on file at the office of the surviving entity at 161 First Street, Third Floor, Cambridge, MA 02142.</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SIXTH: A copy of the Merger Agreement will be furnished by the surviving entity, on request and without cost, to any equityholder of any of the Constituent Corporations.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SEVENTH: The Certificate of Incorporation of the Company shall be the Certificate of Incorporation of the surviving entity.</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0960"/>
          </w:cols>
          <w:pgMar w:left="240" w:top="274" w:right="699" w:bottom="1440" w:gutter="0" w:footer="0" w:header="0"/>
        </w:sectPr>
      </w:pPr>
    </w:p>
    <w:bookmarkStart w:id="308" w:name="page309"/>
    <w:bookmarkEnd w:id="308"/>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for the purpose of effectuating the Merger of the Constituent Corporations, pursuant to the DGCL, under penalties of perjury does hereby declare and certify that this is the act and deed of the Company and the facts stated herein are true and, accordingly, has</w:t>
      </w:r>
    </w:p>
    <w:p>
      <w:pPr>
        <w:spacing w:after="0"/>
        <w:tabs>
          <w:tab w:leader="none" w:pos="4580" w:val="left"/>
        </w:tabs>
        <w:rPr>
          <w:sz w:val="20"/>
          <w:szCs w:val="20"/>
          <w:color w:val="auto"/>
        </w:rPr>
      </w:pPr>
      <w:r>
        <w:rPr>
          <w:rFonts w:ascii="Arial" w:cs="Arial" w:eastAsia="Arial" w:hAnsi="Arial"/>
          <w:sz w:val="18"/>
          <w:szCs w:val="18"/>
          <w:color w:val="auto"/>
        </w:rPr>
        <w:t>hereunto signed this Certificate of Merger this day of</w:t>
      </w:r>
      <w:r>
        <w:rPr>
          <w:sz w:val="20"/>
          <w:szCs w:val="20"/>
          <w:color w:val="auto"/>
        </w:rPr>
        <w:tab/>
      </w:r>
      <w:r>
        <w:rPr>
          <w:rFonts w:ascii="Arial" w:cs="Arial" w:eastAsia="Arial" w:hAnsi="Arial"/>
          <w:sz w:val="16"/>
          <w:szCs w:val="16"/>
          <w:color w:val="auto"/>
        </w:rPr>
        <w:t>, 2018.</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SOLID BIOSCIENCES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Certificate of Merger</w:t>
      </w:r>
      <w:r>
        <w:rPr>
          <w:rFonts w:ascii="Arial" w:cs="Arial" w:eastAsia="Arial" w:hAnsi="Arial"/>
          <w:sz w:val="18"/>
          <w:szCs w:val="18"/>
          <w:color w:val="auto"/>
        </w:rPr>
        <w:t>]</w:t>
      </w:r>
    </w:p>
    <w:p>
      <w:pPr>
        <w:sectPr>
          <w:pgSz w:w="11900" w:h="16838" w:orient="portrait"/>
          <w:cols w:equalWidth="0" w:num="1">
            <w:col w:w="11240"/>
          </w:cols>
          <w:pgMar w:left="240" w:top="274" w:right="41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CONVERSION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A LIMITED LIABILITY COMPANY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CORPORATION PURSUANT TO SECTION 265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DELAWARE GENERAL CORPORATION LAW</w:t>
      </w:r>
    </w:p>
    <w:p>
      <w:pPr>
        <w:spacing w:after="0" w:line="229"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 xml:space="preserve">This Certificate of Conversion to Corporation is being duly executed and filed by Solid Biosciences, LLC, a Delaware limited liability company (the “LLC”), to convert the LLC to Solid Biosciences Inc., a Delaware corporation (the “Corporation”), under the Delaware Limited Liability Company Act (6 </w:t>
      </w:r>
      <w:r>
        <w:rPr>
          <w:rFonts w:ascii="Arial" w:cs="Arial" w:eastAsia="Arial" w:hAnsi="Arial"/>
          <w:sz w:val="18"/>
          <w:szCs w:val="18"/>
          <w:u w:val="single" w:color="auto"/>
          <w:color w:val="auto"/>
        </w:rPr>
        <w:t>Del.C</w:t>
      </w:r>
      <w:r>
        <w:rPr>
          <w:rFonts w:ascii="Arial" w:cs="Arial" w:eastAsia="Arial" w:hAnsi="Arial"/>
          <w:sz w:val="18"/>
          <w:szCs w:val="18"/>
          <w:color w:val="auto"/>
        </w:rPr>
        <w:t xml:space="preserve">. § 18-101, et seq.) and the General Corporation Law of the State of Delaware (8 </w:t>
      </w:r>
      <w:r>
        <w:rPr>
          <w:rFonts w:ascii="Arial" w:cs="Arial" w:eastAsia="Arial" w:hAnsi="Arial"/>
          <w:sz w:val="18"/>
          <w:szCs w:val="18"/>
          <w:u w:val="single" w:color="auto"/>
          <w:color w:val="auto"/>
        </w:rPr>
        <w:t>Del.C.</w:t>
      </w:r>
      <w:r>
        <w:rPr>
          <w:rFonts w:ascii="Arial" w:cs="Arial" w:eastAsia="Arial" w:hAnsi="Arial"/>
          <w:sz w:val="18"/>
          <w:szCs w:val="18"/>
          <w:color w:val="auto"/>
        </w:rPr>
        <w:t xml:space="preserve"> § 101, et seq.)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FIRST: The jurisdiction where the LLC was first formed is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SECOND: The jurisdiction where the LLC was formed immediately prior to filing this Certificate of Conversion is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THIRD: The date the LLC was first formed is March 4, 2013.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FOURTH: The name of the LLC immediately prior to filing this Certificate of Conversion is Solid Biosciences, LLC, a Delaware limited liability company.</w:t>
      </w:r>
    </w:p>
    <w:p>
      <w:pPr>
        <w:spacing w:after="0" w:line="2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FIFTH: The name of the Corporation as set forth in the Certificate of Incorporation filed in accordance with Section 265(b) of the General Corporation Law of the State of Delaware is Solid Biosciences Inc., a Delaware 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1420"/>
          </w:cols>
          <w:pgMar w:left="240" w:top="121" w:right="239" w:bottom="1440" w:gutter="0" w:footer="0" w:header="0"/>
        </w:sectPr>
      </w:pPr>
    </w:p>
    <w:bookmarkStart w:id="310" w:name="page311"/>
    <w:bookmarkEnd w:id="31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being duly authorized to sign on behalf of Solid Biosciences, LLC, has executed this Certificate of</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Conversion on the day of</w:t>
            </w:r>
          </w:p>
        </w:tc>
        <w:tc>
          <w:tcPr>
            <w:tcW w:w="4920" w:type="dxa"/>
            <w:vAlign w:val="bottom"/>
          </w:tcPr>
          <w:p>
            <w:pPr>
              <w:jc w:val="right"/>
              <w:ind w:right="3970"/>
              <w:spacing w:after="0"/>
              <w:rPr>
                <w:sz w:val="20"/>
                <w:szCs w:val="20"/>
                <w:color w:val="auto"/>
              </w:rPr>
            </w:pPr>
            <w:r>
              <w:rPr>
                <w:rFonts w:ascii="Arial" w:cs="Arial" w:eastAsia="Arial" w:hAnsi="Arial"/>
                <w:sz w:val="18"/>
                <w:szCs w:val="18"/>
                <w:color w:val="auto"/>
              </w:rPr>
              <w:t>, 2018.</w:t>
            </w:r>
          </w:p>
        </w:tc>
        <w:tc>
          <w:tcPr>
            <w:tcW w:w="4280" w:type="dxa"/>
            <w:vAlign w:val="bottom"/>
          </w:tcPr>
          <w:p>
            <w:pPr>
              <w:spacing w:after="0"/>
              <w:rPr>
                <w:sz w:val="20"/>
                <w:szCs w:val="20"/>
                <w:color w:val="auto"/>
              </w:rPr>
            </w:pPr>
          </w:p>
        </w:tc>
      </w:tr>
      <w:tr>
        <w:trPr>
          <w:trHeight w:val="566"/>
        </w:trPr>
        <w:tc>
          <w:tcPr>
            <w:tcW w:w="2220" w:type="dxa"/>
            <w:vAlign w:val="bottom"/>
          </w:tcPr>
          <w:p>
            <w:pPr>
              <w:spacing w:after="0"/>
              <w:rPr>
                <w:sz w:val="24"/>
                <w:szCs w:val="24"/>
                <w:color w:val="auto"/>
              </w:rPr>
            </w:pPr>
          </w:p>
        </w:tc>
        <w:tc>
          <w:tcPr>
            <w:tcW w:w="9200" w:type="dxa"/>
            <w:vAlign w:val="bottom"/>
            <w:gridSpan w:val="2"/>
          </w:tcPr>
          <w:p>
            <w:pPr>
              <w:ind w:left="4640"/>
              <w:spacing w:after="0"/>
              <w:rPr>
                <w:sz w:val="20"/>
                <w:szCs w:val="20"/>
                <w:color w:val="auto"/>
              </w:rPr>
            </w:pPr>
            <w:r>
              <w:rPr>
                <w:rFonts w:ascii="Arial" w:cs="Arial" w:eastAsia="Arial" w:hAnsi="Arial"/>
                <w:sz w:val="18"/>
                <w:szCs w:val="18"/>
                <w:b w:val="1"/>
                <w:bCs w:val="1"/>
                <w:color w:val="auto"/>
              </w:rPr>
              <w:t>SOLID BIOSCIENCES, LLC,</w:t>
            </w:r>
          </w:p>
        </w:tc>
      </w:tr>
      <w:tr>
        <w:trPr>
          <w:trHeight w:val="432"/>
        </w:trPr>
        <w:tc>
          <w:tcPr>
            <w:tcW w:w="2220" w:type="dxa"/>
            <w:vAlign w:val="bottom"/>
          </w:tcPr>
          <w:p>
            <w:pPr>
              <w:spacing w:after="0"/>
              <w:rPr>
                <w:sz w:val="24"/>
                <w:szCs w:val="24"/>
                <w:color w:val="auto"/>
              </w:rPr>
            </w:pPr>
          </w:p>
        </w:tc>
        <w:tc>
          <w:tcPr>
            <w:tcW w:w="9200" w:type="dxa"/>
            <w:vAlign w:val="bottom"/>
            <w:gridSpan w:val="2"/>
          </w:tcPr>
          <w:p>
            <w:pPr>
              <w:ind w:left="4640"/>
              <w:spacing w:after="0"/>
              <w:rPr>
                <w:sz w:val="20"/>
                <w:szCs w:val="20"/>
                <w:color w:val="auto"/>
              </w:rPr>
            </w:pPr>
            <w:r>
              <w:rPr>
                <w:rFonts w:ascii="Arial" w:cs="Arial" w:eastAsia="Arial" w:hAnsi="Arial"/>
                <w:sz w:val="18"/>
                <w:szCs w:val="18"/>
                <w:color w:val="auto"/>
              </w:rPr>
              <w:t>a Delaware limited liability company</w:t>
            </w:r>
          </w:p>
        </w:tc>
      </w:tr>
      <w:tr>
        <w:trPr>
          <w:trHeight w:val="432"/>
        </w:trPr>
        <w:tc>
          <w:tcPr>
            <w:tcW w:w="2220" w:type="dxa"/>
            <w:vAlign w:val="bottom"/>
          </w:tcPr>
          <w:p>
            <w:pPr>
              <w:spacing w:after="0"/>
              <w:rPr>
                <w:sz w:val="24"/>
                <w:szCs w:val="24"/>
                <w:color w:val="auto"/>
              </w:rPr>
            </w:pPr>
          </w:p>
        </w:tc>
        <w:tc>
          <w:tcPr>
            <w:tcW w:w="9200" w:type="dxa"/>
            <w:vAlign w:val="bottom"/>
            <w:gridSpan w:val="2"/>
          </w:tcPr>
          <w:p>
            <w:pPr>
              <w:ind w:left="4640"/>
              <w:spacing w:after="0"/>
              <w:rPr>
                <w:sz w:val="20"/>
                <w:szCs w:val="20"/>
                <w:color w:val="auto"/>
              </w:rPr>
            </w:pPr>
            <w:r>
              <w:rPr>
                <w:rFonts w:ascii="Arial" w:cs="Arial" w:eastAsia="Arial" w:hAnsi="Arial"/>
                <w:sz w:val="18"/>
                <w:szCs w:val="18"/>
                <w:color w:val="auto"/>
              </w:rPr>
              <w:t>By:</w:t>
            </w:r>
          </w:p>
        </w:tc>
      </w:tr>
      <w:tr>
        <w:trPr>
          <w:trHeight w:val="195"/>
        </w:trPr>
        <w:tc>
          <w:tcPr>
            <w:tcW w:w="2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4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2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Title:</w:t>
            </w:r>
          </w:p>
        </w:tc>
      </w:tr>
    </w:tbl>
    <w:p>
      <w:pPr>
        <w:sectPr>
          <w:pgSz w:w="11900" w:h="16838" w:orient="portrait"/>
          <w:cols w:equalWidth="0" w:num="1">
            <w:col w:w="11420"/>
          </w:cols>
          <w:pgMar w:left="240" w:top="273" w:right="2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Certificate of Incorporation of Solid Biosciences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Exhibit 3.3 to the Registration Statement]</w:t>
      </w:r>
    </w:p>
    <w:p>
      <w:pPr>
        <w:sectPr>
          <w:pgSz w:w="11900" w:h="16838" w:orient="portrait"/>
          <w:cols w:equalWidth="0" w:num="1">
            <w:col w:w="9019"/>
          </w:cols>
          <w:pgMar w:left="1440" w:top="270" w:right="1440" w:bottom="1440" w:gutter="0" w:footer="0" w:header="0"/>
        </w:sectPr>
      </w:pPr>
    </w:p>
    <w:bookmarkStart w:id="312" w:name="page313"/>
    <w:bookmarkEnd w:id="3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Bylaws of Solid Biosciences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Exhibit 3.4 to the Registration Statement]</w:t>
      </w:r>
    </w:p>
    <w:p>
      <w:pPr>
        <w:sectPr>
          <w:pgSz w:w="11900" w:h="16838" w:orient="portrait"/>
          <w:cols w:equalWidth="0" w:num="1">
            <w:col w:w="9019"/>
          </w:cols>
          <w:pgMar w:left="1440" w:top="269" w:right="1440"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LIMITED LIABILITY COMPANY UNITS ISSUED IN ACCORDANCE WITH AND REPRESENTED BY THIS LIMITED LIABILITY COMPANY AGREEMENT HAVE NOT BEEN REGISTERED WITH THE SECURITIES AND EXCHANGE COMMISSION UNDER THE SECURITIES ACT OF 1933, THE DELAWARE SECURITIES ACT OR SIMILAR LAWS OR ACTS OF OTHER STATES IN RELIANCE UPON THE INAPPLICABILITY OF SUCH LAWS UNDER THE CIRCUMSTANCES AND/OR EXEMPTIONS UNDER THOSE ACTS. THESE UNITS ARE SUBJECT TO RESTRICTIONS ON TRANSFERABILITY AND RESALE AND MAY NOT BE TRANSFERRED OR RESOLD EXCEPT AS PERMITTED UNDER: (A) THIS LIMITED LIABILITY COMPANY AGREEMENT; AND (B) THE SECURITIES ACT OF 1933 AND THE APPLICABLE STATE SECURITIES LAWS, PURSUANT TO REGISTRATION OR EXEMPTION THEREFROM.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MARCH 29, 2017</w:t>
      </w:r>
    </w:p>
    <w:p>
      <w:pPr>
        <w:sectPr>
          <w:pgSz w:w="11900" w:h="16838" w:orient="portrait"/>
          <w:cols w:equalWidth="0" w:num="1">
            <w:col w:w="11420"/>
          </w:cols>
          <w:pgMar w:left="240" w:top="121" w:right="239"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72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459"/>
        </w:trPr>
        <w:tc>
          <w:tcPr>
            <w:tcW w:w="89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1.1. Certain 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1.2. Other Definitional Provisions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color w:val="auto"/>
              </w:rPr>
              <w:t>ARTICLE II ORGANIZATION, PURPOSE AND POWERS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2.1. Name</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2.2. Certificate of 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2.3. Purpose</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2.4. Powers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2.5. Principal Office</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2.6. Registered Office</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2.7. Registered Agent</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2.8. Qualification in Other Jurisdictions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2.9. Term</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2.10. Limited Liability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2.11. No Right to Withdraw</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color w:val="auto"/>
              </w:rPr>
              <w:t>ARTICLE III CAPITALIZATION AND CAPITAL CONTRIBUTIONS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3.1. Capital Contributions and Units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3.2. Additional Contributions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3.3. Capital Accounts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3.4. Units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3.5. Additional Investments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940" w:type="dxa"/>
            <w:vAlign w:val="bottom"/>
            <w:gridSpan w:val="2"/>
          </w:tcPr>
          <w:p>
            <w:pPr>
              <w:ind w:left="360"/>
              <w:spacing w:after="0"/>
              <w:rPr>
                <w:sz w:val="20"/>
                <w:szCs w:val="20"/>
                <w:color w:val="auto"/>
              </w:rPr>
            </w:pPr>
            <w:r>
              <w:rPr>
                <w:rFonts w:ascii="Arial" w:cs="Arial" w:eastAsia="Arial" w:hAnsi="Arial"/>
                <w:sz w:val="18"/>
                <w:szCs w:val="18"/>
                <w:color w:val="auto"/>
              </w:rPr>
              <w:t>Section 3.6. Incorporation of Terms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EXHIBIT A</w:t>
            </w:r>
          </w:p>
        </w:tc>
        <w:tc>
          <w:tcPr>
            <w:tcW w:w="7720" w:type="dxa"/>
            <w:vAlign w:val="bottom"/>
          </w:tcPr>
          <w:p>
            <w:pPr>
              <w:ind w:left="320"/>
              <w:spacing w:after="0"/>
              <w:rPr>
                <w:sz w:val="20"/>
                <w:szCs w:val="20"/>
                <w:color w:val="auto"/>
              </w:rPr>
            </w:pPr>
            <w:r>
              <w:rPr>
                <w:rFonts w:ascii="Arial" w:cs="Arial" w:eastAsia="Arial" w:hAnsi="Arial"/>
                <w:sz w:val="18"/>
                <w:szCs w:val="18"/>
                <w:color w:val="auto"/>
              </w:rPr>
              <w:t>Initial Incorporated Provisions</w:t>
            </w:r>
          </w:p>
        </w:tc>
        <w:tc>
          <w:tcPr>
            <w:tcW w:w="2420" w:type="dxa"/>
            <w:vAlign w:val="bottom"/>
          </w:tcPr>
          <w:p>
            <w:pPr>
              <w:spacing w:after="0"/>
              <w:rPr>
                <w:sz w:val="24"/>
                <w:szCs w:val="24"/>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EXHIBIT B</w:t>
            </w:r>
          </w:p>
        </w:tc>
        <w:tc>
          <w:tcPr>
            <w:tcW w:w="7720" w:type="dxa"/>
            <w:vAlign w:val="bottom"/>
          </w:tcPr>
          <w:p>
            <w:pPr>
              <w:ind w:left="300"/>
              <w:spacing w:after="0"/>
              <w:rPr>
                <w:sz w:val="20"/>
                <w:szCs w:val="20"/>
                <w:color w:val="auto"/>
              </w:rPr>
            </w:pPr>
            <w:r>
              <w:rPr>
                <w:rFonts w:ascii="Arial" w:cs="Arial" w:eastAsia="Arial" w:hAnsi="Arial"/>
                <w:sz w:val="18"/>
                <w:szCs w:val="18"/>
                <w:color w:val="auto"/>
              </w:rPr>
              <w:t>Subsequent Incorporated Provisions</w:t>
            </w:r>
          </w:p>
        </w:tc>
        <w:tc>
          <w:tcPr>
            <w:tcW w:w="242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EXHIBIT C</w:t>
            </w:r>
          </w:p>
        </w:tc>
        <w:tc>
          <w:tcPr>
            <w:tcW w:w="7720" w:type="dxa"/>
            <w:vAlign w:val="bottom"/>
          </w:tcPr>
          <w:p>
            <w:pPr>
              <w:ind w:left="300"/>
              <w:spacing w:after="0"/>
              <w:rPr>
                <w:sz w:val="20"/>
                <w:szCs w:val="20"/>
                <w:color w:val="auto"/>
              </w:rPr>
            </w:pPr>
            <w:r>
              <w:rPr>
                <w:rFonts w:ascii="Arial" w:cs="Arial" w:eastAsia="Arial" w:hAnsi="Arial"/>
                <w:sz w:val="18"/>
                <w:szCs w:val="18"/>
                <w:color w:val="auto"/>
              </w:rPr>
              <w:t>Registration Rights Agreement</w:t>
            </w:r>
          </w:p>
        </w:tc>
        <w:tc>
          <w:tcPr>
            <w:tcW w:w="242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69" w:right="299" w:bottom="1440" w:gutter="0" w:footer="0" w:header="0"/>
        </w:sectPr>
      </w:pPr>
    </w:p>
    <w:bookmarkStart w:id="315" w:name="page316"/>
    <w:bookmarkEnd w:id="31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AMENDED AND RESTATED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SOLID BIOSCIENCES, LLC</w:t>
      </w:r>
    </w:p>
    <w:p>
      <w:pPr>
        <w:spacing w:after="0" w:line="225"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This THIRD AMENDED AND RESTATED LIMITED LIABILITY COMPANY AGREEMENT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of Solid Biosciences, LLC, a Delaware limited liability company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xml:space="preserve">”) is entered into, and shall be effective, as of March 29, 2017, by and among: (i) the Company and (ii) the Persons party hereto that are identified as Members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(such Persons, their respective successors and any additional Persons hereinafter admitted to the Company as members being hereinafter referred to individually as a “</w:t>
      </w:r>
      <w:r>
        <w:rPr>
          <w:rFonts w:ascii="Arial" w:cs="Arial" w:eastAsia="Arial" w:hAnsi="Arial"/>
          <w:sz w:val="16"/>
          <w:szCs w:val="16"/>
          <w:b w:val="1"/>
          <w:bCs w:val="1"/>
          <w:u w:val="single" w:color="auto"/>
          <w:color w:val="auto"/>
        </w:rPr>
        <w:t>Member</w:t>
      </w:r>
      <w:r>
        <w:rPr>
          <w:rFonts w:ascii="Arial" w:cs="Arial" w:eastAsia="Arial" w:hAnsi="Arial"/>
          <w:sz w:val="16"/>
          <w:szCs w:val="16"/>
          <w:color w:val="auto"/>
        </w:rPr>
        <w:t>” and collectively as the “</w:t>
      </w:r>
      <w:r>
        <w:rPr>
          <w:rFonts w:ascii="Arial" w:cs="Arial" w:eastAsia="Arial" w:hAnsi="Arial"/>
          <w:sz w:val="16"/>
          <w:szCs w:val="16"/>
          <w:b w:val="1"/>
          <w:bCs w:val="1"/>
          <w:u w:val="single" w:color="auto"/>
          <w:color w:val="auto"/>
        </w:rPr>
        <w:t>Members</w:t>
      </w:r>
      <w:r>
        <w:rPr>
          <w:rFonts w:ascii="Arial" w:cs="Arial" w:eastAsia="Arial" w:hAnsi="Arial"/>
          <w:sz w:val="16"/>
          <w:szCs w:val="16"/>
          <w:color w:val="auto"/>
        </w:rPr>
        <w:t>”), and in accordance with the Delaware Limited Liability Company Act (6 Del.C. § 18-101, et seq.), as amended from time to time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w:t>
      </w:r>
    </w:p>
    <w:p>
      <w:pPr>
        <w:spacing w:after="0" w:line="154" w:lineRule="exact"/>
        <w:rPr>
          <w:sz w:val="20"/>
          <w:szCs w:val="20"/>
          <w:color w:val="auto"/>
        </w:rPr>
      </w:pPr>
    </w:p>
    <w:p>
      <w:pPr>
        <w:ind w:right="300" w:firstLine="913"/>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Ilan Ganot (“</w:t>
      </w:r>
      <w:r>
        <w:rPr>
          <w:rFonts w:ascii="Arial" w:cs="Arial" w:eastAsia="Arial" w:hAnsi="Arial"/>
          <w:sz w:val="18"/>
          <w:szCs w:val="18"/>
          <w:b w:val="1"/>
          <w:bCs w:val="1"/>
          <w:u w:val="single" w:color="auto"/>
          <w:color w:val="auto"/>
        </w:rPr>
        <w:t>Ganot</w:t>
      </w:r>
      <w:r>
        <w:rPr>
          <w:rFonts w:ascii="Arial" w:cs="Arial" w:eastAsia="Arial" w:hAnsi="Arial"/>
          <w:sz w:val="18"/>
          <w:szCs w:val="18"/>
          <w:color w:val="auto"/>
        </w:rPr>
        <w:t>”) entered into that certain Limited Liability Company Agreement of SOLID Ventures Management, LLC,</w:t>
      </w:r>
      <w:r>
        <w:rPr>
          <w:rFonts w:ascii="Arial" w:cs="Arial" w:eastAsia="Arial" w:hAnsi="Arial"/>
          <w:sz w:val="18"/>
          <w:szCs w:val="18"/>
          <w:b w:val="1"/>
          <w:bCs w:val="1"/>
          <w:color w:val="auto"/>
        </w:rPr>
        <w:t xml:space="preserve"> </w:t>
      </w:r>
      <w:r>
        <w:rPr>
          <w:rFonts w:ascii="Arial" w:cs="Arial" w:eastAsia="Arial" w:hAnsi="Arial"/>
          <w:sz w:val="18"/>
          <w:szCs w:val="18"/>
          <w:color w:val="auto"/>
        </w:rPr>
        <w:t>dated March 15, 2013 (the “</w:t>
      </w:r>
      <w:r>
        <w:rPr>
          <w:rFonts w:ascii="Arial" w:cs="Arial" w:eastAsia="Arial" w:hAnsi="Arial"/>
          <w:sz w:val="18"/>
          <w:szCs w:val="18"/>
          <w:b w:val="1"/>
          <w:bCs w:val="1"/>
          <w:u w:val="single" w:color="auto"/>
          <w:color w:val="auto"/>
        </w:rPr>
        <w:t>Initial Agreement</w:t>
      </w:r>
      <w:r>
        <w:rPr>
          <w:rFonts w:ascii="Arial" w:cs="Arial" w:eastAsia="Arial" w:hAnsi="Arial"/>
          <w:sz w:val="18"/>
          <w:szCs w:val="18"/>
          <w:color w:val="auto"/>
        </w:rPr>
        <w:t>”);</w:t>
      </w:r>
    </w:p>
    <w:p>
      <w:pPr>
        <w:spacing w:after="0" w:line="162" w:lineRule="exact"/>
        <w:rPr>
          <w:sz w:val="20"/>
          <w:szCs w:val="20"/>
          <w:color w:val="auto"/>
        </w:rPr>
      </w:pPr>
    </w:p>
    <w:p>
      <w:pPr>
        <w:jc w:val="both"/>
        <w:ind w:right="400" w:firstLine="913"/>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Ganot, Gilad Hayeem (“</w:t>
      </w:r>
      <w:r>
        <w:rPr>
          <w:rFonts w:ascii="Arial" w:cs="Arial" w:eastAsia="Arial" w:hAnsi="Arial"/>
          <w:sz w:val="18"/>
          <w:szCs w:val="18"/>
          <w:b w:val="1"/>
          <w:bCs w:val="1"/>
          <w:u w:val="single" w:color="auto"/>
          <w:color w:val="auto"/>
        </w:rPr>
        <w:t>Hayeem</w:t>
      </w:r>
      <w:r>
        <w:rPr>
          <w:rFonts w:ascii="Arial" w:cs="Arial" w:eastAsia="Arial" w:hAnsi="Arial"/>
          <w:sz w:val="18"/>
          <w:szCs w:val="18"/>
          <w:color w:val="auto"/>
        </w:rPr>
        <w:t>”) and Andrey Zarur (“</w:t>
      </w:r>
      <w:r>
        <w:rPr>
          <w:rFonts w:ascii="Arial" w:cs="Arial" w:eastAsia="Arial" w:hAnsi="Arial"/>
          <w:sz w:val="18"/>
          <w:szCs w:val="18"/>
          <w:b w:val="1"/>
          <w:bCs w:val="1"/>
          <w:u w:val="single" w:color="auto"/>
          <w:color w:val="auto"/>
        </w:rPr>
        <w:t>Zarur</w:t>
      </w:r>
      <w:r>
        <w:rPr>
          <w:rFonts w:ascii="Arial" w:cs="Arial" w:eastAsia="Arial" w:hAnsi="Arial"/>
          <w:sz w:val="18"/>
          <w:szCs w:val="18"/>
          <w:color w:val="auto"/>
        </w:rPr>
        <w:t>”, and collectively, with Ganot and Hayeem, the “</w:t>
      </w:r>
      <w:r>
        <w:rPr>
          <w:rFonts w:ascii="Arial" w:cs="Arial" w:eastAsia="Arial" w:hAnsi="Arial"/>
          <w:sz w:val="18"/>
          <w:szCs w:val="18"/>
          <w:b w:val="1"/>
          <w:bCs w:val="1"/>
          <w:u w:val="single" w:color="auto"/>
          <w:color w:val="auto"/>
        </w:rPr>
        <w:t>Founders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that certain Amended and Restated Limited Liability Company Agreement of SOLID Ventures Management, LLC, dated May 1, 2013 (the “</w:t>
      </w:r>
      <w:r>
        <w:rPr>
          <w:rFonts w:ascii="Arial" w:cs="Arial" w:eastAsia="Arial" w:hAnsi="Arial"/>
          <w:sz w:val="18"/>
          <w:szCs w:val="18"/>
          <w:b w:val="1"/>
          <w:bCs w:val="1"/>
          <w:u w:val="single" w:color="auto"/>
          <w:color w:val="auto"/>
        </w:rPr>
        <w:t>A&amp;R Agreement</w:t>
      </w:r>
      <w:r>
        <w:rPr>
          <w:rFonts w:ascii="Arial" w:cs="Arial" w:eastAsia="Arial" w:hAnsi="Arial"/>
          <w:sz w:val="18"/>
          <w:szCs w:val="18"/>
          <w:color w:val="auto"/>
        </w:rPr>
        <w:t>”), which amended and restated the Initial Agreement;</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October 22, 2013, the name of the Company was changed from “SOLID Ventures Management, LLC” to “Solid Ventures,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07" w:lineRule="exact"/>
        <w:rPr>
          <w:sz w:val="20"/>
          <w:szCs w:val="20"/>
          <w:color w:val="auto"/>
        </w:rPr>
      </w:pPr>
    </w:p>
    <w:p>
      <w:pPr>
        <w:ind w:right="100" w:firstLine="913"/>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Members at such time, entered into that certain Second Amended and Restated Limited Liability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of Solid Ventures, LLC, dated December 27, 2013 (the “</w:t>
      </w:r>
      <w:r>
        <w:rPr>
          <w:rFonts w:ascii="Arial" w:cs="Arial" w:eastAsia="Arial" w:hAnsi="Arial"/>
          <w:sz w:val="16"/>
          <w:szCs w:val="16"/>
          <w:b w:val="1"/>
          <w:bCs w:val="1"/>
          <w:u w:val="single" w:color="auto"/>
          <w:color w:val="auto"/>
        </w:rPr>
        <w:t>2</w:t>
      </w:r>
      <w:r>
        <w:rPr>
          <w:rFonts w:ascii="Arial" w:cs="Arial" w:eastAsia="Arial" w:hAnsi="Arial"/>
          <w:sz w:val="13"/>
          <w:szCs w:val="13"/>
          <w:b w:val="1"/>
          <w:bCs w:val="1"/>
          <w:u w:val="single" w:color="auto"/>
          <w:color w:val="auto"/>
        </w:rPr>
        <w:t>nd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A&amp;R Agreement</w:t>
      </w:r>
      <w:r>
        <w:rPr>
          <w:rFonts w:ascii="Arial" w:cs="Arial" w:eastAsia="Arial" w:hAnsi="Arial"/>
          <w:sz w:val="16"/>
          <w:szCs w:val="16"/>
          <w:color w:val="auto"/>
        </w:rPr>
        <w:t>”), which amended and restated the A&amp;R Agreement;</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June 22, 2015, the name of the Company was changed from “Solid Ventures, LLC” to “Solid Biosciences, LLC”;</w:t>
      </w:r>
    </w:p>
    <w:p>
      <w:pPr>
        <w:spacing w:after="0" w:line="225"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of this Agreement, Solid GT, LLC, a Delaware limited liability company (“</w:t>
      </w:r>
      <w:r>
        <w:rPr>
          <w:rFonts w:ascii="Arial" w:cs="Arial" w:eastAsia="Arial" w:hAnsi="Arial"/>
          <w:sz w:val="18"/>
          <w:szCs w:val="18"/>
          <w:b w:val="1"/>
          <w:bCs w:val="1"/>
          <w:u w:val="single" w:color="auto"/>
          <w:color w:val="auto"/>
        </w:rPr>
        <w:t>Solid GT</w:t>
      </w:r>
      <w:r>
        <w:rPr>
          <w:rFonts w:ascii="Arial" w:cs="Arial" w:eastAsia="Arial" w:hAnsi="Arial"/>
          <w:sz w:val="18"/>
          <w:szCs w:val="18"/>
          <w:color w:val="auto"/>
        </w:rPr>
        <w:t>”), was merged with and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the Company surviving the merger (the “</w:t>
      </w:r>
      <w:r>
        <w:rPr>
          <w:rFonts w:ascii="Arial" w:cs="Arial" w:eastAsia="Arial" w:hAnsi="Arial"/>
          <w:sz w:val="18"/>
          <w:szCs w:val="18"/>
          <w:b w:val="1"/>
          <w:bCs w:val="1"/>
          <w:u w:val="single" w:color="auto"/>
          <w:color w:val="auto"/>
        </w:rPr>
        <w:t>GT Merger</w:t>
      </w:r>
      <w:r>
        <w:rPr>
          <w:rFonts w:ascii="Arial" w:cs="Arial" w:eastAsia="Arial" w:hAnsi="Arial"/>
          <w:sz w:val="18"/>
          <w:szCs w:val="18"/>
          <w:color w:val="auto"/>
        </w:rPr>
        <w:t>”);</w:t>
      </w:r>
    </w:p>
    <w:p>
      <w:pPr>
        <w:spacing w:after="0" w:line="162" w:lineRule="exact"/>
        <w:rPr>
          <w:sz w:val="20"/>
          <w:szCs w:val="20"/>
          <w:color w:val="auto"/>
        </w:rPr>
      </w:pPr>
    </w:p>
    <w:p>
      <w:pPr>
        <w:ind w:right="20" w:firstLine="913"/>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GT Merger, (i) the Preferred Units of the Company (as defined in the 2</w:t>
      </w:r>
      <w:r>
        <w:rPr>
          <w:rFonts w:ascii="Arial" w:cs="Arial" w:eastAsia="Arial" w:hAnsi="Arial"/>
          <w:sz w:val="13"/>
          <w:szCs w:val="13"/>
          <w:color w:val="auto"/>
        </w:rPr>
        <w:t>nd</w:t>
      </w:r>
      <w:r>
        <w:rPr>
          <w:rFonts w:ascii="Arial" w:cs="Arial" w:eastAsia="Arial" w:hAnsi="Arial"/>
          <w:sz w:val="16"/>
          <w:szCs w:val="16"/>
          <w:b w:val="1"/>
          <w:bCs w:val="1"/>
          <w:color w:val="auto"/>
        </w:rPr>
        <w:t xml:space="preserve"> </w:t>
      </w:r>
      <w:r>
        <w:rPr>
          <w:rFonts w:ascii="Arial" w:cs="Arial" w:eastAsia="Arial" w:hAnsi="Arial"/>
          <w:sz w:val="16"/>
          <w:szCs w:val="16"/>
          <w:color w:val="auto"/>
        </w:rPr>
        <w:t>A&amp;R Agreement) have been converted</w:t>
      </w:r>
      <w:r>
        <w:rPr>
          <w:rFonts w:ascii="Arial" w:cs="Arial" w:eastAsia="Arial" w:hAnsi="Arial"/>
          <w:sz w:val="16"/>
          <w:szCs w:val="16"/>
          <w:b w:val="1"/>
          <w:bCs w:val="1"/>
          <w:color w:val="auto"/>
        </w:rPr>
        <w:t xml:space="preserve"> </w:t>
      </w:r>
      <w:r>
        <w:rPr>
          <w:rFonts w:ascii="Arial" w:cs="Arial" w:eastAsia="Arial" w:hAnsi="Arial"/>
          <w:sz w:val="16"/>
          <w:szCs w:val="16"/>
          <w:color w:val="auto"/>
        </w:rPr>
        <w:t>into Series A Common Units, as defined herein, (ii) the Series A Common Units of the Company (as defined in the 2</w:t>
      </w:r>
      <w:r>
        <w:rPr>
          <w:rFonts w:ascii="Arial" w:cs="Arial" w:eastAsia="Arial" w:hAnsi="Arial"/>
          <w:sz w:val="13"/>
          <w:szCs w:val="13"/>
          <w:color w:val="auto"/>
        </w:rPr>
        <w:t>nd</w:t>
      </w:r>
      <w:r>
        <w:rPr>
          <w:rFonts w:ascii="Arial" w:cs="Arial" w:eastAsia="Arial" w:hAnsi="Arial"/>
          <w:sz w:val="16"/>
          <w:szCs w:val="16"/>
          <w:color w:val="auto"/>
        </w:rPr>
        <w:t xml:space="preserve"> A&amp;R Agreement) held by the Founders have been converted into Series B Common Units, as defined herein, (iii) the Series A Common Units of the Company (as defined in the 2</w:t>
      </w:r>
      <w:r>
        <w:rPr>
          <w:rFonts w:ascii="Arial" w:cs="Arial" w:eastAsia="Arial" w:hAnsi="Arial"/>
          <w:sz w:val="13"/>
          <w:szCs w:val="13"/>
          <w:color w:val="auto"/>
        </w:rPr>
        <w:t>nd</w:t>
      </w:r>
      <w:r>
        <w:rPr>
          <w:rFonts w:ascii="Arial" w:cs="Arial" w:eastAsia="Arial" w:hAnsi="Arial"/>
          <w:sz w:val="16"/>
          <w:szCs w:val="16"/>
          <w:color w:val="auto"/>
        </w:rPr>
        <w:t xml:space="preserve"> A&amp;R Agreement) held by Persons other than the Founders have been converted into Series D Common Units, as defined herein, (iv) the Class A Voting</w:t>
      </w:r>
    </w:p>
    <w:p>
      <w:pPr>
        <w:sectPr>
          <w:pgSz w:w="11900" w:h="16838" w:orient="portrait"/>
          <w:cols w:equalWidth="0" w:num="1">
            <w:col w:w="11320"/>
          </w:cols>
          <w:pgMar w:left="240" w:top="269" w:right="339" w:bottom="1440" w:gutter="0" w:footer="0" w:header="0"/>
        </w:sectPr>
      </w:pPr>
    </w:p>
    <w:bookmarkStart w:id="316" w:name="page317"/>
    <w:bookmarkEnd w:id="316"/>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Units of Solid GT (as defined in that certain Second Amended and Restated Limited Liability Company Agreement of Solid GT, dated November 2, 2015 (the “</w:t>
      </w:r>
      <w:r>
        <w:rPr>
          <w:rFonts w:ascii="Arial" w:cs="Arial" w:eastAsia="Arial" w:hAnsi="Arial"/>
          <w:sz w:val="18"/>
          <w:szCs w:val="18"/>
          <w:b w:val="1"/>
          <w:bCs w:val="1"/>
          <w:u w:val="single" w:color="auto"/>
          <w:color w:val="auto"/>
        </w:rPr>
        <w:t>GT LLC Agreement</w:t>
      </w:r>
      <w:r>
        <w:rPr>
          <w:rFonts w:ascii="Arial" w:cs="Arial" w:eastAsia="Arial" w:hAnsi="Arial"/>
          <w:sz w:val="18"/>
          <w:szCs w:val="18"/>
          <w:color w:val="auto"/>
        </w:rPr>
        <w:t>”)), have been extinguished, (v) the Class B Non-Voting Units of Solid GT (as defined in the GT LLC Agreement) have been converted into Series C Common Units, as defined herein, (vi) the Class C Non-Voting Units of Solid GT (as defined in the GT LLC Agreement) have been converted into Series D Common Units, as defined herein, and (vii) the Class D Voting Units of Solid GT (as defined in the GT LLC Agreement) have been converted into Junior Preferred Units, as defined herein; in each case, as reflected on the list of Members maintained by the Company (the “</w:t>
      </w:r>
      <w:r>
        <w:rPr>
          <w:rFonts w:ascii="Arial" w:cs="Arial" w:eastAsia="Arial" w:hAnsi="Arial"/>
          <w:sz w:val="18"/>
          <w:szCs w:val="18"/>
          <w:b w:val="1"/>
          <w:bCs w:val="1"/>
          <w:u w:val="single" w:color="auto"/>
          <w:color w:val="auto"/>
        </w:rPr>
        <w:t>List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Members</w:t>
      </w:r>
      <w:r>
        <w:rPr>
          <w:rFonts w:ascii="Arial" w:cs="Arial" w:eastAsia="Arial" w:hAnsi="Arial"/>
          <w:sz w:val="18"/>
          <w:szCs w:val="18"/>
          <w:color w:val="auto"/>
        </w:rPr>
        <w:t>”);</w:t>
      </w:r>
    </w:p>
    <w:p>
      <w:pPr>
        <w:spacing w:after="0" w:line="189" w:lineRule="exact"/>
        <w:rPr>
          <w:sz w:val="20"/>
          <w:szCs w:val="20"/>
          <w:color w:val="auto"/>
        </w:rPr>
      </w:pPr>
    </w:p>
    <w:p>
      <w:pPr>
        <w:ind w:right="420" w:firstLine="913"/>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of this Agreement, the Members listed as owning Series 1 Senior Preferred Units on the List of Members desire to</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Series 1 Senior Preferred Units pursuant to the terms of that certain Senior Preferred Unit Purchase Agreement, dated as of the date hereof (the “</w:t>
      </w:r>
      <w:r>
        <w:rPr>
          <w:rFonts w:ascii="Arial" w:cs="Arial" w:eastAsia="Arial" w:hAnsi="Arial"/>
          <w:sz w:val="18"/>
          <w:szCs w:val="18"/>
          <w:b w:val="1"/>
          <w:bCs w:val="1"/>
          <w:u w:val="single" w:color="auto"/>
          <w:color w:val="auto"/>
        </w:rPr>
        <w:t>Senior Preferred Purchase Agreement</w:t>
      </w:r>
      <w:r>
        <w:rPr>
          <w:rFonts w:ascii="Arial" w:cs="Arial" w:eastAsia="Arial" w:hAnsi="Arial"/>
          <w:sz w:val="18"/>
          <w:szCs w:val="18"/>
          <w:color w:val="auto"/>
        </w:rPr>
        <w:t>”);</w:t>
      </w:r>
    </w:p>
    <w:p>
      <w:pPr>
        <w:spacing w:after="0" w:line="176"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Senior Preferred Purchase Agreement, certain Members party thereto desire, subject to satisfaction of the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therein, to purchase Series 2 Senior Preferred Units at the “Additional Closing”, as defined therein; and</w:t>
      </w:r>
    </w:p>
    <w:p>
      <w:pPr>
        <w:spacing w:after="0" w:line="162"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Members desire to amend and restate the 2</w:t>
      </w:r>
      <w:r>
        <w:rPr>
          <w:rFonts w:ascii="Arial" w:cs="Arial" w:eastAsia="Arial" w:hAnsi="Arial"/>
          <w:sz w:val="15"/>
          <w:szCs w:val="15"/>
          <w:color w:val="auto"/>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A&amp;R Agreement on the terms and subject to the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this Agreement.</w:t>
      </w:r>
    </w:p>
    <w:p>
      <w:pPr>
        <w:spacing w:after="0" w:line="162" w:lineRule="exact"/>
        <w:rPr>
          <w:sz w:val="20"/>
          <w:szCs w:val="20"/>
          <w:color w:val="auto"/>
        </w:rPr>
      </w:pPr>
    </w:p>
    <w:p>
      <w:pPr>
        <w:ind w:right="100" w:firstLine="913"/>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contained herein, and other good and valuable consideration, the sufficiency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hereby acknowledged, the Parties agree that the 2</w:t>
      </w:r>
      <w:r>
        <w:rPr>
          <w:rFonts w:ascii="Arial" w:cs="Arial" w:eastAsia="Arial" w:hAnsi="Arial"/>
          <w:sz w:val="13"/>
          <w:szCs w:val="13"/>
          <w:color w:val="auto"/>
        </w:rPr>
        <w:t>nd</w:t>
      </w:r>
      <w:r>
        <w:rPr>
          <w:rFonts w:ascii="Arial" w:cs="Arial" w:eastAsia="Arial" w:hAnsi="Arial"/>
          <w:sz w:val="16"/>
          <w:szCs w:val="16"/>
          <w:color w:val="auto"/>
        </w:rPr>
        <w:t xml:space="preserve"> A&amp;R LLC Agreement is hereby amended and restated in its entirety as follows: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the following terms have the following meanings: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2</w:t>
      </w:r>
      <w:r>
        <w:rPr>
          <w:rFonts w:ascii="Arial" w:cs="Arial" w:eastAsia="Arial" w:hAnsi="Arial"/>
          <w:sz w:val="15"/>
          <w:szCs w:val="15"/>
          <w:b w:val="1"/>
          <w:bCs w:val="1"/>
          <w:u w:val="single" w:color="auto"/>
          <w:color w:val="auto"/>
        </w:rPr>
        <w:t>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A&amp;R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A&amp;R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660" w:firstLine="91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Additional Closing Event</w:t>
      </w:r>
      <w:r>
        <w:rPr>
          <w:rFonts w:ascii="Arial" w:cs="Arial" w:eastAsia="Arial" w:hAnsi="Arial"/>
          <w:sz w:val="18"/>
          <w:szCs w:val="18"/>
          <w:color w:val="auto"/>
        </w:rPr>
        <w:t>” means the occurrence of the Additional Closing, as defined in the Senior Preferred Purchase Agreement, in accordance with the Senior Preferred Purchase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17" w:name="page318"/>
    <w:bookmarkEnd w:id="317"/>
    <w:p>
      <w:pPr>
        <w:ind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Adjusted Capital Account Deficit</w:t>
      </w:r>
      <w:r>
        <w:rPr>
          <w:rFonts w:ascii="Arial" w:cs="Arial" w:eastAsia="Arial" w:hAnsi="Arial"/>
          <w:sz w:val="18"/>
          <w:szCs w:val="18"/>
          <w:color w:val="auto"/>
        </w:rPr>
        <w:t>” means, with respect to any Member, the deficit balance, if any, in such Member’s Capital Account as of the end of the relevant fiscal year, after giving effect to the following adjustments:</w:t>
      </w:r>
    </w:p>
    <w:p>
      <w:pPr>
        <w:spacing w:after="0" w:line="166" w:lineRule="exact"/>
        <w:rPr>
          <w:sz w:val="20"/>
          <w:szCs w:val="20"/>
          <w:color w:val="auto"/>
        </w:rPr>
      </w:pPr>
    </w:p>
    <w:p>
      <w:pPr>
        <w:ind w:right="340" w:firstLine="921"/>
        <w:spacing w:after="0" w:line="308" w:lineRule="auto"/>
        <w:tabs>
          <w:tab w:leader="none" w:pos="115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Credit to such Capital Account any amounts which such Member is obligated to restore pursuant to any provision of this Agreement or is deemed obligated to restore pursuant to the penultimate sentences of Regulations Sections 1.704-2(g)(1) and 1.704-2(i)(5); and</w:t>
      </w:r>
    </w:p>
    <w:p>
      <w:pPr>
        <w:spacing w:after="0" w:line="146" w:lineRule="exact"/>
        <w:rPr>
          <w:rFonts w:ascii="Arial" w:cs="Arial" w:eastAsia="Arial" w:hAnsi="Arial"/>
          <w:sz w:val="17"/>
          <w:szCs w:val="17"/>
          <w:color w:val="auto"/>
        </w:rPr>
      </w:pPr>
    </w:p>
    <w:p>
      <w:pPr>
        <w:ind w:left="1180" w:hanging="259"/>
        <w:spacing w:after="0"/>
        <w:tabs>
          <w:tab w:leader="none" w:pos="11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Debit to such Capital Account the items described in Regulations Sections 1.704-1(b)(2)(ii)(</w:t>
      </w:r>
      <w:r>
        <w:rPr>
          <w:rFonts w:ascii="Arial" w:cs="Arial" w:eastAsia="Arial" w:hAnsi="Arial"/>
          <w:sz w:val="18"/>
          <w:szCs w:val="18"/>
          <w:i w:val="1"/>
          <w:iCs w:val="1"/>
          <w:color w:val="auto"/>
        </w:rPr>
        <w:t>d</w:t>
      </w:r>
      <w:r>
        <w:rPr>
          <w:rFonts w:ascii="Arial" w:cs="Arial" w:eastAsia="Arial" w:hAnsi="Arial"/>
          <w:sz w:val="18"/>
          <w:szCs w:val="18"/>
          <w:color w:val="auto"/>
        </w:rPr>
        <w:t>)(4), 1.704-1(b)(2)(ii)(</w:t>
      </w:r>
      <w:r>
        <w:rPr>
          <w:rFonts w:ascii="Arial" w:cs="Arial" w:eastAsia="Arial" w:hAnsi="Arial"/>
          <w:sz w:val="18"/>
          <w:szCs w:val="18"/>
          <w:i w:val="1"/>
          <w:iCs w:val="1"/>
          <w:color w:val="auto"/>
        </w:rPr>
        <w:t>d</w:t>
      </w:r>
      <w:r>
        <w:rPr>
          <w:rFonts w:ascii="Arial" w:cs="Arial" w:eastAsia="Arial" w:hAnsi="Arial"/>
          <w:sz w:val="18"/>
          <w:szCs w:val="18"/>
          <w:color w:val="auto"/>
        </w:rPr>
        <w:t>)(5)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1.704-1(b)(2)(ii)(</w:t>
      </w:r>
      <w:r>
        <w:rPr>
          <w:rFonts w:ascii="Arial" w:cs="Arial" w:eastAsia="Arial" w:hAnsi="Arial"/>
          <w:sz w:val="18"/>
          <w:szCs w:val="18"/>
          <w:i w:val="1"/>
          <w:iCs w:val="1"/>
          <w:color w:val="auto"/>
        </w:rPr>
        <w:t>d</w:t>
      </w:r>
      <w:r>
        <w:rPr>
          <w:rFonts w:ascii="Arial" w:cs="Arial" w:eastAsia="Arial" w:hAnsi="Arial"/>
          <w:sz w:val="18"/>
          <w:szCs w:val="18"/>
          <w:color w:val="auto"/>
        </w:rPr>
        <w:t>)(6).</w:t>
      </w:r>
    </w:p>
    <w:p>
      <w:pPr>
        <w:spacing w:after="0" w:line="211" w:lineRule="exact"/>
        <w:rPr>
          <w:sz w:val="20"/>
          <w:szCs w:val="20"/>
          <w:color w:val="auto"/>
        </w:rPr>
      </w:pPr>
    </w:p>
    <w:p>
      <w:pPr>
        <w:ind w:right="1940" w:firstLine="913"/>
        <w:spacing w:after="0" w:line="277" w:lineRule="auto"/>
        <w:rPr>
          <w:sz w:val="20"/>
          <w:szCs w:val="20"/>
          <w:color w:val="auto"/>
        </w:rPr>
      </w:pPr>
      <w:r>
        <w:rPr>
          <w:rFonts w:ascii="Arial" w:cs="Arial" w:eastAsia="Arial" w:hAnsi="Arial"/>
          <w:sz w:val="18"/>
          <w:szCs w:val="18"/>
          <w:color w:val="auto"/>
        </w:rPr>
        <w:t>The foregoing definition of Adjusted Capital Account Deficit is intended to comply with the provisions of Regulations Section 1.704-1(b)(2)(ii)(</w:t>
      </w:r>
      <w:r>
        <w:rPr>
          <w:rFonts w:ascii="Arial" w:cs="Arial" w:eastAsia="Arial" w:hAnsi="Arial"/>
          <w:sz w:val="18"/>
          <w:szCs w:val="18"/>
          <w:i w:val="1"/>
          <w:iCs w:val="1"/>
          <w:color w:val="auto"/>
        </w:rPr>
        <w:t>d</w:t>
      </w:r>
      <w:r>
        <w:rPr>
          <w:rFonts w:ascii="Arial" w:cs="Arial" w:eastAsia="Arial" w:hAnsi="Arial"/>
          <w:sz w:val="18"/>
          <w:szCs w:val="18"/>
          <w:color w:val="auto"/>
        </w:rPr>
        <w:t>) and shall be interpreted consistently therewith.</w:t>
      </w:r>
    </w:p>
    <w:p>
      <w:pPr>
        <w:spacing w:after="0" w:line="166"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(a) with respect to any Person, any other Person directly or indirectly controlling, controlled by or under common control with such first Person, or (b) any spouse, child, grandchild, parent, grandparent or sibling of a Person or a trust or other entity for their benefit. For the purposes of this definition, “control” (including, with correlative meanings, the terms “controlling”, “controlled by” and “under common control with”) means, with respect to any Person, the possession, directly or indirectly, of the power to direct or cause the direction of the management and policies of such Person, whether through ownership of voting securities, by contract or otherwise.</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Applicable Federal Rate</w:t>
      </w:r>
      <w:r>
        <w:rPr>
          <w:rFonts w:ascii="Arial" w:cs="Arial" w:eastAsia="Arial" w:hAnsi="Arial"/>
          <w:sz w:val="17"/>
          <w:szCs w:val="17"/>
          <w:color w:val="auto"/>
        </w:rPr>
        <w:t>” means the interest rate specified for debt instruments of equivalent terms pursuant to Code Section 1274(d)(1).</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Bain Blocker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Bain Fund</w:t>
      </w:r>
      <w:r>
        <w:rPr>
          <w:rFonts w:ascii="Arial" w:cs="Arial" w:eastAsia="Arial" w:hAnsi="Arial"/>
          <w:sz w:val="18"/>
          <w:szCs w:val="18"/>
          <w:color w:val="auto"/>
        </w:rPr>
        <w:t>” means Bain Capital Life Sciences Fund, L.P and BCIP Life Sciences Associates, LP.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Bain Members</w:t>
      </w:r>
      <w:r>
        <w:rPr>
          <w:rFonts w:ascii="Arial" w:cs="Arial" w:eastAsia="Arial" w:hAnsi="Arial"/>
          <w:sz w:val="18"/>
          <w:szCs w:val="18"/>
          <w:color w:val="auto"/>
        </w:rPr>
        <w:t>” means BCLS SB Splitter, LP, and any of its Affiliates that hold Units.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Biogen Member</w:t>
      </w:r>
      <w:r>
        <w:rPr>
          <w:rFonts w:ascii="Arial" w:cs="Arial" w:eastAsia="Arial" w:hAnsi="Arial"/>
          <w:sz w:val="18"/>
          <w:szCs w:val="18"/>
          <w:color w:val="auto"/>
        </w:rPr>
        <w:t>” means Biogen New Ventures Inc. and any of its Affiliates that hold Units.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 of Managers</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managers of the Company.</w:t>
      </w:r>
    </w:p>
    <w:p>
      <w:pPr>
        <w:spacing w:after="0" w:line="225"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of the year on which national banking institutions in Boston, Massachusetts are open to the public for conducting business and are not required or authorized to close.</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Capital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69" w:right="259" w:bottom="1440" w:gutter="0" w:footer="0" w:header="0"/>
        </w:sectPr>
      </w:pPr>
    </w:p>
    <w:bookmarkStart w:id="318" w:name="page319"/>
    <w:bookmarkEnd w:id="318"/>
    <w:p>
      <w:pPr>
        <w:jc w:val="both"/>
        <w:ind w:right="80" w:firstLine="913"/>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Capital Contributions</w:t>
      </w:r>
      <w:r>
        <w:rPr>
          <w:rFonts w:ascii="Arial" w:cs="Arial" w:eastAsia="Arial" w:hAnsi="Arial"/>
          <w:sz w:val="18"/>
          <w:szCs w:val="18"/>
          <w:color w:val="auto"/>
        </w:rPr>
        <w:t>” means with respect to any Member, the sum of the amount of cash and the fair market value (on the date contributed) of any property (other than money) or services contributed to the Company by such Member (or its predecessors in interest) with respect to the Units held by such Member.</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 Minimum Gain</w:t>
      </w:r>
      <w:r>
        <w:rPr>
          <w:rFonts w:ascii="Arial" w:cs="Arial" w:eastAsia="Arial" w:hAnsi="Arial"/>
          <w:sz w:val="17"/>
          <w:szCs w:val="17"/>
          <w:color w:val="auto"/>
        </w:rPr>
        <w:t>” has the same meaning as “partnership minimum gain” set forth in Regulations Sections 1.704-2(b)(2)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1.704-2(d).</w:t>
      </w:r>
    </w:p>
    <w:p>
      <w:pPr>
        <w:spacing w:after="0" w:line="207"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Subsidiary</w:t>
      </w:r>
      <w:r>
        <w:rPr>
          <w:rFonts w:ascii="Arial" w:cs="Arial" w:eastAsia="Arial" w:hAnsi="Arial"/>
          <w:sz w:val="18"/>
          <w:szCs w:val="18"/>
          <w:color w:val="auto"/>
        </w:rPr>
        <w:t>” means any business entity of which the Company and/or any of its other subsidiaries directly or indirectly owns at such time more than 50% of the outstanding voting equity interests of such entity.</w:t>
      </w:r>
    </w:p>
    <w:p>
      <w:pPr>
        <w:spacing w:after="0" w:line="16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means any information with respect to (a) the Company or any Company Subsidiary of a proprietary or competitively sensitive nature, and (b) any third party which the Company or any Company Subsidiary is required to keep confidential, including in each case methods of operation, customer lists, products, prices, fees, costs, financial information, technology, inventions, trade secrets, know-how, software, marketing methods, plans, personnel, suppliers, competitors, markets or other specialized information or proprietary matters. Confidential Information does not include, however, and there shall be no obligation hereunder with respect to, information that (a) is generally available to the public on the date of this Agreement,</w:t>
      </w:r>
    </w:p>
    <w:p>
      <w:pPr>
        <w:spacing w:after="0" w:line="2" w:lineRule="exact"/>
        <w:rPr>
          <w:sz w:val="20"/>
          <w:szCs w:val="20"/>
          <w:color w:val="auto"/>
        </w:rPr>
      </w:pPr>
    </w:p>
    <w:p>
      <w:pPr>
        <w:ind w:left="260" w:hanging="252"/>
        <w:spacing w:after="0"/>
        <w:tabs>
          <w:tab w:leader="none" w:pos="2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becomes generally available to the public other than as a result of a disclosure not otherwise permissible hereunder, (c) is acquired by the Members or</w:t>
      </w:r>
    </w:p>
    <w:p>
      <w:pPr>
        <w:spacing w:after="0" w:line="32" w:lineRule="exact"/>
        <w:rPr>
          <w:rFonts w:ascii="Arial" w:cs="Arial" w:eastAsia="Arial" w:hAnsi="Arial"/>
          <w:sz w:val="16"/>
          <w:szCs w:val="16"/>
          <w:color w:val="auto"/>
        </w:rPr>
      </w:pPr>
    </w:p>
    <w:p>
      <w:pPr>
        <w:jc w:val="both"/>
        <w:ind w:right="100"/>
        <w:spacing w:after="0" w:line="255" w:lineRule="auto"/>
        <w:rPr>
          <w:rFonts w:ascii="Arial" w:cs="Arial" w:eastAsia="Arial" w:hAnsi="Arial"/>
          <w:sz w:val="16"/>
          <w:szCs w:val="16"/>
          <w:color w:val="auto"/>
        </w:rPr>
      </w:pPr>
      <w:r>
        <w:rPr>
          <w:rFonts w:ascii="Arial" w:cs="Arial" w:eastAsia="Arial" w:hAnsi="Arial"/>
          <w:sz w:val="18"/>
          <w:szCs w:val="18"/>
          <w:color w:val="auto"/>
        </w:rPr>
        <w:t>their directors, officers, employees, managers, partners or Affiliates from a source other than the Company or in their capacity as employees of the Company or a Company Subsidiary, or (d) is independently developed by the Members or their directors, officers, employees, managers, partners or Affiliates without use of Confidential Information.</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Conversion 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Corporate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Co-Sale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Co-Sale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Co-Sale Terms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Covered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225" w:lineRule="exact"/>
        <w:rPr>
          <w:sz w:val="20"/>
          <w:szCs w:val="20"/>
          <w:color w:val="auto"/>
        </w:rPr>
      </w:pPr>
    </w:p>
    <w:p>
      <w:pPr>
        <w:ind w:right="180" w:firstLine="91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Deemed Liquidation Event</w:t>
      </w:r>
      <w:r>
        <w:rPr>
          <w:rFonts w:ascii="Arial" w:cs="Arial" w:eastAsia="Arial" w:hAnsi="Arial"/>
          <w:sz w:val="18"/>
          <w:szCs w:val="18"/>
          <w:color w:val="auto"/>
        </w:rPr>
        <w:t>” means one or more of the following: (a) a merger or consolidation involving the Company, other than one that results in the Holders immediately prior to such transaction holding (either directly or indirectly or together with all of their Affiliates) a majority, by voting power, of the outstanding equity interests of the surviving or acquiring entity, (b) the sale, lease, transfer, exclusive license or other disposition, in a single transaction or series of related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319" w:name="page320"/>
    <w:bookmarkEnd w:id="319"/>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by the Company or any Company Subsidiary of all or substantially all the assets of the Company and its Company Subsidiaries taken as a whole (including, without limitation, the sale, assignment, license or encumbrance of material technology or intellectual property of the Company), or the sale or disposition (whether by merger, consolidation or otherwise) of one or more Company Subsidiaries if substantially all of the assets of the Company and the Company Subsidiaries taken as a whole are held by such Company Subsidiary or Company Subsidiaries, or (c) the closing of the Transfer (whether by merger, consolidation or otherwise), in one transaction or a series of related transactions, to a Person or group of affiliated Persons (other than an underwriter of Company’s securities), of the Company’s securities if a Person or group of affiliated Persons that did not hold fifty percent or more of the outstanding securities of the Company prior to such Closing would hold fifty percent or more of the outstanding securities of the Company (or the surviving or acquiring entity) after such closing.</w:t>
      </w:r>
    </w:p>
    <w:p>
      <w:pPr>
        <w:spacing w:after="0" w:line="18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Depreciation</w:t>
      </w:r>
      <w:r>
        <w:rPr>
          <w:rFonts w:ascii="Arial" w:cs="Arial" w:eastAsia="Arial" w:hAnsi="Arial"/>
          <w:sz w:val="17"/>
          <w:szCs w:val="17"/>
          <w:color w:val="auto"/>
        </w:rPr>
        <w:t xml:space="preserve">” means, for each fiscal year, an amount equal to the depreciation, amortization, or other cost recovery deduction allowable for U.S. federal income tax purposes with respect to an asset for such fiscal year, except that (a) with respect to any asset the Gross Asset Value of which differs from its adjusted tax basis for U.S. federal income tax purposes at the beginning of such fiscal year and which difference is being eliminated by use of the “remedial method” as defined by Regulations Section 1.704-3(d), Depreciation for such fiscal year shall be the amount of book basis recovered for such fiscal year under the rules prescribed by Regulations Section 1.704-3(d)(2), and (b) with respect to any other asset the Gross Asset Value of which differs from its adjusted tax basis for U.S. federal income tax purposes at the beginning of such fiscal year, Depreciation shall be an amount which bears the same ratio to such beginning Gross Asset Value as the U.S. federal income tax depreciation, amortization, or other cost recovery deduction for such fiscal year bears to such beginning adjusted tax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if the adjusted tax basis for U.S. federal income tax purposes of an asset at the beginning of such fiscal year is zero, Depreciation shall be determined with reference to such beginning Gross Asset Value using any reasonable method selected by the Board of Managers.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First Refusal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Foresite Blocker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Foresite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Founders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right"/>
        <w:ind w:right="5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Ganot</w:t>
      </w:r>
      <w:r>
        <w:rPr>
          <w:rFonts w:ascii="Arial" w:cs="Arial" w:eastAsia="Arial" w:hAnsi="Arial"/>
          <w:sz w:val="18"/>
          <w:szCs w:val="18"/>
          <w:color w:val="auto"/>
        </w:rPr>
        <w:t>” has the meaning set forth in the recitals to this Agreement.</w:t>
      </w:r>
    </w:p>
    <w:p>
      <w:pPr>
        <w:spacing w:after="0" w:line="162" w:lineRule="exact"/>
        <w:rPr>
          <w:sz w:val="20"/>
          <w:szCs w:val="20"/>
          <w:color w:val="auto"/>
        </w:rPr>
      </w:pPr>
    </w:p>
    <w:p>
      <w:pPr>
        <w:jc w:val="right"/>
        <w:ind w:right="56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20" w:name="page321"/>
    <w:bookmarkEnd w:id="320"/>
    <w:p>
      <w:pPr>
        <w:jc w:val="center"/>
        <w:ind w:righ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Gross Asset Value</w:t>
      </w:r>
      <w:r>
        <w:rPr>
          <w:rFonts w:ascii="Arial" w:cs="Arial" w:eastAsia="Arial" w:hAnsi="Arial"/>
          <w:sz w:val="18"/>
          <w:szCs w:val="18"/>
          <w:color w:val="auto"/>
        </w:rPr>
        <w:t>” means, with respect to any asset, the asset’s adjusted basis for federal income tax purposes, except as follows:</w:t>
      </w:r>
    </w:p>
    <w:p>
      <w:pPr>
        <w:spacing w:after="0" w:line="229" w:lineRule="exact"/>
        <w:rPr>
          <w:sz w:val="20"/>
          <w:szCs w:val="20"/>
          <w:color w:val="auto"/>
        </w:rPr>
      </w:pPr>
    </w:p>
    <w:p>
      <w:pPr>
        <w:ind w:right="200" w:firstLine="921"/>
        <w:spacing w:after="0" w:line="277" w:lineRule="auto"/>
        <w:tabs>
          <w:tab w:leader="none" w:pos="129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Gross Asset Value of any asset contributed by a Member to the Company is the gross fair market value of such asset as determined by the Board of Managers at the time of contribution;</w:t>
      </w:r>
    </w:p>
    <w:p>
      <w:pPr>
        <w:spacing w:after="0" w:line="170" w:lineRule="exact"/>
        <w:rPr>
          <w:rFonts w:ascii="Arial" w:cs="Arial" w:eastAsia="Arial" w:hAnsi="Arial"/>
          <w:sz w:val="18"/>
          <w:szCs w:val="18"/>
          <w:color w:val="auto"/>
        </w:rPr>
      </w:pPr>
    </w:p>
    <w:p>
      <w:pPr>
        <w:ind w:right="240" w:firstLine="921"/>
        <w:spacing w:after="0" w:line="272" w:lineRule="auto"/>
        <w:tabs>
          <w:tab w:leader="none" w:pos="1303"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the Gross Asset Values of all Company assets shall be adjusted to equal their respective gross fair market values, as determined by the Board of Managers, as of the following times: (i) the acquisition of any additional interest in the Company by any new or existing Member in exchange for more than a de minimis Capital Contribution; (ii) the distribution by the Company to a Member of more than a de minimis amount of property as consideration for an interest in the Company; (iii) the grant of Units pursuant to any equity incentive plan adopted by the Board (other than a de minimis interest); and (iv) the liquidation of the Company within the meaning of Regulations Section 1.704-1(b)(2)(ii)(g);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adjustments pursuant to clauses (i), (ii) and (iii) above shall be made only if the Board of Managers reasonably determines that such adjustments are necessary or appropriate to reflect the relative economic interests of the Members in the Company;</w:t>
      </w:r>
    </w:p>
    <w:p>
      <w:pPr>
        <w:spacing w:after="0" w:line="177" w:lineRule="exact"/>
        <w:rPr>
          <w:rFonts w:ascii="Arial" w:cs="Arial" w:eastAsia="Arial" w:hAnsi="Arial"/>
          <w:sz w:val="17"/>
          <w:szCs w:val="17"/>
          <w:color w:val="auto"/>
        </w:rPr>
      </w:pPr>
    </w:p>
    <w:p>
      <w:pPr>
        <w:ind w:right="140" w:firstLine="921"/>
        <w:spacing w:after="0" w:line="277" w:lineRule="auto"/>
        <w:tabs>
          <w:tab w:leader="none" w:pos="129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Gross Asset Value of any Company asset distributed to any Member shall be adjusted to equal the gross fair market value of such asset on the date of distribution as determined by the Board of Managers; and</w:t>
      </w:r>
    </w:p>
    <w:p>
      <w:pPr>
        <w:spacing w:after="0" w:line="170" w:lineRule="exact"/>
        <w:rPr>
          <w:rFonts w:ascii="Arial" w:cs="Arial" w:eastAsia="Arial" w:hAnsi="Arial"/>
          <w:sz w:val="18"/>
          <w:szCs w:val="18"/>
          <w:color w:val="auto"/>
        </w:rPr>
      </w:pPr>
    </w:p>
    <w:p>
      <w:pPr>
        <w:ind w:firstLine="921"/>
        <w:spacing w:after="0" w:line="255" w:lineRule="auto"/>
        <w:tabs>
          <w:tab w:leader="none" w:pos="130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the Gross Asset Values of the Company’s assets shall be increased (or decreased) to reflect any adjustments to the adjusted basis of such assets pursuant to Code Section 734(b) or Section 743(b), but only to the extent that such adjustments are taken into account in determining Capital Accounts pursuant to Regulations Section 1.704-1(b)(2)(iv)(m) and subparagraph (d) of the definition of Net Income and Net Loss or </w:t>
      </w:r>
      <w:r>
        <w:rPr>
          <w:rFonts w:ascii="Arial" w:cs="Arial" w:eastAsia="Arial" w:hAnsi="Arial"/>
          <w:sz w:val="18"/>
          <w:szCs w:val="18"/>
          <w:u w:val="single" w:color="auto"/>
          <w:color w:val="auto"/>
        </w:rPr>
        <w:t>Section 7.3(f)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Gross Asset Values shall not be adjusted pursuant to this subparagraph (d) to the extent the Board of Managers determines that an adjustment pursuant to subparagraph (b) hereof is necessary or appropriate in connection with a transaction that would otherwise result in an adjustment pursuant to this subparagraph (d).</w:t>
      </w:r>
    </w:p>
    <w:p>
      <w:pPr>
        <w:spacing w:after="0" w:line="193"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If the Gross Asset Value of a Company asset has been determined or adjusted pursuant to clause (a), (b), (c) or (d) above, such Gross Asset Value shall thereafter be adjusted by the Depreciation taken into account with respect to such asset for purposes of computing Net Income or Net Loss.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GT LLC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GT Merger</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Hayeem</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means any Member that is a holder of Units and any successor Member that is a holder of Units as a result of a Transfer permitted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207" w:lineRule="exact"/>
        <w:rPr>
          <w:sz w:val="20"/>
          <w:szCs w:val="20"/>
          <w:color w:val="auto"/>
        </w:rPr>
      </w:pPr>
    </w:p>
    <w:p>
      <w:pPr>
        <w:jc w:val="right"/>
        <w:ind w:right="5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Immediate Purchase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5.5(g)</w:t>
      </w:r>
      <w:r>
        <w:rPr>
          <w:rFonts w:ascii="Arial" w:cs="Arial" w:eastAsia="Arial" w:hAnsi="Arial"/>
          <w:sz w:val="18"/>
          <w:szCs w:val="18"/>
          <w:color w:val="auto"/>
        </w:rPr>
        <w:t>.</w:t>
      </w:r>
    </w:p>
    <w:p>
      <w:pPr>
        <w:spacing w:after="0" w:line="162" w:lineRule="exact"/>
        <w:rPr>
          <w:sz w:val="20"/>
          <w:szCs w:val="20"/>
          <w:color w:val="auto"/>
        </w:rPr>
      </w:pPr>
    </w:p>
    <w:p>
      <w:pPr>
        <w:jc w:val="right"/>
        <w:ind w:righ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321" w:name="page322"/>
    <w:bookmarkEnd w:id="32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Immediate Purchaser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5.5(g)</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Incorporated Provisions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3.6(a)</w:t>
      </w:r>
      <w:r>
        <w:rPr>
          <w:rFonts w:ascii="Arial" w:cs="Arial" w:eastAsia="Arial" w:hAnsi="Arial"/>
          <w:sz w:val="18"/>
          <w:szCs w:val="18"/>
          <w:color w:val="auto"/>
        </w:rPr>
        <w:t>.</w:t>
      </w:r>
    </w:p>
    <w:p>
      <w:pPr>
        <w:spacing w:after="0" w:line="225" w:lineRule="exact"/>
        <w:rPr>
          <w:sz w:val="20"/>
          <w:szCs w:val="20"/>
          <w:color w:val="auto"/>
        </w:rPr>
      </w:pPr>
    </w:p>
    <w:p>
      <w:pPr>
        <w:ind w:right="32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Public Offering</w:t>
      </w:r>
      <w:r>
        <w:rPr>
          <w:rFonts w:ascii="Arial" w:cs="Arial" w:eastAsia="Arial" w:hAnsi="Arial"/>
          <w:sz w:val="18"/>
          <w:szCs w:val="18"/>
          <w:color w:val="auto"/>
        </w:rPr>
        <w:t>” means an underwritten public offering, approved by the Board of Managers or similar body of any successor to the Company, pursuant to an effective registration statement filed under the Securities Act covering the offer and sale of securities for the account of the Company or a Company Subsidiary, or such entity’s successor or parent entity.</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Inside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Janus Members</w:t>
      </w:r>
      <w:r>
        <w:rPr>
          <w:rFonts w:ascii="Arial" w:cs="Arial" w:eastAsia="Arial" w:hAnsi="Arial"/>
          <w:sz w:val="18"/>
          <w:szCs w:val="18"/>
          <w:color w:val="auto"/>
        </w:rPr>
        <w:t xml:space="preserve">” means Janus Global Life Sciences Fund and Janus Capital Funds PLC on behalf of its series Janus Global Life Sciences Fund and any of their respective Affiliates that hold Units, it being acknowledged and agreed that for purposes of determining (i) the Major Investors and (ii) the two largest Holders of Junior Preferred Units in </w:t>
      </w:r>
      <w:r>
        <w:rPr>
          <w:rFonts w:ascii="Arial" w:cs="Arial" w:eastAsia="Arial" w:hAnsi="Arial"/>
          <w:sz w:val="18"/>
          <w:szCs w:val="18"/>
          <w:u w:val="single" w:color="auto"/>
          <w:color w:val="auto"/>
        </w:rPr>
        <w:t>Section 6.1(b)(ii)</w:t>
      </w:r>
      <w:r>
        <w:rPr>
          <w:rFonts w:ascii="Arial" w:cs="Arial" w:eastAsia="Arial" w:hAnsi="Arial"/>
          <w:sz w:val="18"/>
          <w:szCs w:val="18"/>
          <w:color w:val="auto"/>
        </w:rPr>
        <w:t>, the Janus Members shall collectively be deemed a single Member with their respective Units aggregated in number.</w:t>
      </w:r>
    </w:p>
    <w:p>
      <w:pPr>
        <w:spacing w:after="0" w:line="180"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Junior Preferred Dividend Amount</w:t>
      </w:r>
      <w:r>
        <w:rPr>
          <w:rFonts w:ascii="Arial" w:cs="Arial" w:eastAsia="Arial" w:hAnsi="Arial"/>
          <w:sz w:val="18"/>
          <w:szCs w:val="18"/>
          <w:color w:val="auto"/>
        </w:rPr>
        <w:t>” means the sum of all dividends (if any) declared by the Board on each Junior Preferred Unit at the rate of eight percent (8%) per annum of the Junior Preferred Original Issue Price. For the avoidance of doubt, the Board has no obligation to declare any dividend on the Junior Preferred Units.</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Junior Preferred Manager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6.1(b)(ii)</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Junior Preferred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240" w:firstLine="91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Junior Preferred Original Issue Price</w:t>
      </w:r>
      <w:r>
        <w:rPr>
          <w:rFonts w:ascii="Arial" w:cs="Arial" w:eastAsia="Arial" w:hAnsi="Arial"/>
          <w:sz w:val="18"/>
          <w:szCs w:val="18"/>
          <w:color w:val="auto"/>
        </w:rPr>
        <w:t>” means $9.628 per Junior Preferred Unit (as equitably adjusted for Unit splits, distributions of Units, Unit combinations or similar events).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Junior Preferred Unit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Junior Preferred Unreturned Capital</w:t>
      </w:r>
      <w:r>
        <w:rPr>
          <w:rFonts w:ascii="Arial" w:cs="Arial" w:eastAsia="Arial" w:hAnsi="Arial"/>
          <w:sz w:val="18"/>
          <w:szCs w:val="18"/>
          <w:color w:val="auto"/>
        </w:rPr>
        <w:t xml:space="preserve">” means, with respect to a Junior Preferred Unit, an amount equal to the Junior Preferred Original Issue Price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aggregate amounts distributed with respect to such Junior Preferred Unit, prior to the Additional Closing Event, pursuant to </w:t>
      </w:r>
      <w:r>
        <w:rPr>
          <w:rFonts w:ascii="Arial" w:cs="Arial" w:eastAsia="Arial" w:hAnsi="Arial"/>
          <w:sz w:val="18"/>
          <w:szCs w:val="18"/>
          <w:u w:val="single" w:color="auto"/>
          <w:color w:val="auto"/>
        </w:rPr>
        <w:t>Section 8.1(a)(i)</w:t>
      </w:r>
      <w:r>
        <w:rPr>
          <w:rFonts w:ascii="Arial" w:cs="Arial" w:eastAsia="Arial" w:hAnsi="Arial"/>
          <w:sz w:val="18"/>
          <w:szCs w:val="18"/>
          <w:color w:val="auto"/>
        </w:rPr>
        <w:t xml:space="preserve"> and, following the Additional Closing Event, pursuant to </w:t>
      </w:r>
      <w:r>
        <w:rPr>
          <w:rFonts w:ascii="Arial" w:cs="Arial" w:eastAsia="Arial" w:hAnsi="Arial"/>
          <w:sz w:val="18"/>
          <w:szCs w:val="18"/>
          <w:u w:val="single" w:color="auto"/>
          <w:color w:val="auto"/>
        </w:rPr>
        <w:t>Section 8.1(a)(v)</w:t>
      </w:r>
      <w:r>
        <w:rPr>
          <w:rFonts w:ascii="Arial" w:cs="Arial" w:eastAsia="Arial" w:hAnsi="Arial"/>
          <w:sz w:val="18"/>
          <w:szCs w:val="18"/>
          <w:color w:val="auto"/>
        </w:rPr>
        <w:t>.</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Leerink Members</w:t>
      </w:r>
      <w:r>
        <w:rPr>
          <w:rFonts w:ascii="Arial" w:cs="Arial" w:eastAsia="Arial" w:hAnsi="Arial"/>
          <w:sz w:val="17"/>
          <w:szCs w:val="17"/>
          <w:color w:val="auto"/>
        </w:rPr>
        <w:t>” means Leerink Holdings LLC and Leerink Swann Co-Investment Fund, LLC and any of their respective Affiliates that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hold Units.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List of Members</w:t>
      </w:r>
      <w:r>
        <w:rPr>
          <w:rFonts w:ascii="Arial" w:cs="Arial" w:eastAsia="Arial" w:hAnsi="Arial"/>
          <w:sz w:val="18"/>
          <w:szCs w:val="18"/>
          <w:color w:val="auto"/>
        </w:rPr>
        <w:t>” has the meaning set forth in the recitals to this Agreement.</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322" w:name="page323"/>
    <w:bookmarkEnd w:id="322"/>
    <w:p>
      <w:pPr>
        <w:ind w:firstLine="91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u w:val="single" w:color="auto"/>
          <w:color w:val="auto"/>
        </w:rPr>
        <w:t>Major Investor</w:t>
      </w:r>
      <w:r>
        <w:rPr>
          <w:rFonts w:ascii="Arial" w:cs="Arial" w:eastAsia="Arial" w:hAnsi="Arial"/>
          <w:sz w:val="17"/>
          <w:szCs w:val="17"/>
          <w:color w:val="auto"/>
        </w:rPr>
        <w:t xml:space="preserve">” means (i) the RA Members, (ii) the Bain Members, (iii) the Leerink Members and (iv) each Senior Preferred Member, each Junior Preferred Member and each Series A Common Member who, in each case, together with its Affiliates, has invested in the aggregate at least $2,975,000 in the Company, Solid GT and the Company Subsidiaries on a primary or secondary basis,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is not a competitor of the Company. Solely during the period between the date of this Agreement and the day preceding the earlier of the date on which the Additional Closing occurs or can no longer occur pursuant to its terms), the amount to be invested by a Member at the Additional Closing (assuming the Additional Closing were to occur) shall be deemed to have been “invested” for purposes of the preceding sentence. If the Additional Closing does not occur (and can no longer occur pursuant to its terms), the amount that would have been invested by a Member at the Additional Closing (assuming the Additional Closing did occur in accordance with its terms) shall be deemed to have been “invested” for purposes of this definition.</w:t>
      </w:r>
    </w:p>
    <w:p>
      <w:pPr>
        <w:spacing w:after="0" w:line="172" w:lineRule="exact"/>
        <w:rPr>
          <w:sz w:val="20"/>
          <w:szCs w:val="20"/>
          <w:color w:val="auto"/>
        </w:rPr>
      </w:pPr>
    </w:p>
    <w:p>
      <w:pPr>
        <w:jc w:val="both"/>
        <w:ind w:right="480" w:firstLine="913"/>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Manager</w:t>
      </w:r>
      <w:r>
        <w:rPr>
          <w:rFonts w:ascii="Arial" w:cs="Arial" w:eastAsia="Arial" w:hAnsi="Arial"/>
          <w:sz w:val="17"/>
          <w:szCs w:val="17"/>
          <w:color w:val="auto"/>
        </w:rPr>
        <w:t>” means each individual appointed to the Board in the manner provided in this Agreement, in their capacities as managers of the Company. A Manager is hereby designated as a “manager” of the Company within the meaning of Section 18-101(10) of the Act.</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Member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Member Nonrecourse Debt</w:t>
      </w:r>
      <w:r>
        <w:rPr>
          <w:rFonts w:ascii="Arial" w:cs="Arial" w:eastAsia="Arial" w:hAnsi="Arial"/>
          <w:sz w:val="16"/>
          <w:szCs w:val="16"/>
          <w:color w:val="auto"/>
        </w:rPr>
        <w:t>” has the same meaning as the term “partner nonrecourse debt” set forth in Regulations Section 1.704-2(b)(4).</w:t>
      </w:r>
    </w:p>
    <w:p>
      <w:pPr>
        <w:spacing w:after="0" w:line="248" w:lineRule="exact"/>
        <w:rPr>
          <w:sz w:val="20"/>
          <w:szCs w:val="20"/>
          <w:color w:val="auto"/>
        </w:rPr>
      </w:pPr>
    </w:p>
    <w:p>
      <w:pPr>
        <w:jc w:val="both"/>
        <w:ind w:right="46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Member Nonrecourse Debt Minimum Gain</w:t>
      </w:r>
      <w:r>
        <w:rPr>
          <w:rFonts w:ascii="Arial" w:cs="Arial" w:eastAsia="Arial" w:hAnsi="Arial"/>
          <w:sz w:val="18"/>
          <w:szCs w:val="18"/>
          <w:color w:val="auto"/>
        </w:rPr>
        <w:t>” means an amount, with respect to each Member Nonrecourse Debt, equal to the Company Minimum Gain that would result if the Member Nonrecourse Debt were treated as a Nonrecourse Liability, determined in accordance with Regulations Section 1.704-2(i)(3).</w:t>
      </w:r>
    </w:p>
    <w:p>
      <w:pPr>
        <w:spacing w:after="0" w:line="176" w:lineRule="exact"/>
        <w:rPr>
          <w:sz w:val="20"/>
          <w:szCs w:val="20"/>
          <w:color w:val="auto"/>
        </w:rPr>
      </w:pPr>
    </w:p>
    <w:p>
      <w:pPr>
        <w:ind w:right="180" w:firstLine="9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Net Income</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Net Loss</w:t>
      </w:r>
      <w:r>
        <w:rPr>
          <w:rFonts w:ascii="Arial" w:cs="Arial" w:eastAsia="Arial" w:hAnsi="Arial"/>
          <w:sz w:val="17"/>
          <w:szCs w:val="17"/>
          <w:color w:val="auto"/>
        </w:rPr>
        <w:t>” means, for each fiscal year or other period, an amount equal to the Company’s taxable income or loss for such fiscal year or period, determined in accordance with Code Section 703(a) (for this purpose, all items of income, gain, loss or deduction required to be stated separately pursuant to Code Section 703(a)(1) shall be included in taxable income or loss) with the following adjustments:</w:t>
      </w:r>
    </w:p>
    <w:p>
      <w:pPr>
        <w:spacing w:after="0" w:line="162" w:lineRule="exact"/>
        <w:rPr>
          <w:sz w:val="20"/>
          <w:szCs w:val="20"/>
          <w:color w:val="auto"/>
        </w:rPr>
      </w:pPr>
    </w:p>
    <w:p>
      <w:pPr>
        <w:ind w:right="100" w:firstLine="921"/>
        <w:spacing w:after="0" w:line="277" w:lineRule="auto"/>
        <w:tabs>
          <w:tab w:leader="none" w:pos="128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income of the Company that is exempt from federal income tax and not otherwise taken into account in computing Net Income or Net Loss pursuant to this paragraph shall be added to such income or loss;</w:t>
      </w:r>
    </w:p>
    <w:p>
      <w:pPr>
        <w:spacing w:after="0" w:line="170" w:lineRule="exact"/>
        <w:rPr>
          <w:rFonts w:ascii="Arial" w:cs="Arial" w:eastAsia="Arial" w:hAnsi="Arial"/>
          <w:sz w:val="18"/>
          <w:szCs w:val="18"/>
          <w:color w:val="auto"/>
        </w:rPr>
      </w:pPr>
    </w:p>
    <w:p>
      <w:pPr>
        <w:ind w:right="20" w:firstLine="921"/>
        <w:spacing w:after="0" w:line="264" w:lineRule="auto"/>
        <w:tabs>
          <w:tab w:leader="none" w:pos="129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expenditures of the Company described in Code Section 705(a)(2)(B) or treated as Code Section 705(a)(2)(B) expenditures pursuant to Regulations Section 1.704-(1)(b)(2)(iv)(i), and not otherwise taken into account in computing Net Income or Net Loss pursuant to this paragraph, shall be subtracted from such taxable income or loss;</w:t>
      </w:r>
    </w:p>
    <w:p>
      <w:pPr>
        <w:spacing w:after="0" w:line="181" w:lineRule="exact"/>
        <w:rPr>
          <w:rFonts w:ascii="Arial" w:cs="Arial" w:eastAsia="Arial" w:hAnsi="Arial"/>
          <w:sz w:val="18"/>
          <w:szCs w:val="18"/>
          <w:color w:val="auto"/>
        </w:rPr>
      </w:pPr>
    </w:p>
    <w:p>
      <w:pPr>
        <w:ind w:right="100" w:firstLine="921"/>
        <w:spacing w:after="0" w:line="264" w:lineRule="auto"/>
        <w:tabs>
          <w:tab w:leader="none" w:pos="129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the Gross Asset Value of any Company asset is adjusted pursuant to subdivisions (b) or (c) of the definition of Gross Asset Value herein, the amount of such adjustment shall be taken into account as gain or loss from the disposition of such asset for purposes of computing Net Income or Net Loss;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69" w:right="259" w:bottom="1440" w:gutter="0" w:footer="0" w:header="0"/>
        </w:sectPr>
      </w:pPr>
    </w:p>
    <w:bookmarkStart w:id="323" w:name="page324"/>
    <w:bookmarkEnd w:id="323"/>
    <w:p>
      <w:pPr>
        <w:jc w:val="both"/>
        <w:ind w:right="220" w:firstLine="921"/>
        <w:spacing w:after="0" w:line="264" w:lineRule="auto"/>
        <w:tabs>
          <w:tab w:leader="none" w:pos="1303"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Gain or loss resulting from any disposition of Company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81" w:lineRule="exact"/>
        <w:rPr>
          <w:rFonts w:ascii="Arial" w:cs="Arial" w:eastAsia="Arial" w:hAnsi="Arial"/>
          <w:sz w:val="18"/>
          <w:szCs w:val="18"/>
          <w:color w:val="auto"/>
        </w:rPr>
      </w:pPr>
    </w:p>
    <w:p>
      <w:pPr>
        <w:ind w:firstLine="921"/>
        <w:spacing w:after="0" w:line="277" w:lineRule="auto"/>
        <w:tabs>
          <w:tab w:leader="none" w:pos="129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 lieu of depreciation, amortization, and other cost recovery deductions taken into account in computing such taxable income or loss, there shall be taken into account Depreciation for such fiscal year, computed in accordance with the definition of Depreciation herein;</w:t>
      </w:r>
    </w:p>
    <w:p>
      <w:pPr>
        <w:spacing w:after="0" w:line="170" w:lineRule="exact"/>
        <w:rPr>
          <w:rFonts w:ascii="Arial" w:cs="Arial" w:eastAsia="Arial" w:hAnsi="Arial"/>
          <w:sz w:val="18"/>
          <w:szCs w:val="18"/>
          <w:color w:val="auto"/>
        </w:rPr>
      </w:pPr>
    </w:p>
    <w:p>
      <w:pPr>
        <w:ind w:right="100" w:firstLine="921"/>
        <w:spacing w:after="0" w:line="257" w:lineRule="auto"/>
        <w:tabs>
          <w:tab w:leader="none" w:pos="126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the extent an adjustment to the adjusted tax basis of any asset of the Company pursuant to Code Section 734(b) or Section 743(b) is required pursuant to Regulations Section 1.704-1(b)(2)(iv)(m)(4)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the basis of the asset) from the disposition of the asset and shall be taken into account for purposes of computing Net Income or Net Loss; and</w:t>
      </w:r>
    </w:p>
    <w:p>
      <w:pPr>
        <w:spacing w:after="0" w:line="188" w:lineRule="exact"/>
        <w:rPr>
          <w:rFonts w:ascii="Arial" w:cs="Arial" w:eastAsia="Arial" w:hAnsi="Arial"/>
          <w:sz w:val="18"/>
          <w:szCs w:val="18"/>
          <w:color w:val="auto"/>
        </w:rPr>
      </w:pPr>
    </w:p>
    <w:p>
      <w:pPr>
        <w:ind w:left="1300" w:hanging="379"/>
        <w:spacing w:after="0"/>
        <w:tabs>
          <w:tab w:leader="none" w:pos="13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Any items which are specially allocated pursuant to the provisions of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shall not be taken into account in computing Net Income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Net Loss.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New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5.5(c)</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Nonrecourse Deductions</w:t>
      </w:r>
      <w:r>
        <w:rPr>
          <w:rFonts w:ascii="Arial" w:cs="Arial" w:eastAsia="Arial" w:hAnsi="Arial"/>
          <w:sz w:val="18"/>
          <w:szCs w:val="18"/>
          <w:color w:val="auto"/>
        </w:rPr>
        <w:t>” has the meaning set forth in Regulations Section 1.704-2(b)(1) and 1.704-2(c).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Nonrecourse Liability</w:t>
      </w:r>
      <w:r>
        <w:rPr>
          <w:rFonts w:ascii="Arial" w:cs="Arial" w:eastAsia="Arial" w:hAnsi="Arial"/>
          <w:sz w:val="18"/>
          <w:szCs w:val="18"/>
          <w:color w:val="auto"/>
        </w:rPr>
        <w:t>” has the meaning set forth in Regulations Section 1.752-1(a)(2).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6.1(k)(i)</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Offered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Offeror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Officers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Party</w:t>
      </w:r>
      <w:r>
        <w:rPr>
          <w:rFonts w:ascii="Arial" w:cs="Arial" w:eastAsia="Arial" w:hAnsi="Arial"/>
          <w:sz w:val="18"/>
          <w:szCs w:val="18"/>
          <w:color w:val="auto"/>
        </w:rPr>
        <w:t>” means a Person party to this Agreement or who subsequently joins this Agreement by entering into a joinder hereto.</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3" w:right="319" w:bottom="1440" w:gutter="0" w:footer="0" w:header="0"/>
        </w:sectPr>
      </w:pPr>
    </w:p>
    <w:bookmarkStart w:id="324" w:name="page325"/>
    <w:bookmarkEnd w:id="324"/>
    <w:p>
      <w:pPr>
        <w:ind w:right="80" w:firstLine="913"/>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Perceptive Members</w:t>
      </w:r>
      <w:r>
        <w:rPr>
          <w:rFonts w:ascii="Arial" w:cs="Arial" w:eastAsia="Arial" w:hAnsi="Arial"/>
          <w:sz w:val="16"/>
          <w:szCs w:val="16"/>
          <w:color w:val="auto"/>
        </w:rPr>
        <w:t xml:space="preserve">” means Perceptive Life Sciences Master Fund Ltd and Titan Perc LLC, and any of their respective Affiliates that hold Units, it being acknowledged and agreed that for purposes of determining (i) the Major Investors and (ii) the two largest Holders of Junior Preferred Units in </w:t>
      </w:r>
      <w:r>
        <w:rPr>
          <w:rFonts w:ascii="Arial" w:cs="Arial" w:eastAsia="Arial" w:hAnsi="Arial"/>
          <w:sz w:val="16"/>
          <w:szCs w:val="16"/>
          <w:u w:val="single" w:color="auto"/>
          <w:color w:val="auto"/>
        </w:rPr>
        <w:t>Section 6.1(b)(ii)</w:t>
      </w:r>
      <w:r>
        <w:rPr>
          <w:rFonts w:ascii="Arial" w:cs="Arial" w:eastAsia="Arial" w:hAnsi="Arial"/>
          <w:sz w:val="16"/>
          <w:szCs w:val="16"/>
          <w:color w:val="auto"/>
        </w:rPr>
        <w:t>, the Perceptive Members shall collectively be deemed a single Member with their respective Units aggregated in number.</w:t>
      </w:r>
    </w:p>
    <w:p>
      <w:pPr>
        <w:spacing w:after="0" w:line="142" w:lineRule="exact"/>
        <w:rPr>
          <w:sz w:val="20"/>
          <w:szCs w:val="20"/>
          <w:color w:val="auto"/>
        </w:rPr>
      </w:pPr>
    </w:p>
    <w:p>
      <w:pPr>
        <w:ind w:right="300" w:firstLine="91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 natural person, corporation, partnership, limited liability company, trust, joint venture, governmental entity or other entity, association or group.</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Preemptive Rights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Proceeding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QIPO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RA Members</w:t>
      </w:r>
      <w:r>
        <w:rPr>
          <w:rFonts w:ascii="Arial" w:cs="Arial" w:eastAsia="Arial" w:hAnsi="Arial"/>
          <w:sz w:val="16"/>
          <w:szCs w:val="16"/>
          <w:color w:val="auto"/>
        </w:rPr>
        <w:t>” means RA Capital Healthcare Fund, L.P. and Blackwell Partners LLC – Series A, and any of their respective Affiliates that hold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Redemption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Redemption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Regulations</w:t>
      </w:r>
      <w:r>
        <w:rPr>
          <w:rFonts w:ascii="Arial" w:cs="Arial" w:eastAsia="Arial" w:hAnsi="Arial"/>
          <w:sz w:val="18"/>
          <w:szCs w:val="18"/>
          <w:color w:val="auto"/>
        </w:rPr>
        <w:t>” means the Income Tax Regulations promulgated under the Code, as amended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right="140" w:firstLine="91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Senior Preferred Blended Issue Price</w:t>
      </w:r>
      <w:r>
        <w:rPr>
          <w:rFonts w:ascii="Arial" w:cs="Arial" w:eastAsia="Arial" w:hAnsi="Arial"/>
          <w:sz w:val="18"/>
          <w:szCs w:val="18"/>
          <w:color w:val="auto"/>
        </w:rPr>
        <w:t>” means $11.177 per Senior Preferred Unit (as equitably adjusted for Unit splits, distributions of Units, Unit combinations or similar events).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Senior Preferred Manager(s)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6.1(b)(i)</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Senior Preferred Member</w:t>
      </w:r>
      <w:r>
        <w:rPr>
          <w:rFonts w:ascii="Arial" w:cs="Arial" w:eastAsia="Arial" w:hAnsi="Arial"/>
          <w:sz w:val="18"/>
          <w:szCs w:val="18"/>
          <w:color w:val="auto"/>
        </w:rPr>
        <w:t>” means a Series 1 Senior Preferred Member or a Series 2 Senior Preferred Member.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Senior Preferred Purchase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Senior Preferred Unit</w:t>
      </w:r>
      <w:r>
        <w:rPr>
          <w:rFonts w:ascii="Arial" w:cs="Arial" w:eastAsia="Arial" w:hAnsi="Arial"/>
          <w:sz w:val="18"/>
          <w:szCs w:val="18"/>
          <w:color w:val="auto"/>
        </w:rPr>
        <w:t>” means a Series 1 Senior Preferred Unit or a Series 2 Senior Preferred Unit.</w:t>
      </w:r>
    </w:p>
    <w:p>
      <w:pPr>
        <w:spacing w:after="0" w:line="225" w:lineRule="exact"/>
        <w:rPr>
          <w:sz w:val="20"/>
          <w:szCs w:val="20"/>
          <w:color w:val="auto"/>
        </w:rPr>
      </w:pPr>
    </w:p>
    <w:p>
      <w:pPr>
        <w:jc w:val="both"/>
        <w:ind w:right="2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1 Senior Preferred Dividend Amount</w:t>
      </w:r>
      <w:r>
        <w:rPr>
          <w:rFonts w:ascii="Arial" w:cs="Arial" w:eastAsia="Arial" w:hAnsi="Arial"/>
          <w:sz w:val="18"/>
          <w:szCs w:val="18"/>
          <w:color w:val="auto"/>
        </w:rPr>
        <w:t>” means the sum of all dividends (if any) declared by the Board on each Series 1 Senior Preferred Unit at the rate of eight percent (8%) per annum of the Series 1 Senior Preferred Original Issue Price. For the avoidance of doubt, the Board has no obligation to declare any dividend on the Series 1 Senior Preferred Units.</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1 Senior Preferred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325" w:name="page326"/>
    <w:bookmarkEnd w:id="325"/>
    <w:p>
      <w:pPr>
        <w:ind w:right="540"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Series 1 Senior Preferred Original Issue Price</w:t>
      </w:r>
      <w:r>
        <w:rPr>
          <w:rFonts w:ascii="Arial" w:cs="Arial" w:eastAsia="Arial" w:hAnsi="Arial"/>
          <w:sz w:val="18"/>
          <w:szCs w:val="18"/>
          <w:color w:val="auto"/>
        </w:rPr>
        <w:t>” means $10.00 per Series 1 Senior Preferred Unit (as equitably adjusted for Unit splits, distributions of Units, Unit combinations or similar events).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1 Senior Preferred Unit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jc w:val="both"/>
        <w:ind w:right="440" w:firstLine="913"/>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Series 1 Senior Preferred Unreturned Capital</w:t>
      </w:r>
      <w:r>
        <w:rPr>
          <w:rFonts w:ascii="Arial" w:cs="Arial" w:eastAsia="Arial" w:hAnsi="Arial"/>
          <w:sz w:val="16"/>
          <w:szCs w:val="16"/>
          <w:color w:val="auto"/>
        </w:rPr>
        <w:t xml:space="preserve">” means, with respect to a Series 1 Senior Preferred Unit, an amount equal to the Series 1 Senior Preferred Original Issue Price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aggregate amounts distributed with respect to such Series 1 Senior Preferred Unit, prior to the Additional Closing Event, pursuant to </w:t>
      </w:r>
      <w:r>
        <w:rPr>
          <w:rFonts w:ascii="Arial" w:cs="Arial" w:eastAsia="Arial" w:hAnsi="Arial"/>
          <w:sz w:val="16"/>
          <w:szCs w:val="16"/>
          <w:u w:val="single" w:color="auto"/>
          <w:color w:val="auto"/>
        </w:rPr>
        <w:t>Section 8.1(a)(i)</w:t>
      </w:r>
      <w:r>
        <w:rPr>
          <w:rFonts w:ascii="Arial" w:cs="Arial" w:eastAsia="Arial" w:hAnsi="Arial"/>
          <w:sz w:val="16"/>
          <w:szCs w:val="16"/>
          <w:color w:val="auto"/>
        </w:rPr>
        <w:t xml:space="preserve"> and, following the Additional Closing Event, pursuant to </w:t>
      </w:r>
      <w:r>
        <w:rPr>
          <w:rFonts w:ascii="Arial" w:cs="Arial" w:eastAsia="Arial" w:hAnsi="Arial"/>
          <w:sz w:val="16"/>
          <w:szCs w:val="16"/>
          <w:u w:val="single" w:color="auto"/>
          <w:color w:val="auto"/>
        </w:rPr>
        <w:t>Section 8.1(a)(iii)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8.1(a)(iv)</w:t>
      </w:r>
      <w:r>
        <w:rPr>
          <w:rFonts w:ascii="Arial" w:cs="Arial" w:eastAsia="Arial" w:hAnsi="Arial"/>
          <w:sz w:val="16"/>
          <w:szCs w:val="16"/>
          <w:color w:val="auto"/>
        </w:rPr>
        <w:t>.</w:t>
      </w:r>
    </w:p>
    <w:p>
      <w:pPr>
        <w:spacing w:after="0" w:line="142"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2 Senior Preferred Dividend Amount</w:t>
      </w:r>
      <w:r>
        <w:rPr>
          <w:rFonts w:ascii="Arial" w:cs="Arial" w:eastAsia="Arial" w:hAnsi="Arial"/>
          <w:sz w:val="18"/>
          <w:szCs w:val="18"/>
          <w:color w:val="auto"/>
        </w:rPr>
        <w:t>” means the sum of all dividends (if any) declared by the Board on each Series 2 Senior Preferred Unit at the rate of eight percent (8%) per annum of the Series 2 Senior Preferred Original Issue Price. For the avoidance of doubt, the Board has no obligation to declare any dividend on the Series 2 Senior Preferred Units.</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2 Senior Preferred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440" w:firstLine="91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2 Senior Preferred Original Issue Price</w:t>
      </w:r>
      <w:r>
        <w:rPr>
          <w:rFonts w:ascii="Arial" w:cs="Arial" w:eastAsia="Arial" w:hAnsi="Arial"/>
          <w:sz w:val="18"/>
          <w:szCs w:val="18"/>
          <w:color w:val="auto"/>
        </w:rPr>
        <w:t>” means $12.668 per Series 2 Senior Preferred Unit (as equitably adjusted for Unit splits, distributions of Units, Unit combinations or similar events).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2 Senior Preferred Unit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2 Senior Preferred Unreturned Capital</w:t>
      </w:r>
      <w:r>
        <w:rPr>
          <w:rFonts w:ascii="Arial" w:cs="Arial" w:eastAsia="Arial" w:hAnsi="Arial"/>
          <w:sz w:val="18"/>
          <w:szCs w:val="18"/>
          <w:color w:val="auto"/>
        </w:rPr>
        <w:t xml:space="preserve">” means, with respect to a Series 2 Senior Preferred Unit, an amount equal to the Series 2 Senior Preferred Original Issue Price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aggregate amounts distributed with respect to such Series 2 Senior Preferred Unit pursuant to </w:t>
      </w:r>
      <w:r>
        <w:rPr>
          <w:rFonts w:ascii="Arial" w:cs="Arial" w:eastAsia="Arial" w:hAnsi="Arial"/>
          <w:sz w:val="18"/>
          <w:szCs w:val="18"/>
          <w:u w:val="single" w:color="auto"/>
          <w:color w:val="auto"/>
        </w:rPr>
        <w:t>Section 8.1(a)(i)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8.1(a)(ii)</w:t>
      </w:r>
      <w:r>
        <w:rPr>
          <w:rFonts w:ascii="Arial" w:cs="Arial" w:eastAsia="Arial" w:hAnsi="Arial"/>
          <w:sz w:val="18"/>
          <w:szCs w:val="18"/>
          <w:color w:val="auto"/>
        </w:rPr>
        <w:t>.</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A Common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A Common Unit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A Managers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6.1(b)(iii)</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B Common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B Common Unit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B Managers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6.1(b)(iv)</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C Common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C Common Unit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0" w:right="299" w:bottom="1440" w:gutter="0" w:footer="0" w:header="0"/>
        </w:sectPr>
      </w:pPr>
    </w:p>
    <w:bookmarkStart w:id="326" w:name="page327"/>
    <w:bookmarkEnd w:id="32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Series D Common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D Common Unit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Solid GT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Specified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Successor 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Liability Deficiency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Matters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Third Party Purchaser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 means, with respect to any Units, (a) when used as a verb, to sell, assign, dispose of, exchange, pledge, encumber, hypothecate or otherwise transfer such Units or any participation, rights or interest therein, whether directly or indirectly, or agree or commit to do any of the foregoing and</w:t>
      </w:r>
    </w:p>
    <w:p>
      <w:pPr>
        <w:spacing w:after="0" w:line="1" w:lineRule="exact"/>
        <w:rPr>
          <w:sz w:val="20"/>
          <w:szCs w:val="20"/>
          <w:color w:val="auto"/>
        </w:rPr>
      </w:pPr>
    </w:p>
    <w:p>
      <w:pPr>
        <w:ind w:right="180" w:firstLine="8"/>
        <w:spacing w:after="0" w:line="261" w:lineRule="auto"/>
        <w:tabs>
          <w:tab w:leader="none" w:pos="25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when used as a noun, a direct or indirect sale, assignment, disposition, exchange, pledge, encumbrance, hypothecation or other transfer of such Units or any participation, rights or interest therein, or any agreement or commitment to do any of the foregoing.</w:t>
      </w:r>
    </w:p>
    <w:p>
      <w:pPr>
        <w:spacing w:after="0" w:line="180" w:lineRule="exact"/>
        <w:rPr>
          <w:sz w:val="20"/>
          <w:szCs w:val="20"/>
          <w:color w:val="auto"/>
        </w:rPr>
      </w:pPr>
    </w:p>
    <w:p>
      <w:pPr>
        <w:ind w:firstLine="91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Units</w:t>
      </w:r>
      <w:r>
        <w:rPr>
          <w:rFonts w:ascii="Arial" w:cs="Arial" w:eastAsia="Arial" w:hAnsi="Arial"/>
          <w:sz w:val="17"/>
          <w:szCs w:val="17"/>
          <w:color w:val="auto"/>
        </w:rPr>
        <w:t>” means limited liability company interests of the Members in the Company, represented by the Series 1 Senior Preferred Units, the Series 2 Senior Preferred Units, the Junior Preferred Units, the Series A Common Units, the Series B Common Units, the Series C Common Units, the Series D Common Units, and any other class or series of interest in the Company subsequently issued in accordance with this Agreement.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Voting Majority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Voting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Winding Up Year</w:t>
      </w:r>
      <w:r>
        <w:rPr>
          <w:rFonts w:ascii="Arial" w:cs="Arial" w:eastAsia="Arial" w:hAnsi="Arial"/>
          <w:sz w:val="18"/>
          <w:szCs w:val="18"/>
          <w:color w:val="auto"/>
        </w:rPr>
        <w:t xml:space="preserve">” means the fiscal year in which an event described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occurs, and each succeeding fiscal year, provided that if an event described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occurs after the last day of a fiscal year but before the due date of the Company’s federal income tax return (determined without regard to extensions) for such fiscal year, the fiscal year preceding the fiscal year in which an event described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occurs shall be a Winding Up Year.</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Zarur</w:t>
      </w:r>
      <w:r>
        <w:rPr>
          <w:rFonts w:ascii="Arial" w:cs="Arial" w:eastAsia="Arial" w:hAnsi="Arial"/>
          <w:sz w:val="18"/>
          <w:szCs w:val="18"/>
          <w:color w:val="auto"/>
        </w:rPr>
        <w:t>” has the meaning set forth in the recitals to this Agreement.</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Unless otherwise expressly provided, for purposes of this Agreement, the following rules of interpretation shall apply:</w:t>
      </w:r>
    </w:p>
    <w:p>
      <w:pPr>
        <w:spacing w:after="0" w:line="170" w:lineRule="exact"/>
        <w:rPr>
          <w:sz w:val="20"/>
          <w:szCs w:val="20"/>
          <w:color w:val="auto"/>
        </w:rPr>
      </w:pPr>
    </w:p>
    <w:p>
      <w:pPr>
        <w:ind w:right="260" w:firstLine="921"/>
        <w:spacing w:after="0" w:line="264" w:lineRule="auto"/>
        <w:tabs>
          <w:tab w:leader="none" w:pos="1293"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Calculation of Time Period</w:t>
      </w:r>
      <w:r>
        <w:rPr>
          <w:rFonts w:ascii="Arial" w:cs="Arial" w:eastAsia="Arial" w:hAnsi="Arial"/>
          <w:sz w:val="18"/>
          <w:szCs w:val="18"/>
          <w:color w:val="auto"/>
        </w:rPr>
        <w:t>.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327" w:name="page328"/>
    <w:bookmarkEnd w:id="327"/>
    <w:p>
      <w:pPr>
        <w:ind w:left="1320" w:hanging="399"/>
        <w:spacing w:after="0"/>
        <w:tabs>
          <w:tab w:leader="none" w:pos="132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Dollars</w:t>
      </w:r>
      <w:r>
        <w:rPr>
          <w:rFonts w:ascii="Arial" w:cs="Arial" w:eastAsia="Arial" w:hAnsi="Arial"/>
          <w:sz w:val="18"/>
          <w:szCs w:val="18"/>
          <w:color w:val="auto"/>
        </w:rPr>
        <w:t>. Any reference in this Agreement to $ shall mean U.S. dollars.</w:t>
      </w:r>
    </w:p>
    <w:p>
      <w:pPr>
        <w:spacing w:after="0" w:line="225" w:lineRule="exact"/>
        <w:rPr>
          <w:rFonts w:ascii="Arial" w:cs="Arial" w:eastAsia="Arial" w:hAnsi="Arial"/>
          <w:sz w:val="18"/>
          <w:szCs w:val="18"/>
          <w:color w:val="auto"/>
        </w:rPr>
      </w:pPr>
    </w:p>
    <w:p>
      <w:pPr>
        <w:ind w:right="240" w:firstLine="921"/>
        <w:spacing w:after="0" w:line="277" w:lineRule="auto"/>
        <w:tabs>
          <w:tab w:leader="none" w:pos="1293"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Any reference in this Agreement to gender shall include all genders, and words imparting the singular number only shall include the plural and vice versa, unless the context otherwise requires.</w:t>
      </w:r>
    </w:p>
    <w:p>
      <w:pPr>
        <w:spacing w:after="0" w:line="170" w:lineRule="exact"/>
        <w:rPr>
          <w:rFonts w:ascii="Arial" w:cs="Arial" w:eastAsia="Arial" w:hAnsi="Arial"/>
          <w:sz w:val="18"/>
          <w:szCs w:val="18"/>
          <w:color w:val="auto"/>
        </w:rPr>
      </w:pPr>
    </w:p>
    <w:p>
      <w:pPr>
        <w:ind w:right="220" w:firstLine="921"/>
        <w:spacing w:after="0" w:line="264" w:lineRule="auto"/>
        <w:tabs>
          <w:tab w:leader="none" w:pos="1303"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“Section” are to the corresponding Section of this Agreement unless otherwise specified.</w:t>
      </w:r>
    </w:p>
    <w:p>
      <w:pPr>
        <w:spacing w:after="0" w:line="181" w:lineRule="exact"/>
        <w:rPr>
          <w:rFonts w:ascii="Arial" w:cs="Arial" w:eastAsia="Arial" w:hAnsi="Arial"/>
          <w:sz w:val="18"/>
          <w:szCs w:val="18"/>
          <w:color w:val="auto"/>
        </w:rPr>
      </w:pPr>
    </w:p>
    <w:p>
      <w:pPr>
        <w:ind w:firstLine="921"/>
        <w:spacing w:after="0" w:line="277" w:lineRule="auto"/>
        <w:tabs>
          <w:tab w:leader="none" w:pos="1293"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Herein</w:t>
      </w:r>
      <w:r>
        <w:rPr>
          <w:rFonts w:ascii="Arial" w:cs="Arial" w:eastAsia="Arial" w:hAnsi="Arial"/>
          <w:sz w:val="18"/>
          <w:szCs w:val="18"/>
          <w:color w:val="auto"/>
        </w:rPr>
        <w:t>. Words such as “herein,” “hereinafter,” “hereof,” and “hereunder” refer to this Agreement as a whole and not merely to a subdivision in which such words appear, unless the context otherwise requires.</w:t>
      </w:r>
    </w:p>
    <w:p>
      <w:pPr>
        <w:spacing w:after="0" w:line="170" w:lineRule="exact"/>
        <w:rPr>
          <w:rFonts w:ascii="Arial" w:cs="Arial" w:eastAsia="Arial" w:hAnsi="Arial"/>
          <w:sz w:val="18"/>
          <w:szCs w:val="18"/>
          <w:color w:val="auto"/>
        </w:rPr>
      </w:pPr>
    </w:p>
    <w:p>
      <w:pPr>
        <w:ind w:right="440" w:firstLine="921"/>
        <w:spacing w:after="0" w:line="277" w:lineRule="auto"/>
        <w:tabs>
          <w:tab w:leader="none" w:pos="1273"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Including</w:t>
      </w:r>
      <w:r>
        <w:rPr>
          <w:rFonts w:ascii="Arial" w:cs="Arial" w:eastAsia="Arial" w:hAnsi="Arial"/>
          <w:sz w:val="18"/>
          <w:szCs w:val="18"/>
          <w:color w:val="auto"/>
        </w:rPr>
        <w:t>. The word “including” or any variation thereof means “including, without limitation” and shall not be construed to limit any general statement that it follows to the specific or similar items or matters immediately following it.</w:t>
      </w:r>
    </w:p>
    <w:p>
      <w:pPr>
        <w:spacing w:after="0" w:line="170" w:lineRule="exact"/>
        <w:rPr>
          <w:rFonts w:ascii="Arial" w:cs="Arial" w:eastAsia="Arial" w:hAnsi="Arial"/>
          <w:sz w:val="18"/>
          <w:szCs w:val="18"/>
          <w:color w:val="auto"/>
        </w:rPr>
      </w:pPr>
    </w:p>
    <w:p>
      <w:pPr>
        <w:ind w:right="20" w:firstLine="921"/>
        <w:spacing w:after="0" w:line="264" w:lineRule="auto"/>
        <w:tabs>
          <w:tab w:leader="none" w:pos="1303"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Joint Drafting</w:t>
      </w:r>
      <w:r>
        <w:rPr>
          <w:rFonts w:ascii="Arial" w:cs="Arial" w:eastAsia="Arial" w:hAnsi="Arial"/>
          <w:sz w:val="18"/>
          <w:szCs w:val="18"/>
          <w:color w:val="auto"/>
        </w:rPr>
        <w:t>.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ORGANIZATION, PURPOSE AND POWERS</w:t>
      </w:r>
    </w:p>
    <w:p>
      <w:pPr>
        <w:spacing w:after="0" w:line="229"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Name</w:t>
      </w:r>
      <w:r>
        <w:rPr>
          <w:rFonts w:ascii="Arial" w:cs="Arial" w:eastAsia="Arial" w:hAnsi="Arial"/>
          <w:sz w:val="16"/>
          <w:szCs w:val="16"/>
          <w:color w:val="auto"/>
        </w:rPr>
        <w:t>. The name of the Company is Solid Biosciences, LLC.</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Certificate of Formation</w:t>
      </w:r>
      <w:r>
        <w:rPr>
          <w:rFonts w:ascii="Arial" w:cs="Arial" w:eastAsia="Arial" w:hAnsi="Arial"/>
          <w:sz w:val="18"/>
          <w:szCs w:val="18"/>
          <w:color w:val="auto"/>
        </w:rPr>
        <w:t>. The Company was formed under the Act by the filing of the Certificate of Formation of the Company with the Secretary of State of the State of Delaware on March 4, 2013, under the name SOLID Ventures Management, LLC.</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Purpose</w:t>
      </w:r>
      <w:r>
        <w:rPr>
          <w:rFonts w:ascii="Arial" w:cs="Arial" w:eastAsia="Arial" w:hAnsi="Arial"/>
          <w:sz w:val="18"/>
          <w:szCs w:val="18"/>
          <w:color w:val="auto"/>
        </w:rPr>
        <w:t>. The Company is formed for the object and purpose of, and the nature of the business to be conducted and promoted by the Company is, engaging in the business of research into Duchenne Muscular Dystrophy, drug development and treatments in connection therewith, including gene therapy, and any business related thereto or useful in connection therewith as may be determined in good faith by the Board from time to time in accordance with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3" w:right="259" w:bottom="1440" w:gutter="0" w:footer="0" w:header="0"/>
        </w:sectPr>
      </w:pPr>
    </w:p>
    <w:bookmarkStart w:id="328" w:name="page329"/>
    <w:bookmarkEnd w:id="328"/>
    <w:p>
      <w:pPr>
        <w:ind w:right="5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2.4. </w:t>
      </w:r>
      <w:r>
        <w:rPr>
          <w:rFonts w:ascii="Arial" w:cs="Arial" w:eastAsia="Arial" w:hAnsi="Arial"/>
          <w:sz w:val="18"/>
          <w:szCs w:val="18"/>
          <w:u w:val="single" w:color="auto"/>
          <w:color w:val="auto"/>
        </w:rPr>
        <w:t>Powers</w:t>
      </w:r>
      <w:r>
        <w:rPr>
          <w:rFonts w:ascii="Arial" w:cs="Arial" w:eastAsia="Arial" w:hAnsi="Arial"/>
          <w:sz w:val="18"/>
          <w:szCs w:val="18"/>
          <w:color w:val="auto"/>
        </w:rPr>
        <w:t>. Subject to the terms of this Agreement, the Company shall have the authority and power to engage in all lawful business, activities and purposes permitted under the Act.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place of business and office of the Company shall be located at, and the Company’s business shall be conducted from, such place or places as may hereafter be determined by the Board.</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address of the registered office of the Company in the State of Delaware is Corporation Trust Center, 1209 Orange Street, Wilmington, Delaware 19801, County of New Castle.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Registered Agent</w:t>
      </w:r>
      <w:r>
        <w:rPr>
          <w:rFonts w:ascii="Arial" w:cs="Arial" w:eastAsia="Arial" w:hAnsi="Arial"/>
          <w:sz w:val="18"/>
          <w:szCs w:val="18"/>
          <w:color w:val="auto"/>
        </w:rPr>
        <w:t>. The name and address of the registered agent of the Company for service of process on the Company in the State of Delaware are The Corporation Trust Company, Corporation Trust Center, 1209 Orange Street, Wilmington, Delaware 19801.</w:t>
      </w:r>
    </w:p>
    <w:p>
      <w:pPr>
        <w:spacing w:after="0" w:line="17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Qualification in Other Jurisdictions</w:t>
      </w:r>
      <w:r>
        <w:rPr>
          <w:rFonts w:ascii="Arial" w:cs="Arial" w:eastAsia="Arial" w:hAnsi="Arial"/>
          <w:sz w:val="18"/>
          <w:szCs w:val="18"/>
          <w:color w:val="auto"/>
        </w:rPr>
        <w:t>. The Company shall register or qualify under its own name or under an assumed or fictitious name pursuant to a foreign limited liability company statute or similar laws in any jurisdictions in which the Company owns property or transacts business if such registration or qualification is necessary to protect the limited liability of the Members or to permit the Company lawfully to own property or transact business in such jurisdiction. Any Officer is authorized to execute, deliver and file any certificates (and any amendments and/or restatements thereof) necessary for the Company to register or qualify as provided in the foregoing sentence.</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Term</w:t>
      </w:r>
      <w:r>
        <w:rPr>
          <w:rFonts w:ascii="Arial" w:cs="Arial" w:eastAsia="Arial" w:hAnsi="Arial"/>
          <w:sz w:val="18"/>
          <w:szCs w:val="18"/>
          <w:color w:val="auto"/>
        </w:rPr>
        <w:t>. The term of the Company commenced on the date of filing of the Certificate of Formation of the Company on March 4, 2013, in accordance with the Act and shall continue until dissolution of the Company in accordance with Article X of this Agreement.</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Limited Liability</w:t>
      </w:r>
      <w:r>
        <w:rPr>
          <w:rFonts w:ascii="Arial" w:cs="Arial" w:eastAsia="Arial" w:hAnsi="Arial"/>
          <w:sz w:val="18"/>
          <w:szCs w:val="18"/>
          <w:color w:val="auto"/>
        </w:rPr>
        <w:t>. Except as otherwise expressly provided by the Act, the debts, obligations and liabilities of the Company, whether arising in contract, tort or otherwise, shall be solely the debts, obligations and liabilities of the Company, and none of the Members, Managers, Officers, employees or agents of the Company (including a Person having more than one such capacity) shall be obligated personally for any such debt, obligation or liability of the Company solely by reason of acting in such capacity.</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No Right to Withdraw</w:t>
      </w:r>
      <w:r>
        <w:rPr>
          <w:rFonts w:ascii="Arial" w:cs="Arial" w:eastAsia="Arial" w:hAnsi="Arial"/>
          <w:sz w:val="18"/>
          <w:szCs w:val="18"/>
          <w:color w:val="auto"/>
        </w:rPr>
        <w:t>. Except as set forth in Article V with respect to Transfers of Units or as a result of a redemption of Units pursuant to Section 3.8, no Member shall have any right to resign or withdraw from the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CAPITALIZATION AND CAPITAL CONTRIBUTIONS</w:t>
      </w:r>
    </w:p>
    <w:p>
      <w:pPr>
        <w:spacing w:after="0" w:line="2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Capital Contributions and Units</w:t>
      </w:r>
      <w:r>
        <w:rPr>
          <w:rFonts w:ascii="Arial" w:cs="Arial" w:eastAsia="Arial" w:hAnsi="Arial"/>
          <w:sz w:val="18"/>
          <w:szCs w:val="18"/>
          <w:color w:val="auto"/>
        </w:rPr>
        <w:t>. The Members and their respective Capital Contributions and Units shall be set forth on the List of Members.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329" w:name="page330"/>
    <w:bookmarkEnd w:id="329"/>
    <w:p>
      <w:pPr>
        <w:ind w:right="6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3.2. </w:t>
      </w:r>
      <w:r>
        <w:rPr>
          <w:rFonts w:ascii="Arial" w:cs="Arial" w:eastAsia="Arial" w:hAnsi="Arial"/>
          <w:sz w:val="18"/>
          <w:szCs w:val="18"/>
          <w:u w:val="single" w:color="auto"/>
          <w:color w:val="auto"/>
        </w:rPr>
        <w:t>Additional Contributions</w:t>
      </w:r>
      <w:r>
        <w:rPr>
          <w:rFonts w:ascii="Arial" w:cs="Arial" w:eastAsia="Arial" w:hAnsi="Arial"/>
          <w:sz w:val="18"/>
          <w:szCs w:val="18"/>
          <w:color w:val="auto"/>
        </w:rPr>
        <w:t>. No Member is required, under any circumstances, to make any additional Capital Contributions to the Company. The provisions of this Agreement, including this Section 3.2, are intended to benefit the Members and, to the fullest extent permitted by law, shall not be construed as conferring any benefit upon any creditor of the Company (and no such creditor of the Company shall be a third-party beneficiary of this Agreement), and the Members shall not have any duty or obligation to any creditor of the Company to make any contribution to the Company or to issue any call for capital pursuant to this Agreement.</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Capital Accounts</w:t>
      </w:r>
      <w:r>
        <w:rPr>
          <w:rFonts w:ascii="Arial" w:cs="Arial" w:eastAsia="Arial" w:hAnsi="Arial"/>
          <w:sz w:val="17"/>
          <w:szCs w:val="17"/>
          <w:color w:val="auto"/>
        </w:rPr>
        <w:t>. With respect to each Member, a capital account shall be maintained on the books of the Company in accordance with Regulations Section 1.704-1(b)(2)(iv) (a “</w:t>
      </w:r>
      <w:r>
        <w:rPr>
          <w:rFonts w:ascii="Arial" w:cs="Arial" w:eastAsia="Arial" w:hAnsi="Arial"/>
          <w:sz w:val="17"/>
          <w:szCs w:val="17"/>
          <w:b w:val="1"/>
          <w:bCs w:val="1"/>
          <w:color w:val="auto"/>
        </w:rPr>
        <w:t>Capital Account</w:t>
      </w:r>
      <w:r>
        <w:rPr>
          <w:rFonts w:ascii="Arial" w:cs="Arial" w:eastAsia="Arial" w:hAnsi="Arial"/>
          <w:sz w:val="17"/>
          <w:szCs w:val="17"/>
          <w:color w:val="auto"/>
        </w:rPr>
        <w:t>”). Each Capital Account shall be adjusted to reflect such Member’s share of allocations and distributions as provided in Articles VII, VIII and X of this Agreement, and any additional Capital Contributions to the Company or withdrawals of capital from the Company, including, in such adjustments, the consequences of liabilities assumed, or which are secured by property contributed or distributed, and taking into account Code Section 752(c) and any other applicable provision of the Code and related Regulations. Such Capital Account maintenance provisions, together with the other provisions of this Agreement, are intended to and shall further be interpreted and adjusted to comply with the Regulations under Code Section 704(b), and in particular with Regulations Section 1.704-1(b), as determined in good faith by the Board of Managers. Members will have no obligation to restore any negative balance in their respective Capital Accounts at any time during the term of the Company or upon dissolution and liquidation. Except as otherwise provided in the Regulations, a transferee of all or a portion of a Member’s Units shall succeed to the Capital Account of the transferor to the extent allocable to the transferred Units.</w:t>
      </w:r>
    </w:p>
    <w:p>
      <w:pPr>
        <w:spacing w:after="0" w:line="286"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7"/>
          <w:szCs w:val="17"/>
          <w:u w:val="single" w:color="auto"/>
          <w:color w:val="auto"/>
        </w:rPr>
        <w:t>Units</w:t>
      </w:r>
      <w:r>
        <w:rPr>
          <w:rFonts w:ascii="Arial" w:cs="Arial" w:eastAsia="Arial" w:hAnsi="Arial"/>
          <w:sz w:val="17"/>
          <w:szCs w:val="17"/>
          <w:color w:val="auto"/>
        </w:rPr>
        <w:t>.</w:t>
      </w:r>
    </w:p>
    <w:p>
      <w:pPr>
        <w:spacing w:after="0" w:line="117" w:lineRule="exact"/>
        <w:rPr>
          <w:sz w:val="20"/>
          <w:szCs w:val="20"/>
          <w:color w:val="auto"/>
        </w:rPr>
      </w:pPr>
    </w:p>
    <w:p>
      <w:pPr>
        <w:ind w:firstLine="921"/>
        <w:spacing w:after="0" w:line="270" w:lineRule="auto"/>
        <w:tabs>
          <w:tab w:leader="none" w:pos="1293"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Units Generally</w:t>
      </w:r>
      <w:r>
        <w:rPr>
          <w:rFonts w:ascii="Arial" w:cs="Arial" w:eastAsia="Arial" w:hAnsi="Arial"/>
          <w:sz w:val="17"/>
          <w:szCs w:val="17"/>
          <w:color w:val="auto"/>
        </w:rPr>
        <w:t xml:space="preserve">. Each Member’s limited liability company interests in the Company shall be represented by Units. Subject to </w:t>
      </w:r>
      <w:r>
        <w:rPr>
          <w:rFonts w:ascii="Arial" w:cs="Arial" w:eastAsia="Arial" w:hAnsi="Arial"/>
          <w:sz w:val="17"/>
          <w:szCs w:val="17"/>
          <w:u w:val="single" w:color="auto"/>
          <w:color w:val="auto"/>
        </w:rPr>
        <w:t>Section 3.5</w:t>
      </w:r>
      <w:r>
        <w:rPr>
          <w:rFonts w:ascii="Arial" w:cs="Arial" w:eastAsia="Arial" w:hAnsi="Arial"/>
          <w:sz w:val="17"/>
          <w:szCs w:val="17"/>
          <w:color w:val="auto"/>
        </w:rPr>
        <w:t>, the total number of Units that the Company shall have authority to issue is 29,077,295 Units, classified as: (i) 2,500,000 Series 1 Senior Preferred Units (the “</w:t>
      </w:r>
      <w:r>
        <w:rPr>
          <w:rFonts w:ascii="Arial" w:cs="Arial" w:eastAsia="Arial" w:hAnsi="Arial"/>
          <w:sz w:val="17"/>
          <w:szCs w:val="17"/>
          <w:b w:val="1"/>
          <w:bCs w:val="1"/>
          <w:u w:val="single" w:color="auto"/>
          <w:color w:val="auto"/>
        </w:rPr>
        <w:t>Series 1 Senior Preferred Units</w:t>
      </w:r>
      <w:r>
        <w:rPr>
          <w:rFonts w:ascii="Arial" w:cs="Arial" w:eastAsia="Arial" w:hAnsi="Arial"/>
          <w:sz w:val="17"/>
          <w:szCs w:val="17"/>
          <w:color w:val="auto"/>
        </w:rPr>
        <w:t>” and the Holders thereof, the “</w:t>
      </w:r>
      <w:r>
        <w:rPr>
          <w:rFonts w:ascii="Arial" w:cs="Arial" w:eastAsia="Arial" w:hAnsi="Arial"/>
          <w:sz w:val="17"/>
          <w:szCs w:val="17"/>
          <w:b w:val="1"/>
          <w:bCs w:val="1"/>
          <w:u w:val="single" w:color="auto"/>
          <w:color w:val="auto"/>
        </w:rPr>
        <w:t>Series 1 Senior Preferred Members</w:t>
      </w:r>
      <w:r>
        <w:rPr>
          <w:rFonts w:ascii="Arial" w:cs="Arial" w:eastAsia="Arial" w:hAnsi="Arial"/>
          <w:sz w:val="17"/>
          <w:szCs w:val="17"/>
          <w:color w:val="auto"/>
        </w:rPr>
        <w:t>”); (ii) 1,973,430 Series 2 Senior Preferred Units (the “</w:t>
      </w:r>
      <w:r>
        <w:rPr>
          <w:rFonts w:ascii="Arial" w:cs="Arial" w:eastAsia="Arial" w:hAnsi="Arial"/>
          <w:sz w:val="17"/>
          <w:szCs w:val="17"/>
          <w:b w:val="1"/>
          <w:bCs w:val="1"/>
          <w:u w:val="single" w:color="auto"/>
          <w:color w:val="auto"/>
        </w:rPr>
        <w:t>Series 2 Senior Preferred Units</w:t>
      </w:r>
      <w:r>
        <w:rPr>
          <w:rFonts w:ascii="Arial" w:cs="Arial" w:eastAsia="Arial" w:hAnsi="Arial"/>
          <w:sz w:val="17"/>
          <w:szCs w:val="17"/>
          <w:color w:val="auto"/>
        </w:rPr>
        <w:t>” and the Holders thereof, the “</w:t>
      </w:r>
      <w:r>
        <w:rPr>
          <w:rFonts w:ascii="Arial" w:cs="Arial" w:eastAsia="Arial" w:hAnsi="Arial"/>
          <w:sz w:val="17"/>
          <w:szCs w:val="17"/>
          <w:b w:val="1"/>
          <w:bCs w:val="1"/>
          <w:u w:val="single" w:color="auto"/>
          <w:color w:val="auto"/>
        </w:rPr>
        <w:t>Series 2 Senior Preferred Members</w:t>
      </w:r>
      <w:r>
        <w:rPr>
          <w:rFonts w:ascii="Arial" w:cs="Arial" w:eastAsia="Arial" w:hAnsi="Arial"/>
          <w:sz w:val="17"/>
          <w:szCs w:val="17"/>
          <w:color w:val="auto"/>
        </w:rPr>
        <w:t>”); (iii) 4,414,356 Junior Preferred Units (the “</w:t>
      </w:r>
      <w:r>
        <w:rPr>
          <w:rFonts w:ascii="Arial" w:cs="Arial" w:eastAsia="Arial" w:hAnsi="Arial"/>
          <w:sz w:val="17"/>
          <w:szCs w:val="17"/>
          <w:b w:val="1"/>
          <w:bCs w:val="1"/>
          <w:u w:val="single" w:color="auto"/>
          <w:color w:val="auto"/>
        </w:rPr>
        <w:t>Junior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Preferred Units</w:t>
      </w:r>
      <w:r>
        <w:rPr>
          <w:rFonts w:ascii="Arial" w:cs="Arial" w:eastAsia="Arial" w:hAnsi="Arial"/>
          <w:sz w:val="17"/>
          <w:szCs w:val="17"/>
          <w:color w:val="auto"/>
        </w:rPr>
        <w:t>” and the Holders thereof, the “</w:t>
      </w:r>
      <w:r>
        <w:rPr>
          <w:rFonts w:ascii="Arial" w:cs="Arial" w:eastAsia="Arial" w:hAnsi="Arial"/>
          <w:sz w:val="17"/>
          <w:szCs w:val="17"/>
          <w:b w:val="1"/>
          <w:bCs w:val="1"/>
          <w:u w:val="single" w:color="auto"/>
          <w:color w:val="auto"/>
        </w:rPr>
        <w:t>Junior Preferred Members</w:t>
      </w:r>
      <w:r>
        <w:rPr>
          <w:rFonts w:ascii="Arial" w:cs="Arial" w:eastAsia="Arial" w:hAnsi="Arial"/>
          <w:sz w:val="17"/>
          <w:szCs w:val="17"/>
          <w:color w:val="auto"/>
        </w:rPr>
        <w:t>”); (iv) 12,219,299 Series A Common Units (the “</w:t>
      </w:r>
      <w:r>
        <w:rPr>
          <w:rFonts w:ascii="Arial" w:cs="Arial" w:eastAsia="Arial" w:hAnsi="Arial"/>
          <w:sz w:val="17"/>
          <w:szCs w:val="17"/>
          <w:b w:val="1"/>
          <w:bCs w:val="1"/>
          <w:u w:val="single" w:color="auto"/>
          <w:color w:val="auto"/>
        </w:rPr>
        <w:t>Series A Common Units</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thereof, the “</w:t>
      </w:r>
      <w:r>
        <w:rPr>
          <w:rFonts w:ascii="Arial" w:cs="Arial" w:eastAsia="Arial" w:hAnsi="Arial"/>
          <w:sz w:val="17"/>
          <w:szCs w:val="17"/>
          <w:b w:val="1"/>
          <w:bCs w:val="1"/>
          <w:u w:val="single" w:color="auto"/>
          <w:color w:val="auto"/>
        </w:rPr>
        <w:t>Series A Common Members</w:t>
      </w:r>
      <w:r>
        <w:rPr>
          <w:rFonts w:ascii="Arial" w:cs="Arial" w:eastAsia="Arial" w:hAnsi="Arial"/>
          <w:sz w:val="17"/>
          <w:szCs w:val="17"/>
          <w:color w:val="auto"/>
        </w:rPr>
        <w:t>”); (v) 3,258,480 Series B Common Units (the “</w:t>
      </w:r>
      <w:r>
        <w:rPr>
          <w:rFonts w:ascii="Arial" w:cs="Arial" w:eastAsia="Arial" w:hAnsi="Arial"/>
          <w:sz w:val="17"/>
          <w:szCs w:val="17"/>
          <w:b w:val="1"/>
          <w:bCs w:val="1"/>
          <w:u w:val="single" w:color="auto"/>
          <w:color w:val="auto"/>
        </w:rPr>
        <w:t>Series B Common Units</w:t>
      </w:r>
      <w:r>
        <w:rPr>
          <w:rFonts w:ascii="Arial" w:cs="Arial" w:eastAsia="Arial" w:hAnsi="Arial"/>
          <w:sz w:val="17"/>
          <w:szCs w:val="17"/>
          <w:color w:val="auto"/>
        </w:rPr>
        <w:t>” and the Holders thereof, the “</w:t>
      </w:r>
      <w:r>
        <w:rPr>
          <w:rFonts w:ascii="Arial" w:cs="Arial" w:eastAsia="Arial" w:hAnsi="Arial"/>
          <w:sz w:val="17"/>
          <w:szCs w:val="17"/>
          <w:b w:val="1"/>
          <w:bCs w:val="1"/>
          <w:u w:val="single" w:color="auto"/>
          <w:color w:val="auto"/>
        </w:rPr>
        <w:t>Series B Common Members</w:t>
      </w:r>
      <w:r>
        <w:rPr>
          <w:rFonts w:ascii="Arial" w:cs="Arial" w:eastAsia="Arial" w:hAnsi="Arial"/>
          <w:sz w:val="17"/>
          <w:szCs w:val="17"/>
          <w:color w:val="auto"/>
        </w:rPr>
        <w:t>”); (vi) 1,635,916 Series C Common Units (the “</w:t>
      </w:r>
      <w:r>
        <w:rPr>
          <w:rFonts w:ascii="Arial" w:cs="Arial" w:eastAsia="Arial" w:hAnsi="Arial"/>
          <w:sz w:val="17"/>
          <w:szCs w:val="17"/>
          <w:b w:val="1"/>
          <w:bCs w:val="1"/>
          <w:u w:val="single" w:color="auto"/>
          <w:color w:val="auto"/>
        </w:rPr>
        <w:t>Series C Common Units</w:t>
      </w:r>
      <w:r>
        <w:rPr>
          <w:rFonts w:ascii="Arial" w:cs="Arial" w:eastAsia="Arial" w:hAnsi="Arial"/>
          <w:sz w:val="17"/>
          <w:szCs w:val="17"/>
          <w:color w:val="auto"/>
        </w:rPr>
        <w:t>” and the Holders thereof, the “</w:t>
      </w:r>
      <w:r>
        <w:rPr>
          <w:rFonts w:ascii="Arial" w:cs="Arial" w:eastAsia="Arial" w:hAnsi="Arial"/>
          <w:sz w:val="17"/>
          <w:szCs w:val="17"/>
          <w:b w:val="1"/>
          <w:bCs w:val="1"/>
          <w:u w:val="single" w:color="auto"/>
          <w:color w:val="auto"/>
        </w:rPr>
        <w:t>Series C</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Common Members</w:t>
      </w:r>
      <w:r>
        <w:rPr>
          <w:rFonts w:ascii="Arial" w:cs="Arial" w:eastAsia="Arial" w:hAnsi="Arial"/>
          <w:sz w:val="17"/>
          <w:szCs w:val="17"/>
          <w:color w:val="auto"/>
        </w:rPr>
        <w:t>”) and (vii) 3,075,814 Series D Common Units (the “</w:t>
      </w:r>
      <w:r>
        <w:rPr>
          <w:rFonts w:ascii="Arial" w:cs="Arial" w:eastAsia="Arial" w:hAnsi="Arial"/>
          <w:sz w:val="17"/>
          <w:szCs w:val="17"/>
          <w:b w:val="1"/>
          <w:bCs w:val="1"/>
          <w:u w:val="single" w:color="auto"/>
          <w:color w:val="auto"/>
        </w:rPr>
        <w:t>Series D Common Units</w:t>
      </w:r>
      <w:r>
        <w:rPr>
          <w:rFonts w:ascii="Arial" w:cs="Arial" w:eastAsia="Arial" w:hAnsi="Arial"/>
          <w:sz w:val="17"/>
          <w:szCs w:val="17"/>
          <w:color w:val="auto"/>
        </w:rPr>
        <w:t>” and the Holders thereof, the “</w:t>
      </w:r>
      <w:r>
        <w:rPr>
          <w:rFonts w:ascii="Arial" w:cs="Arial" w:eastAsia="Arial" w:hAnsi="Arial"/>
          <w:sz w:val="17"/>
          <w:szCs w:val="17"/>
          <w:b w:val="1"/>
          <w:bCs w:val="1"/>
          <w:u w:val="single" w:color="auto"/>
          <w:color w:val="auto"/>
        </w:rPr>
        <w:t>Series D Common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Members</w:t>
      </w:r>
      <w:r>
        <w:rPr>
          <w:rFonts w:ascii="Arial" w:cs="Arial" w:eastAsia="Arial" w:hAnsi="Arial"/>
          <w:sz w:val="17"/>
          <w:szCs w:val="17"/>
          <w:color w:val="auto"/>
        </w:rPr>
        <w:t>”). The number of Units issued to each Member as of the date of this Agreement is set forth opposite its name on the List of Members. Unless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determined by the Board, the Units do not need to be certificated.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330" w:name="page331"/>
    <w:bookmarkEnd w:id="330"/>
    <w:p>
      <w:pPr>
        <w:ind w:right="380" w:firstLine="921"/>
        <w:spacing w:after="0" w:line="277" w:lineRule="auto"/>
        <w:tabs>
          <w:tab w:leader="none" w:pos="1303"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Profits Interests</w:t>
      </w:r>
      <w:r>
        <w:rPr>
          <w:rFonts w:ascii="Arial" w:cs="Arial" w:eastAsia="Arial" w:hAnsi="Arial"/>
          <w:sz w:val="18"/>
          <w:szCs w:val="18"/>
          <w:color w:val="auto"/>
        </w:rPr>
        <w:t xml:space="preserve">. Series D Common Units may be designated as “profits interests,” as determined by the Board, and be made subject to limitations on distributions as set forth in </w:t>
      </w:r>
      <w:r>
        <w:rPr>
          <w:rFonts w:ascii="Arial" w:cs="Arial" w:eastAsia="Arial" w:hAnsi="Arial"/>
          <w:sz w:val="18"/>
          <w:szCs w:val="18"/>
          <w:u w:val="single" w:color="auto"/>
          <w:color w:val="auto"/>
        </w:rPr>
        <w:t>Section 8.1(c)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921"/>
        <w:spacing w:after="0" w:line="297" w:lineRule="auto"/>
        <w:tabs>
          <w:tab w:leader="none" w:pos="1293"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Series D Common Units issued on or after the date hereof shall vest, as applicable, pursuant to the terms of the agreement issuing such Units to the holder thereof. Series B Common Units and Series D Common Units resulting from the conversion of either the Series A Common Units of the Company (as defined in the 2</w:t>
      </w:r>
      <w:r>
        <w:rPr>
          <w:rFonts w:ascii="Arial" w:cs="Arial" w:eastAsia="Arial" w:hAnsi="Arial"/>
          <w:sz w:val="13"/>
          <w:szCs w:val="13"/>
          <w:color w:val="auto"/>
        </w:rPr>
        <w:t>nd</w:t>
      </w:r>
      <w:r>
        <w:rPr>
          <w:rFonts w:ascii="Arial" w:cs="Arial" w:eastAsia="Arial" w:hAnsi="Arial"/>
          <w:sz w:val="16"/>
          <w:szCs w:val="16"/>
          <w:color w:val="auto"/>
        </w:rPr>
        <w:t xml:space="preserve"> A&amp;R Agreement) or the Class C Non-Voting Units of Solid GT (as defined in the GT LLC Agreement) as part of the GT Merger shall remain subject to and shall continue to vest in accordance with the agreement issuing such Series A Common Units of the Company (as defined in the 2</w:t>
      </w:r>
      <w:r>
        <w:rPr>
          <w:rFonts w:ascii="Arial" w:cs="Arial" w:eastAsia="Arial" w:hAnsi="Arial"/>
          <w:sz w:val="13"/>
          <w:szCs w:val="13"/>
          <w:color w:val="auto"/>
        </w:rPr>
        <w:t>nd</w:t>
      </w:r>
      <w:r>
        <w:rPr>
          <w:rFonts w:ascii="Arial" w:cs="Arial" w:eastAsia="Arial" w:hAnsi="Arial"/>
          <w:sz w:val="16"/>
          <w:szCs w:val="16"/>
          <w:color w:val="auto"/>
        </w:rPr>
        <w:t xml:space="preserve"> A&amp;R Agreement) or such Class C Non-Voting Units of Solid GT (as defined in the GT LLC Agreement) to the holder thereof, as the case may be.</w:t>
      </w:r>
    </w:p>
    <w:p>
      <w:pPr>
        <w:spacing w:after="0" w:line="158" w:lineRule="exact"/>
        <w:rPr>
          <w:rFonts w:ascii="Arial" w:cs="Arial" w:eastAsia="Arial" w:hAnsi="Arial"/>
          <w:sz w:val="16"/>
          <w:szCs w:val="16"/>
          <w:color w:val="auto"/>
        </w:rPr>
      </w:pPr>
    </w:p>
    <w:p>
      <w:pPr>
        <w:ind w:right="80" w:firstLine="921"/>
        <w:spacing w:after="0" w:line="312" w:lineRule="auto"/>
        <w:tabs>
          <w:tab w:leader="none" w:pos="1303"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Series 2 Senior Preferred Units</w:t>
      </w:r>
      <w:r>
        <w:rPr>
          <w:rFonts w:ascii="Arial" w:cs="Arial" w:eastAsia="Arial" w:hAnsi="Arial"/>
          <w:sz w:val="16"/>
          <w:szCs w:val="16"/>
          <w:color w:val="auto"/>
        </w:rPr>
        <w:t>. On the date hereof, zero (0) Series 2 Senior Preferred Units are issued and outstanding and there exist no Series 2 Senior Preferred Members. Notwithstanding anything to the contrary contained in this Agreement, no Series 2 Senior Preferred Units may be issued by the Company except pursuant to the Senior Preferred Purchase Agreement and only upon the Additional Closing Event as contemplated therein.</w:t>
      </w:r>
    </w:p>
    <w:p>
      <w:pPr>
        <w:spacing w:after="0" w:line="14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Additional Investments</w:t>
      </w:r>
      <w:r>
        <w:rPr>
          <w:rFonts w:ascii="Arial" w:cs="Arial" w:eastAsia="Arial" w:hAnsi="Arial"/>
          <w:sz w:val="16"/>
          <w:szCs w:val="16"/>
          <w:color w:val="auto"/>
        </w:rPr>
        <w:t>. Subject to the terms of this Agreement, including, but not limited to, Section 5.5, prior to the Additional Closing Event, Section 6.1(j)(iii), and, following the Additional Closing Event, Section 6.1(j)(i)(3), the Board may, at any time: (a) increase the total number of Units that the Company shall have authority to issue; (b) issue additional Units and admit additional Members; and (c) amend this Agreement to create new classes of Units or reflect any rights of such additional Members. Notwithstanding the foregoing, the Company shall not have the authority to issue any additional Units at a price per Unit below the Series 2 Senior Preferred Original Issue Price on or prior to the earlier of: (i) the Additional Closing Event and</w:t>
      </w:r>
    </w:p>
    <w:p>
      <w:pPr>
        <w:spacing w:after="0" w:line="2" w:lineRule="exact"/>
        <w:rPr>
          <w:sz w:val="20"/>
          <w:szCs w:val="20"/>
          <w:color w:val="auto"/>
        </w:rPr>
      </w:pPr>
    </w:p>
    <w:p>
      <w:pPr>
        <w:ind w:firstLine="8"/>
        <w:spacing w:after="0" w:line="290" w:lineRule="auto"/>
        <w:tabs>
          <w:tab w:leader="none" w:pos="26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September 1, 2017, other than (1) Series 2 Senior Preferred Units issued in connection with the Additional Closing Event and (2) Series D Common Units issued to officers, employees, consultants and other service providers to the Company that are within the restrictions set forth in Section 5.5(c)(ii).</w:t>
      </w:r>
    </w:p>
    <w:p>
      <w:pPr>
        <w:spacing w:after="0" w:line="310" w:lineRule="exact"/>
        <w:rPr>
          <w:sz w:val="20"/>
          <w:szCs w:val="20"/>
          <w:color w:val="auto"/>
        </w:rPr>
      </w:pPr>
    </w:p>
    <w:p>
      <w:pPr>
        <w:ind w:left="460"/>
        <w:spacing w:after="0"/>
        <w:tabs>
          <w:tab w:leader="none" w:pos="1420" w:val="left"/>
        </w:tabs>
        <w:rPr>
          <w:sz w:val="20"/>
          <w:szCs w:val="20"/>
          <w:color w:val="auto"/>
        </w:rPr>
      </w:pPr>
      <w:r>
        <w:rPr>
          <w:rFonts w:ascii="Arial" w:cs="Arial" w:eastAsia="Arial" w:hAnsi="Arial"/>
          <w:sz w:val="18"/>
          <w:szCs w:val="18"/>
          <w:color w:val="auto"/>
        </w:rPr>
        <w:t>Section3.6.</w:t>
      </w:r>
      <w:r>
        <w:rPr>
          <w:sz w:val="20"/>
          <w:szCs w:val="20"/>
          <w:color w:val="auto"/>
        </w:rPr>
        <w:tab/>
      </w:r>
      <w:r>
        <w:rPr>
          <w:rFonts w:ascii="Arial" w:cs="Arial" w:eastAsia="Arial" w:hAnsi="Arial"/>
          <w:sz w:val="16"/>
          <w:szCs w:val="16"/>
          <w:u w:val="single" w:color="auto"/>
          <w:color w:val="auto"/>
        </w:rPr>
        <w:t>Incorporation of Terms</w:t>
      </w:r>
      <w:r>
        <w:rPr>
          <w:rFonts w:ascii="Arial" w:cs="Arial" w:eastAsia="Arial" w:hAnsi="Arial"/>
          <w:sz w:val="16"/>
          <w:szCs w:val="16"/>
          <w:color w:val="auto"/>
        </w:rPr>
        <w:t>.</w:t>
      </w:r>
    </w:p>
    <w:p>
      <w:pPr>
        <w:spacing w:after="0" w:line="117" w:lineRule="exact"/>
        <w:rPr>
          <w:sz w:val="20"/>
          <w:szCs w:val="20"/>
          <w:color w:val="auto"/>
        </w:rPr>
      </w:pPr>
    </w:p>
    <w:p>
      <w:pPr>
        <w:ind w:right="60" w:firstLine="921"/>
        <w:spacing w:after="0" w:line="273" w:lineRule="auto"/>
        <w:tabs>
          <w:tab w:leader="none" w:pos="1283"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As of the date hereof, each of the provisions set forth in Exhibit A hereto, and each of the terms thereof, which, for the avoidance of doubt, include provisions labeled “Section 3.7”, “Section 3.8”, “Section 3.9”, “Article IV” (and the provisions included thereunder), “Article V” (and the provisions included thereunder), “Article VI” (and the provisions included thereunder), “Article VII” (and the provisions included thereunder), “Article VIII” (and the provisions included thereunder), “Article IX” (and the provisions included thereunder), “Article X” (and the provisions included thereunder), “Article XI” (and the provisions included thereunder), “Article XII” (and the provisions included thereunder) and “Article XIII” (and the provisions included thereunder) (collectively, the “</w:t>
      </w:r>
      <w:r>
        <w:rPr>
          <w:rFonts w:ascii="Arial" w:cs="Arial" w:eastAsia="Arial" w:hAnsi="Arial"/>
          <w:sz w:val="17"/>
          <w:szCs w:val="17"/>
          <w:b w:val="1"/>
          <w:bCs w:val="1"/>
          <w:u w:val="single" w:color="auto"/>
          <w:color w:val="auto"/>
        </w:rPr>
        <w:t>Initial Incorporated Provisions</w:t>
      </w:r>
      <w:r>
        <w:rPr>
          <w:rFonts w:ascii="Arial" w:cs="Arial" w:eastAsia="Arial" w:hAnsi="Arial"/>
          <w:sz w:val="17"/>
          <w:szCs w:val="17"/>
          <w:color w:val="auto"/>
        </w:rPr>
        <w:t>”) are hereby incorporated into this Agreement.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331" w:name="page332"/>
    <w:bookmarkEnd w:id="331"/>
    <w:p>
      <w:pPr>
        <w:ind w:left="-100" w:firstLine="921"/>
        <w:spacing w:after="0" w:line="291" w:lineRule="auto"/>
        <w:tabs>
          <w:tab w:leader="none" w:pos="1203" w:val="left"/>
        </w:tabs>
        <w:numPr>
          <w:ilvl w:val="0"/>
          <w:numId w:val="2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upon the Additional Closing Event, without further action of any Person (and, for the avoidance of doubt, without the need of any consent, waiver or similar approval of any Person), all of the Initial Incorporated Provisions are hereby amended and restated in their entirety and replaced with each of the provisions set forth in Exhibit B hereto, and each of the terms thereof, which, for the avoidance of doubt, include the provisions labeled “Section 3.7”, “Section 3.8”, “Section 3.9”, “Article IV” (and the provisions included thereunder), “Article V” (and the provisions included thereunder), “Article VI” (and the provisions included thereunder), “Article VII” (and the provisions included thereunder), “Article VIII” (and the provisions included thereunder), “Article IX” (and the provisions included thereunder), “Article X” (and the provisions included thereunder), “Article XI” (and the provisions included thereunder), “Article XII” (and the provisions included thereunder) and “Article XIII” (and the provisions included thereunder).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40" w:top="274" w:right="339" w:bottom="1440" w:gutter="0" w:footer="0" w:header="0"/>
        </w:sectPr>
      </w:pPr>
    </w:p>
    <w:bookmarkStart w:id="332" w:name="page333"/>
    <w:bookmarkEnd w:id="332"/>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intending to be legally bound hereby, have duly executed this Third Amended and Restated Limited Liability Company Agreement as of the date first written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SOLID BIOSCIENCES,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Ilan Ganot</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BOARD OF MANAGERS</w:t>
      </w:r>
      <w:r>
        <w:rPr>
          <w:rFonts w:ascii="Arial" w:cs="Arial" w:eastAsia="Arial" w:hAnsi="Arial"/>
          <w:sz w:val="18"/>
          <w:szCs w:val="18"/>
          <w:b w:val="1"/>
          <w:bCs w:val="1"/>
          <w:color w:val="auto"/>
        </w:rPr>
        <w: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Stone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Lynne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Lynne Sullivan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Arnold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Huffines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Huffines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Ilan Ganot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Gilad Hayeem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Gilad Hayeem</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Andrey Zarur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Andrey Zarur</w:t>
      </w:r>
    </w:p>
    <w:p>
      <w:pPr>
        <w:sectPr>
          <w:pgSz w:w="11900" w:h="16838" w:orient="portrait"/>
          <w:cols w:equalWidth="0" w:num="1">
            <w:col w:w="11360"/>
          </w:cols>
          <w:pgMar w:left="240" w:top="273" w:right="299" w:bottom="1440" w:gutter="0" w:footer="0" w:header="0"/>
        </w:sectPr>
      </w:pPr>
    </w:p>
    <w:bookmarkStart w:id="333" w:name="page334"/>
    <w:bookmarkEnd w:id="333"/>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[MEMBER SIGNATURE PAGES OMITTED]</w:t>
      </w:r>
    </w:p>
    <w:p>
      <w:pPr>
        <w:sectPr>
          <w:pgSz w:w="11900" w:h="16838" w:orient="portrait"/>
          <w:cols w:equalWidth="0" w:num="1">
            <w:col w:w="9019"/>
          </w:cols>
          <w:pgMar w:left="1440" w:top="273" w:right="1440" w:bottom="1440" w:gutter="0" w:footer="0" w:header="0"/>
        </w:sectPr>
      </w:pPr>
    </w:p>
    <w:bookmarkStart w:id="334" w:name="page335"/>
    <w:bookmarkEnd w:id="33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Initial Incorporated Provisions</w:t>
      </w:r>
    </w:p>
    <w:p>
      <w:pPr>
        <w:spacing w:after="0" w:line="229"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color w:val="auto"/>
        </w:rPr>
        <w:t>Weighted-Average Anti-dilution Protection.</w:t>
      </w:r>
    </w:p>
    <w:p>
      <w:pPr>
        <w:spacing w:after="0" w:line="117" w:lineRule="exact"/>
        <w:rPr>
          <w:sz w:val="20"/>
          <w:szCs w:val="20"/>
          <w:color w:val="auto"/>
        </w:rPr>
      </w:pPr>
    </w:p>
    <w:p>
      <w:pPr>
        <w:ind w:firstLine="921"/>
        <w:spacing w:after="0" w:line="268" w:lineRule="auto"/>
        <w:tabs>
          <w:tab w:leader="none" w:pos="1293" w:val="left"/>
        </w:tabs>
        <w:numPr>
          <w:ilvl w:val="1"/>
          <w:numId w:val="217"/>
        </w:numPr>
        <w:rPr>
          <w:rFonts w:ascii="Arial" w:cs="Arial" w:eastAsia="Arial" w:hAnsi="Arial"/>
          <w:sz w:val="17"/>
          <w:szCs w:val="17"/>
          <w:color w:val="auto"/>
        </w:rPr>
      </w:pPr>
      <w:r>
        <w:rPr>
          <w:rFonts w:ascii="Arial" w:cs="Arial" w:eastAsia="Arial" w:hAnsi="Arial"/>
          <w:sz w:val="17"/>
          <w:szCs w:val="17"/>
          <w:u w:val="single" w:color="auto"/>
          <w:color w:val="auto"/>
        </w:rPr>
        <w:t>For the Series 1 Senior Preferred Units</w:t>
      </w:r>
      <w:r>
        <w:rPr>
          <w:rFonts w:ascii="Arial" w:cs="Arial" w:eastAsia="Arial" w:hAnsi="Arial"/>
          <w:sz w:val="17"/>
          <w:szCs w:val="17"/>
          <w:color w:val="auto"/>
        </w:rPr>
        <w:t xml:space="preserve">. If the Company issues Units that constitute New Securities at a purchase price per such Unit less than the amount by which the Series 1 Senior Preferred Original Issue Price exceeds cumulative distributions in respect of a Series 1 Senior Preferred Unit pursuant to this Agreement, solely for the purposes of </w:t>
      </w:r>
      <w:r>
        <w:rPr>
          <w:rFonts w:ascii="Arial" w:cs="Arial" w:eastAsia="Arial" w:hAnsi="Arial"/>
          <w:sz w:val="17"/>
          <w:szCs w:val="17"/>
          <w:u w:val="single" w:color="auto"/>
          <w:color w:val="auto"/>
        </w:rPr>
        <w:t>Section 8.1(a)(iv)</w:t>
      </w:r>
      <w:r>
        <w:rPr>
          <w:rFonts w:ascii="Arial" w:cs="Arial" w:eastAsia="Arial" w:hAnsi="Arial"/>
          <w:sz w:val="17"/>
          <w:szCs w:val="17"/>
          <w:color w:val="auto"/>
        </w:rPr>
        <w:t xml:space="preserve"> the number of Series 1 Senior Preferred Units outstanding and held by the Series 1 Senior Preferred Members shall automatically be deemed to have been adjusted to the number obtained by multiplying the number of such Series 1 Senior Preferred Units by a fraction (which shall in no event be less than one): (i) the numerator of which shall be the sum of the number of all Units outstanding immediately prior to such issuance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number of Units issued in connection with such issuance; and (ii) the denominator of which shall be the sum of the number of all Units outstanding immediately prior to such issuance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number of Units that would have been issued in the new issuance if the aggregate amount of consideration received for Units in such issuance were used to purchase Units at a price equal to the amount by which the Series 1 Senior Preferred Original Issue Price exceeds cumulative distributions in respect of a Series 1 Senior Preferred Unit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unless the Holders of a majority of the outstanding Series 1 Senior Preferred Units elect otherwise, the deemed adjustment set forth in this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shall not be made with respect to the Series 1 Senior Preferred Units held by any Series 1 Senior Preferred Member who fails to, or has previously failed to, exercise in full its preemptive rights with respect to an issuance of Units that constitute New Securities that would cause a deemed adjustment set forth in this </w:t>
      </w:r>
      <w:r>
        <w:rPr>
          <w:rFonts w:ascii="Arial" w:cs="Arial" w:eastAsia="Arial" w:hAnsi="Arial"/>
          <w:sz w:val="17"/>
          <w:szCs w:val="17"/>
          <w:u w:val="single" w:color="auto"/>
          <w:color w:val="auto"/>
        </w:rPr>
        <w:t>Section 3.7</w:t>
      </w:r>
      <w:r>
        <w:rPr>
          <w:rFonts w:ascii="Arial" w:cs="Arial" w:eastAsia="Arial" w:hAnsi="Arial"/>
          <w:sz w:val="17"/>
          <w:szCs w:val="17"/>
          <w:color w:val="auto"/>
        </w:rPr>
        <w:t>. If such issuance of New Securities was without consideration, then the Company shall be deemed to have received an aggregate of $.0001 of consideration for all such New Securities.</w:t>
      </w:r>
    </w:p>
    <w:p>
      <w:pPr>
        <w:spacing w:after="0" w:line="185" w:lineRule="exact"/>
        <w:rPr>
          <w:rFonts w:ascii="Arial" w:cs="Arial" w:eastAsia="Arial" w:hAnsi="Arial"/>
          <w:sz w:val="17"/>
          <w:szCs w:val="17"/>
          <w:color w:val="auto"/>
        </w:rPr>
      </w:pPr>
    </w:p>
    <w:p>
      <w:pPr>
        <w:ind w:right="100" w:firstLine="464"/>
        <w:spacing w:after="0" w:line="269" w:lineRule="auto"/>
        <w:tabs>
          <w:tab w:leader="none" w:pos="846"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For the Junior Preferred Units</w:t>
      </w:r>
      <w:r>
        <w:rPr>
          <w:rFonts w:ascii="Arial" w:cs="Arial" w:eastAsia="Arial" w:hAnsi="Arial"/>
          <w:sz w:val="17"/>
          <w:szCs w:val="17"/>
          <w:color w:val="auto"/>
        </w:rPr>
        <w:t xml:space="preserve">. If the Company issues Units that constitute New Securities at a purchase price per such Unit less than the amount by which the Junior Preferred Original Issue Price exceeds cumulative distributions in respect of a Junior Preferred Unit pursuant to this Agreement, solely for the purposes of </w:t>
      </w:r>
      <w:r>
        <w:rPr>
          <w:rFonts w:ascii="Arial" w:cs="Arial" w:eastAsia="Arial" w:hAnsi="Arial"/>
          <w:sz w:val="17"/>
          <w:szCs w:val="17"/>
          <w:u w:val="single" w:color="auto"/>
          <w:color w:val="auto"/>
        </w:rPr>
        <w:t>Section 8.1(a)(iv)</w:t>
      </w:r>
      <w:r>
        <w:rPr>
          <w:rFonts w:ascii="Arial" w:cs="Arial" w:eastAsia="Arial" w:hAnsi="Arial"/>
          <w:sz w:val="17"/>
          <w:szCs w:val="17"/>
          <w:color w:val="auto"/>
        </w:rPr>
        <w:t xml:space="preserve"> the number of Junior Preferred Units outstanding and held by the Junior Preferred Members shall automatically be deemed to have been adjusted to the number obtained by multiplying the number of such Junior Preferred Units by a fraction (which shall in no event be less than one): (i) the numerator of which shall be the sum of the number of all Units outstanding immediately prior to such issuance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number of Units issued in connection with such issuance; and (ii) the denominator of which shall be the sum of the number of all Units outstanding immediately prior to such issuance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number of Units that would have been issued in the new issuance if the aggregate amount of consideration received for Units in such issuance were used to purchase Units at a price equal to the amount by which the Junior Preferred Original Issue Price exceeds cumulative distributions in respect of a Junior Preferred Unit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unless the Holders of a majority of the outstanding Junior Preferred Units elect otherwise, the deemed adjustment set forth in this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shall not be made with respect to the Junior Preferred Units held by any Junior Preferred Member who fails to, or has</w:t>
      </w:r>
    </w:p>
    <w:p>
      <w:pPr>
        <w:sectPr>
          <w:pgSz w:w="11900" w:h="16838" w:orient="portrait"/>
          <w:cols w:equalWidth="0" w:num="1">
            <w:col w:w="11420"/>
          </w:cols>
          <w:pgMar w:left="240" w:top="270" w:right="239" w:bottom="1440" w:gutter="0" w:footer="0" w:header="0"/>
        </w:sectPr>
      </w:pPr>
    </w:p>
    <w:bookmarkStart w:id="335" w:name="page336"/>
    <w:bookmarkEnd w:id="335"/>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previously failed to, exercise in full its preemptive rights with respect to an issuance of Units that constitute New Securities that would cause a deemed adjustment set forth in this </w:t>
      </w:r>
      <w:r>
        <w:rPr>
          <w:rFonts w:ascii="Arial" w:cs="Arial" w:eastAsia="Arial" w:hAnsi="Arial"/>
          <w:sz w:val="18"/>
          <w:szCs w:val="18"/>
          <w:u w:val="single" w:color="auto"/>
          <w:color w:val="auto"/>
        </w:rPr>
        <w:t>Section 3.7</w:t>
      </w:r>
      <w:r>
        <w:rPr>
          <w:rFonts w:ascii="Arial" w:cs="Arial" w:eastAsia="Arial" w:hAnsi="Arial"/>
          <w:sz w:val="18"/>
          <w:szCs w:val="18"/>
          <w:color w:val="auto"/>
        </w:rPr>
        <w:t>. If such issuance of New Securities was without consideration, then the Company shall be deemed to have received an aggregate of $.0001 of consideration for all such New Securities.</w:t>
      </w:r>
    </w:p>
    <w:p>
      <w:pPr>
        <w:spacing w:after="0" w:line="181"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Redemption.</w:t>
      </w:r>
    </w:p>
    <w:p>
      <w:pPr>
        <w:spacing w:after="0" w:line="117" w:lineRule="exact"/>
        <w:rPr>
          <w:sz w:val="20"/>
          <w:szCs w:val="20"/>
          <w:color w:val="auto"/>
        </w:rPr>
      </w:pPr>
    </w:p>
    <w:p>
      <w:pPr>
        <w:ind w:right="60" w:firstLine="921"/>
        <w:spacing w:after="0" w:line="270" w:lineRule="auto"/>
        <w:tabs>
          <w:tab w:leader="none" w:pos="1293" w:val="left"/>
        </w:tabs>
        <w:numPr>
          <w:ilvl w:val="1"/>
          <w:numId w:val="219"/>
        </w:numPr>
        <w:rPr>
          <w:rFonts w:ascii="Arial" w:cs="Arial" w:eastAsia="Arial" w:hAnsi="Arial"/>
          <w:sz w:val="17"/>
          <w:szCs w:val="17"/>
          <w:color w:val="auto"/>
        </w:rPr>
      </w:pPr>
      <w:r>
        <w:rPr>
          <w:rFonts w:ascii="Arial" w:cs="Arial" w:eastAsia="Arial" w:hAnsi="Arial"/>
          <w:sz w:val="17"/>
          <w:szCs w:val="17"/>
          <w:u w:val="single" w:color="auto"/>
          <w:color w:val="auto"/>
        </w:rPr>
        <w:t>Redemption</w:t>
      </w:r>
      <w:r>
        <w:rPr>
          <w:rFonts w:ascii="Arial" w:cs="Arial" w:eastAsia="Arial" w:hAnsi="Arial"/>
          <w:sz w:val="17"/>
          <w:szCs w:val="17"/>
          <w:color w:val="auto"/>
        </w:rPr>
        <w:t>. To the extent permitted by the Act and applicable law, unless waived by the Holders of at least 66% of the then outstanding Series 1 Senior Preferred Units, on the fifth annual anniversary of the date of this Agreement (the “</w:t>
      </w:r>
      <w:r>
        <w:rPr>
          <w:rFonts w:ascii="Arial" w:cs="Arial" w:eastAsia="Arial" w:hAnsi="Arial"/>
          <w:sz w:val="17"/>
          <w:szCs w:val="17"/>
          <w:b w:val="1"/>
          <w:bCs w:val="1"/>
          <w:u w:val="single" w:color="auto"/>
          <w:color w:val="auto"/>
        </w:rPr>
        <w:t>Redemption Date</w:t>
      </w:r>
      <w:r>
        <w:rPr>
          <w:rFonts w:ascii="Arial" w:cs="Arial" w:eastAsia="Arial" w:hAnsi="Arial"/>
          <w:sz w:val="17"/>
          <w:szCs w:val="17"/>
          <w:color w:val="auto"/>
        </w:rPr>
        <w:t xml:space="preserve">”), the Company shall redeem all of the Series 1 Senior Preferred Units then outstanding, out of funds legally available therefor, at a price per Series 1 Senior Preferred Unit equal to the positive amount (if any) of: (i) the Series 1 Senior Preferred Original Issue Price,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amount of any declared but unpaid dividends on such Series 1 Senior Preferred Unit as of the Redemption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amount of all previous distributions on such Series 1 Senior Preferred Unit that are not made in accordance with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Redemption Price</w:t>
      </w:r>
      <w:r>
        <w:rPr>
          <w:rFonts w:ascii="Arial" w:cs="Arial" w:eastAsia="Arial" w:hAnsi="Arial"/>
          <w:sz w:val="17"/>
          <w:szCs w:val="17"/>
          <w:color w:val="auto"/>
        </w:rPr>
        <w:t>”). Notwithstanding the foregoing, any Holder of Series 1 Senior Preferred Units may, by providing written notice to the Company prior to the Redemption Date, in lieu of having such Units redeemed pursuant to the foregoing and receiving any payment in connection therewith, convert all of such Holder’s Series 1 Senior Preferred Units into Series C Common Units, on a 1:1 basis effective immediately prior to such redemption.</w:t>
      </w:r>
    </w:p>
    <w:p>
      <w:pPr>
        <w:spacing w:after="0" w:line="181" w:lineRule="exact"/>
        <w:rPr>
          <w:rFonts w:ascii="Arial" w:cs="Arial" w:eastAsia="Arial" w:hAnsi="Arial"/>
          <w:sz w:val="17"/>
          <w:szCs w:val="17"/>
          <w:color w:val="auto"/>
        </w:rPr>
      </w:pPr>
    </w:p>
    <w:p>
      <w:pPr>
        <w:ind w:firstLine="921"/>
        <w:spacing w:after="0" w:line="290" w:lineRule="auto"/>
        <w:tabs>
          <w:tab w:leader="none" w:pos="1303" w:val="left"/>
        </w:tabs>
        <w:numPr>
          <w:ilvl w:val="1"/>
          <w:numId w:val="219"/>
        </w:numPr>
        <w:rPr>
          <w:rFonts w:ascii="Arial" w:cs="Arial" w:eastAsia="Arial" w:hAnsi="Arial"/>
          <w:sz w:val="16"/>
          <w:szCs w:val="16"/>
          <w:color w:val="auto"/>
        </w:rPr>
      </w:pPr>
      <w:r>
        <w:rPr>
          <w:rFonts w:ascii="Arial" w:cs="Arial" w:eastAsia="Arial" w:hAnsi="Arial"/>
          <w:sz w:val="16"/>
          <w:szCs w:val="16"/>
          <w:u w:val="single" w:color="auto"/>
          <w:color w:val="auto"/>
        </w:rPr>
        <w:t>Insufficient Funds</w:t>
      </w:r>
      <w:r>
        <w:rPr>
          <w:rFonts w:ascii="Arial" w:cs="Arial" w:eastAsia="Arial" w:hAnsi="Arial"/>
          <w:sz w:val="16"/>
          <w:szCs w:val="16"/>
          <w:color w:val="auto"/>
        </w:rPr>
        <w:t>. If the funds of the Company legally available to be used for redeeming the Series 1 Senior Preferred Units on the Redemption Date are insufficient to redeem all outstanding Series 1 Senior Preferred Units, the Company shall (i) take any action necessary or appropriate, to the extent reasonably within its control, to remove promptly any impediments to its ability to redeem all outstanding Series 1 Senior Preferred Units, including, without limitation, incurring any indebtedness necessary to make such redemption, and (ii) in any event, use any and all funds that are legally available to redeem Series 1 Senior Preferred Units from Series 1 Senior Preferred Members ratably based on the respective number of Series 1 Senior Preferred Units held by the Series 1 Senior Preferred Members. At any time thereafter when additional funds of the Company are legally available to redeem the tendered Series 1 Senior Preferred Units, the Company shall immediately use such funds to redeem the balance of the Series 1 Senior Preferred Units that the Company became obligated to redeem on the Redemption Date (but which it has not yet redeemed).</w:t>
      </w:r>
    </w:p>
    <w:p>
      <w:pPr>
        <w:spacing w:after="0" w:line="166" w:lineRule="exact"/>
        <w:rPr>
          <w:rFonts w:ascii="Arial" w:cs="Arial" w:eastAsia="Arial" w:hAnsi="Arial"/>
          <w:sz w:val="16"/>
          <w:szCs w:val="16"/>
          <w:color w:val="auto"/>
        </w:rPr>
      </w:pPr>
    </w:p>
    <w:p>
      <w:pPr>
        <w:ind w:right="40" w:firstLine="921"/>
        <w:spacing w:after="0" w:line="308" w:lineRule="auto"/>
        <w:tabs>
          <w:tab w:leader="none" w:pos="1293" w:val="left"/>
        </w:tabs>
        <w:numPr>
          <w:ilvl w:val="1"/>
          <w:numId w:val="219"/>
        </w:numPr>
        <w:rPr>
          <w:rFonts w:ascii="Arial" w:cs="Arial" w:eastAsia="Arial" w:hAnsi="Arial"/>
          <w:sz w:val="17"/>
          <w:szCs w:val="17"/>
          <w:color w:val="auto"/>
        </w:rPr>
      </w:pPr>
      <w:r>
        <w:rPr>
          <w:rFonts w:ascii="Arial" w:cs="Arial" w:eastAsia="Arial" w:hAnsi="Arial"/>
          <w:sz w:val="17"/>
          <w:szCs w:val="17"/>
          <w:u w:val="single" w:color="auto"/>
          <w:color w:val="auto"/>
        </w:rPr>
        <w:t>Continuing Rights</w:t>
      </w:r>
      <w:r>
        <w:rPr>
          <w:rFonts w:ascii="Arial" w:cs="Arial" w:eastAsia="Arial" w:hAnsi="Arial"/>
          <w:sz w:val="17"/>
          <w:szCs w:val="17"/>
          <w:color w:val="auto"/>
        </w:rPr>
        <w:t>. From and after the Redemption Date, and upon the payment in full of the Redemption Price by the Company, the Series 1 Senior Preferred Members shall have no further rights or privileges with respect to their Series 1 Senior Preferred Units that were redeemed.</w:t>
      </w:r>
    </w:p>
    <w:p>
      <w:pPr>
        <w:spacing w:after="0" w:line="146" w:lineRule="exact"/>
        <w:rPr>
          <w:rFonts w:ascii="Arial" w:cs="Arial" w:eastAsia="Arial" w:hAnsi="Arial"/>
          <w:sz w:val="17"/>
          <w:szCs w:val="17"/>
          <w:color w:val="auto"/>
        </w:rPr>
      </w:pPr>
    </w:p>
    <w:p>
      <w:pPr>
        <w:ind w:right="40" w:firstLine="921"/>
        <w:spacing w:after="0" w:line="264" w:lineRule="auto"/>
        <w:tabs>
          <w:tab w:leader="none" w:pos="1303"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No Approval Required</w:t>
      </w:r>
      <w:r>
        <w:rPr>
          <w:rFonts w:ascii="Arial" w:cs="Arial" w:eastAsia="Arial" w:hAnsi="Arial"/>
          <w:sz w:val="18"/>
          <w:szCs w:val="18"/>
          <w:color w:val="auto"/>
        </w:rPr>
        <w:t xml:space="preserve">. No redemption under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be subject to any consent or approval of the Board or the Members, and the Company and the Series 1 Senior Preferred Members shall take such further actions that are reasonably necessary to effectuate the redemption contemplated by this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ectPr>
          <w:pgSz w:w="11900" w:h="16838" w:orient="portrait"/>
          <w:cols w:equalWidth="0" w:num="1">
            <w:col w:w="11380"/>
          </w:cols>
          <w:pgMar w:left="240" w:top="274" w:right="279" w:bottom="1440" w:gutter="0" w:footer="0" w:header="0"/>
        </w:sectPr>
      </w:pPr>
    </w:p>
    <w:bookmarkStart w:id="336" w:name="page337"/>
    <w:bookmarkEnd w:id="336"/>
    <w:p>
      <w:pPr>
        <w:ind w:right="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3.9. </w:t>
      </w:r>
      <w:r>
        <w:rPr>
          <w:rFonts w:ascii="Arial" w:cs="Arial" w:eastAsia="Arial" w:hAnsi="Arial"/>
          <w:sz w:val="18"/>
          <w:szCs w:val="18"/>
          <w:u w:val="single" w:color="auto"/>
          <w:color w:val="auto"/>
        </w:rPr>
        <w:t>Certain Payments</w:t>
      </w:r>
      <w:r>
        <w:rPr>
          <w:rFonts w:ascii="Arial" w:cs="Arial" w:eastAsia="Arial" w:hAnsi="Arial"/>
          <w:sz w:val="18"/>
          <w:szCs w:val="18"/>
          <w:color w:val="auto"/>
        </w:rPr>
        <w:t xml:space="preserve">. Under the Act, a member of a limited liability company may, under certain circumstances, be required to return amounts previously distributed to such member. It is the intent of the Members that no distribution to any Member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deemed to constitute money or other property paid or distributed in violation of the Act, and the Members agree that each such distribution shall constitute a compromise of the Members within the meaning of Section 18-502(b) of the Act, and, to the fullest extent permitted by law, the Member receiving such distribution shall not be required to return to any Person any such money or property, except as otherwise expressly set forth herein. If, however, any court of competent jurisdiction holds that, notwithstanding the provisions of this Agreement, any Member is obligated to make any such payment, such obligation shall be the obligation of such Member and not of the other Members, and, when funded, shall constitute a Capital Contribution to the Company by such Member.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MEMBERS; VOTING</w:t>
      </w:r>
    </w:p>
    <w:p>
      <w:pPr>
        <w:spacing w:after="0" w:line="22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Members</w:t>
      </w:r>
      <w:r>
        <w:rPr>
          <w:rFonts w:ascii="Arial" w:cs="Arial" w:eastAsia="Arial" w:hAnsi="Arial"/>
          <w:sz w:val="18"/>
          <w:szCs w:val="18"/>
          <w:color w:val="auto"/>
        </w:rPr>
        <w:t>. The name, mailing address and e-mail address of each Member is set forth on the List of Members, and shall be revised from time to time in accordance with this Agreement to reflect the addition, substitution, withdrawal, resignation or change of address of any Member as permitted under the terms of this Agreement.</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Consent</w:t>
      </w:r>
      <w:r>
        <w:rPr>
          <w:rFonts w:ascii="Arial" w:cs="Arial" w:eastAsia="Arial" w:hAnsi="Arial"/>
          <w:sz w:val="17"/>
          <w:szCs w:val="17"/>
          <w:color w:val="auto"/>
        </w:rPr>
        <w:t>. Unless otherwise expressly provided herein, the consent of the Members for purposes of this Agreement may be obtained: (a) at any meeting of the Series 1 Senior Preferred Members, the Junior Preferred Members, the Series A Common Members and the Series B Common Members (collectively, the “</w:t>
      </w:r>
      <w:r>
        <w:rPr>
          <w:rFonts w:ascii="Arial" w:cs="Arial" w:eastAsia="Arial" w:hAnsi="Arial"/>
          <w:sz w:val="17"/>
          <w:szCs w:val="17"/>
          <w:b w:val="1"/>
          <w:bCs w:val="1"/>
          <w:u w:val="single" w:color="auto"/>
          <w:color w:val="auto"/>
        </w:rPr>
        <w:t>Voting Members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Holders of a majority in number of the outstanding Series 1 Senior Preferred Units, Junior Preferred Units, Series A Common Units and Series B Common Units, together as a single class (a “</w:t>
      </w:r>
      <w:r>
        <w:rPr>
          <w:rFonts w:ascii="Arial" w:cs="Arial" w:eastAsia="Arial" w:hAnsi="Arial"/>
          <w:sz w:val="17"/>
          <w:szCs w:val="17"/>
          <w:b w:val="1"/>
          <w:bCs w:val="1"/>
          <w:u w:val="single" w:color="auto"/>
          <w:color w:val="auto"/>
        </w:rPr>
        <w:t>Voting Majority</w:t>
      </w:r>
      <w:r>
        <w:rPr>
          <w:rFonts w:ascii="Arial" w:cs="Arial" w:eastAsia="Arial" w:hAnsi="Arial"/>
          <w:sz w:val="17"/>
          <w:szCs w:val="17"/>
          <w:color w:val="auto"/>
        </w:rPr>
        <w:t>”), are present at such meeting and that a Voting Majority votes in favor of the matter being voted upon, or (b) by the written consent of a Voting Majority.</w:t>
      </w:r>
    </w:p>
    <w:p>
      <w:pPr>
        <w:spacing w:after="0" w:line="17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Meetings</w:t>
      </w:r>
      <w:r>
        <w:rPr>
          <w:rFonts w:ascii="Arial" w:cs="Arial" w:eastAsia="Arial" w:hAnsi="Arial"/>
          <w:sz w:val="16"/>
          <w:szCs w:val="16"/>
          <w:color w:val="auto"/>
        </w:rPr>
        <w:t>. Any matter requiring the approval or consent of the Voting Members pursuant to this Agreement may be considered at a meeting of the Voting Members held not less than five (5) nor more than sixty (60) days after notification thereof shall have been given by the Board to the Voting Members. Such notification may be given by the Board, in its discretion, at any time. Any such notification shall state briefly the purpose, time and place of the meeting. All such meetings shall be held within or outside the state of the Company’s principal place of business at such reasonable place as the Board shall designate and during normal business hours. To the fullest extent permitted by applicable law, any meeting may be held by conference telephone or similar communication equipment so long as all Voting Members participating in the meeting can hear one another, and all Voting Members participating by telephone or similar communication equipment shall be deemed to be present in person at the meeting. Any Voting Member may waive notice of a meeting by executing a written waiver. A Voting Member may act in person or by written proxy at any meeting of the Voting Members.</w:t>
      </w:r>
    </w:p>
    <w:p>
      <w:pPr>
        <w:sectPr>
          <w:pgSz w:w="11900" w:h="16838" w:orient="portrait"/>
          <w:cols w:equalWidth="0" w:num="1">
            <w:col w:w="11400"/>
          </w:cols>
          <w:pgMar w:left="240" w:top="274" w:right="259" w:bottom="1440" w:gutter="0" w:footer="0" w:header="0"/>
        </w:sectPr>
      </w:pPr>
    </w:p>
    <w:bookmarkStart w:id="337" w:name="page338"/>
    <w:bookmarkEnd w:id="337"/>
    <w:p>
      <w:pPr>
        <w:ind w:right="16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4.4. </w:t>
      </w:r>
      <w:r>
        <w:rPr>
          <w:rFonts w:ascii="Arial" w:cs="Arial" w:eastAsia="Arial" w:hAnsi="Arial"/>
          <w:sz w:val="17"/>
          <w:szCs w:val="17"/>
          <w:u w:val="single" w:color="auto"/>
          <w:color w:val="auto"/>
        </w:rPr>
        <w:t>Admission of Additional Members</w:t>
      </w:r>
      <w:r>
        <w:rPr>
          <w:rFonts w:ascii="Arial" w:cs="Arial" w:eastAsia="Arial" w:hAnsi="Arial"/>
          <w:sz w:val="17"/>
          <w:szCs w:val="17"/>
          <w:color w:val="auto"/>
        </w:rPr>
        <w:t>. Subject to the terms of this Agreement, one or more additional or substitute Members of the Company may be admitted to the Company by vote or with the written consent of the Board. Any such additional or substitute Member shall be admitted to the Company as a member of the Company upon its execution of a counterpart signature page to this Agreement. If a Member Transfers all of its interest in the Company pursuant to the terms of this Agreement, such admission shall be deemed effective immediately prior to such Transfer and, immediately following such admission, the transferor Member shall cease to be a member of the Company.</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Voting Rights</w:t>
      </w:r>
      <w:r>
        <w:rPr>
          <w:rFonts w:ascii="Arial" w:cs="Arial" w:eastAsia="Arial" w:hAnsi="Arial"/>
          <w:sz w:val="18"/>
          <w:szCs w:val="18"/>
          <w:color w:val="auto"/>
        </w:rPr>
        <w:t>. Only Voting Members shall be entitled to participate as Members in the governance of the Company. Each Voting Member shall have the right to one vote per full Series 1 Senior Preferred Unit, Junior Preferred Unit, Series A Common Unit or Series B Common Unit held by it. Except as otherwise expressly provided herein, the Voting Members shall vote together and not as separate classes. Except as otherwise expressly provided herein, Series C Common Members and Series D Common Members shall have no voting or consent or other rights or powers under this Agreement or the Act with respect to their Series C Common Units and Series D Common Units, other than the right to receive distributions as specifically enumerated in this Agreement.</w:t>
      </w:r>
    </w:p>
    <w:p>
      <w:pPr>
        <w:spacing w:after="0" w:line="19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No Management or Dissent Rights</w:t>
      </w:r>
      <w:r>
        <w:rPr>
          <w:rFonts w:ascii="Arial" w:cs="Arial" w:eastAsia="Arial" w:hAnsi="Arial"/>
          <w:sz w:val="16"/>
          <w:szCs w:val="16"/>
          <w:color w:val="auto"/>
        </w:rPr>
        <w:t>. Except as set forth herein or otherwise required by law, no Member shall have any right to take part in the management or operation of the Company other than through the Managers appointed by the Members having the right to designate Managers to the Board. No Member shall, without the prior written approval of the Board, take any action on behalf of or in the name of the Company, or enter into any commitment or obligation binding upon the Company, except for actions expressly authorized by the terms of this Agreement. Members shall not be entitled to any dissenters rights or to seek appraisal with respect to any transaction, including the merger or consolidation of the Company with any Person. For the avoidance of doubt, no Member shall have any “contractual appraisal rights” as such term is used in Section 18-210 of the Act.</w:t>
      </w:r>
    </w:p>
    <w:p>
      <w:pPr>
        <w:spacing w:after="0" w:line="16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Bankruptcy of a Member</w:t>
      </w:r>
      <w:r>
        <w:rPr>
          <w:rFonts w:ascii="Arial" w:cs="Arial" w:eastAsia="Arial" w:hAnsi="Arial"/>
          <w:sz w:val="16"/>
          <w:szCs w:val="16"/>
          <w:color w:val="auto"/>
        </w:rPr>
        <w:t>. The occurrence of any event set forth in Section 18-304 of the Act with respect to a Member shall not cause a dissolution of the Company, but the rights of such Member to receive distributions shall, on the happening of such an event, devolve on its successor, administrator or other legal representative for the purpose of settling its estate or administering its property, and the Company shall continue as a limited liability company. The successor or estate of any bankrupt Member described in the preceding sentence shall be liable for all the obligations of such Member.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TRANSFER OF COMPANY INTERESTS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Prohibited Transfers</w:t>
      </w:r>
      <w:r>
        <w:rPr>
          <w:rFonts w:ascii="Arial" w:cs="Arial" w:eastAsia="Arial" w:hAnsi="Arial"/>
          <w:sz w:val="18"/>
          <w:szCs w:val="18"/>
          <w:color w:val="auto"/>
        </w:rPr>
        <w:t>. No Member may Transfer all or any part of its Units or any interest therein if such Transfer: (i) would subject the Company to the reporting requirements of the Exchange Act, (ii) is prohibited by the Securities Act, (iii) would be to a competitor of the Company, as determined by the Board in its sole discretion; provided, for purposes</w:t>
      </w:r>
    </w:p>
    <w:p>
      <w:pPr>
        <w:sectPr>
          <w:pgSz w:w="11900" w:h="16838" w:orient="portrait"/>
          <w:cols w:equalWidth="0" w:num="1">
            <w:col w:w="11400"/>
          </w:cols>
          <w:pgMar w:left="240" w:top="273" w:right="259" w:bottom="1440" w:gutter="0" w:footer="0" w:header="0"/>
        </w:sectPr>
      </w:pPr>
    </w:p>
    <w:bookmarkStart w:id="338" w:name="page339"/>
    <w:bookmarkEnd w:id="33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clarity, none of the Biogen Member, the Perceptive Members, Jennison Global Healthcare Master Fund, Ltd., the Janus Members, the RA Members, FC Fund III Solid Holdings, Inc. and the Bain Members, nor any of their respective Affiliates, shall be deemed a competitor of the Company, or (iv) would cause the Company to lose its status as a partnership for federal income tax purposes or cause the Company to be classified as a “publicly traded partnership” within the meaning of Code Section 7704 and the Regulations promulgated thereunder. No Series B Common Member or Series D Common Member may Transfer any of its unvested Series B Common Units or Series D Common Units, respectively. Notwithstanding anything to the contrary in this Agreement, no Transfer to any Person who is not already a Member shall be effective, and no such Transfer will be recognized by the Company, unless and until such Transfer has been evidenced by a written agreement, in form and substance satisfactory to the Company, that has been executed by the transferor, the transferee and the Company, pursuant to which the transferee shall agree to be bound by the terms, conditions and obligations of this Agreement and such Units shall continue to be subject to the provisions set forth in this Agreement.</w:t>
      </w:r>
    </w:p>
    <w:p>
      <w:pPr>
        <w:spacing w:after="0" w:line="290"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Right of First Refusal</w:t>
      </w:r>
      <w:r>
        <w:rPr>
          <w:rFonts w:ascii="Arial" w:cs="Arial" w:eastAsia="Arial" w:hAnsi="Arial"/>
          <w:sz w:val="16"/>
          <w:szCs w:val="16"/>
          <w:color w:val="auto"/>
        </w:rPr>
        <w:t>.</w:t>
      </w:r>
    </w:p>
    <w:p>
      <w:pPr>
        <w:spacing w:after="0" w:line="117" w:lineRule="exact"/>
        <w:rPr>
          <w:sz w:val="20"/>
          <w:szCs w:val="20"/>
          <w:color w:val="auto"/>
        </w:rPr>
      </w:pPr>
    </w:p>
    <w:p>
      <w:pPr>
        <w:ind w:right="20" w:firstLine="921"/>
        <w:spacing w:after="0" w:line="267" w:lineRule="auto"/>
        <w:tabs>
          <w:tab w:leader="none" w:pos="1293"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Inside Offer</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5.1</w:t>
      </w:r>
      <w:r>
        <w:rPr>
          <w:rFonts w:ascii="Arial" w:cs="Arial" w:eastAsia="Arial" w:hAnsi="Arial"/>
          <w:sz w:val="17"/>
          <w:szCs w:val="17"/>
          <w:color w:val="auto"/>
        </w:rPr>
        <w:t>, if any Series D Common Member holding Series D Common Units representing greater than one percent (1%) of the outstanding Units of the Company (the “</w:t>
      </w:r>
      <w:r>
        <w:rPr>
          <w:rFonts w:ascii="Arial" w:cs="Arial" w:eastAsia="Arial" w:hAnsi="Arial"/>
          <w:sz w:val="17"/>
          <w:szCs w:val="17"/>
          <w:b w:val="1"/>
          <w:bCs w:val="1"/>
          <w:u w:val="single" w:color="auto"/>
          <w:color w:val="auto"/>
        </w:rPr>
        <w:t>Offeror</w:t>
      </w:r>
      <w:r>
        <w:rPr>
          <w:rFonts w:ascii="Arial" w:cs="Arial" w:eastAsia="Arial" w:hAnsi="Arial"/>
          <w:sz w:val="17"/>
          <w:szCs w:val="17"/>
          <w:color w:val="auto"/>
        </w:rPr>
        <w:t>”) desires to Transfer any or all of its Series D Common Units (the “</w:t>
      </w:r>
      <w:r>
        <w:rPr>
          <w:rFonts w:ascii="Arial" w:cs="Arial" w:eastAsia="Arial" w:hAnsi="Arial"/>
          <w:sz w:val="17"/>
          <w:szCs w:val="17"/>
          <w:b w:val="1"/>
          <w:bCs w:val="1"/>
          <w:u w:val="single" w:color="auto"/>
          <w:color w:val="auto"/>
        </w:rPr>
        <w:t>Offered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Units</w:t>
      </w:r>
      <w:r>
        <w:rPr>
          <w:rFonts w:ascii="Arial" w:cs="Arial" w:eastAsia="Arial" w:hAnsi="Arial"/>
          <w:sz w:val="17"/>
          <w:szCs w:val="17"/>
          <w:color w:val="auto"/>
        </w:rPr>
        <w:t>”), the Offeror shall deliver to the Company, the Series 1 Senior Preferred Members and the Junior Preferred Members (the “</w:t>
      </w:r>
      <w:r>
        <w:rPr>
          <w:rFonts w:ascii="Arial" w:cs="Arial" w:eastAsia="Arial" w:hAnsi="Arial"/>
          <w:sz w:val="17"/>
          <w:szCs w:val="17"/>
          <w:b w:val="1"/>
          <w:bCs w:val="1"/>
          <w:u w:val="single" w:color="auto"/>
          <w:color w:val="auto"/>
        </w:rPr>
        <w:t>Offerees</w:t>
      </w:r>
      <w:r>
        <w:rPr>
          <w:rFonts w:ascii="Arial" w:cs="Arial" w:eastAsia="Arial" w:hAnsi="Arial"/>
          <w:sz w:val="17"/>
          <w:szCs w:val="17"/>
          <w:color w:val="auto"/>
        </w:rPr>
        <w:t>”) a written notice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proposed transaction (hereinafter referred to as a “</w:t>
      </w:r>
      <w:r>
        <w:rPr>
          <w:rFonts w:ascii="Arial" w:cs="Arial" w:eastAsia="Arial" w:hAnsi="Arial"/>
          <w:sz w:val="17"/>
          <w:szCs w:val="17"/>
          <w:b w:val="1"/>
          <w:bCs w:val="1"/>
          <w:u w:val="single" w:color="auto"/>
          <w:color w:val="auto"/>
        </w:rPr>
        <w:t>First Refusal Notice</w:t>
      </w:r>
      <w:r>
        <w:rPr>
          <w:rFonts w:ascii="Arial" w:cs="Arial" w:eastAsia="Arial" w:hAnsi="Arial"/>
          <w:sz w:val="17"/>
          <w:szCs w:val="17"/>
          <w:color w:val="auto"/>
        </w:rPr>
        <w:t>”) to Transfer the Offered Units, which shall set forth the name and address of the proposed purchaser (the “</w:t>
      </w:r>
      <w:r>
        <w:rPr>
          <w:rFonts w:ascii="Arial" w:cs="Arial" w:eastAsia="Arial" w:hAnsi="Arial"/>
          <w:sz w:val="17"/>
          <w:szCs w:val="17"/>
          <w:b w:val="1"/>
          <w:bCs w:val="1"/>
          <w:u w:val="single" w:color="auto"/>
          <w:color w:val="auto"/>
        </w:rPr>
        <w:t>Third Party Purchaser</w:t>
      </w:r>
      <w:r>
        <w:rPr>
          <w:rFonts w:ascii="Arial" w:cs="Arial" w:eastAsia="Arial" w:hAnsi="Arial"/>
          <w:sz w:val="17"/>
          <w:szCs w:val="17"/>
          <w:color w:val="auto"/>
        </w:rPr>
        <w:t>”) and the material terms and conditions of the proposed transaction, including the purchase price and the number of Offered Units. The First Refusal Notice shall be accompanied by a written offer (hereinafter referred to as the “</w:t>
      </w:r>
      <w:r>
        <w:rPr>
          <w:rFonts w:ascii="Arial" w:cs="Arial" w:eastAsia="Arial" w:hAnsi="Arial"/>
          <w:sz w:val="17"/>
          <w:szCs w:val="17"/>
          <w:b w:val="1"/>
          <w:bCs w:val="1"/>
          <w:u w:val="single" w:color="auto"/>
          <w:color w:val="auto"/>
        </w:rPr>
        <w:t>Inside Offer</w:t>
      </w:r>
      <w:r>
        <w:rPr>
          <w:rFonts w:ascii="Arial" w:cs="Arial" w:eastAsia="Arial" w:hAnsi="Arial"/>
          <w:sz w:val="17"/>
          <w:szCs w:val="17"/>
          <w:color w:val="auto"/>
        </w:rPr>
        <w:t xml:space="preserve">”) irrevocable for twenty (20) Business Days from the date it is given, to sell to the Offerees, for a price determined in accordance with </w:t>
      </w:r>
      <w:r>
        <w:rPr>
          <w:rFonts w:ascii="Arial" w:cs="Arial" w:eastAsia="Arial" w:hAnsi="Arial"/>
          <w:sz w:val="17"/>
          <w:szCs w:val="17"/>
          <w:u w:val="single" w:color="auto"/>
          <w:color w:val="auto"/>
        </w:rPr>
        <w:t>Section 5.2(c)</w:t>
      </w:r>
      <w:r>
        <w:rPr>
          <w:rFonts w:ascii="Arial" w:cs="Arial" w:eastAsia="Arial" w:hAnsi="Arial"/>
          <w:sz w:val="17"/>
          <w:szCs w:val="17"/>
          <w:color w:val="auto"/>
        </w:rPr>
        <w:t>, the Offered Units, on the same terms and conditions as are contained in the First Refusal Notice. Upon such occurrence, the Company shall be entitled to purchase any of the Offered Units that it chooses, which decision shall be made by a vote of the Board. If the Company does not purchase all of the Offered Units, each Offeree holding Senior Preferred Units shall be entitled to purchase its pro rata share of the Offered Units not purchased by the Company. The pro rata share of each such Offeree shall be equal to the product obtained by multiplying the Offered Units that are not to be purchased by the Company by a fraction, the numerator of which is the number of Senior Preferred Units held by such Offeree at the time of sale and the denominator of which is the number of Senior Preferred Units held by all such Offerees at such time. If the Company and the Senior Preferred Members do not purchase all of the Offered Units, each Offeree holding Junior Preferred Units shall be entitled to purchase its pro rata share of the Offered Units not purchased by the Company and Senior Preferred Members. The pro rata share of each such Offeree shall be equal to the product obtained by multiplying the Offered Units that are not to be purchased by the Company and Senior Preferred Members by a fraction, the numerator of which is the number of Junior Preferred Units held by such Offeree at the time of sale and the denominator of which is the number of Junior Preferred Units held by all such Offerees at such time. If one or more Offerees accept the Inside Offer as to any Offered</w:t>
      </w:r>
    </w:p>
    <w:p>
      <w:pPr>
        <w:sectPr>
          <w:pgSz w:w="11900" w:h="16838" w:orient="portrait"/>
          <w:cols w:equalWidth="0" w:num="1">
            <w:col w:w="11400"/>
          </w:cols>
          <w:pgMar w:left="240" w:top="273" w:right="259" w:bottom="1440" w:gutter="0" w:footer="0" w:header="0"/>
        </w:sectPr>
      </w:pPr>
    </w:p>
    <w:bookmarkStart w:id="339" w:name="page340"/>
    <w:bookmarkEnd w:id="339"/>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Units, such Offerees shall purchase and pay for such Offered Units in accordance with the terms of the Inside Offer. If any Offeree other than the Company does not accept its pro rata share of Offered Units, the other Offerees other than the Company that have accepted the Inside Offer in a timely fashion shall have the right of over-allotment with respect thereto.</w:t>
      </w:r>
    </w:p>
    <w:p>
      <w:pPr>
        <w:spacing w:after="0" w:line="181" w:lineRule="exact"/>
        <w:rPr>
          <w:sz w:val="20"/>
          <w:szCs w:val="20"/>
          <w:color w:val="auto"/>
        </w:rPr>
      </w:pPr>
    </w:p>
    <w:p>
      <w:pPr>
        <w:ind w:firstLine="921"/>
        <w:spacing w:after="0" w:line="272" w:lineRule="auto"/>
        <w:tabs>
          <w:tab w:leader="none" w:pos="1303" w:val="left"/>
        </w:tabs>
        <w:numPr>
          <w:ilvl w:val="1"/>
          <w:numId w:val="221"/>
        </w:numPr>
        <w:rPr>
          <w:rFonts w:ascii="Arial" w:cs="Arial" w:eastAsia="Arial" w:hAnsi="Arial"/>
          <w:sz w:val="17"/>
          <w:szCs w:val="17"/>
          <w:color w:val="auto"/>
        </w:rPr>
      </w:pPr>
      <w:r>
        <w:rPr>
          <w:rFonts w:ascii="Arial" w:cs="Arial" w:eastAsia="Arial" w:hAnsi="Arial"/>
          <w:sz w:val="17"/>
          <w:szCs w:val="17"/>
          <w:u w:val="single" w:color="auto"/>
          <w:color w:val="auto"/>
        </w:rPr>
        <w:t>Right of First Refusal Procedure</w:t>
      </w:r>
      <w:r>
        <w:rPr>
          <w:rFonts w:ascii="Arial" w:cs="Arial" w:eastAsia="Arial" w:hAnsi="Arial"/>
          <w:sz w:val="17"/>
          <w:szCs w:val="17"/>
          <w:color w:val="auto"/>
        </w:rPr>
        <w:t xml:space="preserve">. If any of the Offered Units offered by the Offeror are not purchased pursuant to the Inside Offer, or payment therefor is not made in accordance with </w:t>
      </w:r>
      <w:r>
        <w:rPr>
          <w:rFonts w:ascii="Arial" w:cs="Arial" w:eastAsia="Arial" w:hAnsi="Arial"/>
          <w:sz w:val="17"/>
          <w:szCs w:val="17"/>
          <w:u w:val="single" w:color="auto"/>
          <w:color w:val="auto"/>
        </w:rPr>
        <w:t>Sections 5.2(d)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5.2(e)</w:t>
      </w:r>
      <w:r>
        <w:rPr>
          <w:rFonts w:ascii="Arial" w:cs="Arial" w:eastAsia="Arial" w:hAnsi="Arial"/>
          <w:sz w:val="17"/>
          <w:szCs w:val="17"/>
          <w:color w:val="auto"/>
        </w:rPr>
        <w:t xml:space="preserve">, the Offeror may Transfer such Offered Units to the Third Party Purchaser on the same terms and conditions set forth in the First Refusal Notice, during the sixty (60) day period immediately following expiration of the Inside Offer;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Third Party Purchaser shall receive and hold such Offered Units subject to the provisions of this Agreement. All Offered Units Transferred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(other than Offered Units purchased by the Company) shall remain subject to the terms of this Agreement. Any Offered Units not purchased pursuant to the Inside Offer or by the Third Party Purchaser within such sixty (60) day period may not be Transferred without again offering them to the Offerees in accordance with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300" w:hanging="379"/>
        <w:spacing w:after="0"/>
        <w:tabs>
          <w:tab w:leader="none" w:pos="1300"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to the Offerees for Offered Units shall be an amount equal to: (i) 100% of the cash purchase price plus</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100% of the fair market value (as reasonably determined in good faith by the Board) of any non-cash consideration identified in the First Refusal Notice.</w:t>
      </w:r>
    </w:p>
    <w:p>
      <w:pPr>
        <w:spacing w:after="0" w:line="233" w:lineRule="exact"/>
        <w:rPr>
          <w:rFonts w:ascii="Arial" w:cs="Arial" w:eastAsia="Arial" w:hAnsi="Arial"/>
          <w:sz w:val="16"/>
          <w:szCs w:val="16"/>
          <w:color w:val="auto"/>
        </w:rPr>
      </w:pPr>
    </w:p>
    <w:p>
      <w:pPr>
        <w:ind w:right="60" w:firstLine="921"/>
        <w:spacing w:after="0" w:line="302" w:lineRule="auto"/>
        <w:tabs>
          <w:tab w:leader="none" w:pos="1303"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Terms of Payment</w:t>
      </w:r>
      <w:r>
        <w:rPr>
          <w:rFonts w:ascii="Arial" w:cs="Arial" w:eastAsia="Arial" w:hAnsi="Arial"/>
          <w:sz w:val="16"/>
          <w:szCs w:val="16"/>
          <w:color w:val="auto"/>
        </w:rPr>
        <w:t xml:space="preserve">. If the Offerees exercise their right to purchase Offered Units pursuant to the terms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the Offerees shall purchase such Offered Units on substantially the same terms and with the same method of payment as are specified in the First Refusal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method of payment set forth in the First Refusal Notice consists of property other than cash, then the Offerees shall be entitled to pay the purchase price in a sum of cash equivalent to the fair market value (as reasonably determined in good faith by the Board) of such other property.</w:t>
      </w:r>
    </w:p>
    <w:p>
      <w:pPr>
        <w:spacing w:after="0" w:line="154" w:lineRule="exact"/>
        <w:rPr>
          <w:rFonts w:ascii="Arial" w:cs="Arial" w:eastAsia="Arial" w:hAnsi="Arial"/>
          <w:sz w:val="16"/>
          <w:szCs w:val="16"/>
          <w:color w:val="auto"/>
        </w:rPr>
      </w:pPr>
    </w:p>
    <w:p>
      <w:pPr>
        <w:ind w:right="40" w:firstLine="921"/>
        <w:spacing w:after="0" w:line="270" w:lineRule="auto"/>
        <w:tabs>
          <w:tab w:leader="none" w:pos="1293" w:val="left"/>
        </w:tabs>
        <w:numPr>
          <w:ilvl w:val="1"/>
          <w:numId w:val="222"/>
        </w:numPr>
        <w:rPr>
          <w:rFonts w:ascii="Arial" w:cs="Arial" w:eastAsia="Arial" w:hAnsi="Arial"/>
          <w:sz w:val="17"/>
          <w:szCs w:val="17"/>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The closing date of the purchase of Offered Units subscribed for by the Offerees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shall be as specified in the written acceptance from the subscribing Offerees to the Offeror, which date shall not be fewer than five (5) or more than thirty (30) days after the giving of such notice by the Offerees. At such closing, the Offeror shall deliver to the subscribing Offerees appropriate documents representing ownership of the Offered Units being sold, duly endorsed for Transfer and accompanied by all requisite transfer taxes, if any, and such Offered Units shall be free and clear of any liens, claims, options, charges or encumbrances (other than restrictions under this Agreement or applicable securities laws), and the Offeror shall so represent and warrant, and shall further represent and warrant that the Offeror is the sole record and beneficial owner of such Offered Units. The Offerees purchasing Offered Units shall deliver at the closing payment of the purchase price as described in </w:t>
      </w:r>
      <w:r>
        <w:rPr>
          <w:rFonts w:ascii="Arial" w:cs="Arial" w:eastAsia="Arial" w:hAnsi="Arial"/>
          <w:sz w:val="17"/>
          <w:szCs w:val="17"/>
          <w:u w:val="single" w:color="auto"/>
          <w:color w:val="auto"/>
        </w:rPr>
        <w:t>Section 5.2(c)</w:t>
      </w:r>
      <w:r>
        <w:rPr>
          <w:rFonts w:ascii="Arial" w:cs="Arial" w:eastAsia="Arial" w:hAnsi="Arial"/>
          <w:sz w:val="17"/>
          <w:szCs w:val="17"/>
          <w:color w:val="auto"/>
        </w:rPr>
        <w:t>. At such closing, all of the parties to the transaction shall execute such additional documents as are otherwise necessary or appropriate to effect the sale of such Offered Units, including counterpart signature pages to this Agreement to reflect a party’s status as a Member.</w:t>
      </w:r>
    </w:p>
    <w:p>
      <w:pPr>
        <w:sectPr>
          <w:pgSz w:w="11900" w:h="16838" w:orient="portrait"/>
          <w:cols w:equalWidth="0" w:num="1">
            <w:col w:w="11400"/>
          </w:cols>
          <w:pgMar w:left="240" w:top="274" w:right="259" w:bottom="1440" w:gutter="0" w:footer="0" w:header="0"/>
        </w:sectPr>
      </w:pPr>
    </w:p>
    <w:bookmarkStart w:id="340" w:name="page341"/>
    <w:bookmarkEnd w:id="340"/>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5.3. </w:t>
      </w:r>
      <w:r>
        <w:rPr>
          <w:rFonts w:ascii="Arial" w:cs="Arial" w:eastAsia="Arial" w:hAnsi="Arial"/>
          <w:sz w:val="16"/>
          <w:szCs w:val="16"/>
          <w:u w:val="single" w:color="auto"/>
          <w:color w:val="auto"/>
        </w:rPr>
        <w:t>Right of Co-Sale</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w:t>
      </w:r>
      <w:r>
        <w:rPr>
          <w:rFonts w:ascii="Arial" w:cs="Arial" w:eastAsia="Arial" w:hAnsi="Arial"/>
          <w:sz w:val="16"/>
          <w:szCs w:val="16"/>
          <w:color w:val="auto"/>
        </w:rPr>
        <w:t>, if any Series D Common Member holding Series D Common Units representing greater than one percent (1%) of the outstanding Units of the Company (a “</w:t>
      </w:r>
      <w:r>
        <w:rPr>
          <w:rFonts w:ascii="Arial" w:cs="Arial" w:eastAsia="Arial" w:hAnsi="Arial"/>
          <w:sz w:val="16"/>
          <w:szCs w:val="16"/>
          <w:b w:val="1"/>
          <w:bCs w:val="1"/>
          <w:u w:val="single" w:color="auto"/>
          <w:color w:val="auto"/>
        </w:rPr>
        <w:t>Selling Member</w:t>
      </w:r>
      <w:r>
        <w:rPr>
          <w:rFonts w:ascii="Arial" w:cs="Arial" w:eastAsia="Arial" w:hAnsi="Arial"/>
          <w:sz w:val="16"/>
          <w:szCs w:val="16"/>
          <w:color w:val="auto"/>
        </w:rPr>
        <w:t>”) proposes to sell all or any of its Series D Common Units (the “</w:t>
      </w:r>
      <w:r>
        <w:rPr>
          <w:rFonts w:ascii="Arial" w:cs="Arial" w:eastAsia="Arial" w:hAnsi="Arial"/>
          <w:sz w:val="16"/>
          <w:szCs w:val="16"/>
          <w:b w:val="1"/>
          <w:bCs w:val="1"/>
          <w:u w:val="single" w:color="auto"/>
          <w:color w:val="auto"/>
        </w:rPr>
        <w:t>Specified Units</w:t>
      </w:r>
      <w:r>
        <w:rPr>
          <w:rFonts w:ascii="Arial" w:cs="Arial" w:eastAsia="Arial" w:hAnsi="Arial"/>
          <w:sz w:val="16"/>
          <w:szCs w:val="16"/>
          <w:color w:val="auto"/>
        </w:rPr>
        <w:t>”) to a Third Party Purchaser (excluding, for the avoidance of doubt, the Company), the Series 1 Senior Preferred Members and Junior Preferred Members (the “</w:t>
      </w:r>
      <w:r>
        <w:rPr>
          <w:rFonts w:ascii="Arial" w:cs="Arial" w:eastAsia="Arial" w:hAnsi="Arial"/>
          <w:sz w:val="16"/>
          <w:szCs w:val="16"/>
          <w:b w:val="1"/>
          <w:bCs w:val="1"/>
          <w:u w:val="single" w:color="auto"/>
          <w:color w:val="auto"/>
        </w:rPr>
        <w:t>Co-Sale Members</w:t>
      </w:r>
      <w:r>
        <w:rPr>
          <w:rFonts w:ascii="Arial" w:cs="Arial" w:eastAsia="Arial" w:hAnsi="Arial"/>
          <w:sz w:val="16"/>
          <w:szCs w:val="16"/>
          <w:color w:val="auto"/>
        </w:rPr>
        <w:t xml:space="preserve">”), regardless of whether a Co-Sale Member exercised its right of first refusal (if any) as an Offeree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shall have the right to Transfer Series 1 Senior Preferred Units and Junior Preferred Units of the Co-Sale Member to the Third Party Purchaser, as a condition to such Transfer by such Selling Member, in the amounts and on the terms and conditions as follows:</w:t>
      </w:r>
    </w:p>
    <w:p>
      <w:pPr>
        <w:spacing w:after="0" w:line="165" w:lineRule="exact"/>
        <w:rPr>
          <w:sz w:val="20"/>
          <w:szCs w:val="20"/>
          <w:color w:val="auto"/>
        </w:rPr>
      </w:pPr>
    </w:p>
    <w:p>
      <w:pPr>
        <w:ind w:right="100" w:firstLine="921"/>
        <w:spacing w:after="0" w:line="255" w:lineRule="auto"/>
        <w:tabs>
          <w:tab w:leader="none" w:pos="129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Option to Participate</w:t>
      </w:r>
      <w:r>
        <w:rPr>
          <w:rFonts w:ascii="Arial" w:cs="Arial" w:eastAsia="Arial" w:hAnsi="Arial"/>
          <w:sz w:val="18"/>
          <w:szCs w:val="18"/>
          <w:color w:val="auto"/>
        </w:rPr>
        <w:t>. The Selling Member shall deliver to the Company and the Co-Sale Members a written notice of the proposed transaction (hereinafter referred to as a “</w:t>
      </w:r>
      <w:r>
        <w:rPr>
          <w:rFonts w:ascii="Arial" w:cs="Arial" w:eastAsia="Arial" w:hAnsi="Arial"/>
          <w:sz w:val="18"/>
          <w:szCs w:val="18"/>
          <w:b w:val="1"/>
          <w:bCs w:val="1"/>
          <w:u w:val="single" w:color="auto"/>
          <w:color w:val="auto"/>
        </w:rPr>
        <w:t>Co-Sale Notice</w:t>
      </w:r>
      <w:r>
        <w:rPr>
          <w:rFonts w:ascii="Arial" w:cs="Arial" w:eastAsia="Arial" w:hAnsi="Arial"/>
          <w:sz w:val="18"/>
          <w:szCs w:val="18"/>
          <w:color w:val="auto"/>
        </w:rPr>
        <w:t>”) to Transfer the Specified Units which shall set forth the name and address of the Third Party Purchaser and the material terms and conditions of the proposed transactions, including the purchase price and the number of Specified Units (the “</w:t>
      </w:r>
      <w:r>
        <w:rPr>
          <w:rFonts w:ascii="Arial" w:cs="Arial" w:eastAsia="Arial" w:hAnsi="Arial"/>
          <w:sz w:val="18"/>
          <w:szCs w:val="18"/>
          <w:b w:val="1"/>
          <w:bCs w:val="1"/>
          <w:u w:val="single" w:color="auto"/>
          <w:color w:val="auto"/>
        </w:rPr>
        <w:t>Co-Sale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Terms</w:t>
      </w:r>
      <w:r>
        <w:rPr>
          <w:rFonts w:ascii="Arial" w:cs="Arial" w:eastAsia="Arial" w:hAnsi="Arial"/>
          <w:sz w:val="18"/>
          <w:szCs w:val="18"/>
          <w:color w:val="auto"/>
        </w:rPr>
        <w:t>”). Co-Sale Members may elect to participate in the contemplated sale by delivering a written notice (an “</w:t>
      </w:r>
      <w:r>
        <w:rPr>
          <w:rFonts w:ascii="Arial" w:cs="Arial" w:eastAsia="Arial" w:hAnsi="Arial"/>
          <w:sz w:val="18"/>
          <w:szCs w:val="18"/>
          <w:b w:val="1"/>
          <w:bCs w:val="1"/>
          <w:u w:val="single" w:color="auto"/>
          <w:color w:val="auto"/>
        </w:rPr>
        <w:t>Election Notice</w:t>
      </w:r>
      <w:r>
        <w:rPr>
          <w:rFonts w:ascii="Arial" w:cs="Arial" w:eastAsia="Arial" w:hAnsi="Arial"/>
          <w:sz w:val="18"/>
          <w:szCs w:val="18"/>
          <w:color w:val="auto"/>
        </w:rPr>
        <w:t>”) to the Selling Member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within twenty (20) Business Days after the giving of a Co-Sale Notice relating to such Transfer and the Co-Sale Members may elect to Transfer in the contemplated transaction up to that number of Series 1 Senior Preferred Units and Junior Preferred Units owned by the Co-Sale Members as is determined in accordance with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20" w:firstLine="921"/>
        <w:spacing w:after="0" w:line="255" w:lineRule="auto"/>
        <w:tabs>
          <w:tab w:leader="none" w:pos="130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Price per Unit</w:t>
      </w:r>
      <w:r>
        <w:rPr>
          <w:rFonts w:ascii="Arial" w:cs="Arial" w:eastAsia="Arial" w:hAnsi="Arial"/>
          <w:sz w:val="18"/>
          <w:szCs w:val="18"/>
          <w:color w:val="auto"/>
        </w:rPr>
        <w:t xml:space="preserve">. Each Co-Sale Member shall have the right to Transfer Series 1 Senior Preferred Units and Junior Preferred Units to the Third Party Purchaser pursuant to the Co-Sale Notice for an amount per Series 1 Senior Preferred Unit or Junior Preferred Unit, respectively, that equals the amount per Series 1 Senior Preferred Unit or Junior Preferred Unit, respectively, that such Co-Sale Member would be entitled to receive, if, immediately prior to such sale, the Company sold all of its assets subject to all of its liabilities for an amount equal to the implied aggregate equity valuation of the Company as reasonably determined by the Board based on the price per Specified Unit that the Third Party Purchaser proposed to pay to the Selling Member, and distributed such amount to the Members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otherwise on the same terms and conditions as involved in such proposed sale to the Third Party Purchaser by the Selling Member.</w:t>
      </w:r>
    </w:p>
    <w:p>
      <w:pPr>
        <w:spacing w:after="0" w:line="189" w:lineRule="exact"/>
        <w:rPr>
          <w:rFonts w:ascii="Arial" w:cs="Arial" w:eastAsia="Arial" w:hAnsi="Arial"/>
          <w:sz w:val="18"/>
          <w:szCs w:val="18"/>
          <w:color w:val="auto"/>
        </w:rPr>
      </w:pPr>
    </w:p>
    <w:p>
      <w:pPr>
        <w:ind w:right="40" w:firstLine="921"/>
        <w:spacing w:after="0" w:line="255" w:lineRule="auto"/>
        <w:tabs>
          <w:tab w:leader="none" w:pos="129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Number of Units</w:t>
      </w:r>
      <w:r>
        <w:rPr>
          <w:rFonts w:ascii="Arial" w:cs="Arial" w:eastAsia="Arial" w:hAnsi="Arial"/>
          <w:sz w:val="18"/>
          <w:szCs w:val="18"/>
          <w:color w:val="auto"/>
        </w:rPr>
        <w:t xml:space="preserve">. Each Co-Sale Member shall have the right to Transfer pursuant to the Co-Sale Notice an amount of Series 1 Senior Preferred Units and Junior Preferred Units equal to: (i) the number of Specified Units, multiplied by (ii) the result of: (A) the number of Series 1 Senior Preferred Units and Junior Preferred Units held by such Co-Sale Member, divided by (B) the total number of Series D Common Units (other than unvested Series D Common Units) issued and outstanding and held by the Selling Member plus the total number of all Series 1 Senior Preferred Units and Junior Preferred Units issued and outstanding and held by all Co-Sale Members participating in such sale pursuant to this </w:t>
      </w:r>
      <w:r>
        <w:rPr>
          <w:rFonts w:ascii="Arial" w:cs="Arial" w:eastAsia="Arial" w:hAnsi="Arial"/>
          <w:sz w:val="18"/>
          <w:szCs w:val="18"/>
          <w:u w:val="single" w:color="auto"/>
          <w:color w:val="auto"/>
        </w:rPr>
        <w:t>Section 5.3</w:t>
      </w:r>
      <w:r>
        <w:rPr>
          <w:rFonts w:ascii="Arial" w:cs="Arial" w:eastAsia="Arial" w:hAnsi="Arial"/>
          <w:sz w:val="18"/>
          <w:szCs w:val="18"/>
          <w:color w:val="auto"/>
        </w:rPr>
        <w:t>. To the extent that any Co-Sale Member exercises such right of participation in accordance with the terms and conditions of this Agreement, the number of Specified Units which the Selling Member may Transfer shall be correspondingly reduced.</w:t>
      </w:r>
    </w:p>
    <w:p>
      <w:pPr>
        <w:sectPr>
          <w:pgSz w:w="11900" w:h="16838" w:orient="portrait"/>
          <w:cols w:equalWidth="0" w:num="1">
            <w:col w:w="11420"/>
          </w:cols>
          <w:pgMar w:left="240" w:top="274" w:right="239" w:bottom="1440" w:gutter="0" w:footer="0" w:header="0"/>
        </w:sectPr>
      </w:pPr>
    </w:p>
    <w:bookmarkStart w:id="341" w:name="page342"/>
    <w:bookmarkEnd w:id="341"/>
    <w:p>
      <w:pPr>
        <w:ind w:right="60" w:firstLine="921"/>
        <w:spacing w:after="0" w:line="286" w:lineRule="auto"/>
        <w:tabs>
          <w:tab w:leader="none" w:pos="1303"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 Restrictions Binding on Third Party Purchaser</w:t>
      </w:r>
      <w:r>
        <w:rPr>
          <w:rFonts w:ascii="Arial" w:cs="Arial" w:eastAsia="Arial" w:hAnsi="Arial"/>
          <w:sz w:val="17"/>
          <w:szCs w:val="17"/>
          <w:color w:val="auto"/>
        </w:rPr>
        <w:t xml:space="preserve">. If any Units are sold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to any Third Party Purchaser who is not a party to this Agreement, such purchaser shall agree to be bound by the terms, conditions and obligations of this Agreement as a precondition to the purchase of such Units and such Units shall continue to be subject to the provisions set forth in this Agreement.</w:t>
      </w:r>
    </w:p>
    <w:p>
      <w:pPr>
        <w:spacing w:after="0" w:line="165" w:lineRule="exact"/>
        <w:rPr>
          <w:rFonts w:ascii="Arial" w:cs="Arial" w:eastAsia="Arial" w:hAnsi="Arial"/>
          <w:sz w:val="17"/>
          <w:szCs w:val="17"/>
          <w:color w:val="auto"/>
        </w:rPr>
      </w:pPr>
    </w:p>
    <w:p>
      <w:pPr>
        <w:ind w:right="40" w:firstLine="921"/>
        <w:spacing w:after="0" w:line="290" w:lineRule="auto"/>
        <w:tabs>
          <w:tab w:leader="none" w:pos="1293"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Other Obligations</w:t>
      </w:r>
      <w:r>
        <w:rPr>
          <w:rFonts w:ascii="Arial" w:cs="Arial" w:eastAsia="Arial" w:hAnsi="Arial"/>
          <w:sz w:val="16"/>
          <w:szCs w:val="16"/>
          <w:color w:val="auto"/>
        </w:rPr>
        <w:t xml:space="preserve">. In connection with a Transfer pursuant to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each participating Co-Sale Member shall be required (i) to make representations and warranties in such form as the Selling Member or the Third Party Purchaser may reasonably request, regarding the Series 1 Senior Preferred Units and Junior Preferred Units that it proposes to Transfer, including, such Co-Sale Member’s ownership of and authority to Transfer such Series 1 Senior Preferred Units and Junior Preferred Units, the absence of any liens or other encumbrances on such Series 1 Senior Preferred Units and Junior Preferred Units (other than restrictions under this Agreement or applicable securities laws), and the compliance of such Transfer with federal and state securities laws and all other applicable laws and regulations; and (ii) to bear its proportionate share of any escrows, holdbacks or adjustments in respect of the purchase price or indemnification obligations. In connection with a Transfer pursuant to this </w:t>
      </w:r>
      <w:r>
        <w:rPr>
          <w:rFonts w:ascii="Arial" w:cs="Arial" w:eastAsia="Arial" w:hAnsi="Arial"/>
          <w:sz w:val="16"/>
          <w:szCs w:val="16"/>
          <w:u w:val="single" w:color="auto"/>
          <w:color w:val="auto"/>
        </w:rPr>
        <w:t>Section 5.3</w:t>
      </w:r>
      <w:r>
        <w:rPr>
          <w:rFonts w:ascii="Arial" w:cs="Arial" w:eastAsia="Arial" w:hAnsi="Arial"/>
          <w:sz w:val="16"/>
          <w:szCs w:val="16"/>
          <w:color w:val="auto"/>
        </w:rPr>
        <w:t>, no participating Co-Sale Member or any of its Affiliates shall be required to agree to any noncompetition, customer nonsolicitation or similar restrictive covenants.</w:t>
      </w:r>
    </w:p>
    <w:p>
      <w:pPr>
        <w:spacing w:after="0" w:line="166" w:lineRule="exact"/>
        <w:rPr>
          <w:rFonts w:ascii="Arial" w:cs="Arial" w:eastAsia="Arial" w:hAnsi="Arial"/>
          <w:sz w:val="16"/>
          <w:szCs w:val="16"/>
          <w:color w:val="auto"/>
        </w:rPr>
      </w:pPr>
    </w:p>
    <w:p>
      <w:pPr>
        <w:ind w:right="180" w:firstLine="921"/>
        <w:spacing w:after="0" w:line="277" w:lineRule="auto"/>
        <w:tabs>
          <w:tab w:leader="none" w:pos="1273"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No Waiver of Subsequent Rights</w:t>
      </w:r>
      <w:r>
        <w:rPr>
          <w:rFonts w:ascii="Arial" w:cs="Arial" w:eastAsia="Arial" w:hAnsi="Arial"/>
          <w:sz w:val="18"/>
          <w:szCs w:val="18"/>
          <w:color w:val="auto"/>
        </w:rPr>
        <w:t xml:space="preserve">. The exercise or non-exercise of the rights of any Co-Sale Member under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not affect its rights to participate in subsequent Transfers by a Selling Member that meet the conditions specified in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921"/>
        <w:spacing w:after="0" w:line="277" w:lineRule="auto"/>
        <w:tabs>
          <w:tab w:leader="none" w:pos="1303"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Consummation of Sale</w:t>
      </w:r>
      <w:r>
        <w:rPr>
          <w:rFonts w:ascii="Arial" w:cs="Arial" w:eastAsia="Arial" w:hAnsi="Arial"/>
          <w:sz w:val="18"/>
          <w:szCs w:val="18"/>
          <w:color w:val="auto"/>
        </w:rPr>
        <w:t xml:space="preserve">. The Selling Member shall have no liability to any Co-Sale Member if any Transfer proposed to be made pursuant to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is not consummated.</w:t>
      </w:r>
    </w:p>
    <w:p>
      <w:pPr>
        <w:spacing w:after="0" w:line="17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Indemnities</w:t>
      </w:r>
      <w:r>
        <w:rPr>
          <w:rFonts w:ascii="Arial" w:cs="Arial" w:eastAsia="Arial" w:hAnsi="Arial"/>
          <w:sz w:val="17"/>
          <w:szCs w:val="17"/>
          <w:color w:val="auto"/>
        </w:rPr>
        <w:t xml:space="preserve">. If Members are required to provide any representations, warranties or indemnities in connection with the Transfer of their Units in a transaction described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(other than representations, warranties and indemnities concerning each such Member’s valid ownership of its Units free of all liens and encumbrances (other than restrictions under this Agreement or applicable securities laws), and each such Member’s authority, power and right to enter into and consummate such sale or Transfer without violating any other agreement), then each such Member shall not be liable for more than the amount of proceeds actually received by such Member for any liability for misrepresentation, breach of warranty or indemnity and such liability shall be satisfied first out of any funds escrowed for such purpose.</w:t>
      </w:r>
    </w:p>
    <w:p>
      <w:pPr>
        <w:spacing w:after="0" w:line="287"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Preemptive Rights</w:t>
      </w:r>
      <w:r>
        <w:rPr>
          <w:rFonts w:ascii="Arial" w:cs="Arial" w:eastAsia="Arial" w:hAnsi="Arial"/>
          <w:sz w:val="16"/>
          <w:szCs w:val="16"/>
          <w:color w:val="auto"/>
        </w:rPr>
        <w:t>.</w:t>
      </w:r>
    </w:p>
    <w:p>
      <w:pPr>
        <w:spacing w:after="0" w:line="113" w:lineRule="exact"/>
        <w:rPr>
          <w:sz w:val="20"/>
          <w:szCs w:val="20"/>
          <w:color w:val="auto"/>
        </w:rPr>
      </w:pPr>
    </w:p>
    <w:p>
      <w:pPr>
        <w:jc w:val="both"/>
        <w:ind w:right="120" w:firstLine="921"/>
        <w:spacing w:after="0" w:line="303" w:lineRule="auto"/>
        <w:tabs>
          <w:tab w:leader="none" w:pos="128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Company hereby grants to each Major Investor, Series B Common Member and Series C Common Member (the “</w:t>
      </w:r>
      <w:r>
        <w:rPr>
          <w:rFonts w:ascii="Arial" w:cs="Arial" w:eastAsia="Arial" w:hAnsi="Arial"/>
          <w:sz w:val="16"/>
          <w:szCs w:val="16"/>
          <w:b w:val="1"/>
          <w:bCs w:val="1"/>
          <w:u w:val="single" w:color="auto"/>
          <w:color w:val="auto"/>
        </w:rPr>
        <w:t>Preemptive Rights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Members</w:t>
      </w:r>
      <w:r>
        <w:rPr>
          <w:rFonts w:ascii="Arial" w:cs="Arial" w:eastAsia="Arial" w:hAnsi="Arial"/>
          <w:sz w:val="16"/>
          <w:szCs w:val="16"/>
          <w:color w:val="auto"/>
        </w:rPr>
        <w:t>”), the right to purchase up to that number of New Securities (as defined below) equal to the number of New Securities which the Company,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proposes to sell or issue, following the date of this Agreement, multiplied by a fraction, the numerator of which is the sum of (i) the number of Units held by such Preemptive Rights Member at the time of issuance of the New Securities, plus (ii) the number of Series 2 Senior</w:t>
      </w:r>
    </w:p>
    <w:p>
      <w:pPr>
        <w:sectPr>
          <w:pgSz w:w="11900" w:h="16838" w:orient="portrait"/>
          <w:cols w:equalWidth="0" w:num="1">
            <w:col w:w="11400"/>
          </w:cols>
          <w:pgMar w:left="240" w:top="274" w:right="259" w:bottom="1440" w:gutter="0" w:footer="0" w:header="0"/>
        </w:sectPr>
      </w:pPr>
    </w:p>
    <w:bookmarkStart w:id="342" w:name="page343"/>
    <w:bookmarkEnd w:id="342"/>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Preferred Units that such Preemptive Rights Member would be entitled to purchase at the Additional Closing in accordance with Section 2.3(a) of the Senior Preferred Purchase Agreement, and the denominator of which is the sum of (i) the number of Units held by all Members (excluding unvested Units) at the time of issuance of the New Securities, plus (ii) the total number of Series 2 Senior Preferred Units to be sold at the Additional Closing.</w:t>
      </w:r>
    </w:p>
    <w:p>
      <w:pPr>
        <w:spacing w:after="0" w:line="162" w:lineRule="exact"/>
        <w:rPr>
          <w:sz w:val="20"/>
          <w:szCs w:val="20"/>
          <w:color w:val="auto"/>
        </w:rPr>
      </w:pPr>
    </w:p>
    <w:p>
      <w:pPr>
        <w:ind w:right="100" w:firstLine="921"/>
        <w:spacing w:after="0" w:line="303" w:lineRule="auto"/>
        <w:tabs>
          <w:tab w:leader="none" w:pos="1303"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Definition of New Securities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New Securities</w:t>
      </w:r>
      <w:r>
        <w:rPr>
          <w:rFonts w:ascii="Arial" w:cs="Arial" w:eastAsia="Arial" w:hAnsi="Arial"/>
          <w:sz w:val="16"/>
          <w:szCs w:val="16"/>
          <w:color w:val="auto"/>
        </w:rPr>
        <w:t xml:space="preserve">” means (1) any Units or other equity securities of the Company whether now authorized or not, or (2) any rights, options or warrants to purchase Units or other equity securities and any indebtedness or class of Units of the Company which is convertible or exchangeable into Units or other equity securities (or which is convertible or exchangeable into a security which is, in turn, convertible or exchangeable into Units or other equity securities)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New Securities does not include:</w:t>
      </w:r>
    </w:p>
    <w:p>
      <w:pPr>
        <w:spacing w:after="0" w:line="155" w:lineRule="exact"/>
        <w:rPr>
          <w:rFonts w:ascii="Arial" w:cs="Arial" w:eastAsia="Arial" w:hAnsi="Arial"/>
          <w:sz w:val="16"/>
          <w:szCs w:val="16"/>
          <w:color w:val="auto"/>
        </w:rPr>
      </w:pPr>
    </w:p>
    <w:p>
      <w:pPr>
        <w:ind w:left="1840" w:hanging="348"/>
        <w:spacing w:after="0"/>
        <w:tabs>
          <w:tab w:leader="none" w:pos="18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Units issued upon any subdivision or combination of all Units;</w:t>
      </w:r>
    </w:p>
    <w:p>
      <w:pPr>
        <w:spacing w:after="0" w:line="225" w:lineRule="exact"/>
        <w:rPr>
          <w:rFonts w:ascii="Arial" w:cs="Arial" w:eastAsia="Arial" w:hAnsi="Arial"/>
          <w:sz w:val="18"/>
          <w:szCs w:val="18"/>
          <w:color w:val="auto"/>
        </w:rPr>
      </w:pPr>
    </w:p>
    <w:p>
      <w:pPr>
        <w:ind w:right="140" w:firstLine="1492"/>
        <w:spacing w:after="0" w:line="257" w:lineRule="auto"/>
        <w:tabs>
          <w:tab w:leader="none" w:pos="1883"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Series D Common Units issued to officers, employees, consultants and other service providers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aggregate number of such Units issued after the date of this Agreement that are outstanding as of such time shall not exceed the sum of (A) 1,350,000 (including for this purpose all of such Units that are unvested) and (B) the number of such Units outstanding on the date of this Agreement that are forfeited to the Company for no consideration and thereafter made available for issuance (as equitably adjusted for Unit splits, distributions of Units, Unit combinations or similar events);</w:t>
      </w:r>
    </w:p>
    <w:p>
      <w:pPr>
        <w:spacing w:after="0" w:line="188" w:lineRule="exact"/>
        <w:rPr>
          <w:rFonts w:ascii="Arial" w:cs="Arial" w:eastAsia="Arial" w:hAnsi="Arial"/>
          <w:sz w:val="18"/>
          <w:szCs w:val="18"/>
          <w:color w:val="auto"/>
        </w:rPr>
      </w:pPr>
    </w:p>
    <w:p>
      <w:pPr>
        <w:ind w:left="1940" w:hanging="448"/>
        <w:spacing w:after="0"/>
        <w:tabs>
          <w:tab w:leader="none" w:pos="19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issuance of any Units upon the exercise or conversion of any rights, options or warrants to purchase Units; or</w:t>
      </w:r>
    </w:p>
    <w:p>
      <w:pPr>
        <w:spacing w:after="0" w:line="225" w:lineRule="exact"/>
        <w:rPr>
          <w:rFonts w:ascii="Arial" w:cs="Arial" w:eastAsia="Arial" w:hAnsi="Arial"/>
          <w:sz w:val="18"/>
          <w:szCs w:val="18"/>
          <w:color w:val="auto"/>
        </w:rPr>
      </w:pPr>
    </w:p>
    <w:p>
      <w:pPr>
        <w:ind w:left="1940" w:hanging="448"/>
        <w:spacing w:after="0"/>
        <w:tabs>
          <w:tab w:leader="none" w:pos="19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Series 2 Senior Preferred Units issued upon an Additional Closing Event.</w:t>
      </w:r>
    </w:p>
    <w:p>
      <w:pPr>
        <w:spacing w:after="0" w:line="225" w:lineRule="exact"/>
        <w:rPr>
          <w:rFonts w:ascii="Arial" w:cs="Arial" w:eastAsia="Arial" w:hAnsi="Arial"/>
          <w:sz w:val="18"/>
          <w:szCs w:val="18"/>
          <w:color w:val="auto"/>
        </w:rPr>
      </w:pPr>
    </w:p>
    <w:p>
      <w:pPr>
        <w:ind w:right="40" w:firstLine="921"/>
        <w:spacing w:after="0" w:line="273" w:lineRule="auto"/>
        <w:tabs>
          <w:tab w:leader="none" w:pos="1293"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Notice from the Company</w:t>
      </w:r>
      <w:r>
        <w:rPr>
          <w:rFonts w:ascii="Arial" w:cs="Arial" w:eastAsia="Arial" w:hAnsi="Arial"/>
          <w:sz w:val="17"/>
          <w:szCs w:val="17"/>
          <w:color w:val="auto"/>
        </w:rPr>
        <w:t xml:space="preserve">. If New Securities are to be issued which trigger the rights set forth in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the Company shall give each Preemptive Rights Member written notice of such proposal, describing the type of New Securities and the price and the terms upon which the Company proposes to issue the same. For a period of twenty-five (25) days following the giving of such notice by the Company, the Company shall be deemed to have irrevocably offered to sell to each Preemptive Rights Member the number of New Securities calculated in accordance with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for the price and upon the terms specified in the notice. Each Preemptive Rights Member may exercise its preemptive rights hereunder by giving written notice to the Company and stating therein the quantity of New Securities to be purchased.</w:t>
      </w:r>
    </w:p>
    <w:p>
      <w:pPr>
        <w:spacing w:after="0" w:line="178" w:lineRule="exact"/>
        <w:rPr>
          <w:rFonts w:ascii="Arial" w:cs="Arial" w:eastAsia="Arial" w:hAnsi="Arial"/>
          <w:sz w:val="17"/>
          <w:szCs w:val="17"/>
          <w:color w:val="auto"/>
        </w:rPr>
      </w:pPr>
    </w:p>
    <w:p>
      <w:pPr>
        <w:ind w:firstLine="921"/>
        <w:spacing w:after="0" w:line="257" w:lineRule="auto"/>
        <w:tabs>
          <w:tab w:leader="none" w:pos="1303"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Sale by the Company</w:t>
      </w:r>
      <w:r>
        <w:rPr>
          <w:rFonts w:ascii="Arial" w:cs="Arial" w:eastAsia="Arial" w:hAnsi="Arial"/>
          <w:sz w:val="18"/>
          <w:szCs w:val="18"/>
          <w:color w:val="auto"/>
        </w:rPr>
        <w:t xml:space="preserve">. If any Preemptive Rights Member fails to exercise in full its preemptive right within said twenty-five (25) day period, each Preemptive Rights Member that has exercised in full its preemptive right within such period shall have the right of over-allotment with respect thereto. If, after the foregoing, preemptive rights have not been exercised with respect to all proposed New Securities, the Company shall have sixty (60) days thereafter to sell the New Securities with respect to which the preemptive right was not exercised, at a price and upon terms no more favorable to the purchasers thereof than specified in the Company’s notice given pursuant to </w:t>
      </w:r>
      <w:r>
        <w:rPr>
          <w:rFonts w:ascii="Arial" w:cs="Arial" w:eastAsia="Arial" w:hAnsi="Arial"/>
          <w:sz w:val="18"/>
          <w:szCs w:val="18"/>
          <w:u w:val="single" w:color="auto"/>
          <w:color w:val="auto"/>
        </w:rPr>
        <w:t>Section 5.5(d)</w:t>
      </w:r>
      <w:r>
        <w:rPr>
          <w:rFonts w:ascii="Arial" w:cs="Arial" w:eastAsia="Arial" w:hAnsi="Arial"/>
          <w:sz w:val="18"/>
          <w:szCs w:val="18"/>
          <w:color w:val="auto"/>
        </w:rPr>
        <w:t>.</w:t>
      </w:r>
    </w:p>
    <w:p>
      <w:pPr>
        <w:sectPr>
          <w:pgSz w:w="11900" w:h="16838" w:orient="portrait"/>
          <w:cols w:equalWidth="0" w:num="1">
            <w:col w:w="11380"/>
          </w:cols>
          <w:pgMar w:left="240" w:top="273" w:right="279" w:bottom="1440" w:gutter="0" w:footer="0" w:header="0"/>
        </w:sectPr>
      </w:pPr>
    </w:p>
    <w:bookmarkStart w:id="343" w:name="page344"/>
    <w:bookmarkEnd w:id="343"/>
    <w:p>
      <w:pPr>
        <w:jc w:val="both"/>
        <w:ind w:left="-80" w:right="40" w:firstLine="921"/>
        <w:spacing w:after="0" w:line="342" w:lineRule="auto"/>
        <w:tabs>
          <w:tab w:leader="none" w:pos="1213"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Closing</w:t>
      </w:r>
      <w:r>
        <w:rPr>
          <w:rFonts w:ascii="Arial" w:cs="Arial" w:eastAsia="Arial" w:hAnsi="Arial"/>
          <w:sz w:val="16"/>
          <w:szCs w:val="16"/>
          <w:color w:val="auto"/>
        </w:rPr>
        <w:t>. The closing for any such issuance shall take place as proposed by the Company with respect to the New Securities to be issued, at which closing the Company shall revise the List of Members to reflect the respective names of the purchasing Members against receipt of payment therefor.</w:t>
      </w:r>
    </w:p>
    <w:p>
      <w:pPr>
        <w:spacing w:after="0" w:line="123" w:lineRule="exact"/>
        <w:rPr>
          <w:rFonts w:ascii="Arial" w:cs="Arial" w:eastAsia="Arial" w:hAnsi="Arial"/>
          <w:sz w:val="16"/>
          <w:szCs w:val="16"/>
          <w:color w:val="auto"/>
        </w:rPr>
      </w:pPr>
    </w:p>
    <w:p>
      <w:pPr>
        <w:ind w:left="-80" w:firstLine="921"/>
        <w:spacing w:after="0" w:line="290" w:lineRule="auto"/>
        <w:tabs>
          <w:tab w:leader="none" w:pos="1193"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Immediate Purchase</w:t>
      </w:r>
      <w:r>
        <w:rPr>
          <w:rFonts w:ascii="Arial" w:cs="Arial" w:eastAsia="Arial" w:hAnsi="Arial"/>
          <w:sz w:val="16"/>
          <w:szCs w:val="16"/>
          <w:color w:val="auto"/>
        </w:rPr>
        <w:t xml:space="preserve">. Upon the written consent of the Holders of a majority of the outstanding Series 1 Senior Preferred Units and Junior Preferred Units, voting together as a single class, nothing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be deemed to prevent the Company from issuing New Securities, for cash, to any Preemptive Rights Member (an “</w:t>
      </w:r>
      <w:r>
        <w:rPr>
          <w:rFonts w:ascii="Arial" w:cs="Arial" w:eastAsia="Arial" w:hAnsi="Arial"/>
          <w:sz w:val="16"/>
          <w:szCs w:val="16"/>
          <w:b w:val="1"/>
          <w:bCs w:val="1"/>
          <w:u w:val="single" w:color="auto"/>
          <w:color w:val="auto"/>
        </w:rPr>
        <w:t>Immediate Purchaser</w:t>
      </w:r>
      <w:r>
        <w:rPr>
          <w:rFonts w:ascii="Arial" w:cs="Arial" w:eastAsia="Arial" w:hAnsi="Arial"/>
          <w:sz w:val="16"/>
          <w:szCs w:val="16"/>
          <w:color w:val="auto"/>
        </w:rPr>
        <w:t xml:space="preserve">”) without first complying with the provisions of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connection with such purchase (an “</w:t>
      </w:r>
      <w:r>
        <w:rPr>
          <w:rFonts w:ascii="Arial" w:cs="Arial" w:eastAsia="Arial" w:hAnsi="Arial"/>
          <w:sz w:val="16"/>
          <w:szCs w:val="16"/>
          <w:b w:val="1"/>
          <w:bCs w:val="1"/>
          <w:u w:val="single" w:color="auto"/>
          <w:color w:val="auto"/>
        </w:rPr>
        <w:t>Immediate Purchase</w:t>
      </w:r>
      <w:r>
        <w:rPr>
          <w:rFonts w:ascii="Arial" w:cs="Arial" w:eastAsia="Arial" w:hAnsi="Arial"/>
          <w:sz w:val="16"/>
          <w:szCs w:val="16"/>
          <w:color w:val="auto"/>
        </w:rPr>
        <w:t xml:space="preserve">”): (i) the Board has determined in good faith that an immediate cash investment is in the best interests of the Company; and (ii) within twenty (20) Business Days following the consummation of any Immediate Purchase, the Immediate Purchaser and the Company shall notify each of the other Preemptive Rights Members of the existence and terms of the Immediate Purchase and afford such Preemptive Rights Members their respective rights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with respect to their purchase of a pro rata share (based upon relative ownership of Units) of the New Securities issued to the Immediate Purchaser at the same purchase price paid by the Immediate Purchaser.</w:t>
      </w:r>
    </w:p>
    <w:p>
      <w:pPr>
        <w:spacing w:after="0" w:line="166" w:lineRule="exact"/>
        <w:rPr>
          <w:rFonts w:ascii="Arial" w:cs="Arial" w:eastAsia="Arial" w:hAnsi="Arial"/>
          <w:sz w:val="16"/>
          <w:szCs w:val="16"/>
          <w:color w:val="auto"/>
        </w:rPr>
      </w:pPr>
    </w:p>
    <w:p>
      <w:pPr>
        <w:ind w:left="-80" w:right="140" w:firstLine="921"/>
        <w:spacing w:after="0" w:line="342" w:lineRule="auto"/>
        <w:tabs>
          <w:tab w:leader="none" w:pos="1223"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By its execution of this Agreement, each Member hereby irrevocably waives its preemptive rights pursuant to the 2</w:t>
      </w:r>
      <w:r>
        <w:rPr>
          <w:rFonts w:ascii="Arial" w:cs="Arial" w:eastAsia="Arial" w:hAnsi="Arial"/>
          <w:sz w:val="13"/>
          <w:szCs w:val="13"/>
          <w:color w:val="auto"/>
        </w:rPr>
        <w:t>nd</w:t>
      </w:r>
      <w:r>
        <w:rPr>
          <w:rFonts w:ascii="Arial" w:cs="Arial" w:eastAsia="Arial" w:hAnsi="Arial"/>
          <w:sz w:val="16"/>
          <w:szCs w:val="16"/>
          <w:color w:val="auto"/>
        </w:rPr>
        <w:t xml:space="preserve"> A&amp;R LLC Agreement and/or the GT LLC Agreement in connection with the issuance and sale of the Series 1 Senior Preferred Units on the date of this Agreement.</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 AND OPERATION OF THE COMPANY</w:t>
      </w:r>
    </w:p>
    <w:p>
      <w:pPr>
        <w:spacing w:after="0" w:line="229"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Board</w:t>
      </w:r>
      <w:r>
        <w:rPr>
          <w:rFonts w:ascii="Arial" w:cs="Arial" w:eastAsia="Arial" w:hAnsi="Arial"/>
          <w:sz w:val="16"/>
          <w:szCs w:val="16"/>
          <w:color w:val="auto"/>
        </w:rPr>
        <w:t>.</w:t>
      </w:r>
    </w:p>
    <w:p>
      <w:pPr>
        <w:spacing w:after="0" w:line="117" w:lineRule="exact"/>
        <w:rPr>
          <w:sz w:val="20"/>
          <w:szCs w:val="20"/>
          <w:color w:val="auto"/>
        </w:rPr>
      </w:pPr>
    </w:p>
    <w:p>
      <w:pPr>
        <w:ind w:left="-80" w:firstLine="921"/>
        <w:spacing w:after="0" w:line="288" w:lineRule="auto"/>
        <w:tabs>
          <w:tab w:leader="none" w:pos="1213"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Management</w:t>
      </w:r>
      <w:r>
        <w:rPr>
          <w:rFonts w:ascii="Arial" w:cs="Arial" w:eastAsia="Arial" w:hAnsi="Arial"/>
          <w:sz w:val="16"/>
          <w:szCs w:val="16"/>
          <w:color w:val="auto"/>
        </w:rPr>
        <w:t>. In accordance with Section 18-402 of the Act, management of the Company shall be vested in the Board, and, except with respect to certain consent or approval requirements required by the Act or provided in this Agreement, no Member, by virtue of having the status of a Member, shall have any management power over the business and affairs of the Company or actual or apparent authority to enter into contracts on behalf of, or to otherwise bind, the Company. Except as described in the preceding sentence, (i) the powers of the Company shall be exercised by or under the authority of, and the business and affairs of the Company shall be managed under the direction of, the Board in accordance with this Agreement and (ii) the Managers shall exercise such powers in compliance with this Agreement and ensure that all required organizational formalities are observed with respect to the Company. Under the direction of the Board, the day-to-day activities of the Company shall be conducted on the Company’s behalf by the Officers, who shall be agents of the Company. In addition to the powers that now or hereafter may be granted under the Act and to all other powers granted under any other provision of this Agreement, the Board shall have full power and authority to do all things on such terms as it may deem necessary or appropriate to conduct, or cause to be conducted, the business and affairs of the Company, subject to the provisions of the Act and this Agreement.</w:t>
      </w:r>
    </w:p>
    <w:p>
      <w:pPr>
        <w:sectPr>
          <w:pgSz w:w="11900" w:h="16838" w:orient="portrait"/>
          <w:cols w:equalWidth="0" w:num="1">
            <w:col w:w="11260"/>
          </w:cols>
          <w:pgMar w:left="320" w:top="273" w:right="319" w:bottom="1440" w:gutter="0" w:footer="0" w:header="0"/>
        </w:sectPr>
      </w:pPr>
    </w:p>
    <w:bookmarkStart w:id="344" w:name="page345"/>
    <w:bookmarkEnd w:id="344"/>
    <w:p>
      <w:pPr>
        <w:ind w:left="-921" w:right="20" w:firstLine="921"/>
        <w:spacing w:after="0" w:line="259" w:lineRule="auto"/>
        <w:tabs>
          <w:tab w:leader="none" w:pos="382"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Appointment</w:t>
      </w:r>
      <w:r>
        <w:rPr>
          <w:rFonts w:ascii="Arial" w:cs="Arial" w:eastAsia="Arial" w:hAnsi="Arial"/>
          <w:sz w:val="18"/>
          <w:szCs w:val="18"/>
          <w:color w:val="auto"/>
        </w:rPr>
        <w:t xml:space="preserve">. The Board shall initially consist of eight (8) Managers. Appointments made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be evidenced by an instrument in writing signed by the appointing Member(s) and delivered to the Company. A Manager is not required to hold Units in order to serve as a Manager. Each Manager shall hold office until his successor is appointed and qualified or until his earlier resignation, removal or death. The Managers of the Company shall be designated and elected as follows:</w:t>
      </w:r>
    </w:p>
    <w:p>
      <w:pPr>
        <w:spacing w:after="0" w:line="186" w:lineRule="exact"/>
        <w:rPr>
          <w:rFonts w:ascii="Arial" w:cs="Arial" w:eastAsia="Arial" w:hAnsi="Arial"/>
          <w:sz w:val="18"/>
          <w:szCs w:val="18"/>
          <w:color w:val="auto"/>
        </w:rPr>
      </w:pPr>
    </w:p>
    <w:p>
      <w:pPr>
        <w:ind w:left="-921" w:firstLine="1492"/>
        <w:spacing w:after="0" w:line="273" w:lineRule="auto"/>
        <w:tabs>
          <w:tab w:leader="none" w:pos="912" w:val="left"/>
        </w:tabs>
        <w:numPr>
          <w:ilvl w:val="1"/>
          <w:numId w:val="229"/>
        </w:numPr>
        <w:rPr>
          <w:rFonts w:ascii="Arial" w:cs="Arial" w:eastAsia="Arial" w:hAnsi="Arial"/>
          <w:sz w:val="17"/>
          <w:szCs w:val="17"/>
          <w:color w:val="auto"/>
        </w:rPr>
      </w:pPr>
      <w:r>
        <w:rPr>
          <w:rFonts w:ascii="Arial" w:cs="Arial" w:eastAsia="Arial" w:hAnsi="Arial"/>
          <w:sz w:val="17"/>
          <w:szCs w:val="17"/>
          <w:color w:val="auto"/>
        </w:rPr>
        <w:t>For so long as the RA Members and the Bain Members own at least 50% of the Series 1 Senior Preferred Units collectively issued to them as of the date of this Agreement (as equitably adjusted for Unit splits, distributions of Units, Unit combinations or similar events), by vote of the Holders of a majority of the outstanding Series 1 Senior Preferred Units held by the RA Members and the Bain Members, the RA Members and the Bain Members shall collectively be entitled to designate and appoint one (1) Manager (the “</w:t>
      </w:r>
      <w:r>
        <w:rPr>
          <w:rFonts w:ascii="Arial" w:cs="Arial" w:eastAsia="Arial" w:hAnsi="Arial"/>
          <w:sz w:val="17"/>
          <w:szCs w:val="17"/>
          <w:b w:val="1"/>
          <w:bCs w:val="1"/>
          <w:u w:val="single" w:color="auto"/>
          <w:color w:val="auto"/>
        </w:rPr>
        <w:t>Senior Preferred Manager</w:t>
      </w:r>
      <w:r>
        <w:rPr>
          <w:rFonts w:ascii="Arial" w:cs="Arial" w:eastAsia="Arial" w:hAnsi="Arial"/>
          <w:sz w:val="17"/>
          <w:szCs w:val="17"/>
          <w:color w:val="auto"/>
        </w:rPr>
        <w:t>”). Upon the reasonable request of the Senior Preferred Manager, the Company shall enter into an indemnification agreement with such Manager, in a form reasonably acceptable to the Company and such Manager, with respect to such Manager’s service to the Company.</w:t>
      </w:r>
    </w:p>
    <w:p>
      <w:pPr>
        <w:spacing w:after="0" w:line="178" w:lineRule="exact"/>
        <w:rPr>
          <w:rFonts w:ascii="Arial" w:cs="Arial" w:eastAsia="Arial" w:hAnsi="Arial"/>
          <w:sz w:val="17"/>
          <w:szCs w:val="17"/>
          <w:color w:val="auto"/>
        </w:rPr>
      </w:pPr>
    </w:p>
    <w:p>
      <w:pPr>
        <w:ind w:left="-921" w:firstLine="1492"/>
        <w:spacing w:after="0" w:line="270" w:lineRule="auto"/>
        <w:tabs>
          <w:tab w:leader="none" w:pos="962" w:val="left"/>
        </w:tabs>
        <w:numPr>
          <w:ilvl w:val="1"/>
          <w:numId w:val="229"/>
        </w:numPr>
        <w:rPr>
          <w:rFonts w:ascii="Arial" w:cs="Arial" w:eastAsia="Arial" w:hAnsi="Arial"/>
          <w:sz w:val="17"/>
          <w:szCs w:val="17"/>
          <w:color w:val="auto"/>
        </w:rPr>
      </w:pPr>
      <w:r>
        <w:rPr>
          <w:rFonts w:ascii="Arial" w:cs="Arial" w:eastAsia="Arial" w:hAnsi="Arial"/>
          <w:sz w:val="17"/>
          <w:szCs w:val="17"/>
          <w:color w:val="auto"/>
        </w:rPr>
        <w:t>For so long as any Junior Preferred Units are outstanding, the two largest Holders of Junior Preferred Units shall each be entitled to designate and appoint one (1) Manager (together, the “</w:t>
      </w:r>
      <w:r>
        <w:rPr>
          <w:rFonts w:ascii="Arial" w:cs="Arial" w:eastAsia="Arial" w:hAnsi="Arial"/>
          <w:sz w:val="17"/>
          <w:szCs w:val="17"/>
          <w:b w:val="1"/>
          <w:bCs w:val="1"/>
          <w:u w:val="single" w:color="auto"/>
          <w:color w:val="auto"/>
        </w:rPr>
        <w:t>Junior Preferred Managers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so long as the Perceptive Members own at least 50% of the Junior Preferred Units issued to them as of the date of this Agreement (as equitably adjusted for Unit splits, distributions of Units, Unit combinations or similar events), the Perceptive Members shall together be entitled to designate and appoint one Junior Preferred Manager, which Manager shall initially be Adam Stone,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so long as the Biogen Member owns at least 50% of the Junior Preferred Units issued to it as of the date of this Agreement (as equitably adjusted for Unit splits, distributions of Units, Unit combinations or similar events), the Biogen Member shall be entitled to designate and appoint one Junior Preferred Manager, which Manager shall initially be Lynne Sullivan. Upon the reasonable request of a Junior Preferred Manager, the Company shall enter into an indemnification agreement with such Manager, in a form reasonably acceptable to the Company and such Manager, with respect to such Manager’s service to the Company.</w:t>
      </w:r>
    </w:p>
    <w:p>
      <w:pPr>
        <w:spacing w:after="0" w:line="181" w:lineRule="exact"/>
        <w:rPr>
          <w:rFonts w:ascii="Arial" w:cs="Arial" w:eastAsia="Arial" w:hAnsi="Arial"/>
          <w:sz w:val="17"/>
          <w:szCs w:val="17"/>
          <w:color w:val="auto"/>
        </w:rPr>
      </w:pPr>
    </w:p>
    <w:p>
      <w:pPr>
        <w:ind w:left="-921" w:right="80" w:firstLine="1492"/>
        <w:spacing w:after="0" w:line="257" w:lineRule="auto"/>
        <w:tabs>
          <w:tab w:leader="none" w:pos="101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For so long as any Series A Common Units are outstanding, the Series A Common Members, by vote of the Holders of a majority of the outstanding Series A Common Units, shall collectively be entitled to designate and appoint two (2) Managers (together, the “</w:t>
      </w:r>
      <w:r>
        <w:rPr>
          <w:rFonts w:ascii="Arial" w:cs="Arial" w:eastAsia="Arial" w:hAnsi="Arial"/>
          <w:sz w:val="18"/>
          <w:szCs w:val="18"/>
          <w:b w:val="1"/>
          <w:bCs w:val="1"/>
          <w:u w:val="single" w:color="auto"/>
          <w:color w:val="auto"/>
        </w:rPr>
        <w:t>Series A Managers</w:t>
      </w:r>
      <w:r>
        <w:rPr>
          <w:rFonts w:ascii="Arial" w:cs="Arial" w:eastAsia="Arial" w:hAnsi="Arial"/>
          <w:sz w:val="18"/>
          <w:szCs w:val="18"/>
          <w:color w:val="auto"/>
        </w:rPr>
        <w:t>”), which Managers shall initially consist of Matthew Arnold and Robert Huffines. Upon the reasonable request of a Series A Manager, the Company shall enter into an indemnification agreement with such Manager, in a form reasonably acceptable to the Company and such Manager, with respect to such Manager’s service to the Company.</w:t>
      </w:r>
    </w:p>
    <w:p>
      <w:pPr>
        <w:sectPr>
          <w:pgSz w:w="11900" w:h="16838" w:orient="portrait"/>
          <w:cols w:equalWidth="0" w:num="1">
            <w:col w:w="10479"/>
          </w:cols>
          <w:pgMar w:left="1161" w:top="274" w:right="259" w:bottom="1440" w:gutter="0" w:footer="0" w:header="0"/>
        </w:sectPr>
      </w:pPr>
    </w:p>
    <w:bookmarkStart w:id="345" w:name="page346"/>
    <w:bookmarkEnd w:id="345"/>
    <w:p>
      <w:pPr>
        <w:ind w:left="-921" w:right="20" w:firstLine="1492"/>
        <w:spacing w:after="0" w:line="257" w:lineRule="auto"/>
        <w:tabs>
          <w:tab w:leader="none" w:pos="1002" w:val="left"/>
        </w:tabs>
        <w:numPr>
          <w:ilvl w:val="1"/>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so long as any Series B Common Units are outstanding, the Series B Common Members, by vote of the Holders of a majority of the outstanding Series B Common Units, shall collectively be entitled to designed and appoint three (3) Managers (collectively, the “</w:t>
      </w:r>
      <w:r>
        <w:rPr>
          <w:rFonts w:ascii="Arial" w:cs="Arial" w:eastAsia="Arial" w:hAnsi="Arial"/>
          <w:sz w:val="18"/>
          <w:szCs w:val="18"/>
          <w:b w:val="1"/>
          <w:bCs w:val="1"/>
          <w:u w:val="single" w:color="auto"/>
          <w:color w:val="auto"/>
        </w:rPr>
        <w:t>Series B Managers</w:t>
      </w:r>
      <w:r>
        <w:rPr>
          <w:rFonts w:ascii="Arial" w:cs="Arial" w:eastAsia="Arial" w:hAnsi="Arial"/>
          <w:sz w:val="18"/>
          <w:szCs w:val="18"/>
          <w:color w:val="auto"/>
        </w:rPr>
        <w:t>”), which Managers shall initially consist of Ilan Ganot, Gilad Hayeem and Andrey Zarur. Upon the reasonable request of a Series B Manager, the Company shall enter into an indemnification agreement with such Manager, in a form reasonably acceptable to the Company and such Manager, with respect to such Manager’s service to the Company.</w:t>
      </w:r>
    </w:p>
    <w:p>
      <w:pPr>
        <w:spacing w:after="0" w:line="188" w:lineRule="exact"/>
        <w:rPr>
          <w:rFonts w:ascii="Arial" w:cs="Arial" w:eastAsia="Arial" w:hAnsi="Arial"/>
          <w:sz w:val="18"/>
          <w:szCs w:val="18"/>
          <w:color w:val="auto"/>
        </w:rPr>
      </w:pPr>
    </w:p>
    <w:p>
      <w:pPr>
        <w:jc w:val="both"/>
        <w:ind w:left="-921" w:right="400" w:firstLine="921"/>
        <w:spacing w:after="0" w:line="264" w:lineRule="auto"/>
        <w:tabs>
          <w:tab w:leader="none" w:pos="37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Resignation; Removal</w:t>
      </w:r>
      <w:r>
        <w:rPr>
          <w:rFonts w:ascii="Arial" w:cs="Arial" w:eastAsia="Arial" w:hAnsi="Arial"/>
          <w:sz w:val="18"/>
          <w:szCs w:val="18"/>
          <w:color w:val="auto"/>
        </w:rPr>
        <w:t xml:space="preserve">. Managers may resign at any time. Managers may be removed at any time for any reason or no reason upon the written direction of the Member(s) that are permitted to appoint such Manager(s)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effective upon the delivery of such written direction by the removing Member(s) or Managers to the Company.</w:t>
      </w:r>
    </w:p>
    <w:p>
      <w:pPr>
        <w:spacing w:after="0" w:line="181" w:lineRule="exact"/>
        <w:rPr>
          <w:rFonts w:ascii="Arial" w:cs="Arial" w:eastAsia="Arial" w:hAnsi="Arial"/>
          <w:sz w:val="18"/>
          <w:szCs w:val="18"/>
          <w:color w:val="auto"/>
        </w:rPr>
      </w:pPr>
    </w:p>
    <w:p>
      <w:pPr>
        <w:ind w:left="399" w:hanging="399"/>
        <w:spacing w:after="0"/>
        <w:tabs>
          <w:tab w:leader="none" w:pos="399"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Regular Meetings</w:t>
      </w:r>
      <w:r>
        <w:rPr>
          <w:rFonts w:ascii="Arial" w:cs="Arial" w:eastAsia="Arial" w:hAnsi="Arial"/>
          <w:sz w:val="17"/>
          <w:szCs w:val="17"/>
          <w:color w:val="auto"/>
        </w:rPr>
        <w:t>. The Board shall hold regular meetings at such times and places as may be reasonably fixed by the Managers.</w:t>
      </w:r>
    </w:p>
    <w:p>
      <w:pPr>
        <w:spacing w:after="0" w:line="236" w:lineRule="exact"/>
        <w:rPr>
          <w:rFonts w:ascii="Arial" w:cs="Arial" w:eastAsia="Arial" w:hAnsi="Arial"/>
          <w:sz w:val="17"/>
          <w:szCs w:val="17"/>
          <w:color w:val="auto"/>
        </w:rPr>
      </w:pPr>
    </w:p>
    <w:p>
      <w:pPr>
        <w:ind w:left="-921" w:firstLine="921"/>
        <w:spacing w:after="0" w:line="271" w:lineRule="auto"/>
        <w:tabs>
          <w:tab w:leader="none" w:pos="372"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shall be held whenever called by at least two (2) Managers. Unless otherwise agreed to by all of the Managers present at a special meeting, the business to be transacted at any special meeting shall be limited to that stated in the notice of the meeting. Notice of any special meeting shall be given to each Manager at his business or residence in writing, or by telephone communication or electronic transmission (</w:t>
      </w:r>
      <w:r>
        <w:rPr>
          <w:rFonts w:ascii="Arial" w:cs="Arial" w:eastAsia="Arial" w:hAnsi="Arial"/>
          <w:sz w:val="17"/>
          <w:szCs w:val="17"/>
          <w:u w:val="single" w:color="auto"/>
          <w:color w:val="auto"/>
        </w:rPr>
        <w:t>provided</w:t>
      </w:r>
      <w:r>
        <w:rPr>
          <w:rFonts w:ascii="Arial" w:cs="Arial" w:eastAsia="Arial" w:hAnsi="Arial"/>
          <w:sz w:val="17"/>
          <w:szCs w:val="17"/>
          <w:color w:val="auto"/>
        </w:rPr>
        <w:t>, with respect to electronic transmission, that the Manager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electronic transmission, such notice shall be transmitted at least twenty-four (24) hours before such meeting. If by telephone, the notice shall be given at least twelve (12) hours prior to the time set for the meeting. A meeting may be held at any time without notice if all Managers waive notice of the meeting in writing, either before or after such meeting.</w:t>
      </w:r>
    </w:p>
    <w:p>
      <w:pPr>
        <w:spacing w:after="0" w:line="178" w:lineRule="exact"/>
        <w:rPr>
          <w:rFonts w:ascii="Arial" w:cs="Arial" w:eastAsia="Arial" w:hAnsi="Arial"/>
          <w:sz w:val="17"/>
          <w:szCs w:val="17"/>
          <w:color w:val="auto"/>
        </w:rPr>
      </w:pPr>
    </w:p>
    <w:p>
      <w:pPr>
        <w:ind w:left="-921" w:right="240" w:firstLine="921"/>
        <w:spacing w:after="0" w:line="264" w:lineRule="auto"/>
        <w:tabs>
          <w:tab w:leader="none" w:pos="35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Telephonic Meetings</w:t>
      </w:r>
      <w:r>
        <w:rPr>
          <w:rFonts w:ascii="Arial" w:cs="Arial" w:eastAsia="Arial" w:hAnsi="Arial"/>
          <w:sz w:val="18"/>
          <w:szCs w:val="18"/>
          <w:color w:val="auto"/>
        </w:rPr>
        <w:t>. Managers may participate in a meeting of the Board by means of a conference telephone or similar communication equipment by means of which all persons participating in the meeting can hear each other. Participation in a meeting pursuant to this paragraph shall constitute presence in person at such meeting.</w:t>
      </w:r>
    </w:p>
    <w:p>
      <w:pPr>
        <w:spacing w:after="0" w:line="181" w:lineRule="exact"/>
        <w:rPr>
          <w:rFonts w:ascii="Arial" w:cs="Arial" w:eastAsia="Arial" w:hAnsi="Arial"/>
          <w:sz w:val="18"/>
          <w:szCs w:val="18"/>
          <w:color w:val="auto"/>
        </w:rPr>
      </w:pPr>
    </w:p>
    <w:p>
      <w:pPr>
        <w:ind w:left="-921" w:right="200" w:firstLine="921"/>
        <w:spacing w:after="0" w:line="257" w:lineRule="auto"/>
        <w:tabs>
          <w:tab w:leader="none" w:pos="38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Quorum; Consent of Managers</w:t>
      </w:r>
      <w:r>
        <w:rPr>
          <w:rFonts w:ascii="Arial" w:cs="Arial" w:eastAsia="Arial" w:hAnsi="Arial"/>
          <w:sz w:val="18"/>
          <w:szCs w:val="18"/>
          <w:color w:val="auto"/>
        </w:rPr>
        <w:t>. Unless otherwise expressly provided herein, at any meeting of the Board, a quorum shall be present if a majority of all Managers then in office are present. When a quorum is present at any meeting of the Board, the vote of a majority of the Managers present shall be the act of the Board. Consent of the Board may also be obtained by majority written consent of the Managers, provided that the Senior Preferred Manager and at least one of the Junior Preferred Managers are included in such majority. Each Manager shall have one (1) vote on each matter presented to the Board for action on its part.</w:t>
      </w:r>
    </w:p>
    <w:p>
      <w:pPr>
        <w:spacing w:after="0" w:line="188" w:lineRule="exact"/>
        <w:rPr>
          <w:rFonts w:ascii="Arial" w:cs="Arial" w:eastAsia="Arial" w:hAnsi="Arial"/>
          <w:sz w:val="18"/>
          <w:szCs w:val="18"/>
          <w:color w:val="auto"/>
        </w:rPr>
      </w:pPr>
    </w:p>
    <w:p>
      <w:pPr>
        <w:ind w:left="-921" w:right="220" w:firstLine="921"/>
        <w:spacing w:after="0" w:line="308" w:lineRule="auto"/>
        <w:tabs>
          <w:tab w:leader="none" w:pos="382"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Board Committees</w:t>
      </w:r>
      <w:r>
        <w:rPr>
          <w:rFonts w:ascii="Arial" w:cs="Arial" w:eastAsia="Arial" w:hAnsi="Arial"/>
          <w:sz w:val="17"/>
          <w:szCs w:val="17"/>
          <w:color w:val="auto"/>
        </w:rPr>
        <w:t>. The Board shall have the right, by vote or consent, to establish any committees that it deems necessary or convenient from time to time. Each non-Officer Manager shall be entitled in such person’s discretion to be a member of any Board committee.</w:t>
      </w:r>
    </w:p>
    <w:p>
      <w:pPr>
        <w:sectPr>
          <w:pgSz w:w="11900" w:h="16838" w:orient="portrait"/>
          <w:cols w:equalWidth="0" w:num="1">
            <w:col w:w="10479"/>
          </w:cols>
          <w:pgMar w:left="1161" w:top="274" w:right="259" w:bottom="1440" w:gutter="0" w:footer="0" w:header="0"/>
        </w:sectPr>
      </w:pPr>
    </w:p>
    <w:bookmarkStart w:id="346" w:name="page347"/>
    <w:bookmarkEnd w:id="346"/>
    <w:p>
      <w:pPr>
        <w:ind w:right="100" w:firstLine="921"/>
        <w:spacing w:after="0" w:line="264" w:lineRule="auto"/>
        <w:tabs>
          <w:tab w:leader="none" w:pos="1263"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Board Matters</w:t>
      </w:r>
      <w:r>
        <w:rPr>
          <w:rFonts w:ascii="Arial" w:cs="Arial" w:eastAsia="Arial" w:hAnsi="Arial"/>
          <w:sz w:val="18"/>
          <w:szCs w:val="18"/>
          <w:color w:val="auto"/>
        </w:rPr>
        <w:t>. The Company shall not, without the approval of the Board, which approval must include the affirmative vote of at least one of the Senior Preferred Manager and Junior Preferred Managers (for the avoidance of doubt, one affirmative vote in total from the Senior Preferred Manager and Junior Preferred Managers, taken in the aggregate):</w:t>
      </w:r>
    </w:p>
    <w:p>
      <w:pPr>
        <w:spacing w:after="0" w:line="181" w:lineRule="exact"/>
        <w:rPr>
          <w:rFonts w:ascii="Arial" w:cs="Arial" w:eastAsia="Arial" w:hAnsi="Arial"/>
          <w:sz w:val="18"/>
          <w:szCs w:val="18"/>
          <w:color w:val="auto"/>
        </w:rPr>
      </w:pPr>
    </w:p>
    <w:p>
      <w:pPr>
        <w:ind w:firstLine="1492"/>
        <w:spacing w:after="0" w:line="277" w:lineRule="auto"/>
        <w:tabs>
          <w:tab w:leader="none" w:pos="183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make any loan or advance to, or purchase any stock or other securities of, any Company Subsidiary or other corporation, partnership or other entity unless it is wholly-owned by the Company, in an amount greater than $1,000,000;</w:t>
      </w:r>
    </w:p>
    <w:p>
      <w:pPr>
        <w:spacing w:after="0" w:line="170" w:lineRule="exact"/>
        <w:rPr>
          <w:rFonts w:ascii="Arial" w:cs="Arial" w:eastAsia="Arial" w:hAnsi="Arial"/>
          <w:sz w:val="18"/>
          <w:szCs w:val="18"/>
          <w:color w:val="auto"/>
        </w:rPr>
      </w:pPr>
    </w:p>
    <w:p>
      <w:pPr>
        <w:ind w:firstLine="1492"/>
        <w:spacing w:after="0" w:line="308" w:lineRule="auto"/>
        <w:tabs>
          <w:tab w:leader="none" w:pos="1883" w:val="left"/>
        </w:tabs>
        <w:numPr>
          <w:ilvl w:val="1"/>
          <w:numId w:val="232"/>
        </w:numPr>
        <w:rPr>
          <w:rFonts w:ascii="Arial" w:cs="Arial" w:eastAsia="Arial" w:hAnsi="Arial"/>
          <w:sz w:val="17"/>
          <w:szCs w:val="17"/>
          <w:color w:val="auto"/>
        </w:rPr>
      </w:pPr>
      <w:r>
        <w:rPr>
          <w:rFonts w:ascii="Arial" w:cs="Arial" w:eastAsia="Arial" w:hAnsi="Arial"/>
          <w:sz w:val="17"/>
          <w:szCs w:val="17"/>
          <w:color w:val="auto"/>
        </w:rPr>
        <w:t>make any loan or advance to any natural person, including, any employee or Manager of the Company, except advances and similar expenditures in the ordinary course of business or under the terms of an employee unit or option plan approved by the Board;</w:t>
      </w:r>
    </w:p>
    <w:p>
      <w:pPr>
        <w:spacing w:after="0" w:line="146" w:lineRule="exact"/>
        <w:rPr>
          <w:rFonts w:ascii="Arial" w:cs="Arial" w:eastAsia="Arial" w:hAnsi="Arial"/>
          <w:sz w:val="17"/>
          <w:szCs w:val="17"/>
          <w:color w:val="auto"/>
        </w:rPr>
      </w:pPr>
    </w:p>
    <w:p>
      <w:pPr>
        <w:ind w:left="1940" w:hanging="448"/>
        <w:spacing w:after="0"/>
        <w:tabs>
          <w:tab w:leader="none" w:pos="194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guarantee any indebtedness except for trade accounts of any Company Subsidiary arising in the ordinary course of business;</w:t>
      </w:r>
    </w:p>
    <w:p>
      <w:pPr>
        <w:spacing w:after="0" w:line="236" w:lineRule="exact"/>
        <w:rPr>
          <w:rFonts w:ascii="Arial" w:cs="Arial" w:eastAsia="Arial" w:hAnsi="Arial"/>
          <w:sz w:val="17"/>
          <w:szCs w:val="17"/>
          <w:color w:val="auto"/>
        </w:rPr>
      </w:pPr>
    </w:p>
    <w:p>
      <w:pPr>
        <w:ind w:left="1940" w:hanging="448"/>
        <w:spacing w:after="0"/>
        <w:tabs>
          <w:tab w:leader="none" w:pos="194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w:t>
      </w:r>
    </w:p>
    <w:p>
      <w:pPr>
        <w:spacing w:after="0" w:line="225" w:lineRule="exact"/>
        <w:rPr>
          <w:rFonts w:ascii="Arial" w:cs="Arial" w:eastAsia="Arial" w:hAnsi="Arial"/>
          <w:sz w:val="18"/>
          <w:szCs w:val="18"/>
          <w:color w:val="auto"/>
        </w:rPr>
      </w:pPr>
    </w:p>
    <w:p>
      <w:pPr>
        <w:ind w:right="180" w:firstLine="1492"/>
        <w:spacing w:after="0" w:line="264" w:lineRule="auto"/>
        <w:tabs>
          <w:tab w:leader="none" w:pos="187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enter into or be a party to any transaction with any Manager or Officer or any “associate” (as defined in Rule 12b-2 promulgated under the Exchange Act) of any such Person except for transactions made in the ordinary course of business and pursuant to reasonable requirements of the Company’s business;</w:t>
      </w:r>
    </w:p>
    <w:p>
      <w:pPr>
        <w:spacing w:after="0" w:line="181" w:lineRule="exact"/>
        <w:rPr>
          <w:rFonts w:ascii="Arial" w:cs="Arial" w:eastAsia="Arial" w:hAnsi="Arial"/>
          <w:sz w:val="18"/>
          <w:szCs w:val="18"/>
          <w:color w:val="auto"/>
        </w:rPr>
      </w:pPr>
    </w:p>
    <w:p>
      <w:pPr>
        <w:ind w:right="140" w:firstLine="1492"/>
        <w:spacing w:after="0" w:line="277" w:lineRule="auto"/>
        <w:tabs>
          <w:tab w:leader="none" w:pos="192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hire, fire or change the compensation of the Chairman, Chief Executive Officer, President, Chief Scientist, Chief Medical Officer or any other corporate level Officer, including approving any equity incentive grants;</w:t>
      </w:r>
    </w:p>
    <w:p>
      <w:pPr>
        <w:spacing w:after="0" w:line="170" w:lineRule="exact"/>
        <w:rPr>
          <w:rFonts w:ascii="Arial" w:cs="Arial" w:eastAsia="Arial" w:hAnsi="Arial"/>
          <w:sz w:val="18"/>
          <w:szCs w:val="18"/>
          <w:color w:val="auto"/>
        </w:rPr>
      </w:pPr>
    </w:p>
    <w:p>
      <w:pPr>
        <w:ind w:left="1980" w:hanging="488"/>
        <w:spacing w:after="0"/>
        <w:tabs>
          <w:tab w:leader="none" w:pos="19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change the principal business of the Company, enter new lines of business, or exit the current line of business;</w:t>
      </w:r>
    </w:p>
    <w:p>
      <w:pPr>
        <w:spacing w:after="0" w:line="225" w:lineRule="exact"/>
        <w:rPr>
          <w:rFonts w:ascii="Arial" w:cs="Arial" w:eastAsia="Arial" w:hAnsi="Arial"/>
          <w:sz w:val="18"/>
          <w:szCs w:val="18"/>
          <w:color w:val="auto"/>
        </w:rPr>
      </w:pPr>
    </w:p>
    <w:p>
      <w:pPr>
        <w:ind w:right="440" w:firstLine="1492"/>
        <w:spacing w:after="0" w:line="342" w:lineRule="auto"/>
        <w:tabs>
          <w:tab w:leader="none" w:pos="2023" w:val="left"/>
        </w:tabs>
        <w:numPr>
          <w:ilvl w:val="1"/>
          <w:numId w:val="232"/>
        </w:numPr>
        <w:rPr>
          <w:rFonts w:ascii="Arial" w:cs="Arial" w:eastAsia="Arial" w:hAnsi="Arial"/>
          <w:sz w:val="16"/>
          <w:szCs w:val="16"/>
          <w:color w:val="auto"/>
        </w:rPr>
      </w:pPr>
      <w:r>
        <w:rPr>
          <w:rFonts w:ascii="Arial" w:cs="Arial" w:eastAsia="Arial" w:hAnsi="Arial"/>
          <w:sz w:val="16"/>
          <w:szCs w:val="16"/>
          <w:color w:val="auto"/>
        </w:rPr>
        <w:t>sell, assign, license, pledge or encumber material technology or intellectual property, including sales, assignments, licenses, pledges or encumbrances involving a Company Subsidiary, other than non-exclusive licenses granted in the ordinary course of business; or</w:t>
      </w:r>
    </w:p>
    <w:p>
      <w:pPr>
        <w:spacing w:after="0" w:line="123" w:lineRule="exact"/>
        <w:rPr>
          <w:rFonts w:ascii="Arial" w:cs="Arial" w:eastAsia="Arial" w:hAnsi="Arial"/>
          <w:sz w:val="16"/>
          <w:szCs w:val="16"/>
          <w:color w:val="auto"/>
        </w:rPr>
      </w:pPr>
    </w:p>
    <w:p>
      <w:pPr>
        <w:ind w:right="620" w:firstLine="1492"/>
        <w:spacing w:after="0" w:line="277" w:lineRule="auto"/>
        <w:tabs>
          <w:tab w:leader="none" w:pos="192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the Company or to the Company of assets greater than $2,000,000, whether in one transaction or a series of related transactions.</w:t>
      </w:r>
    </w:p>
    <w:p>
      <w:pPr>
        <w:spacing w:after="0" w:line="170" w:lineRule="exact"/>
        <w:rPr>
          <w:sz w:val="20"/>
          <w:szCs w:val="20"/>
          <w:color w:val="auto"/>
        </w:rPr>
      </w:pPr>
    </w:p>
    <w:p>
      <w:pPr>
        <w:ind w:right="140" w:firstLine="921"/>
        <w:spacing w:after="0" w:line="259" w:lineRule="auto"/>
        <w:tabs>
          <w:tab w:leader="none" w:pos="1263"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Matters Reserved for Consent of Certain Members</w:t>
      </w:r>
      <w:r>
        <w:rPr>
          <w:rFonts w:ascii="Arial" w:cs="Arial" w:eastAsia="Arial" w:hAnsi="Arial"/>
          <w:sz w:val="18"/>
          <w:szCs w:val="18"/>
          <w:color w:val="auto"/>
        </w:rPr>
        <w:t>. For so long as any Series 1 Senior Preferred Units or Junior Preferred Units are outstanding, the Company shall not, and the Board shall not have the authority to cause the Company to, without the consent of the Holders of a majority of the outstanding Series 1 Senior Preferred Units and Junior Preferred Units, voting together as a single class, either directly or by amendment, merger, consolidation or otherwise:</w:t>
      </w:r>
    </w:p>
    <w:p>
      <w:pPr>
        <w:spacing w:after="0" w:line="187" w:lineRule="exact"/>
        <w:rPr>
          <w:sz w:val="20"/>
          <w:szCs w:val="20"/>
          <w:color w:val="auto"/>
        </w:rPr>
      </w:pPr>
    </w:p>
    <w:p>
      <w:pPr>
        <w:ind w:left="1500"/>
        <w:spacing w:after="0"/>
        <w:tabs>
          <w:tab w:leader="none" w:pos="18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liquidate, dissolve or wind-up the affairs of the Company, or effect any Deemed Liquidation Event, except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10.1(c)</w:t>
      </w:r>
      <w:r>
        <w:rPr>
          <w:rFonts w:ascii="Arial" w:cs="Arial" w:eastAsia="Arial" w:hAnsi="Arial"/>
          <w:sz w:val="18"/>
          <w:szCs w:val="18"/>
          <w:color w:val="auto"/>
        </w:rPr>
        <w:t>;</w:t>
      </w:r>
    </w:p>
    <w:p>
      <w:pPr>
        <w:sectPr>
          <w:pgSz w:w="11900" w:h="16838" w:orient="portrait"/>
          <w:cols w:equalWidth="0" w:num="1">
            <w:col w:w="11380"/>
          </w:cols>
          <w:pgMar w:left="240" w:top="274" w:right="279" w:bottom="1440" w:gutter="0" w:footer="0" w:header="0"/>
        </w:sectPr>
      </w:pPr>
    </w:p>
    <w:bookmarkStart w:id="347" w:name="page348"/>
    <w:bookmarkEnd w:id="347"/>
    <w:p>
      <w:pPr>
        <w:ind w:right="200" w:firstLine="1492"/>
        <w:spacing w:after="0" w:line="273" w:lineRule="auto"/>
        <w:tabs>
          <w:tab w:leader="none" w:pos="1883" w:val="left"/>
        </w:tabs>
        <w:numPr>
          <w:ilvl w:val="0"/>
          <w:numId w:val="2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amend, alter or repeal any provision of this Agreement in a manner adverse to the rights, preferences or privileges of the Series 1 Senior Preferred Units and/or Junior Preferred Units, which, for purposes of clarity, shall be deemed to include, but not be limited to, any amendment, alteration or repeal of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6.1(j)</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the terms defined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and used in such; provided such consent shall not be required for an amendment or alteration of this Agreement that solely creates any security having a right to receive distributions junior to the rights of the Series 1 Senior Preferred Units and Junior Preferred Units set forth in </w:t>
      </w:r>
      <w:r>
        <w:rPr>
          <w:rFonts w:ascii="Arial" w:cs="Arial" w:eastAsia="Arial" w:hAnsi="Arial"/>
          <w:sz w:val="17"/>
          <w:szCs w:val="17"/>
          <w:u w:val="single" w:color="auto"/>
          <w:color w:val="auto"/>
        </w:rPr>
        <w:t>Section 8.1(a)(i)</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right="60" w:firstLine="1492"/>
        <w:spacing w:after="0" w:line="264" w:lineRule="auto"/>
        <w:tabs>
          <w:tab w:leader="none" w:pos="193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create or authorize the creation of or issue any other security convertible into or exercisable for any equity security, having rights, preferences or privileges senior or pari passu to the rights of the Series 1 Senior Preferred Units and/or Junior Preferred Units set forth in </w:t>
      </w:r>
      <w:r>
        <w:rPr>
          <w:rFonts w:ascii="Arial" w:cs="Arial" w:eastAsia="Arial" w:hAnsi="Arial"/>
          <w:sz w:val="18"/>
          <w:szCs w:val="18"/>
          <w:u w:val="single" w:color="auto"/>
          <w:color w:val="auto"/>
        </w:rPr>
        <w:t>Section 8.1(a)(i)</w:t>
      </w:r>
      <w:r>
        <w:rPr>
          <w:rFonts w:ascii="Arial" w:cs="Arial" w:eastAsia="Arial" w:hAnsi="Arial"/>
          <w:sz w:val="18"/>
          <w:szCs w:val="18"/>
          <w:color w:val="auto"/>
        </w:rPr>
        <w:t>, or increase the authorized number of Series 1 Senior Preferred Units and/or Junior Preferred Units;</w:t>
      </w:r>
    </w:p>
    <w:p>
      <w:pPr>
        <w:spacing w:after="0" w:line="181" w:lineRule="exact"/>
        <w:rPr>
          <w:rFonts w:ascii="Arial" w:cs="Arial" w:eastAsia="Arial" w:hAnsi="Arial"/>
          <w:sz w:val="18"/>
          <w:szCs w:val="18"/>
          <w:color w:val="auto"/>
        </w:rPr>
      </w:pPr>
    </w:p>
    <w:p>
      <w:pPr>
        <w:ind w:firstLine="1492"/>
        <w:spacing w:after="0" w:line="264" w:lineRule="auto"/>
        <w:tabs>
          <w:tab w:leader="none" w:pos="192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purchase or redeem or pay any distribution on any Units (other than distributions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the redemption of Series D Common Units from former officers, employees, consultants or other service providers in connection with the cessation of their services, at cost); or</w:t>
      </w:r>
    </w:p>
    <w:p>
      <w:pPr>
        <w:spacing w:after="0" w:line="181" w:lineRule="exact"/>
        <w:rPr>
          <w:rFonts w:ascii="Arial" w:cs="Arial" w:eastAsia="Arial" w:hAnsi="Arial"/>
          <w:sz w:val="18"/>
          <w:szCs w:val="18"/>
          <w:color w:val="auto"/>
        </w:rPr>
      </w:pPr>
    </w:p>
    <w:p>
      <w:pPr>
        <w:ind w:left="1880" w:hanging="388"/>
        <w:spacing w:after="0"/>
        <w:tabs>
          <w:tab w:leader="none" w:pos="18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create or authorize the creation of any debt security if the Company’s aggregate indebtedness for borrowed money would exceed</w:t>
      </w:r>
    </w:p>
    <w:p>
      <w:pPr>
        <w:spacing w:after="0" w:line="4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$2 million (other than equipment leases), unless such debt security has received the prior approval of the Board, including the approval of at least one of the Senior Preferred Manager and Junior Preferred Managers.</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For the avoidance of doubt, the issuance of Series 2 Senior Preferred Units upon an Additional Closing Event in accordance with the Senior Preferred Purchase Agreement shall not require any consent pursuant to this </w:t>
      </w:r>
      <w:r>
        <w:rPr>
          <w:rFonts w:ascii="Arial" w:cs="Arial" w:eastAsia="Arial" w:hAnsi="Arial"/>
          <w:sz w:val="18"/>
          <w:szCs w:val="18"/>
          <w:u w:val="single" w:color="auto"/>
          <w:color w:val="auto"/>
        </w:rPr>
        <w:t>Section 6.1(j)</w:t>
      </w:r>
      <w:r>
        <w:rPr>
          <w:rFonts w:ascii="Arial" w:cs="Arial" w:eastAsia="Arial" w:hAnsi="Arial"/>
          <w:sz w:val="18"/>
          <w:szCs w:val="18"/>
          <w:color w:val="auto"/>
        </w:rPr>
        <w:t>.</w:t>
      </w:r>
    </w:p>
    <w:p>
      <w:pPr>
        <w:spacing w:after="0" w:line="279" w:lineRule="exact"/>
        <w:rPr>
          <w:sz w:val="20"/>
          <w:szCs w:val="20"/>
          <w:color w:val="auto"/>
        </w:rPr>
      </w:pPr>
    </w:p>
    <w:p>
      <w:pPr>
        <w:ind w:left="1320" w:hanging="399"/>
        <w:spacing w:after="0"/>
        <w:tabs>
          <w:tab w:leader="none" w:pos="132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Board Observers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1492"/>
        <w:spacing w:after="0" w:line="272" w:lineRule="auto"/>
        <w:tabs>
          <w:tab w:leader="none" w:pos="1833"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Series 1 Senior Preferred</w:t>
      </w:r>
      <w:r>
        <w:rPr>
          <w:rFonts w:ascii="Arial" w:cs="Arial" w:eastAsia="Arial" w:hAnsi="Arial"/>
          <w:sz w:val="17"/>
          <w:szCs w:val="17"/>
          <w:color w:val="auto"/>
        </w:rPr>
        <w:t>. From the date hereof through September 1, 2017, if the RA Members and the Bain Members own at least 50% of the Series 1 Senior Preferred Units collectively issued to them as of the date of this Agreement (as equitably adjusted for Unit splits, distributions of Units, Unit combinations or similar events), by vote of the Holders of a majority of the outstanding Series 1 Senior Preferred Units held by the RA Members and the Bain Members, the RA Members and the Bain Members shall collectively be entitled to designate one representative (an “</w:t>
      </w:r>
      <w:r>
        <w:rPr>
          <w:rFonts w:ascii="Arial" w:cs="Arial" w:eastAsia="Arial" w:hAnsi="Arial"/>
          <w:sz w:val="17"/>
          <w:szCs w:val="17"/>
          <w:b w:val="1"/>
          <w:bCs w:val="1"/>
          <w:u w:val="single" w:color="auto"/>
          <w:color w:val="auto"/>
        </w:rPr>
        <w:t>Observer</w:t>
      </w:r>
      <w:r>
        <w:rPr>
          <w:rFonts w:ascii="Arial" w:cs="Arial" w:eastAsia="Arial" w:hAnsi="Arial"/>
          <w:sz w:val="17"/>
          <w:szCs w:val="17"/>
          <w:color w:val="auto"/>
        </w:rPr>
        <w:t xml:space="preserve">”), to attend, and to receive notice of, all meetings of the Board or any committee thereof as a non-voting observer, and to receive all materials provided generally to Managers at the same time as such materials are provided to such Managers;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Board or committee thereof shall have the right to exclude such Observer (or fail to provide such materials) if the absence of the</w:t>
      </w:r>
    </w:p>
    <w:p>
      <w:pPr>
        <w:sectPr>
          <w:pgSz w:w="11900" w:h="16838" w:orient="portrait"/>
          <w:cols w:equalWidth="0" w:num="1">
            <w:col w:w="11380"/>
          </w:cols>
          <w:pgMar w:left="240" w:top="273" w:right="279" w:bottom="1440" w:gutter="0" w:footer="0" w:header="0"/>
        </w:sectPr>
      </w:pPr>
    </w:p>
    <w:bookmarkStart w:id="348" w:name="page349"/>
    <w:bookmarkEnd w:id="348"/>
    <w:p>
      <w:pPr>
        <w:ind w:right="3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Observer in such meeting, or the failure to provide such materials is deemed necessary by the Board or committee, in its reasonable discretion, to preserve attorney-client privilege in connection with any matter being discussed in such meeting or contained in such materials.</w:t>
      </w:r>
    </w:p>
    <w:p>
      <w:pPr>
        <w:spacing w:after="0" w:line="147" w:lineRule="exact"/>
        <w:rPr>
          <w:sz w:val="20"/>
          <w:szCs w:val="20"/>
          <w:color w:val="auto"/>
        </w:rPr>
      </w:pPr>
    </w:p>
    <w:p>
      <w:pPr>
        <w:ind w:right="60" w:firstLine="1492"/>
        <w:spacing w:after="0" w:line="255" w:lineRule="auto"/>
        <w:tabs>
          <w:tab w:leader="none" w:pos="1883"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Junior Preferred</w:t>
      </w:r>
      <w:r>
        <w:rPr>
          <w:rFonts w:ascii="Arial" w:cs="Arial" w:eastAsia="Arial" w:hAnsi="Arial"/>
          <w:sz w:val="18"/>
          <w:szCs w:val="18"/>
          <w:color w:val="auto"/>
        </w:rPr>
        <w:t xml:space="preserve">. If, at any time that the Perceptive Members or Biogen Member has the right to designate and appoint a Junior Preferred Manager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but such Member waives such right, such Member shall be entitled to designate an Observer, to attend, and to receive notice of, all meetings of the Board or any committee thereof as a non-voting observer, and to receive all materials provided generally to Managers at the same time as such materials are provided to such Managers;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Board or committee thereof shall have the right to exclude such Observer (or fail to provide such materials) if the absence of the Observer in such meeting, or the failure to provide such materials is deemed necessary by the Board or committee, in its reasonable discretion, to preserve attorney-client privilege in connection with any matter being discussed in such meeting or contained in such materials.</w:t>
      </w:r>
    </w:p>
    <w:p>
      <w:pPr>
        <w:spacing w:after="0" w:line="297"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7"/>
          <w:szCs w:val="17"/>
          <w:u w:val="single" w:color="auto"/>
          <w:color w:val="auto"/>
        </w:rPr>
        <w:t>Officers</w:t>
      </w:r>
      <w:r>
        <w:rPr>
          <w:rFonts w:ascii="Arial" w:cs="Arial" w:eastAsia="Arial" w:hAnsi="Arial"/>
          <w:sz w:val="17"/>
          <w:szCs w:val="17"/>
          <w:color w:val="auto"/>
        </w:rPr>
        <w:t>.</w:t>
      </w:r>
    </w:p>
    <w:p>
      <w:pPr>
        <w:spacing w:after="0" w:line="113" w:lineRule="exact"/>
        <w:rPr>
          <w:sz w:val="20"/>
          <w:szCs w:val="20"/>
          <w:color w:val="auto"/>
        </w:rPr>
      </w:pPr>
    </w:p>
    <w:p>
      <w:pPr>
        <w:ind w:right="120" w:firstLine="921"/>
        <w:spacing w:after="0" w:line="256" w:lineRule="auto"/>
        <w:tabs>
          <w:tab w:leader="none" w:pos="1293"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Appointment of Officers</w:t>
      </w:r>
      <w:r>
        <w:rPr>
          <w:rFonts w:ascii="Arial" w:cs="Arial" w:eastAsia="Arial" w:hAnsi="Arial"/>
          <w:sz w:val="18"/>
          <w:szCs w:val="18"/>
          <w:color w:val="auto"/>
        </w:rPr>
        <w:t>. The Board may, subject to the terms of this Agreement, appoint individuals as officers (“</w:t>
      </w:r>
      <w:r>
        <w:rPr>
          <w:rFonts w:ascii="Arial" w:cs="Arial" w:eastAsia="Arial" w:hAnsi="Arial"/>
          <w:sz w:val="18"/>
          <w:szCs w:val="18"/>
          <w:b w:val="1"/>
          <w:bCs w:val="1"/>
          <w:u w:val="single" w:color="auto"/>
          <w:color w:val="auto"/>
        </w:rPr>
        <w:t>Officers</w:t>
      </w:r>
      <w:r>
        <w:rPr>
          <w:rFonts w:ascii="Arial" w:cs="Arial" w:eastAsia="Arial" w:hAnsi="Arial"/>
          <w:sz w:val="18"/>
          <w:szCs w:val="18"/>
          <w:color w:val="auto"/>
        </w:rPr>
        <w:t>”) of the Company, which may include a Chairman (who shall initially be Zarur), Chief Executive Officer (who shall initially be Ganot), President (who shall initially be Hayeem), Chief Financial Officer, Chief Operating Officer (who shall initially be Alvaro Amorrortu), one or more Vice-Presidents (who shall initially include Jorge A. Quiroz), Secretary, Treasurer, one or more Assistant Secretaries (who shall initially include Jonathan Budd), one or more Assistant Treasurers (who shall initially include Jonathan Budd), and such other Officers as the Board deems advisable. No Officer need be a Member or a Manager. An individual can be appointed to more than one office.</w:t>
      </w:r>
    </w:p>
    <w:p>
      <w:pPr>
        <w:spacing w:after="0" w:line="191" w:lineRule="exact"/>
        <w:rPr>
          <w:rFonts w:ascii="Arial" w:cs="Arial" w:eastAsia="Arial" w:hAnsi="Arial"/>
          <w:sz w:val="18"/>
          <w:szCs w:val="18"/>
          <w:color w:val="auto"/>
        </w:rPr>
      </w:pPr>
    </w:p>
    <w:p>
      <w:pPr>
        <w:ind w:right="60" w:firstLine="921"/>
        <w:spacing w:after="0" w:line="279" w:lineRule="auto"/>
        <w:tabs>
          <w:tab w:leader="none" w:pos="1303"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Duties of Officers Generally</w:t>
      </w:r>
      <w:r>
        <w:rPr>
          <w:rFonts w:ascii="Arial" w:cs="Arial" w:eastAsia="Arial" w:hAnsi="Arial"/>
          <w:sz w:val="17"/>
          <w:szCs w:val="17"/>
          <w:color w:val="auto"/>
        </w:rPr>
        <w:t>. Under the direction of and, at all times, subject to the authority of the Board, the Officers shall, subject to the terms of this Agreement and the Act, have full and complete discretion to manage and control the day-to-day business, operations and affairs of the Company in the ordinary course of its business, to make all decisions affecting the day-to-day business, operations and affairs of the Company in the ordinary course of its business and to take all such actions as such Officers deem necessary or appropriate to accomplish the foregoing.</w:t>
      </w:r>
    </w:p>
    <w:p>
      <w:pPr>
        <w:spacing w:after="0" w:line="171" w:lineRule="exact"/>
        <w:rPr>
          <w:rFonts w:ascii="Arial" w:cs="Arial" w:eastAsia="Arial" w:hAnsi="Arial"/>
          <w:sz w:val="17"/>
          <w:szCs w:val="17"/>
          <w:color w:val="auto"/>
        </w:rPr>
      </w:pPr>
    </w:p>
    <w:p>
      <w:pPr>
        <w:ind w:firstLine="921"/>
        <w:spacing w:after="0" w:line="257" w:lineRule="auto"/>
        <w:tabs>
          <w:tab w:leader="none" w:pos="1293"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Authority of Officers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6.2(b)</w:t>
      </w:r>
      <w:r>
        <w:rPr>
          <w:rFonts w:ascii="Arial" w:cs="Arial" w:eastAsia="Arial" w:hAnsi="Arial"/>
          <w:sz w:val="18"/>
          <w:szCs w:val="18"/>
          <w:color w:val="auto"/>
        </w:rPr>
        <w:t>, any Officer of the Company shall have the right, power and authority to transact business in the name of the Company or to execute agreements on behalf of the Company, with respect to those agreements which are commonly signed by such equivalent officers of a corporation organized under the laws of the State of Delaware. With respect to all matters within the ordinary course of business of the Company, third parties dealing with the Company may rely conclusively upon any certificate of any Officer to the effect that such Officer is acting on behalf of the Company.</w:t>
      </w:r>
    </w:p>
    <w:p>
      <w:pPr>
        <w:spacing w:after="0" w:line="188" w:lineRule="exact"/>
        <w:rPr>
          <w:rFonts w:ascii="Arial" w:cs="Arial" w:eastAsia="Arial" w:hAnsi="Arial"/>
          <w:sz w:val="18"/>
          <w:szCs w:val="18"/>
          <w:color w:val="auto"/>
        </w:rPr>
      </w:pPr>
    </w:p>
    <w:p>
      <w:pPr>
        <w:ind w:right="240" w:firstLine="921"/>
        <w:spacing w:after="0" w:line="342" w:lineRule="auto"/>
        <w:tabs>
          <w:tab w:leader="none" w:pos="1303"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Removal, Resignation and Filling of Vacancy of Officers</w:t>
      </w:r>
      <w:r>
        <w:rPr>
          <w:rFonts w:ascii="Arial" w:cs="Arial" w:eastAsia="Arial" w:hAnsi="Arial"/>
          <w:sz w:val="16"/>
          <w:szCs w:val="16"/>
          <w:color w:val="auto"/>
        </w:rPr>
        <w:t>. Subject to the terms of this Agreement, the Board may remove any Officer, for any reason or for no reason, at any time. Any Officer may resign at any time by giving written notice to the Board, and such resignation shall</w:t>
      </w:r>
    </w:p>
    <w:p>
      <w:pPr>
        <w:sectPr>
          <w:pgSz w:w="11900" w:h="16838" w:orient="portrait"/>
          <w:cols w:equalWidth="0" w:num="1">
            <w:col w:w="11420"/>
          </w:cols>
          <w:pgMar w:left="240" w:top="274" w:right="239" w:bottom="1440" w:gutter="0" w:footer="0" w:header="0"/>
        </w:sectPr>
      </w:pPr>
    </w:p>
    <w:bookmarkStart w:id="349" w:name="page350"/>
    <w:bookmarkEnd w:id="34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take effect at the date of receipt of that notice or any later time specified in that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specified in that notice, the acceptance of the resignation shall not be necessary to make it effective. Any such resignation shall be without prejudice to the rights, if any, of the Company or such Officer under this Agreement. A vacancy in any office because of death, resignation, removal or otherwise shall be filled in the manner prescribed in this Agreement for regular appointments to that office.</w:t>
      </w:r>
    </w:p>
    <w:p>
      <w:pPr>
        <w:spacing w:after="0" w:line="187" w:lineRule="exact"/>
        <w:rPr>
          <w:sz w:val="20"/>
          <w:szCs w:val="20"/>
          <w:color w:val="auto"/>
        </w:rPr>
      </w:pPr>
    </w:p>
    <w:p>
      <w:pPr>
        <w:ind w:right="40" w:firstLine="921"/>
        <w:spacing w:after="0" w:line="277" w:lineRule="auto"/>
        <w:tabs>
          <w:tab w:leader="none" w:pos="1293"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Compensation of Officers</w:t>
      </w:r>
      <w:r>
        <w:rPr>
          <w:rFonts w:ascii="Arial" w:cs="Arial" w:eastAsia="Arial" w:hAnsi="Arial"/>
          <w:sz w:val="18"/>
          <w:szCs w:val="18"/>
          <w:color w:val="auto"/>
        </w:rPr>
        <w:t>. Subject to the terms of this Agreement, the Officers shall be entitled to receive compensation from the Company as determined by the Board.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ALLOCATIONS AND OTHER TAX MATTERS</w:t>
      </w:r>
    </w:p>
    <w:p>
      <w:pPr>
        <w:spacing w:after="0" w:line="229"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General Application</w:t>
      </w:r>
      <w:r>
        <w:rPr>
          <w:rFonts w:ascii="Arial" w:cs="Arial" w:eastAsia="Arial" w:hAnsi="Arial"/>
          <w:sz w:val="18"/>
          <w:szCs w:val="18"/>
          <w:color w:val="auto"/>
        </w:rPr>
        <w:t xml:space="preserve">. The rules set forth below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apply for the purposes of determining each Member’s general allocable share of the items of income, gain, loss or expense of the Company comprising Net Income or Net Loss for each fiscal year, determining special allocations of other items of income, gain, loss and expense, and adjusting the balance of each Member’s Capital Account to reflect the aforementioned general and special allocations. For each fiscal year, the special allocations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shall be made immediately prior to the general allocations of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96"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General Allocations</w:t>
      </w:r>
      <w:r>
        <w:rPr>
          <w:rFonts w:ascii="Arial" w:cs="Arial" w:eastAsia="Arial" w:hAnsi="Arial"/>
          <w:sz w:val="16"/>
          <w:szCs w:val="16"/>
          <w:color w:val="auto"/>
        </w:rPr>
        <w:t>.</w:t>
      </w:r>
    </w:p>
    <w:p>
      <w:pPr>
        <w:spacing w:after="0" w:line="117" w:lineRule="exact"/>
        <w:rPr>
          <w:sz w:val="20"/>
          <w:szCs w:val="20"/>
          <w:color w:val="auto"/>
        </w:rPr>
      </w:pPr>
    </w:p>
    <w:p>
      <w:pPr>
        <w:ind w:right="80" w:firstLine="921"/>
        <w:spacing w:after="0" w:line="259" w:lineRule="auto"/>
        <w:tabs>
          <w:tab w:leader="none" w:pos="1293"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Allocations for a Fiscal Year and a Winding Up Year</w:t>
      </w:r>
      <w:r>
        <w:rPr>
          <w:rFonts w:ascii="Arial" w:cs="Arial" w:eastAsia="Arial" w:hAnsi="Arial"/>
          <w:sz w:val="18"/>
          <w:szCs w:val="18"/>
          <w:color w:val="auto"/>
        </w:rPr>
        <w:t>. The items of income, expense, gain and loss of the Company comprising Net Income or Net Loss of the Company for a fiscal year (including any Winding Up Year), shall be allocated among the Persons who were Members during such fiscal year in a manner that will, as nearly as possible, cause the Capital Account balance of each Member at the end of such fiscal year to equal the excess (which may be negative) of:</w:t>
      </w:r>
    </w:p>
    <w:p>
      <w:pPr>
        <w:spacing w:after="0" w:line="186" w:lineRule="exact"/>
        <w:rPr>
          <w:rFonts w:ascii="Arial" w:cs="Arial" w:eastAsia="Arial" w:hAnsi="Arial"/>
          <w:sz w:val="18"/>
          <w:szCs w:val="18"/>
          <w:color w:val="auto"/>
        </w:rPr>
      </w:pPr>
    </w:p>
    <w:p>
      <w:pPr>
        <w:ind w:right="180" w:firstLine="1492"/>
        <w:spacing w:after="0" w:line="302" w:lineRule="auto"/>
        <w:tabs>
          <w:tab w:leader="none" w:pos="1833"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the hypothetical distribution (if any) that such Member would receive if, on the last day of the fiscal year: (A) all Company assets, including cash, were sold for cash equal to their Gross Asset Values, taking into account any adjustments thereto for such fiscal year; (B) all Company liabilities were satisfied in cash according to their terms (limited, with respect to each Nonrecourse Liability, to the Gross Asset Value of the assets securing such liability); and (C) the net proceeds thereof (after satisfaction of such liabilities) were distributed in full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over</w:t>
      </w:r>
    </w:p>
    <w:p>
      <w:pPr>
        <w:spacing w:after="0" w:line="154" w:lineRule="exact"/>
        <w:rPr>
          <w:rFonts w:ascii="Arial" w:cs="Arial" w:eastAsia="Arial" w:hAnsi="Arial"/>
          <w:sz w:val="16"/>
          <w:szCs w:val="16"/>
          <w:color w:val="auto"/>
        </w:rPr>
      </w:pPr>
    </w:p>
    <w:p>
      <w:pPr>
        <w:ind w:firstLine="1492"/>
        <w:spacing w:after="0" w:line="288" w:lineRule="auto"/>
        <w:tabs>
          <w:tab w:leader="none" w:pos="1883"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the sum of: (A) the amount, if any, which such Member is obligated to contribute to the capital of the Company; (B) such Member’s share of the Company Minimum Gain determined pursuant to Regulations Section 1.704-2(g); and (C) such Member’s share of Member Nonrecourse Debt Minimum Gain determined pursuant to Regulations Section 1.704-2(i)(5), all computed immediately prior to the hypothetical sale described in </w:t>
      </w:r>
      <w:r>
        <w:rPr>
          <w:rFonts w:ascii="Arial" w:cs="Arial" w:eastAsia="Arial" w:hAnsi="Arial"/>
          <w:sz w:val="16"/>
          <w:szCs w:val="16"/>
          <w:u w:val="single" w:color="auto"/>
          <w:color w:val="auto"/>
        </w:rPr>
        <w:t>Section 7.2(a)</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350" w:name="page351"/>
    <w:bookmarkEnd w:id="350"/>
    <w:p>
      <w:pPr>
        <w:ind w:right="100" w:firstLine="1492"/>
        <w:spacing w:after="0" w:line="288" w:lineRule="auto"/>
        <w:tabs>
          <w:tab w:leader="none" w:pos="1873"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Loss Limitation</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the amount of items of expense and loss of the Company allocated pursuant to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to any Member shall not exceed the maximum amount of such items that can be so allocated without causing such Member to have an Adjusted Capital Account Deficit at the end of any fiscal year. All such items in excess of the limitation set forth in this</w:t>
      </w:r>
    </w:p>
    <w:p>
      <w:pPr>
        <w:jc w:val="both"/>
        <w:ind w:right="14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shall be allocated first, to Members who would not have an Adjusted Capital Account Deficit, pro rata, in proportion to their Capital Account balances, adjusted as provided in clauses (a) and (b) of the definition of Adjusted Capital Account Deficit, until no Member would be entitled to any further allocation, and thereafter, to all Members, pro rata, in proportion to their Units held.</w:t>
      </w:r>
    </w:p>
    <w:p>
      <w:pPr>
        <w:spacing w:after="0" w:line="298"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Special Allocations</w:t>
      </w:r>
      <w:r>
        <w:rPr>
          <w:rFonts w:ascii="Arial" w:cs="Arial" w:eastAsia="Arial" w:hAnsi="Arial"/>
          <w:sz w:val="16"/>
          <w:szCs w:val="16"/>
          <w:color w:val="auto"/>
        </w:rPr>
        <w:t>. The following special allocations shall be made in the following order:</w:t>
      </w:r>
    </w:p>
    <w:p>
      <w:pPr>
        <w:spacing w:after="0" w:line="117" w:lineRule="exact"/>
        <w:rPr>
          <w:sz w:val="20"/>
          <w:szCs w:val="20"/>
          <w:color w:val="auto"/>
        </w:rPr>
      </w:pPr>
    </w:p>
    <w:p>
      <w:pPr>
        <w:ind w:right="140" w:firstLine="921"/>
        <w:spacing w:after="0" w:line="264" w:lineRule="auto"/>
        <w:tabs>
          <w:tab w:leader="none" w:pos="1293"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Minimum Gain Chargeback</w:t>
      </w:r>
      <w:r>
        <w:rPr>
          <w:rFonts w:ascii="Arial" w:cs="Arial" w:eastAsia="Arial" w:hAnsi="Arial"/>
          <w:sz w:val="18"/>
          <w:szCs w:val="18"/>
          <w:color w:val="auto"/>
        </w:rPr>
        <w:t xml:space="preserve">. In the event that there is a net decrease during a fiscal year in either Company Minimum Gain or Member Nonrecourse Debt Minimum Gain, then notwithstanding any other provision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each Member shall receive such special allocations of items of Company income and gain as are required in order to conform to Regulations Section 1.704-2.</w:t>
      </w:r>
    </w:p>
    <w:p>
      <w:pPr>
        <w:spacing w:after="0" w:line="181" w:lineRule="exact"/>
        <w:rPr>
          <w:rFonts w:ascii="Arial" w:cs="Arial" w:eastAsia="Arial" w:hAnsi="Arial"/>
          <w:sz w:val="18"/>
          <w:szCs w:val="18"/>
          <w:color w:val="auto"/>
        </w:rPr>
      </w:pPr>
    </w:p>
    <w:p>
      <w:pPr>
        <w:ind w:right="240" w:firstLine="921"/>
        <w:spacing w:after="0" w:line="274" w:lineRule="auto"/>
        <w:tabs>
          <w:tab w:leader="none" w:pos="1303"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Qualified Income Offset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but notwithstanding any other provision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items of income and gain shall be specially allocated to the Members in a manner that complies with the “qualified income offset” requirement of Regulations</w:t>
      </w:r>
    </w:p>
    <w:p>
      <w:pPr>
        <w:spacing w:after="0"/>
        <w:rPr>
          <w:rFonts w:ascii="Arial" w:cs="Arial" w:eastAsia="Arial" w:hAnsi="Arial"/>
          <w:sz w:val="17"/>
          <w:szCs w:val="17"/>
          <w:color w:val="auto"/>
        </w:rPr>
      </w:pPr>
      <w:r>
        <w:rPr>
          <w:rFonts w:ascii="Arial" w:cs="Arial" w:eastAsia="Arial" w:hAnsi="Arial"/>
          <w:sz w:val="18"/>
          <w:szCs w:val="18"/>
          <w:color w:val="auto"/>
        </w:rPr>
        <w:t>Section 1.704-1(b)(2)(ii)(d)(3).</w:t>
      </w:r>
    </w:p>
    <w:p>
      <w:pPr>
        <w:spacing w:after="0" w:line="210" w:lineRule="exact"/>
        <w:rPr>
          <w:rFonts w:ascii="Arial" w:cs="Arial" w:eastAsia="Arial" w:hAnsi="Arial"/>
          <w:sz w:val="17"/>
          <w:szCs w:val="17"/>
          <w:color w:val="auto"/>
        </w:rPr>
      </w:pPr>
    </w:p>
    <w:p>
      <w:pPr>
        <w:ind w:left="1300" w:hanging="379"/>
        <w:spacing w:after="0"/>
        <w:tabs>
          <w:tab w:leader="none" w:pos="130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Deficit Capital Accounts Generally</w:t>
      </w:r>
      <w:r>
        <w:rPr>
          <w:rFonts w:ascii="Arial" w:cs="Arial" w:eastAsia="Arial" w:hAnsi="Arial"/>
          <w:sz w:val="16"/>
          <w:szCs w:val="16"/>
          <w:color w:val="auto"/>
        </w:rPr>
        <w:t>. If a Member has a deficit Capital Account balance at the end of any fiscal year which is in excess of the</w:t>
      </w:r>
    </w:p>
    <w:p>
      <w:pPr>
        <w:spacing w:after="0" w:line="46" w:lineRule="exact"/>
        <w:rPr>
          <w:rFonts w:ascii="Arial" w:cs="Arial" w:eastAsia="Arial" w:hAnsi="Arial"/>
          <w:sz w:val="16"/>
          <w:szCs w:val="16"/>
          <w:color w:val="auto"/>
        </w:rPr>
      </w:pPr>
    </w:p>
    <w:p>
      <w:pPr>
        <w:ind w:right="6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sum of: (i) the amount such Member is then obligated to restore pursuant to this Agreement; and (ii) the amount such Member is then deemed to be obligated to restore pursuant to the penultimate sentences of Regulations Sections 1.704-2(g)(1) and 1.704-2(i)(5), respectively, such Member shall be specially allocated items of income and gain of the Company in an amount of such excess as quickly as possible,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allocation under this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shall be made only if and to the extent that a Member would have a deficit Capital Account balance in excess of such sum after all allocations provided for in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have been tentatively made as if this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were not in this Agreement.</w:t>
      </w:r>
    </w:p>
    <w:p>
      <w:pPr>
        <w:spacing w:after="0" w:line="178" w:lineRule="exact"/>
        <w:rPr>
          <w:rFonts w:ascii="Arial" w:cs="Arial" w:eastAsia="Arial" w:hAnsi="Arial"/>
          <w:sz w:val="16"/>
          <w:szCs w:val="16"/>
          <w:color w:val="auto"/>
        </w:rPr>
      </w:pPr>
    </w:p>
    <w:p>
      <w:pPr>
        <w:jc w:val="both"/>
        <w:ind w:right="660" w:firstLine="921"/>
        <w:spacing w:after="0" w:line="264" w:lineRule="auto"/>
        <w:tabs>
          <w:tab w:leader="none" w:pos="1303"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Deductions Attributable to Member Nonrecourse Debt</w:t>
      </w:r>
      <w:r>
        <w:rPr>
          <w:rFonts w:ascii="Arial" w:cs="Arial" w:eastAsia="Arial" w:hAnsi="Arial"/>
          <w:sz w:val="18"/>
          <w:szCs w:val="18"/>
          <w:color w:val="auto"/>
        </w:rPr>
        <w:t>. Any item of loss or expense of the Company that is attributable to Member Nonrecourse Debt shall be specially allocated to the Members in the manner in which they share the economic risk of loss (as defined in Regulations Section 1.752-2) for such Member Nonrecourse Debt.</w:t>
      </w:r>
    </w:p>
    <w:p>
      <w:pPr>
        <w:spacing w:after="0" w:line="181" w:lineRule="exact"/>
        <w:rPr>
          <w:rFonts w:ascii="Arial" w:cs="Arial" w:eastAsia="Arial" w:hAnsi="Arial"/>
          <w:sz w:val="18"/>
          <w:szCs w:val="18"/>
          <w:color w:val="auto"/>
        </w:rPr>
      </w:pPr>
    </w:p>
    <w:p>
      <w:pPr>
        <w:ind w:right="120" w:firstLine="921"/>
        <w:spacing w:after="0" w:line="277" w:lineRule="auto"/>
        <w:tabs>
          <w:tab w:leader="none" w:pos="1293"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Allocation of Nonrecourse Deductions</w:t>
      </w:r>
      <w:r>
        <w:rPr>
          <w:rFonts w:ascii="Arial" w:cs="Arial" w:eastAsia="Arial" w:hAnsi="Arial"/>
          <w:sz w:val="18"/>
          <w:szCs w:val="18"/>
          <w:color w:val="auto"/>
        </w:rPr>
        <w:t>. Each Nonrecourse Deduction of the Company shall be specially allocated among the Members pro rata to their relative ownership of Units.</w:t>
      </w:r>
    </w:p>
    <w:p>
      <w:pPr>
        <w:spacing w:after="0" w:line="170" w:lineRule="exact"/>
        <w:rPr>
          <w:rFonts w:ascii="Arial" w:cs="Arial" w:eastAsia="Arial" w:hAnsi="Arial"/>
          <w:sz w:val="18"/>
          <w:szCs w:val="18"/>
          <w:color w:val="auto"/>
        </w:rPr>
      </w:pPr>
    </w:p>
    <w:p>
      <w:pPr>
        <w:ind w:left="1280" w:hanging="359"/>
        <w:spacing w:after="0"/>
        <w:tabs>
          <w:tab w:leader="none" w:pos="1280"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Section 754 Adjustments</w:t>
      </w:r>
      <w:r>
        <w:rPr>
          <w:rFonts w:ascii="Arial" w:cs="Arial" w:eastAsia="Arial" w:hAnsi="Arial"/>
          <w:sz w:val="17"/>
          <w:szCs w:val="17"/>
          <w:color w:val="auto"/>
        </w:rPr>
        <w:t>. To the extent an adjustment to the adjusted tax basis of any asset of the Company, pursuant to Code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Section 734(b) or Section 743(b) is required, pursuant to Regulations Section 1.704-1(b)(2)(iv)(m)(2) or Section 1.704-1(b)(2)(iv)(m)(4), to be taken into</w:t>
      </w:r>
    </w:p>
    <w:p>
      <w:pPr>
        <w:sectPr>
          <w:pgSz w:w="11900" w:h="16838" w:orient="portrait"/>
          <w:cols w:equalWidth="0" w:num="1">
            <w:col w:w="11400"/>
          </w:cols>
          <w:pgMar w:left="240" w:top="274" w:right="259" w:bottom="1440" w:gutter="0" w:footer="0" w:header="0"/>
        </w:sectPr>
      </w:pPr>
    </w:p>
    <w:bookmarkStart w:id="351" w:name="page352"/>
    <w:bookmarkEnd w:id="351"/>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Regulations Section 1.704-1(b)(2)(iv)(m)(2) applies, or to the Member to whom such distribution was made in the event Regulations Section 1.704-1(b)(2)(iv)(m)(4) applies.</w:t>
      </w:r>
    </w:p>
    <w:p>
      <w:pPr>
        <w:spacing w:after="0" w:line="188" w:lineRule="exact"/>
        <w:rPr>
          <w:sz w:val="20"/>
          <w:szCs w:val="20"/>
          <w:color w:val="auto"/>
        </w:rPr>
      </w:pPr>
    </w:p>
    <w:p>
      <w:pPr>
        <w:jc w:val="both"/>
        <w:ind w:right="20" w:firstLine="1484"/>
        <w:spacing w:after="0" w:line="286" w:lineRule="auto"/>
        <w:rPr>
          <w:sz w:val="20"/>
          <w:szCs w:val="20"/>
          <w:color w:val="auto"/>
        </w:rPr>
      </w:pPr>
      <w:r>
        <w:rPr>
          <w:rFonts w:ascii="Arial" w:cs="Arial" w:eastAsia="Arial" w:hAnsi="Arial"/>
          <w:sz w:val="17"/>
          <w:szCs w:val="17"/>
          <w:color w:val="auto"/>
        </w:rPr>
        <w:t xml:space="preserve">The allocations pursuant to </w:t>
      </w:r>
      <w:r>
        <w:rPr>
          <w:rFonts w:ascii="Arial" w:cs="Arial" w:eastAsia="Arial" w:hAnsi="Arial"/>
          <w:sz w:val="17"/>
          <w:szCs w:val="17"/>
          <w:u w:val="single" w:color="auto"/>
          <w:color w:val="auto"/>
        </w:rPr>
        <w:t>Sections 7.3(a)</w:t>
      </w:r>
      <w:r>
        <w:rPr>
          <w:rFonts w:ascii="Arial" w:cs="Arial" w:eastAsia="Arial" w:hAnsi="Arial"/>
          <w:sz w:val="17"/>
          <w:szCs w:val="17"/>
          <w:color w:val="auto"/>
        </w:rPr>
        <w:t xml:space="preserve">, </w:t>
      </w:r>
      <w:r>
        <w:rPr>
          <w:rFonts w:ascii="Arial" w:cs="Arial" w:eastAsia="Arial" w:hAnsi="Arial"/>
          <w:sz w:val="17"/>
          <w:szCs w:val="17"/>
          <w:u w:val="single" w:color="auto"/>
          <w:color w:val="auto"/>
        </w:rPr>
        <w:t>7.3(b)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7.3(c)</w:t>
      </w:r>
      <w:r>
        <w:rPr>
          <w:rFonts w:ascii="Arial" w:cs="Arial" w:eastAsia="Arial" w:hAnsi="Arial"/>
          <w:sz w:val="17"/>
          <w:szCs w:val="17"/>
          <w:color w:val="auto"/>
        </w:rPr>
        <w:t xml:space="preserve"> shall be comprised of a proportionate share of each of the Company’s items of income or gain. The amounts of any income, gain, loss or deduction of the Company available to be specially allocated pursuant to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shall be determined by applying rules analogous to those set forth in subparagraphs (a) through (f) of the definitions of Net Income and Net Loss.</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Allocation of Nonrecourse Liabilities</w:t>
      </w:r>
      <w:r>
        <w:rPr>
          <w:rFonts w:ascii="Arial" w:cs="Arial" w:eastAsia="Arial" w:hAnsi="Arial"/>
          <w:sz w:val="18"/>
          <w:szCs w:val="18"/>
          <w:color w:val="auto"/>
        </w:rPr>
        <w:t xml:space="preserve">. For purposes of determining each Member’s share of Nonrecourse Liabilities, if any, of the Company in accordance with Regulations Section 1.752-3(a)(3), the Members’ interests in the Company’s profits shall be determined in the same manner as prescribed by </w:t>
      </w:r>
      <w:r>
        <w:rPr>
          <w:rFonts w:ascii="Arial" w:cs="Arial" w:eastAsia="Arial" w:hAnsi="Arial"/>
          <w:sz w:val="18"/>
          <w:szCs w:val="18"/>
          <w:u w:val="single" w:color="auto"/>
          <w:color w:val="auto"/>
        </w:rPr>
        <w:t>Section 7.3(e)</w:t>
      </w:r>
      <w:r>
        <w:rPr>
          <w:rFonts w:ascii="Arial" w:cs="Arial" w:eastAsia="Arial" w:hAnsi="Arial"/>
          <w:sz w:val="18"/>
          <w:szCs w:val="18"/>
          <w:color w:val="auto"/>
        </w:rPr>
        <w:t>.</w:t>
      </w:r>
    </w:p>
    <w:p>
      <w:pPr>
        <w:spacing w:after="0" w:line="289"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Other Allocation Rules</w:t>
      </w:r>
      <w:r>
        <w:rPr>
          <w:rFonts w:ascii="Arial" w:cs="Arial" w:eastAsia="Arial" w:hAnsi="Arial"/>
          <w:sz w:val="16"/>
          <w:szCs w:val="16"/>
          <w:color w:val="auto"/>
        </w:rPr>
        <w:t>.</w:t>
      </w:r>
    </w:p>
    <w:p>
      <w:pPr>
        <w:spacing w:after="0" w:line="117" w:lineRule="exact"/>
        <w:rPr>
          <w:sz w:val="20"/>
          <w:szCs w:val="20"/>
          <w:color w:val="auto"/>
        </w:rPr>
      </w:pPr>
    </w:p>
    <w:p>
      <w:pPr>
        <w:ind w:left="1300" w:hanging="379"/>
        <w:spacing w:after="0"/>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Tax Allocations; Other Allocation Rules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92"/>
        <w:spacing w:after="0" w:line="291" w:lineRule="auto"/>
        <w:tabs>
          <w:tab w:leader="none" w:pos="1833"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t>Tax Allocations</w:t>
      </w:r>
      <w:r>
        <w:rPr>
          <w:rFonts w:ascii="Arial" w:cs="Arial" w:eastAsia="Arial" w:hAnsi="Arial"/>
          <w:sz w:val="16"/>
          <w:szCs w:val="16"/>
          <w:color w:val="auto"/>
        </w:rPr>
        <w:t xml:space="preserve">. Tax allocations of each item of income, gain, loss, or deduction of the Company for federal income tax purposes for each fiscal year or other accounting period of the Company shall be made consistent with and in the same proportion as the corresponding allocations of such items of income, gain, loss or deduction that are made pursuant to </w:t>
      </w:r>
      <w:r>
        <w:rPr>
          <w:rFonts w:ascii="Arial" w:cs="Arial" w:eastAsia="Arial" w:hAnsi="Arial"/>
          <w:sz w:val="16"/>
          <w:szCs w:val="16"/>
          <w:u w:val="single" w:color="auto"/>
          <w:color w:val="auto"/>
        </w:rPr>
        <w:t>Sections 7.2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7.3</w:t>
      </w:r>
      <w:r>
        <w:rPr>
          <w:rFonts w:ascii="Arial" w:cs="Arial" w:eastAsia="Arial" w:hAnsi="Arial"/>
          <w:sz w:val="16"/>
          <w:szCs w:val="16"/>
          <w:color w:val="auto"/>
        </w:rPr>
        <w:t xml:space="preserve"> for such year or period, except that, solely for tax purposes, items of income, expense, gain and loss with respect to assets of the Company reflected hereunder in the Members’ Capital Accounts and on the books of the Company at values that differ from the Company’s adjusted tax basis in such assets shall be allocated among the Members so as to take account of those differences in a manner which will comply with Code Sections 704(b) and 704(c) and the Regulations promulgated thereunder. The Company shall, at the discretion of the Board of Managers, make, or not make, “curative” or “remedial” allocations (within the meaning of the Regulations Section 1.704-3).</w:t>
      </w:r>
    </w:p>
    <w:p>
      <w:pPr>
        <w:spacing w:after="0" w:line="167" w:lineRule="exact"/>
        <w:rPr>
          <w:rFonts w:ascii="Arial" w:cs="Arial" w:eastAsia="Arial" w:hAnsi="Arial"/>
          <w:sz w:val="16"/>
          <w:szCs w:val="16"/>
          <w:color w:val="auto"/>
        </w:rPr>
      </w:pPr>
    </w:p>
    <w:p>
      <w:pPr>
        <w:ind w:right="580" w:firstLine="1492"/>
        <w:spacing w:after="0" w:line="264" w:lineRule="auto"/>
        <w:tabs>
          <w:tab w:leader="none" w:pos="1883"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Changes in Members’ Interests</w:t>
      </w:r>
      <w:r>
        <w:rPr>
          <w:rFonts w:ascii="Arial" w:cs="Arial" w:eastAsia="Arial" w:hAnsi="Arial"/>
          <w:sz w:val="18"/>
          <w:szCs w:val="18"/>
          <w:color w:val="auto"/>
        </w:rPr>
        <w:t>. If during any fiscal year or other accounting period of the Company there is a change in any Member’s interest in the Company, the Board of Managers shall allocate Net Income or Net Loss to the Members in a manner that complies with the provisions of Code Section 706 and the Regulations thereunder.</w:t>
      </w:r>
    </w:p>
    <w:p>
      <w:pPr>
        <w:spacing w:after="0" w:line="181" w:lineRule="exact"/>
        <w:rPr>
          <w:rFonts w:ascii="Arial" w:cs="Arial" w:eastAsia="Arial" w:hAnsi="Arial"/>
          <w:sz w:val="18"/>
          <w:szCs w:val="18"/>
          <w:color w:val="auto"/>
        </w:rPr>
      </w:pPr>
    </w:p>
    <w:p>
      <w:pPr>
        <w:ind w:right="140" w:firstLine="1492"/>
        <w:spacing w:after="0" w:line="264" w:lineRule="auto"/>
        <w:tabs>
          <w:tab w:leader="none" w:pos="1933"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Credits</w:t>
      </w:r>
      <w:r>
        <w:rPr>
          <w:rFonts w:ascii="Arial" w:cs="Arial" w:eastAsia="Arial" w:hAnsi="Arial"/>
          <w:sz w:val="18"/>
          <w:szCs w:val="18"/>
          <w:color w:val="auto"/>
        </w:rPr>
        <w:t>. All tax credits of the Company for a fiscal year or other accounting period (or portion thereof, if appropriate) shall be allocated among the Members in accordance with their interests in such items in a manner reasonably determined by the Board of Managers, consistent with applicable law.</w:t>
      </w:r>
    </w:p>
    <w:p>
      <w:pPr>
        <w:sectPr>
          <w:pgSz w:w="11900" w:h="16838" w:orient="portrait"/>
          <w:cols w:equalWidth="0" w:num="1">
            <w:col w:w="11420"/>
          </w:cols>
          <w:pgMar w:left="240" w:top="274" w:right="239" w:bottom="1440" w:gutter="0" w:footer="0" w:header="0"/>
        </w:sectPr>
      </w:pPr>
    </w:p>
    <w:bookmarkStart w:id="352" w:name="page353"/>
    <w:bookmarkEnd w:id="352"/>
    <w:p>
      <w:pPr>
        <w:ind w:left="399" w:hanging="399"/>
        <w:spacing w:after="0"/>
        <w:tabs>
          <w:tab w:leader="none" w:pos="399"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921" w:right="20" w:firstLine="1492"/>
        <w:spacing w:after="0" w:line="312" w:lineRule="auto"/>
        <w:tabs>
          <w:tab w:leader="none" w:pos="912" w:val="left"/>
        </w:tabs>
        <w:numPr>
          <w:ilvl w:val="1"/>
          <w:numId w:val="243"/>
        </w:numPr>
        <w:rPr>
          <w:rFonts w:ascii="Arial" w:cs="Arial" w:eastAsia="Arial" w:hAnsi="Arial"/>
          <w:sz w:val="16"/>
          <w:szCs w:val="16"/>
          <w:color w:val="auto"/>
        </w:rPr>
      </w:pPr>
      <w:r>
        <w:rPr>
          <w:rFonts w:ascii="Arial" w:cs="Arial" w:eastAsia="Arial" w:hAnsi="Arial"/>
          <w:sz w:val="16"/>
          <w:szCs w:val="16"/>
          <w:color w:val="auto"/>
        </w:rPr>
        <w:t xml:space="preserve">If the Company receives proceeds in respect of which a tax has been withheld, the Company shall be treated as having received cash in an amount equal to the amount of such withheld tax, and, for all purposes of this Agreement each Member shall be treated as having received a distribution under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equal to the portion of the withholding tax allocable to such Member, as reasonably determined by the Board of Managers.</w:t>
      </w:r>
    </w:p>
    <w:p>
      <w:pPr>
        <w:spacing w:after="0" w:line="146" w:lineRule="exact"/>
        <w:rPr>
          <w:rFonts w:ascii="Arial" w:cs="Arial" w:eastAsia="Arial" w:hAnsi="Arial"/>
          <w:sz w:val="16"/>
          <w:szCs w:val="16"/>
          <w:color w:val="auto"/>
        </w:rPr>
      </w:pPr>
    </w:p>
    <w:p>
      <w:pPr>
        <w:ind w:left="-921" w:firstLine="1492"/>
        <w:spacing w:after="0" w:line="254" w:lineRule="auto"/>
        <w:tabs>
          <w:tab w:leader="none" w:pos="96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If the Company incurs a withholding tax obligation with respect to the share of income allocated to any Member, any amount which is (A) actually withheld from a distribution that would otherwise have been made to such Member, and (B) paid over to the applicable taxing authority in satisfaction of such withholding tax obligation shall be treated for all purposes under this Agreement as if such amount had been distributed to such Member under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For these purposes, each Member’s direct and indirect share of any payments by the Company or any other entity treated as a partnership for U.S. federal income tax purposes (other than the portion of any such payment by an entity that is held directly or indirectly by the Company through an entity treated as a corporation for U.S. federal income tax purposes) pursuant to Subchapter C of Chapter 63 of the Code shall be deemed to be a withholding tax obligation with respect to such Member that otherwise meets the requirements of the preceding sentence to be treated as having been distributed to such Member under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921" w:right="100" w:firstLine="1492"/>
        <w:spacing w:after="0" w:line="255" w:lineRule="auto"/>
        <w:tabs>
          <w:tab w:leader="none" w:pos="1009"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Taxes withheld pursuant to </w:t>
      </w:r>
      <w:r>
        <w:rPr>
          <w:rFonts w:ascii="Arial" w:cs="Arial" w:eastAsia="Arial" w:hAnsi="Arial"/>
          <w:sz w:val="18"/>
          <w:szCs w:val="18"/>
          <w:u w:val="single" w:color="auto"/>
          <w:color w:val="auto"/>
        </w:rPr>
        <w:t>Sections 7.5(b)(i)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but which exceed the amount, if any, actually withheld from a distribution which would otherwise have been made to such Member, shall be treated as an interest-free advance to such Member. Amounts treated as advanced to any Member pursuant to this </w:t>
      </w:r>
      <w:r>
        <w:rPr>
          <w:rFonts w:ascii="Arial" w:cs="Arial" w:eastAsia="Arial" w:hAnsi="Arial"/>
          <w:sz w:val="18"/>
          <w:szCs w:val="18"/>
          <w:u w:val="single" w:color="auto"/>
          <w:color w:val="auto"/>
        </w:rPr>
        <w:t>Section 7.5(b)(iii)</w:t>
      </w:r>
      <w:r>
        <w:rPr>
          <w:rFonts w:ascii="Arial" w:cs="Arial" w:eastAsia="Arial" w:hAnsi="Arial"/>
          <w:sz w:val="18"/>
          <w:szCs w:val="18"/>
          <w:color w:val="auto"/>
        </w:rPr>
        <w:t xml:space="preserve"> shall be repaid by such Member to the Company within thirty (30) days after the Board of Managers gives notice to such Member making demand therefor, with any such demands being made equitably and ratably of such Members. Any amounts so advanced and not timely repaid shall bear interest, commencing on the expiration of said thirty (30) day period, compounded monthly on unpaid balances, at an annual rate equal to the Applicable Federal Rate as of such expiration date. The Company shall collect any unpaid amounts from any distributions by the Company that would otherwise be made to such Member.</w:t>
      </w:r>
    </w:p>
    <w:p>
      <w:pPr>
        <w:spacing w:after="0" w:line="189" w:lineRule="exact"/>
        <w:rPr>
          <w:rFonts w:ascii="Arial" w:cs="Arial" w:eastAsia="Arial" w:hAnsi="Arial"/>
          <w:sz w:val="18"/>
          <w:szCs w:val="18"/>
          <w:color w:val="auto"/>
        </w:rPr>
      </w:pPr>
    </w:p>
    <w:p>
      <w:pPr>
        <w:ind w:left="-921" w:firstLine="1492"/>
        <w:spacing w:after="0" w:line="270" w:lineRule="auto"/>
        <w:tabs>
          <w:tab w:leader="none" w:pos="999" w:val="left"/>
        </w:tabs>
        <w:numPr>
          <w:ilvl w:val="1"/>
          <w:numId w:val="243"/>
        </w:numPr>
        <w:rPr>
          <w:rFonts w:ascii="Arial" w:cs="Arial" w:eastAsia="Arial" w:hAnsi="Arial"/>
          <w:sz w:val="17"/>
          <w:szCs w:val="17"/>
          <w:color w:val="auto"/>
        </w:rPr>
      </w:pPr>
      <w:r>
        <w:rPr>
          <w:rFonts w:ascii="Arial" w:cs="Arial" w:eastAsia="Arial" w:hAnsi="Arial"/>
          <w:sz w:val="17"/>
          <w:szCs w:val="17"/>
          <w:color w:val="auto"/>
        </w:rPr>
        <w:t xml:space="preserve">The Company shall not be liable for any excess taxes withheld in respect of any Member’s Units, and, in the event of any such overwithholding, a Member’s sole recourse shall be to apply for a refund from the appropriate governmental authority. If the Company or any of its respective Affiliates, or any of their respective shareholders, partners, members, officers, directors, employees, managers and, as determined by the Board of Managers in its discretion, consultants or agents, becomes liable as a result of a failure to withhold and remit taxes in respect of any Member, then such Member shall, unless otherwise agreed by the Board of Managers in writing, to the fullest extent permitted by law, indemnify and hold harmless the Company or any of its respective Affiliates, or any of their respective shareholders, partners, members, officers, directors, employees, managers and, as determined by the Board of Managers in its discretion, consultants or agents, as the case may be, in respect of all taxes, including interest and penalties, and any expenses incurred in any examination, determination, resolution and payment of such liability. The provisions contained in this </w:t>
      </w:r>
      <w:r>
        <w:rPr>
          <w:rFonts w:ascii="Arial" w:cs="Arial" w:eastAsia="Arial" w:hAnsi="Arial"/>
          <w:sz w:val="17"/>
          <w:szCs w:val="17"/>
          <w:u w:val="single" w:color="auto"/>
          <w:color w:val="auto"/>
        </w:rPr>
        <w:t>Section 7.5(b)</w:t>
      </w:r>
      <w:r>
        <w:rPr>
          <w:rFonts w:ascii="Arial" w:cs="Arial" w:eastAsia="Arial" w:hAnsi="Arial"/>
          <w:sz w:val="17"/>
          <w:szCs w:val="17"/>
          <w:color w:val="auto"/>
        </w:rPr>
        <w:t xml:space="preserve"> shall survive the termination of the Company, the termination of this Agreement and the Transfer of any Units.</w:t>
      </w:r>
    </w:p>
    <w:p>
      <w:pPr>
        <w:sectPr>
          <w:pgSz w:w="11900" w:h="16838" w:orient="portrait"/>
          <w:cols w:equalWidth="0" w:num="1">
            <w:col w:w="10479"/>
          </w:cols>
          <w:pgMar w:left="1161" w:top="273" w:right="259" w:bottom="1440" w:gutter="0" w:footer="0" w:header="0"/>
        </w:sectPr>
      </w:pPr>
    </w:p>
    <w:bookmarkStart w:id="353" w:name="page354"/>
    <w:bookmarkEnd w:id="353"/>
    <w:p>
      <w:pPr>
        <w:ind w:left="920"/>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sz w:val="20"/>
          <w:szCs w:val="20"/>
          <w:color w:val="auto"/>
        </w:rPr>
        <w:tab/>
      </w:r>
      <w:r>
        <w:rPr>
          <w:rFonts w:ascii="Arial" w:cs="Arial" w:eastAsia="Arial" w:hAnsi="Arial"/>
          <w:sz w:val="16"/>
          <w:szCs w:val="16"/>
          <w:u w:val="single" w:color="auto"/>
          <w:color w:val="auto"/>
        </w:rPr>
        <w:t>Tax Classification of the Company</w:t>
      </w:r>
      <w:r>
        <w:rPr>
          <w:rFonts w:ascii="Arial" w:cs="Arial" w:eastAsia="Arial" w:hAnsi="Arial"/>
          <w:sz w:val="16"/>
          <w:szCs w:val="16"/>
          <w:color w:val="auto"/>
        </w:rPr>
        <w:t>. It is intended that the Company be classified as a partnership for United States federal income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211" w:lineRule="exact"/>
        <w:rPr>
          <w:sz w:val="20"/>
          <w:szCs w:val="20"/>
          <w:color w:val="auto"/>
        </w:rPr>
      </w:pPr>
    </w:p>
    <w:p>
      <w:pPr>
        <w:jc w:val="both"/>
        <w:ind w:right="280" w:firstLine="921"/>
        <w:spacing w:after="0" w:line="264" w:lineRule="auto"/>
        <w:tabs>
          <w:tab w:leader="none" w:pos="1303"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Certain Tax Elections</w:t>
      </w:r>
      <w:r>
        <w:rPr>
          <w:rFonts w:ascii="Arial" w:cs="Arial" w:eastAsia="Arial" w:hAnsi="Arial"/>
          <w:sz w:val="18"/>
          <w:szCs w:val="18"/>
          <w:color w:val="auto"/>
        </w:rPr>
        <w:t xml:space="preserve">. Except in connection with actions taken in accordance with </w:t>
      </w:r>
      <w:r>
        <w:rPr>
          <w:rFonts w:ascii="Arial" w:cs="Arial" w:eastAsia="Arial" w:hAnsi="Arial"/>
          <w:sz w:val="18"/>
          <w:szCs w:val="18"/>
          <w:u w:val="single" w:color="auto"/>
          <w:color w:val="auto"/>
        </w:rPr>
        <w:t>Section 11.1</w:t>
      </w:r>
      <w:r>
        <w:rPr>
          <w:rFonts w:ascii="Arial" w:cs="Arial" w:eastAsia="Arial" w:hAnsi="Arial"/>
          <w:sz w:val="18"/>
          <w:szCs w:val="18"/>
          <w:color w:val="auto"/>
        </w:rPr>
        <w:t>, the Company shall not file any election pursuant to Regulations Section 301.7701-3(c) to be treated as an entity other than a partnership or elect, pursuant to Code Section 761(a), to be excluded from the provisions of subchapter K of the Code.</w:t>
      </w:r>
    </w:p>
    <w:p>
      <w:pPr>
        <w:spacing w:after="0" w:line="181" w:lineRule="exact"/>
        <w:rPr>
          <w:rFonts w:ascii="Arial" w:cs="Arial" w:eastAsia="Arial" w:hAnsi="Arial"/>
          <w:sz w:val="18"/>
          <w:szCs w:val="18"/>
          <w:color w:val="auto"/>
        </w:rPr>
      </w:pPr>
    </w:p>
    <w:p>
      <w:pPr>
        <w:ind w:right="220" w:firstLine="921"/>
        <w:spacing w:after="0" w:line="264" w:lineRule="auto"/>
        <w:tabs>
          <w:tab w:leader="none" w:pos="1293"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Publicly Traded Partnership</w:t>
      </w:r>
      <w:r>
        <w:rPr>
          <w:rFonts w:ascii="Arial" w:cs="Arial" w:eastAsia="Arial" w:hAnsi="Arial"/>
          <w:sz w:val="18"/>
          <w:szCs w:val="18"/>
          <w:color w:val="auto"/>
        </w:rPr>
        <w:t>. To ensure that Units are not traded on an established securities market within the meaning of Regulations Section 1.7704-1(b) or readily tradable on a secondary market or the substantial equivalent thereof within the meaning of Regulations Section 1.7704-1(c), notwithstanding anything to the contrary contained in this Agreement:</w:t>
      </w:r>
    </w:p>
    <w:p>
      <w:pPr>
        <w:spacing w:after="0" w:line="181" w:lineRule="exact"/>
        <w:rPr>
          <w:rFonts w:ascii="Arial" w:cs="Arial" w:eastAsia="Arial" w:hAnsi="Arial"/>
          <w:sz w:val="18"/>
          <w:szCs w:val="18"/>
          <w:color w:val="auto"/>
        </w:rPr>
      </w:pPr>
    </w:p>
    <w:p>
      <w:pPr>
        <w:ind w:left="1840" w:hanging="348"/>
        <w:spacing w:after="0"/>
        <w:tabs>
          <w:tab w:leader="none" w:pos="18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Company shall not participate in the establishment of a market or the inclusion of Units thereon; and</w:t>
      </w:r>
    </w:p>
    <w:p>
      <w:pPr>
        <w:spacing w:after="0" w:line="225" w:lineRule="exact"/>
        <w:rPr>
          <w:rFonts w:ascii="Arial" w:cs="Arial" w:eastAsia="Arial" w:hAnsi="Arial"/>
          <w:sz w:val="18"/>
          <w:szCs w:val="18"/>
          <w:color w:val="auto"/>
        </w:rPr>
      </w:pPr>
    </w:p>
    <w:p>
      <w:pPr>
        <w:jc w:val="both"/>
        <w:ind w:right="40" w:firstLine="1492"/>
        <w:spacing w:after="0" w:line="264" w:lineRule="auto"/>
        <w:tabs>
          <w:tab w:leader="none" w:pos="1883"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Company shall not recognize any Transfer made on any market by (A) redeeming any Units of a Member, or (B) admitting as a Member any transferee pursuant to a Transfer or otherwise recognizing any rights of any transferee, such as a right of such transferee to receive distributions from the Company (directly or indirectly) or to acquire an interest in the capital or profits of the Company.</w:t>
      </w:r>
    </w:p>
    <w:p>
      <w:pPr>
        <w:spacing w:after="0" w:line="289" w:lineRule="exact"/>
        <w:rPr>
          <w:rFonts w:ascii="Arial" w:cs="Arial" w:eastAsia="Arial" w:hAnsi="Arial"/>
          <w:sz w:val="18"/>
          <w:szCs w:val="18"/>
          <w:color w:val="auto"/>
        </w:rPr>
      </w:pPr>
    </w:p>
    <w:p>
      <w:pPr>
        <w:ind w:left="1280" w:hanging="359"/>
        <w:spacing w:after="0"/>
        <w:tabs>
          <w:tab w:leader="none" w:pos="128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Other Tax Elections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40" w:hanging="348"/>
        <w:spacing w:after="0"/>
        <w:tabs>
          <w:tab w:leader="none" w:pos="1840"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Elections by the Company</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7.5(a)(i)</w:t>
      </w:r>
      <w:r>
        <w:rPr>
          <w:rFonts w:ascii="Arial" w:cs="Arial" w:eastAsia="Arial" w:hAnsi="Arial"/>
          <w:sz w:val="18"/>
          <w:szCs w:val="18"/>
          <w:color w:val="auto"/>
        </w:rPr>
        <w:t>, relating to Code Section 704(c) allocation methods,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Section 7.5(d)</w:t>
      </w:r>
      <w:r>
        <w:rPr>
          <w:rFonts w:ascii="Arial" w:cs="Arial" w:eastAsia="Arial" w:hAnsi="Arial"/>
          <w:sz w:val="17"/>
          <w:szCs w:val="17"/>
          <w:color w:val="auto"/>
        </w:rPr>
        <w:t xml:space="preserve">, relating to the tax classification of the Company, and </w:t>
      </w:r>
      <w:r>
        <w:rPr>
          <w:rFonts w:ascii="Arial" w:cs="Arial" w:eastAsia="Arial" w:hAnsi="Arial"/>
          <w:sz w:val="17"/>
          <w:szCs w:val="17"/>
          <w:u w:val="single" w:color="auto"/>
          <w:color w:val="auto"/>
        </w:rPr>
        <w:t>Section 7.5(f)(ii)</w:t>
      </w:r>
      <w:r>
        <w:rPr>
          <w:rFonts w:ascii="Arial" w:cs="Arial" w:eastAsia="Arial" w:hAnsi="Arial"/>
          <w:sz w:val="17"/>
          <w:szCs w:val="17"/>
          <w:color w:val="auto"/>
        </w:rPr>
        <w:t xml:space="preserve">, relating to Code Section 754 elections, the Board of Managers may make, or refrain from making, in its sole and absolute discretion, any tax election provided under the Code, or any provision of state, local or foreign tax law. All decisions and other matters concerning the computation and allocation of items of income, gain, loss, deduction and credits among the Members, and accounting procedures not specifically and expressly provided for by the terms of this Agreement, shall be determined by the Board. Any determination made pursuant to this </w:t>
      </w:r>
      <w:r>
        <w:rPr>
          <w:rFonts w:ascii="Arial" w:cs="Arial" w:eastAsia="Arial" w:hAnsi="Arial"/>
          <w:sz w:val="17"/>
          <w:szCs w:val="17"/>
          <w:u w:val="single" w:color="auto"/>
          <w:color w:val="auto"/>
        </w:rPr>
        <w:t>Section 7.5(f)</w:t>
      </w:r>
      <w:r>
        <w:rPr>
          <w:rFonts w:ascii="Arial" w:cs="Arial" w:eastAsia="Arial" w:hAnsi="Arial"/>
          <w:sz w:val="17"/>
          <w:szCs w:val="17"/>
          <w:color w:val="auto"/>
        </w:rPr>
        <w:t xml:space="preserve"> by the Board of Managers shall be conclusive and binding on all Members.</w:t>
      </w:r>
    </w:p>
    <w:p>
      <w:pPr>
        <w:spacing w:after="0" w:line="179" w:lineRule="exact"/>
        <w:rPr>
          <w:sz w:val="20"/>
          <w:szCs w:val="20"/>
          <w:color w:val="auto"/>
        </w:rPr>
      </w:pPr>
    </w:p>
    <w:p>
      <w:pPr>
        <w:ind w:right="680" w:firstLine="1492"/>
        <w:spacing w:after="0" w:line="308" w:lineRule="auto"/>
        <w:tabs>
          <w:tab w:leader="none" w:pos="1883"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Elections by Company Subsidiaries</w:t>
      </w:r>
      <w:r>
        <w:rPr>
          <w:rFonts w:ascii="Arial" w:cs="Arial" w:eastAsia="Arial" w:hAnsi="Arial"/>
          <w:sz w:val="17"/>
          <w:szCs w:val="17"/>
          <w:color w:val="auto"/>
        </w:rPr>
        <w:t>. The Company will make and the Company will, if authorized in the sole and absolute discretion of the Board of Managers, cause any and all eligible Company Subsidiaries to make, an election under Code Section 754.</w:t>
      </w:r>
    </w:p>
    <w:p>
      <w:pPr>
        <w:spacing w:after="0" w:line="146" w:lineRule="exact"/>
        <w:rPr>
          <w:rFonts w:ascii="Arial" w:cs="Arial" w:eastAsia="Arial" w:hAnsi="Arial"/>
          <w:sz w:val="17"/>
          <w:szCs w:val="17"/>
          <w:color w:val="auto"/>
        </w:rPr>
      </w:pPr>
    </w:p>
    <w:p>
      <w:pPr>
        <w:ind w:right="40" w:firstLine="1492"/>
        <w:spacing w:after="0" w:line="302" w:lineRule="auto"/>
        <w:tabs>
          <w:tab w:leader="none" w:pos="1933"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Election by Members</w:t>
      </w:r>
      <w:r>
        <w:rPr>
          <w:rFonts w:ascii="Arial" w:cs="Arial" w:eastAsia="Arial" w:hAnsi="Arial"/>
          <w:sz w:val="16"/>
          <w:szCs w:val="16"/>
          <w:color w:val="auto"/>
        </w:rPr>
        <w:t>. In the event any Member makes any tax election that requires the Company to furnish information to such Member to enable such Member to compute its own tax liability, or requires the Company to file any tax return or report with any tax authority, in either case that would not be required in the absence of such election made by such Member, the Board of Managers may, as a condition to furnishing such information or filing such return or report, require such Member to pay to the Company any incremental expenses incurred in connection therewith.</w:t>
      </w:r>
    </w:p>
    <w:p>
      <w:pPr>
        <w:sectPr>
          <w:pgSz w:w="11900" w:h="16838" w:orient="portrait"/>
          <w:cols w:equalWidth="0" w:num="1">
            <w:col w:w="11380"/>
          </w:cols>
          <w:pgMar w:left="240" w:top="274" w:right="279" w:bottom="1440" w:gutter="0" w:footer="0" w:header="0"/>
        </w:sectPr>
      </w:pPr>
    </w:p>
    <w:bookmarkStart w:id="354" w:name="page355"/>
    <w:bookmarkEnd w:id="354"/>
    <w:p>
      <w:pPr>
        <w:ind w:left="-460" w:right="60" w:firstLine="1492"/>
        <w:spacing w:after="0" w:line="291" w:lineRule="auto"/>
        <w:tabs>
          <w:tab w:leader="none" w:pos="1463"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Member Obligations</w:t>
      </w:r>
      <w:r>
        <w:rPr>
          <w:rFonts w:ascii="Arial" w:cs="Arial" w:eastAsia="Arial" w:hAnsi="Arial"/>
          <w:sz w:val="16"/>
          <w:szCs w:val="16"/>
          <w:color w:val="auto"/>
        </w:rPr>
        <w:t>. Promptly upon request, each Member shall use commercially reasonable efforts to provide the Company with any information related to such Member necessary (A) to allow the Company to comply with any tax reporting, tax withholding or tax payment obligations of the Company or (B) to establish the Company’s legal entitlement to an exemption from, or reduction of, withholding or other taxes or similar payments, including U.S. federal withholding tax under Sections 1471 and 1472 of the Code. For the avoidance of doubt, if a Member fails to provide the Company with any such information, such Member shall not be relieved of any adverse consequences of such failure even if such Member used commercially reasonable efforts to provide such information. A Member who acquires a Unit shall promptly furnish to the Company such information as the Company shall reasonably request to enable it to compute the adjustments required by Section 755 of the Code and the Regulations thereunder.</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Tax Matters Member</w:t>
      </w:r>
      <w:r>
        <w:rPr>
          <w:rFonts w:ascii="Arial" w:cs="Arial" w:eastAsia="Arial" w:hAnsi="Arial"/>
          <w:sz w:val="16"/>
          <w:szCs w:val="16"/>
          <w:color w:val="auto"/>
        </w:rPr>
        <w:t>.</w:t>
      </w:r>
    </w:p>
    <w:p>
      <w:pPr>
        <w:spacing w:after="0" w:line="117" w:lineRule="exact"/>
        <w:rPr>
          <w:sz w:val="20"/>
          <w:szCs w:val="20"/>
          <w:color w:val="auto"/>
        </w:rPr>
      </w:pPr>
    </w:p>
    <w:p>
      <w:pPr>
        <w:ind w:left="-460" w:right="320" w:firstLine="921"/>
        <w:spacing w:after="0" w:line="257" w:lineRule="auto"/>
        <w:tabs>
          <w:tab w:leader="none" w:pos="833"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Designation</w:t>
      </w:r>
      <w:r>
        <w:rPr>
          <w:rFonts w:ascii="Arial" w:cs="Arial" w:eastAsia="Arial" w:hAnsi="Arial"/>
          <w:sz w:val="18"/>
          <w:szCs w:val="18"/>
          <w:color w:val="auto"/>
        </w:rPr>
        <w:t>. The Board may appoint, or remove a Person to be designated as the tax matters partner within the meaning of Code Section 6231(a)(7) (the “</w:t>
      </w:r>
      <w:r>
        <w:rPr>
          <w:rFonts w:ascii="Arial" w:cs="Arial" w:eastAsia="Arial" w:hAnsi="Arial"/>
          <w:sz w:val="18"/>
          <w:szCs w:val="18"/>
          <w:b w:val="1"/>
          <w:bCs w:val="1"/>
          <w:u w:val="single" w:color="auto"/>
          <w:color w:val="auto"/>
        </w:rPr>
        <w:t>Tax Matters Member</w:t>
      </w:r>
      <w:r>
        <w:rPr>
          <w:rFonts w:ascii="Arial" w:cs="Arial" w:eastAsia="Arial" w:hAnsi="Arial"/>
          <w:sz w:val="18"/>
          <w:szCs w:val="18"/>
          <w:color w:val="auto"/>
        </w:rPr>
        <w:t>”). In such capacity, the Tax Matters Member shall have all of the rights, authority and power, and shall be subject to all of the regulations of, a tax matters partner to the extent provided in the Code and the Regulations. The Tax Matters Member shall also be the “partnership representative” within the meaning of Code Section 6223, and for the avoidance of doubt, references herein to “Tax Matters Member” shall include a person acting in the capacity of “partnership representative.”</w:t>
      </w:r>
    </w:p>
    <w:p>
      <w:pPr>
        <w:spacing w:after="0" w:line="188" w:lineRule="exact"/>
        <w:rPr>
          <w:rFonts w:ascii="Arial" w:cs="Arial" w:eastAsia="Arial" w:hAnsi="Arial"/>
          <w:sz w:val="18"/>
          <w:szCs w:val="18"/>
          <w:color w:val="auto"/>
        </w:rPr>
      </w:pPr>
    </w:p>
    <w:p>
      <w:pPr>
        <w:ind w:left="-460" w:right="260" w:firstLine="921"/>
        <w:spacing w:after="0" w:line="264" w:lineRule="auto"/>
        <w:tabs>
          <w:tab w:leader="none" w:pos="843"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Foreign, State and Local Tax Law</w:t>
      </w:r>
      <w:r>
        <w:rPr>
          <w:rFonts w:ascii="Arial" w:cs="Arial" w:eastAsia="Arial" w:hAnsi="Arial"/>
          <w:sz w:val="18"/>
          <w:szCs w:val="18"/>
          <w:color w:val="auto"/>
        </w:rPr>
        <w:t>. If any foreign, state or local tax law provides for a tax matters partner or person having similar rights, powers, authority or obligations, the Tax Matters Member shall also serve in such capacity. In all other cases, the Tax Matters Member shall represent the Company in all tax matters to the extent allowed by law.</w:t>
      </w:r>
    </w:p>
    <w:p>
      <w:pPr>
        <w:spacing w:after="0" w:line="181" w:lineRule="exact"/>
        <w:rPr>
          <w:rFonts w:ascii="Arial" w:cs="Arial" w:eastAsia="Arial" w:hAnsi="Arial"/>
          <w:sz w:val="18"/>
          <w:szCs w:val="18"/>
          <w:color w:val="auto"/>
        </w:rPr>
      </w:pPr>
    </w:p>
    <w:p>
      <w:pPr>
        <w:ind w:left="-460" w:firstLine="921"/>
        <w:spacing w:after="0" w:line="264" w:lineRule="auto"/>
        <w:tabs>
          <w:tab w:leader="none" w:pos="833"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Expenses of the Tax Matters Member</w:t>
      </w:r>
      <w:r>
        <w:rPr>
          <w:rFonts w:ascii="Arial" w:cs="Arial" w:eastAsia="Arial" w:hAnsi="Arial"/>
          <w:sz w:val="18"/>
          <w:szCs w:val="18"/>
          <w:color w:val="auto"/>
        </w:rPr>
        <w:t xml:space="preserve">. Expenses incurred by the Tax Matters Member as the Tax Matters Member, or in a similar capacity as set forth in this </w:t>
      </w:r>
      <w:r>
        <w:rPr>
          <w:rFonts w:ascii="Arial" w:cs="Arial" w:eastAsia="Arial" w:hAnsi="Arial"/>
          <w:sz w:val="18"/>
          <w:szCs w:val="18"/>
          <w:u w:val="single" w:color="auto"/>
          <w:color w:val="auto"/>
        </w:rPr>
        <w:t>Section 7.6</w:t>
      </w:r>
      <w:r>
        <w:rPr>
          <w:rFonts w:ascii="Arial" w:cs="Arial" w:eastAsia="Arial" w:hAnsi="Arial"/>
          <w:sz w:val="18"/>
          <w:szCs w:val="18"/>
          <w:color w:val="auto"/>
        </w:rPr>
        <w:t>, shall be borne by the Company as Company expenses. Such expenses shall include fees of attorneys and other tax professionals, accountants, appraisers and experts, filing fees and reasonable out-of-pocket costs.</w:t>
      </w:r>
    </w:p>
    <w:p>
      <w:pPr>
        <w:spacing w:after="0" w:line="181" w:lineRule="exact"/>
        <w:rPr>
          <w:rFonts w:ascii="Arial" w:cs="Arial" w:eastAsia="Arial" w:hAnsi="Arial"/>
          <w:sz w:val="18"/>
          <w:szCs w:val="18"/>
          <w:color w:val="auto"/>
        </w:rPr>
      </w:pPr>
    </w:p>
    <w:p>
      <w:pPr>
        <w:ind w:left="-460" w:right="100" w:firstLine="921"/>
        <w:spacing w:after="0" w:line="264" w:lineRule="auto"/>
        <w:tabs>
          <w:tab w:leader="none" w:pos="843"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Effect of Certain Decisions by Tax Matters Member</w:t>
      </w:r>
      <w:r>
        <w:rPr>
          <w:rFonts w:ascii="Arial" w:cs="Arial" w:eastAsia="Arial" w:hAnsi="Arial"/>
          <w:sz w:val="18"/>
          <w:szCs w:val="18"/>
          <w:color w:val="auto"/>
        </w:rPr>
        <w:t>. Any decisions made by the Tax Matters Member, including whether or not to settle or contest any tax matter, whether or not to extend the period of limitations for the assessment or collection of any tax and the choice of forum for such contest shall be made in the Tax Matters Member’s sole and absolute discretion.</w:t>
      </w:r>
    </w:p>
    <w:p>
      <w:pPr>
        <w:spacing w:after="0" w:line="181" w:lineRule="exact"/>
        <w:rPr>
          <w:rFonts w:ascii="Arial" w:cs="Arial" w:eastAsia="Arial" w:hAnsi="Arial"/>
          <w:sz w:val="18"/>
          <w:szCs w:val="18"/>
          <w:color w:val="auto"/>
        </w:rPr>
      </w:pPr>
    </w:p>
    <w:p>
      <w:pPr>
        <w:ind w:left="-460" w:right="180" w:firstLine="921"/>
        <w:spacing w:after="0" w:line="257" w:lineRule="auto"/>
        <w:tabs>
          <w:tab w:leader="none" w:pos="833"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Inconsistent Return Positions</w:t>
      </w:r>
      <w:r>
        <w:rPr>
          <w:rFonts w:ascii="Arial" w:cs="Arial" w:eastAsia="Arial" w:hAnsi="Arial"/>
          <w:sz w:val="18"/>
          <w:szCs w:val="18"/>
          <w:color w:val="auto"/>
        </w:rPr>
        <w:t>. No Member shall file a notice with the IRS under Code Section 6222(b) in connection with such Member’s intention to treat an item on such Member’s federal income tax return in a manner that is inconsistent with the treatment of such item on the Company’s federal income tax return, unless such Member has, not less than thirty (30) days prior to the filing of such notice, provided the Tax Matters Member with a copy of the notice; in addition, such Member shall thereafter in a timely manner provides such other information related thereto as the Tax Matters Member shall reasonably request.</w:t>
      </w:r>
    </w:p>
    <w:p>
      <w:pPr>
        <w:sectPr>
          <w:pgSz w:w="11900" w:h="16838" w:orient="portrait"/>
          <w:cols w:equalWidth="0" w:num="1">
            <w:col w:w="10960"/>
          </w:cols>
          <w:pgMar w:left="700" w:top="274" w:right="239" w:bottom="1440" w:gutter="0" w:footer="0" w:header="0"/>
        </w:sectPr>
      </w:pPr>
    </w:p>
    <w:bookmarkStart w:id="355" w:name="page356"/>
    <w:bookmarkEnd w:id="355"/>
    <w:p>
      <w:pPr>
        <w:jc w:val="center"/>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sz w:val="20"/>
          <w:szCs w:val="20"/>
          <w:color w:val="auto"/>
        </w:rPr>
        <w:tab/>
      </w:r>
      <w:r>
        <w:rPr>
          <w:rFonts w:ascii="Arial" w:cs="Arial" w:eastAsia="Arial" w:hAnsi="Arial"/>
          <w:sz w:val="16"/>
          <w:szCs w:val="16"/>
          <w:u w:val="single" w:color="auto"/>
          <w:color w:val="auto"/>
        </w:rPr>
        <w:t>Consolidated Audit Rules</w:t>
      </w:r>
      <w:r>
        <w:rPr>
          <w:rFonts w:ascii="Arial" w:cs="Arial" w:eastAsia="Arial" w:hAnsi="Arial"/>
          <w:sz w:val="16"/>
          <w:szCs w:val="16"/>
          <w:color w:val="auto"/>
        </w:rPr>
        <w:t>. In furtherance of the foregoing, if the Company is not subject to the consolidated audit rules of Code</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6221 through 6234 during any taxable year, the Members hereby agree to sign an election pursuant to Code Section 6231(a)(1)(B)(ii) to be filed with the Company’s federal income tax return for such taxable year to have such consolidated audit rules apply to the Company to the extent such election is available.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29"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Distributions</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64" w:lineRule="auto"/>
        <w:tabs>
          <w:tab w:leader="none" w:pos="1293"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Order of Distributions</w:t>
      </w:r>
      <w:r>
        <w:rPr>
          <w:rFonts w:ascii="Arial" w:cs="Arial" w:eastAsia="Arial" w:hAnsi="Arial"/>
          <w:sz w:val="18"/>
          <w:szCs w:val="18"/>
          <w:color w:val="auto"/>
        </w:rPr>
        <w:t xml:space="preserve">. If and to the extent that the Company makes distributions to its Members, other than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8.1(c)</w:t>
      </w:r>
      <w:r>
        <w:rPr>
          <w:rFonts w:ascii="Arial" w:cs="Arial" w:eastAsia="Arial" w:hAnsi="Arial"/>
          <w:sz w:val="18"/>
          <w:szCs w:val="18"/>
          <w:color w:val="auto"/>
        </w:rPr>
        <w:t>, the Company shall, to the fullest extent permitted by law, including without limitation, Section 18-607 of the Act, make distributions as follows:</w:t>
      </w:r>
    </w:p>
    <w:p>
      <w:pPr>
        <w:spacing w:after="0" w:line="181" w:lineRule="exact"/>
        <w:rPr>
          <w:rFonts w:ascii="Arial" w:cs="Arial" w:eastAsia="Arial" w:hAnsi="Arial"/>
          <w:sz w:val="18"/>
          <w:szCs w:val="18"/>
          <w:color w:val="auto"/>
        </w:rPr>
      </w:pPr>
    </w:p>
    <w:p>
      <w:pPr>
        <w:ind w:right="40" w:firstLine="1492"/>
        <w:spacing w:after="0" w:line="290" w:lineRule="auto"/>
        <w:tabs>
          <w:tab w:leader="none" w:pos="1833"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first, to the Series 1 Senior Preferred Members and the Junior Preferred Members, pro rata between the Series 1 Senior Preferred Members and Junior Preferred Members based on the ratio of the aggregate Series 1 Senior Preferred Original Issue Price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Series 1 Senior Preferred Dividend Amount, if any, at such time, to the aggregate Junior Preferred Original Issue Price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Junior Preferred Dividend Amount, if any, at such time, and further pro rata (A) between the Series 1 Senior Preferred Members, based on the number of Series 1 Senior Preferred Units held by each of them as of such time and (B) between the Junior Preferred Members, based on the number of Junior Preferred Units held by each of them as of such time, until the cumulative amount distributed pursuant to this clause (i) equals: (1) with respect to each outstanding Series 1 Senior Preferred Unit, the Series 1 Senior Preferred Original Issue Price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Series 1 Senior Preferred Dividend Amount, if any, and (B) with respect to each outstanding Junior Preferred Unit, the Junior Preferred Original Issue Price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Junior Preferred Dividend Amount, if any;</w:t>
      </w:r>
    </w:p>
    <w:p>
      <w:pPr>
        <w:spacing w:after="0" w:line="166" w:lineRule="exact"/>
        <w:rPr>
          <w:rFonts w:ascii="Arial" w:cs="Arial" w:eastAsia="Arial" w:hAnsi="Arial"/>
          <w:sz w:val="16"/>
          <w:szCs w:val="16"/>
          <w:color w:val="auto"/>
        </w:rPr>
      </w:pPr>
    </w:p>
    <w:p>
      <w:pPr>
        <w:ind w:firstLine="1492"/>
        <w:spacing w:after="0" w:line="276" w:lineRule="auto"/>
        <w:tabs>
          <w:tab w:leader="none" w:pos="1883" w:val="left"/>
        </w:tabs>
        <w:numPr>
          <w:ilvl w:val="1"/>
          <w:numId w:val="248"/>
        </w:numPr>
        <w:rPr>
          <w:rFonts w:ascii="Arial" w:cs="Arial" w:eastAsia="Arial" w:hAnsi="Arial"/>
          <w:sz w:val="17"/>
          <w:szCs w:val="17"/>
          <w:color w:val="auto"/>
        </w:rPr>
      </w:pPr>
      <w:r>
        <w:rPr>
          <w:rFonts w:ascii="Arial" w:cs="Arial" w:eastAsia="Arial" w:hAnsi="Arial"/>
          <w:sz w:val="17"/>
          <w:szCs w:val="17"/>
          <w:color w:val="auto"/>
        </w:rPr>
        <w:t xml:space="preserve">second, to the Series A Common Members, the Series B Common Members, the Series C Common Members and the Series D Common Members, pro rata to the aggregate number of Series A Common Units, Series B Common Units, Series C Common Units and vested Series D Common Units held by each of them as of such time, but taking into account the limitations of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with respect to Series D Common Units, until the cumulative amount distributed pursuant to this clause (ii) with respect to one Series A Common Unit, Series B Common Unit, Series C Common Unit and vested Series D Common Unit equals the cumulative amount distributed to one Junior Preferred Unit pursuant to clause (i);</w:t>
      </w:r>
    </w:p>
    <w:p>
      <w:pPr>
        <w:sectPr>
          <w:pgSz w:w="11900" w:h="16838" w:orient="portrait"/>
          <w:cols w:equalWidth="0" w:num="1">
            <w:col w:w="11400"/>
          </w:cols>
          <w:pgMar w:left="240" w:top="273" w:right="259" w:bottom="1440" w:gutter="0" w:footer="0" w:header="0"/>
        </w:sectPr>
      </w:pPr>
    </w:p>
    <w:bookmarkStart w:id="356" w:name="page357"/>
    <w:bookmarkEnd w:id="356"/>
    <w:p>
      <w:pPr>
        <w:ind w:right="20" w:firstLine="1492"/>
        <w:spacing w:after="0" w:line="255" w:lineRule="auto"/>
        <w:tabs>
          <w:tab w:leader="none" w:pos="1933"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third, to the Junior Preferred Members, the Series A Common Members, the Series B Common Members, the Series C Common Members and the Series D Common Members, pro rata to the aggregate number of Junior Preferred Units, Series A Common Units, Series B Common Units, Series C Common Units and vested Series D Common Units held by each of them as of such time, but taking into account the limitations of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with respect to Series D Common Units, until the cumulative amount distributed pursuant to clauses (i), (ii) and (iii) with respect to one Junior Preferred Unit, Series A Common Unit, Series B Common Unit, Series C Common Unit and vested Series D Common Unit equals the cumulative amount distributed to one Series 1 Senior Preferred Unit pursuant to clause (i); and</w:t>
      </w:r>
    </w:p>
    <w:p>
      <w:pPr>
        <w:spacing w:after="0" w:line="193" w:lineRule="exact"/>
        <w:rPr>
          <w:rFonts w:ascii="Arial" w:cs="Arial" w:eastAsia="Arial" w:hAnsi="Arial"/>
          <w:sz w:val="18"/>
          <w:szCs w:val="18"/>
          <w:color w:val="auto"/>
        </w:rPr>
      </w:pPr>
    </w:p>
    <w:p>
      <w:pPr>
        <w:ind w:right="120" w:firstLine="1492"/>
        <w:spacing w:after="0" w:line="264" w:lineRule="auto"/>
        <w:tabs>
          <w:tab w:leader="none" w:pos="192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fourth, subject to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to all Holders of Units, pro rata to the number of Series 1 Senior Preferred Units, Junior Preferred Units, Series A Common Units, Series B Common Units, Series C Common Units and vested Series D Common Units held by each of them as of such time, but taking into account the limitations of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with respect to Series D Common Units.</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Solely for purposes of this </w:t>
      </w:r>
      <w:r>
        <w:rPr>
          <w:rFonts w:ascii="Arial" w:cs="Arial" w:eastAsia="Arial" w:hAnsi="Arial"/>
          <w:sz w:val="18"/>
          <w:szCs w:val="18"/>
          <w:u w:val="single" w:color="auto"/>
          <w:color w:val="auto"/>
        </w:rPr>
        <w:t>Section 8.1(a)</w:t>
      </w:r>
      <w:r>
        <w:rPr>
          <w:rFonts w:ascii="Arial" w:cs="Arial" w:eastAsia="Arial" w:hAnsi="Arial"/>
          <w:sz w:val="18"/>
          <w:szCs w:val="18"/>
          <w:color w:val="auto"/>
        </w:rPr>
        <w:t>, all Series B Common Units and Series D Common Units resulting from the conversion of the Series A Common Units of the Company (as defined in the 2</w:t>
      </w:r>
      <w:r>
        <w:rPr>
          <w:rFonts w:ascii="Arial" w:cs="Arial" w:eastAsia="Arial" w:hAnsi="Arial"/>
          <w:sz w:val="15"/>
          <w:szCs w:val="15"/>
          <w:color w:val="auto"/>
        </w:rPr>
        <w:t>nd</w:t>
      </w:r>
      <w:r>
        <w:rPr>
          <w:rFonts w:ascii="Arial" w:cs="Arial" w:eastAsia="Arial" w:hAnsi="Arial"/>
          <w:sz w:val="18"/>
          <w:szCs w:val="18"/>
          <w:color w:val="auto"/>
        </w:rPr>
        <w:t xml:space="preserve"> A&amp;R Agreement) as part of the GT Merger that had been issued on or prior to December 17, 2014, shall be deemed fully vested.</w:t>
      </w:r>
    </w:p>
    <w:p>
      <w:pPr>
        <w:spacing w:after="0" w:line="181" w:lineRule="exact"/>
        <w:rPr>
          <w:sz w:val="20"/>
          <w:szCs w:val="20"/>
          <w:color w:val="auto"/>
        </w:rPr>
      </w:pPr>
    </w:p>
    <w:p>
      <w:pPr>
        <w:ind w:firstLine="921"/>
        <w:spacing w:after="0" w:line="297" w:lineRule="auto"/>
        <w:tabs>
          <w:tab w:leader="none" w:pos="1303"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Timing of Distributions</w:t>
      </w:r>
      <w:r>
        <w:rPr>
          <w:rFonts w:ascii="Arial" w:cs="Arial" w:eastAsia="Arial" w:hAnsi="Arial"/>
          <w:sz w:val="16"/>
          <w:szCs w:val="16"/>
          <w:color w:val="auto"/>
        </w:rPr>
        <w:t xml:space="preserve">. The Members acknowledge that the Company shall make distributions at such times as designated by the Board, in its sole discretion, and in accordance with the terms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of a Deemed Liquidation Event, the Board shall to the extent permitted by law, cause the Company to distribute to the Members,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the proceeds received by the Company in connection with such Deemed Liquidation Event within 90 days after the Deemed Liquidation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holders of at least 66% of the outstanding Series 1 Senior Preferred Units and the holders of a majority of the Junior Preferred Units may together waive the occurrence of a Deemed Liquidation Event.</w:t>
      </w:r>
    </w:p>
    <w:p>
      <w:pPr>
        <w:spacing w:after="0" w:line="158" w:lineRule="exact"/>
        <w:rPr>
          <w:rFonts w:ascii="Arial" w:cs="Arial" w:eastAsia="Arial" w:hAnsi="Arial"/>
          <w:sz w:val="16"/>
          <w:szCs w:val="16"/>
          <w:color w:val="auto"/>
        </w:rPr>
      </w:pPr>
    </w:p>
    <w:p>
      <w:pPr>
        <w:ind w:right="20" w:firstLine="921"/>
        <w:spacing w:after="0" w:line="269" w:lineRule="auto"/>
        <w:tabs>
          <w:tab w:leader="none" w:pos="1293"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Profits Interests</w:t>
      </w:r>
      <w:r>
        <w:rPr>
          <w:rFonts w:ascii="Arial" w:cs="Arial" w:eastAsia="Arial" w:hAnsi="Arial"/>
          <w:sz w:val="17"/>
          <w:szCs w:val="17"/>
          <w:color w:val="auto"/>
        </w:rPr>
        <w:t>. If the Company issues Series D Common Units intended to be treated as “profits interests” (as that term is used in Revenue Procedures 93-27 and 2001-43), the Members intend that, under current interpretations of the Code, the recipient will not realize income upon the issuance of such Unit. In furtherance of such intention, distributions in respect of any such Series D Common Unit may be limited, as determined by the Board, so that such Series D Common Unit does not share in the value of the Company’s assets as of the date of grant of such Series D Common Unit, and only shares in subsequent appreciation in value of the Company’s assets. Following the promulgation, if any, of final regulations and associated guidance by the Treasury Department and Internal Revenue Service regarding the tax consequences associated with the issuance or transfer of partnership interests in exchange for the performance of services, the Company is authorized and directed to elect (on behalf of the Company and each of its Members) to have the liquidation value safe harbor contemplated by proposed Section 1.83-3(l) of the Treasury Regulations and by the revenue procedure contemplated by IRS Notice 2005-43 (or the corresponding provisions of any such final Treasury Regulations or associated guidance) apply irrevocably with respect to all Series D Common Units transferred in connection with the performance of services. The Company and each Member (including any Member obtaining a Member interest in exchange for the</w:t>
      </w:r>
    </w:p>
    <w:p>
      <w:pPr>
        <w:sectPr>
          <w:pgSz w:w="11900" w:h="16838" w:orient="portrait"/>
          <w:cols w:equalWidth="0" w:num="1">
            <w:col w:w="11420"/>
          </w:cols>
          <w:pgMar w:left="240" w:top="274" w:right="239" w:bottom="1440" w:gutter="0" w:footer="0" w:header="0"/>
        </w:sectPr>
      </w:pPr>
    </w:p>
    <w:bookmarkStart w:id="357" w:name="page358"/>
    <w:bookmarkEnd w:id="357"/>
    <w:p>
      <w:pPr>
        <w:jc w:val="both"/>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of services and any Person to whom a Member interest in the Company is Transferred) shall comply with all requirements associated with any such election, including forfeiture allocations if the interest for which a Section 83(b) election is made is later forfeited, while the election remains effective.</w:t>
      </w:r>
    </w:p>
    <w:p>
      <w:pPr>
        <w:spacing w:after="0" w:line="12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Non-Cash Distributions</w:t>
      </w:r>
      <w:r>
        <w:rPr>
          <w:rFonts w:ascii="Arial" w:cs="Arial" w:eastAsia="Arial" w:hAnsi="Arial"/>
          <w:sz w:val="18"/>
          <w:szCs w:val="18"/>
          <w:color w:val="auto"/>
        </w:rPr>
        <w:t xml:space="preserve">. Whenever a distribution provided for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payable in property other than cash, the amount of the distribution shall equal the Gross Asset Value of such property.</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Tax Distributions</w:t>
      </w:r>
      <w:r>
        <w:rPr>
          <w:rFonts w:ascii="Arial" w:cs="Arial" w:eastAsia="Arial" w:hAnsi="Arial"/>
          <w:sz w:val="16"/>
          <w:szCs w:val="16"/>
          <w:color w:val="auto"/>
        </w:rPr>
        <w:t xml:space="preserve">. The Board shall cause the Company to distribute within five (5) days prior to each April 15, June 15, September 15 and January 15 of the succeeding year (or such other time period or date as the Board shall determine), in proportion to their respective Tax Liability Deficiencies (as hereinafter defined) for the period in question, an amount up to the aggregate Tax Liability Deficiencies of all Members for such period. For purposes of this </w:t>
      </w:r>
      <w:r>
        <w:rPr>
          <w:rFonts w:ascii="Arial" w:cs="Arial" w:eastAsia="Arial" w:hAnsi="Arial"/>
          <w:sz w:val="16"/>
          <w:szCs w:val="16"/>
          <w:u w:val="single" w:color="auto"/>
          <w:color w:val="auto"/>
        </w:rPr>
        <w:t>Section 8.3</w:t>
      </w:r>
      <w:r>
        <w:rPr>
          <w:rFonts w:ascii="Arial" w:cs="Arial" w:eastAsia="Arial" w:hAnsi="Arial"/>
          <w:sz w:val="16"/>
          <w:szCs w:val="16"/>
          <w:color w:val="auto"/>
        </w:rPr>
        <w:t>, the term “</w:t>
      </w:r>
      <w:r>
        <w:rPr>
          <w:rFonts w:ascii="Arial" w:cs="Arial" w:eastAsia="Arial" w:hAnsi="Arial"/>
          <w:sz w:val="16"/>
          <w:szCs w:val="16"/>
          <w:b w:val="1"/>
          <w:bCs w:val="1"/>
          <w:color w:val="auto"/>
        </w:rPr>
        <w:t>Tax Liability Deficiency</w:t>
      </w:r>
      <w:r>
        <w:rPr>
          <w:rFonts w:ascii="Arial" w:cs="Arial" w:eastAsia="Arial" w:hAnsi="Arial"/>
          <w:sz w:val="16"/>
          <w:szCs w:val="16"/>
          <w:color w:val="auto"/>
        </w:rPr>
        <w:t xml:space="preserve">” means the excess, if any, of (A) the highest marginal combined U.S. federal and state tax rates applicable to individuals, taking into account the character of income and such other reasonable assumptions as determined by the Board, or such higher rate as determined by the Board to be appropriate in order for the Members to defray their tax liability associated with an ownership interest in the Company, of the amount of the Company’s federal taxable income (as estimated by the Board) for the current taxable year allocated to the Members pursuant to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in respect of the class of Units held by such Members, over (B) the cumulative amount of cash previously distributed to the Member during such taxable year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attributable to such taxable year, in each case, in respect of such class of Units. For these purposes, a Member’s Tax Liability Deficiency shall be determined separately for each class of Units held by such Member. Any distributions made to a Member pursuant to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in respect of such Member’s Series 1 Senior Preferred Units, Junior Preferred Units, Series A Common Units, Series B Common Units, Series C Common Units or Series D Common Units, to the extent attributable to allocations to such Member corresponding to amounts distributable to such Member in respect of such Units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be treated as advances against and shall reduce dollar-for-dollar any subsequent distributions to be made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in respect of such Member’s Series 1 Senior Preferred Units, Junior Preferred Units, Series A Common Units, Series B Common Units, Series C Common Units or Series D Common Units, as applicable. The determination of Tax Liability Deficiency shall be subject to such other adjustments and modifications as determined by the Board to be equitable. If the Company shall fail to make distributions in respect of any Member’s Tax Liability Deficiency with respect to a taxable year, then prior to making distributions pursuant to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in respect of the Tax Liability Deficiencies of the Members for any subsequent taxable year, the Company shall make distributions pursuant to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to the Member or Members who did not receive sufficient distributions to meet the prior year’s Tax Liability Deficiency until such deficiency is remedied. For the avoidance of doubt, if the amount of the distributions to be made pursuant to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is less than the Tax Liability Deficiency of the Members, any distributions made pursuant to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shall be made to the Members in proportion to their respective share of the Tax Liability Deficiency.</w:t>
      </w:r>
    </w:p>
    <w:p>
      <w:pPr>
        <w:sectPr>
          <w:pgSz w:w="11900" w:h="16838" w:orient="portrait"/>
          <w:cols w:equalWidth="0" w:num="1">
            <w:col w:w="11420"/>
          </w:cols>
          <w:pgMar w:left="240" w:top="274" w:right="239" w:bottom="1440" w:gutter="0" w:footer="0" w:header="0"/>
        </w:sectPr>
      </w:pPr>
    </w:p>
    <w:bookmarkStart w:id="358" w:name="page359"/>
    <w:bookmarkEnd w:id="3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BOOKS AND RECORDS; REPORTS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Books and Records</w:t>
      </w:r>
      <w:r>
        <w:rPr>
          <w:rFonts w:ascii="Arial" w:cs="Arial" w:eastAsia="Arial" w:hAnsi="Arial"/>
          <w:sz w:val="16"/>
          <w:szCs w:val="16"/>
          <w:color w:val="auto"/>
        </w:rPr>
        <w:t xml:space="preserve">. The Officers will keep appropriate books and records with respect to the Company’s business, including all books and records necessary to provide any information, lists and copies of documents required to be provided pursuant to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pursuant to applicable law. Each Major Investor and each Series C Common Member shall have reasonable access, during normal business hours and upon reasonable advance notice, to the Company’s facilities, to discuss the operations and business of the Company with the Officers of the Company and to inspect the Company’s books and records, subject to reasonable confidentiality agreements that the Board may impose. Each Member shall have the right to inspect and make a copy of the List of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Series D Common Member shall only have the right to inspect the List of Members as to its own entry therein.</w:t>
      </w:r>
    </w:p>
    <w:p>
      <w:pPr>
        <w:spacing w:after="0" w:line="273"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5"/>
          <w:szCs w:val="15"/>
          <w:u w:val="single" w:color="auto"/>
          <w:color w:val="auto"/>
        </w:rPr>
        <w:t>Reports</w:t>
      </w:r>
      <w:r>
        <w:rPr>
          <w:rFonts w:ascii="Arial" w:cs="Arial" w:eastAsia="Arial" w:hAnsi="Arial"/>
          <w:sz w:val="15"/>
          <w:szCs w:val="15"/>
          <w:color w:val="auto"/>
        </w:rPr>
        <w:t>.</w:t>
      </w:r>
    </w:p>
    <w:p>
      <w:pPr>
        <w:spacing w:after="0" w:line="117" w:lineRule="exact"/>
        <w:rPr>
          <w:sz w:val="20"/>
          <w:szCs w:val="20"/>
          <w:color w:val="auto"/>
        </w:rPr>
      </w:pPr>
    </w:p>
    <w:p>
      <w:pPr>
        <w:ind w:left="1300" w:hanging="379"/>
        <w:spacing w:after="0"/>
        <w:tabs>
          <w:tab w:leader="none" w:pos="130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Company shall deliver to each Major Investor and each Series B Common Member:</w:t>
      </w:r>
    </w:p>
    <w:p>
      <w:pPr>
        <w:spacing w:after="0" w:line="117" w:lineRule="exact"/>
        <w:rPr>
          <w:rFonts w:ascii="Arial" w:cs="Arial" w:eastAsia="Arial" w:hAnsi="Arial"/>
          <w:sz w:val="18"/>
          <w:szCs w:val="18"/>
          <w:color w:val="auto"/>
        </w:rPr>
      </w:pPr>
    </w:p>
    <w:p>
      <w:pPr>
        <w:ind w:right="40" w:firstLine="1492"/>
        <w:spacing w:after="0" w:line="277" w:lineRule="auto"/>
        <w:tabs>
          <w:tab w:leader="none" w:pos="183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no later than 90 days after the end of each fiscal year, a copy of the consolidated balance sheet of the Company as at the end of such year, together with consolidated statements of income, owners’ equity and cash flow of the Company for such year;</w:t>
      </w:r>
    </w:p>
    <w:p>
      <w:pPr>
        <w:spacing w:after="0" w:line="170" w:lineRule="exact"/>
        <w:rPr>
          <w:rFonts w:ascii="Arial" w:cs="Arial" w:eastAsia="Arial" w:hAnsi="Arial"/>
          <w:sz w:val="18"/>
          <w:szCs w:val="18"/>
          <w:color w:val="auto"/>
        </w:rPr>
      </w:pPr>
    </w:p>
    <w:p>
      <w:pPr>
        <w:ind w:right="160" w:firstLine="1492"/>
        <w:spacing w:after="0" w:line="308" w:lineRule="auto"/>
        <w:tabs>
          <w:tab w:leader="none" w:pos="1883" w:val="left"/>
        </w:tabs>
        <w:numPr>
          <w:ilvl w:val="1"/>
          <w:numId w:val="251"/>
        </w:numPr>
        <w:rPr>
          <w:rFonts w:ascii="Arial" w:cs="Arial" w:eastAsia="Arial" w:hAnsi="Arial"/>
          <w:sz w:val="17"/>
          <w:szCs w:val="17"/>
          <w:color w:val="auto"/>
        </w:rPr>
      </w:pPr>
      <w:r>
        <w:rPr>
          <w:rFonts w:ascii="Arial" w:cs="Arial" w:eastAsia="Arial" w:hAnsi="Arial"/>
          <w:sz w:val="17"/>
          <w:szCs w:val="17"/>
          <w:color w:val="auto"/>
        </w:rPr>
        <w:t>no later than 45 days after the end of each fiscal quarter, a copy of the consolidated balance sheet of the Company as at the end of such quarter, together with consolidated statements of income, owners’ equity and cash flow of the Company for such quarter; and</w:t>
      </w:r>
    </w:p>
    <w:p>
      <w:pPr>
        <w:spacing w:after="0" w:line="146" w:lineRule="exact"/>
        <w:rPr>
          <w:rFonts w:ascii="Arial" w:cs="Arial" w:eastAsia="Arial" w:hAnsi="Arial"/>
          <w:sz w:val="17"/>
          <w:szCs w:val="17"/>
          <w:color w:val="auto"/>
        </w:rPr>
      </w:pPr>
    </w:p>
    <w:p>
      <w:pPr>
        <w:ind w:left="1940" w:hanging="448"/>
        <w:spacing w:after="0"/>
        <w:tabs>
          <w:tab w:leader="none" w:pos="19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such other information as determined by the Board of Managers.</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Monthly and Other Reports</w:t>
      </w:r>
      <w:r>
        <w:rPr>
          <w:rFonts w:ascii="Arial" w:cs="Arial" w:eastAsia="Arial" w:hAnsi="Arial"/>
          <w:sz w:val="18"/>
          <w:szCs w:val="18"/>
          <w:color w:val="auto"/>
        </w:rPr>
        <w:t>. The Company shall deliver to each Major Investor and each Series B Common Member:</w:t>
      </w:r>
    </w:p>
    <w:p>
      <w:pPr>
        <w:spacing w:after="0" w:line="117" w:lineRule="exact"/>
        <w:rPr>
          <w:rFonts w:ascii="Arial" w:cs="Arial" w:eastAsia="Arial" w:hAnsi="Arial"/>
          <w:sz w:val="18"/>
          <w:szCs w:val="18"/>
          <w:color w:val="auto"/>
        </w:rPr>
      </w:pPr>
    </w:p>
    <w:p>
      <w:pPr>
        <w:ind w:right="180" w:firstLine="1492"/>
        <w:spacing w:after="0" w:line="277" w:lineRule="auto"/>
        <w:tabs>
          <w:tab w:leader="none" w:pos="183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promptly after the end of each fiscal month, a copy of the consolidated balance sheet of the Company as at the end of such month, together with consolidated statements of income, owners’ equity and cash flow of the Company for such month;</w:t>
      </w:r>
    </w:p>
    <w:p>
      <w:pPr>
        <w:spacing w:after="0" w:line="170" w:lineRule="exact"/>
        <w:rPr>
          <w:rFonts w:ascii="Arial" w:cs="Arial" w:eastAsia="Arial" w:hAnsi="Arial"/>
          <w:sz w:val="18"/>
          <w:szCs w:val="18"/>
          <w:color w:val="auto"/>
        </w:rPr>
      </w:pPr>
    </w:p>
    <w:p>
      <w:pPr>
        <w:ind w:left="1900" w:hanging="408"/>
        <w:spacing w:after="0"/>
        <w:tabs>
          <w:tab w:leader="none" w:pos="19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promptly after the end of each fiscal quarter, a copy of the current capitalization table of the Company; and</w:t>
      </w:r>
    </w:p>
    <w:p>
      <w:pPr>
        <w:spacing w:after="0" w:line="225" w:lineRule="exact"/>
        <w:rPr>
          <w:rFonts w:ascii="Arial" w:cs="Arial" w:eastAsia="Arial" w:hAnsi="Arial"/>
          <w:sz w:val="18"/>
          <w:szCs w:val="18"/>
          <w:color w:val="auto"/>
        </w:rPr>
      </w:pPr>
    </w:p>
    <w:p>
      <w:pPr>
        <w:ind w:right="60" w:firstLine="1492"/>
        <w:spacing w:after="0" w:line="277" w:lineRule="auto"/>
        <w:tabs>
          <w:tab w:leader="none" w:pos="193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within thirty (30) days prior to the end of each fiscal year, a copy of a comprehensive operating budget forecasting the Company’s revenues, expenses and cash position on a month-to-month basis for the upcoming fiscal year.</w:t>
      </w:r>
    </w:p>
    <w:p>
      <w:pPr>
        <w:sectPr>
          <w:pgSz w:w="11900" w:h="16838" w:orient="portrait"/>
          <w:cols w:equalWidth="0" w:num="1">
            <w:col w:w="11380"/>
          </w:cols>
          <w:pgMar w:left="240" w:top="270" w:right="279" w:bottom="1440" w:gutter="0" w:footer="0" w:header="0"/>
        </w:sectPr>
      </w:pPr>
    </w:p>
    <w:bookmarkStart w:id="359" w:name="page360"/>
    <w:bookmarkEnd w:id="359"/>
    <w:p>
      <w:pPr>
        <w:ind w:firstLine="921"/>
        <w:spacing w:after="0" w:line="259" w:lineRule="auto"/>
        <w:tabs>
          <w:tab w:leader="none" w:pos="1293"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Reports</w:t>
      </w:r>
      <w:r>
        <w:rPr>
          <w:rFonts w:ascii="Arial" w:cs="Arial" w:eastAsia="Arial" w:hAnsi="Arial"/>
          <w:sz w:val="18"/>
          <w:szCs w:val="18"/>
          <w:color w:val="auto"/>
        </w:rPr>
        <w:t>. Within 90 days after the end of each fiscal year, the Company shall deliver to each Member such Member’s Schedule K-1 and such other information, if any, with respect to the Company as may be necessary for the preparation of such Member’s federal, state and local income tax returns, including a statement showing such Member’s share of the Company’s income, gain or loss, expense and credit for such fiscal year for federal income tax purposes.</w:t>
      </w:r>
    </w:p>
    <w:p>
      <w:pPr>
        <w:spacing w:after="0" w:line="18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Company shall be the twelve (12) month period ending on December 31 of each calendar year, or such other annual accounting period as may be established by the Board of Managers. The taxable year of the Company for federal and applicable state income tax purposes shall be the same as the Company’s fiscal year unless a different taxable year is required by applicable law.</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Non-Disclosure</w:t>
      </w:r>
      <w:r>
        <w:rPr>
          <w:rFonts w:ascii="Arial" w:cs="Arial" w:eastAsia="Arial" w:hAnsi="Arial"/>
          <w:sz w:val="17"/>
          <w:szCs w:val="17"/>
          <w:color w:val="auto"/>
        </w:rPr>
        <w:t xml:space="preserve">. Each Member agrees that it shall not disclose, reveal, divulge or communicate to any Person (except an Affiliate), or use or otherwise exploit for its own benefit or for the benefit of any other Person, any Confidential Information, except with the consent of the Board. No Member shall have any obligation to keep confidential any Confidential Information if and to the extent disclosure thereof is specifically required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in the event disclosure is required by applicable law, the applicable Member shall, to the extent reasonably possible, provide the Company with prompt notice of such requirement prior to making any disclosure so that the Company may seek an appropriate protective order. Notwithstanding the foregoing, nothing in this Agreement prohibits a Member from reporting possible violations of federal or state law or regulations to any governmental agency or entity or self-regulatory institution, including the Equal Employment Opportunity Commission, the National Labor Relations Board, the Department of Justice, the Securities and Exchange Commission, Congress, and any Inspector General, or making other disclosures that are protected under the whistleblower provisions of federal or state law or regulation. Prior authorization of the Board or the Chief Executive Officer shall not be required to make any such reports or disclosures pursuant to the preceding sentence and a Member is not required to notify the Company that it has made such reports or disclosures pursuant to such sentence.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DISSOLUTION AND LIQUIDATION</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Dissolution</w:t>
      </w:r>
      <w:r>
        <w:rPr>
          <w:rFonts w:ascii="Arial" w:cs="Arial" w:eastAsia="Arial" w:hAnsi="Arial"/>
          <w:sz w:val="16"/>
          <w:szCs w:val="16"/>
          <w:color w:val="auto"/>
        </w:rPr>
        <w:t xml:space="preserve">. The Company shall dissolve, and its affairs shall be wound up, upon the first to occur of the following: (a) subject to </w:t>
      </w:r>
      <w:r>
        <w:rPr>
          <w:rFonts w:ascii="Arial" w:cs="Arial" w:eastAsia="Arial" w:hAnsi="Arial"/>
          <w:sz w:val="16"/>
          <w:szCs w:val="16"/>
          <w:u w:val="single" w:color="auto"/>
          <w:color w:val="auto"/>
        </w:rPr>
        <w:t>Section 6.1(j)(i)</w:t>
      </w:r>
      <w:r>
        <w:rPr>
          <w:rFonts w:ascii="Arial" w:cs="Arial" w:eastAsia="Arial" w:hAnsi="Arial"/>
          <w:sz w:val="16"/>
          <w:szCs w:val="16"/>
          <w:color w:val="auto"/>
        </w:rPr>
        <w:t>, the written consent of both the Board (in accordance with the terms of this Agreement) and a Voting Majority, (b) the sale of all of the assets of the Company in accordance with the terms of this Agreement, and (c) the entry of a decree of judicial dissolution under Section 18-802 of the Act.</w:t>
      </w:r>
    </w:p>
    <w:p>
      <w:pPr>
        <w:spacing w:after="0" w:line="14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Liquidation</w:t>
      </w:r>
      <w:r>
        <w:rPr>
          <w:rFonts w:ascii="Arial" w:cs="Arial" w:eastAsia="Arial" w:hAnsi="Arial"/>
          <w:sz w:val="17"/>
          <w:szCs w:val="17"/>
          <w:color w:val="auto"/>
        </w:rPr>
        <w:t>. Upon dissolution of the Company, the Board of Managers or, if one is appointed, an authorized liquidating trustee, shall wind up the Company’s affairs. Upon termination and dissolution of the Company and liquidation of its assets, the Board of Managers or liquidating trustee, as the case may be, shall apply the Company’s assets to the payment of all liabilities owing to creditors in accordance with the applicable law. The Board of Managers or liquidating trustee, as the case may be, shall set up such reserves as it deems reasonably necessary for</w:t>
      </w:r>
    </w:p>
    <w:p>
      <w:pPr>
        <w:sectPr>
          <w:pgSz w:w="11900" w:h="16838" w:orient="portrait"/>
          <w:cols w:equalWidth="0" w:num="1">
            <w:col w:w="11420"/>
          </w:cols>
          <w:pgMar w:left="240" w:top="274" w:right="239" w:bottom="1440" w:gutter="0" w:footer="0" w:header="0"/>
        </w:sectPr>
      </w:pPr>
    </w:p>
    <w:bookmarkStart w:id="360" w:name="page361"/>
    <w:bookmarkEnd w:id="360"/>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contingent or unforeseen liabilities or obligations of the Company. Said reserves may be paid by the Board of Managers or liquidating trustee, as the case may be, upon dissolution to a bank or trust company to be held in escrow for the purpose of paying any such contingent or unforeseen liabilities or obligations and, at the expiration of such period or occurrence of such events as the Board of Managers or liquidating trustee, as the case may be, may in establishing such reserves deem advisable, such reserves shall be distributed to the Members in the manner set forth in </w:t>
      </w:r>
      <w:r>
        <w:rPr>
          <w:rFonts w:ascii="Arial" w:cs="Arial" w:eastAsia="Arial" w:hAnsi="Arial"/>
          <w:sz w:val="17"/>
          <w:szCs w:val="17"/>
          <w:u w:val="single" w:color="auto"/>
          <w:color w:val="auto"/>
        </w:rPr>
        <w:t>Section 8.1(a)</w:t>
      </w:r>
      <w:r>
        <w:rPr>
          <w:rFonts w:ascii="Arial" w:cs="Arial" w:eastAsia="Arial" w:hAnsi="Arial"/>
          <w:sz w:val="17"/>
          <w:szCs w:val="17"/>
          <w:color w:val="auto"/>
        </w:rPr>
        <w:t>.</w:t>
      </w:r>
    </w:p>
    <w:p>
      <w:pPr>
        <w:spacing w:after="0" w:line="17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Final Allocation and Distribution</w:t>
      </w:r>
      <w:r>
        <w:rPr>
          <w:rFonts w:ascii="Arial" w:cs="Arial" w:eastAsia="Arial" w:hAnsi="Arial"/>
          <w:sz w:val="18"/>
          <w:szCs w:val="18"/>
          <w:color w:val="auto"/>
        </w:rPr>
        <w:t xml:space="preserve">. After paying all liabilities to creditors and providing for reserves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the Board of Managers or liquidating trustee, as the case may be, shall: (i) make a final allocation of all items comprising Net Income and Net Loss to the Members’ Capital Accounts in accordance with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which allocation shall take into account any unrealized gains and losses with respect to assets to be distributed in kind in accordance with Sections 1.704 1(b)(2)(iv)(e) and 1.704 1(b)(2)(iv)(f) of the Regulations; and (ii) distribute all other remaining assets of the Company to the Members in the manner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CONVERSION</w:t>
      </w:r>
    </w:p>
    <w:p>
      <w:pPr>
        <w:spacing w:after="0" w:line="229"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Conversion to Corporation</w:t>
      </w:r>
      <w:r>
        <w:rPr>
          <w:rFonts w:ascii="Arial" w:cs="Arial" w:eastAsia="Arial" w:hAnsi="Arial"/>
          <w:sz w:val="16"/>
          <w:szCs w:val="16"/>
          <w:color w:val="auto"/>
        </w:rPr>
        <w:t>.</w:t>
      </w:r>
    </w:p>
    <w:p>
      <w:pPr>
        <w:spacing w:after="0" w:line="117" w:lineRule="exact"/>
        <w:rPr>
          <w:sz w:val="20"/>
          <w:szCs w:val="20"/>
          <w:color w:val="auto"/>
        </w:rPr>
      </w:pPr>
    </w:p>
    <w:p>
      <w:pPr>
        <w:ind w:right="20" w:firstLine="921"/>
        <w:spacing w:after="0" w:line="287" w:lineRule="auto"/>
        <w:tabs>
          <w:tab w:leader="none" w:pos="1293"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Conversion</w:t>
      </w:r>
      <w:r>
        <w:rPr>
          <w:rFonts w:ascii="Arial" w:cs="Arial" w:eastAsia="Arial" w:hAnsi="Arial"/>
          <w:sz w:val="16"/>
          <w:szCs w:val="16"/>
          <w:color w:val="auto"/>
        </w:rPr>
        <w:t>. Notwithstanding anything to the contrary contained herein, (i) upon the request of the Voting Majority in connection with effecting the Initial Public Offering pursuant to which the offering price per share is equal to at least one hundred seventy-five percent (175%) of the Series 1 Senior Preferred Original Issue Price with gross proceeds to the Company of at least $20,000,000, or (ii) upon the request of the Holders of a majority of each of the outstanding Series 1 Senior Preferred Units and outstanding Junior Preferred Units, in connection with effecting the Initial Public Offering (in each case, a “</w:t>
      </w:r>
      <w:r>
        <w:rPr>
          <w:rFonts w:ascii="Arial" w:cs="Arial" w:eastAsia="Arial" w:hAnsi="Arial"/>
          <w:sz w:val="16"/>
          <w:szCs w:val="16"/>
          <w:b w:val="1"/>
          <w:bCs w:val="1"/>
          <w:u w:val="single" w:color="auto"/>
          <w:color w:val="auto"/>
        </w:rPr>
        <w:t>QIPO</w:t>
      </w:r>
      <w:r>
        <w:rPr>
          <w:rFonts w:ascii="Arial" w:cs="Arial" w:eastAsia="Arial" w:hAnsi="Arial"/>
          <w:sz w:val="16"/>
          <w:szCs w:val="16"/>
          <w:color w:val="auto"/>
        </w:rPr>
        <w:t>”), each of the Members hereby agrees that it will take such action and execute such documents as may reasonably be necessary to: (A) convert the Company (including by merger or Unit contribution) into a corporation formed for the purpose of effecting the QIPO; or (B) contribute the assets of the Company and the equity interests of the Company Subsidiaries to a corporation (such corporation, in either case, the “</w:t>
      </w:r>
      <w:r>
        <w:rPr>
          <w:rFonts w:ascii="Arial" w:cs="Arial" w:eastAsia="Arial" w:hAnsi="Arial"/>
          <w:sz w:val="16"/>
          <w:szCs w:val="16"/>
          <w:b w:val="1"/>
          <w:bCs w:val="1"/>
          <w:u w:val="single" w:color="auto"/>
          <w:color w:val="auto"/>
        </w:rPr>
        <w:t>Conversion Corporation</w:t>
      </w:r>
      <w:r>
        <w:rPr>
          <w:rFonts w:ascii="Arial" w:cs="Arial" w:eastAsia="Arial" w:hAnsi="Arial"/>
          <w:sz w:val="16"/>
          <w:szCs w:val="16"/>
          <w:color w:val="auto"/>
        </w:rPr>
        <w:t>”) in exchange for capital stock of the Conversion Corporation with equivalent value substantially concurrently with the closing of QIPO. If the Board reasonably determines that an alternative structure (as compared to the foregoing) to effect QIPO would be beneficial to the Members, collectively, and not materially adverse to any Member as compared to the foregoing, then each Member hereby agrees that it will take such action and execute such documents as may reasonably be necessary to effectuate such alternative structure upon the request of the Voting Majority.</w:t>
      </w:r>
    </w:p>
    <w:p>
      <w:pPr>
        <w:spacing w:after="0" w:line="172" w:lineRule="exact"/>
        <w:rPr>
          <w:rFonts w:ascii="Arial" w:cs="Arial" w:eastAsia="Arial" w:hAnsi="Arial"/>
          <w:sz w:val="16"/>
          <w:szCs w:val="16"/>
          <w:color w:val="auto"/>
        </w:rPr>
      </w:pPr>
    </w:p>
    <w:p>
      <w:pPr>
        <w:ind w:right="20" w:firstLine="921"/>
        <w:spacing w:after="0" w:line="264" w:lineRule="auto"/>
        <w:tabs>
          <w:tab w:leader="none" w:pos="1303"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In such event, the Members shall be entitled to receive upon such conversion that value of the securities of the Conversion Corporation as equals the value of the Units which such Members held in the Company immediately prior to such conversion; </w:t>
      </w:r>
      <w:r>
        <w:rPr>
          <w:rFonts w:ascii="Arial" w:cs="Arial" w:eastAsia="Arial" w:hAnsi="Arial"/>
          <w:sz w:val="18"/>
          <w:szCs w:val="18"/>
          <w:u w:val="single" w:color="auto"/>
          <w:color w:val="auto"/>
        </w:rPr>
        <w:t>provided that</w:t>
      </w:r>
      <w:r>
        <w:rPr>
          <w:rFonts w:ascii="Arial" w:cs="Arial" w:eastAsia="Arial" w:hAnsi="Arial"/>
          <w:sz w:val="18"/>
          <w:szCs w:val="18"/>
          <w:color w:val="auto"/>
        </w:rPr>
        <w:t>, upon completion of such conversion the securities received by each such Member shall as nearly as</w:t>
      </w:r>
    </w:p>
    <w:p>
      <w:pPr>
        <w:sectPr>
          <w:pgSz w:w="11900" w:h="16838" w:orient="portrait"/>
          <w:cols w:equalWidth="0" w:num="1">
            <w:col w:w="11420"/>
          </w:cols>
          <w:pgMar w:left="240" w:top="273" w:right="239" w:bottom="1440" w:gutter="0" w:footer="0" w:header="0"/>
        </w:sectPr>
      </w:pPr>
    </w:p>
    <w:bookmarkStart w:id="361" w:name="page362"/>
    <w:bookmarkEnd w:id="361"/>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practicable provide such Member with the same economic, voting, preferences, benefits and other rights as such Member was entitled to prior to such conversion;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 the aggregate value of the securities received by the Series 1 Senior Preferred Members is greater than the aggregate Series 1 Senior Preferred Unreturned Capital and (ii) the aggregate value of the securities received by the Junior Preferred Members is greater than the aggregate Junior Preferred Unreturned Capital, each Member shall receive common stock of the Conversion Corporation with respect to its Units.</w:t>
      </w:r>
    </w:p>
    <w:p>
      <w:pPr>
        <w:spacing w:after="0" w:line="154" w:lineRule="exact"/>
        <w:rPr>
          <w:sz w:val="20"/>
          <w:szCs w:val="20"/>
          <w:color w:val="auto"/>
        </w:rPr>
      </w:pPr>
    </w:p>
    <w:p>
      <w:pPr>
        <w:ind w:right="320" w:firstLine="921"/>
        <w:spacing w:after="0" w:line="277" w:lineRule="auto"/>
        <w:tabs>
          <w:tab w:leader="none" w:pos="1293"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Contemporaneously with the execution of this Agreement, the Company and certain Members have entered into an amended and restated registration rights agreement substantially in the form attached hereto as Exhibit C.</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Member Cooperation Upon Certain Events</w:t>
      </w:r>
      <w:r>
        <w:rPr>
          <w:rFonts w:ascii="Arial" w:cs="Arial" w:eastAsia="Arial" w:hAnsi="Arial"/>
          <w:sz w:val="18"/>
          <w:szCs w:val="18"/>
          <w:color w:val="auto"/>
        </w:rPr>
        <w:t xml:space="preserve">. Each Member agrees to reasonably cooperate in connection with a conversion contemplated by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as may reasonably be requested by the Board.</w:t>
      </w:r>
    </w:p>
    <w:p>
      <w:pPr>
        <w:spacing w:after="0" w:line="279"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Blocker Provisions</w:t>
      </w:r>
      <w:r>
        <w:rPr>
          <w:rFonts w:ascii="Arial" w:cs="Arial" w:eastAsia="Arial" w:hAnsi="Arial"/>
          <w:sz w:val="16"/>
          <w:szCs w:val="16"/>
          <w:color w:val="auto"/>
        </w:rPr>
        <w:t>.</w:t>
      </w:r>
    </w:p>
    <w:p>
      <w:pPr>
        <w:spacing w:after="0" w:line="117" w:lineRule="exact"/>
        <w:rPr>
          <w:sz w:val="20"/>
          <w:szCs w:val="20"/>
          <w:color w:val="auto"/>
        </w:rPr>
      </w:pPr>
    </w:p>
    <w:p>
      <w:pPr>
        <w:ind w:right="160" w:firstLine="921"/>
        <w:spacing w:after="0" w:line="286" w:lineRule="auto"/>
        <w:tabs>
          <w:tab w:leader="none" w:pos="1293" w:val="left"/>
        </w:tabs>
        <w:numPr>
          <w:ilvl w:val="1"/>
          <w:numId w:val="255"/>
        </w:numPr>
        <w:rPr>
          <w:rFonts w:ascii="Arial" w:cs="Arial" w:eastAsia="Arial" w:hAnsi="Arial"/>
          <w:sz w:val="16"/>
          <w:szCs w:val="16"/>
          <w:color w:val="auto"/>
        </w:rPr>
      </w:pPr>
      <w:r>
        <w:rPr>
          <w:rFonts w:ascii="Arial" w:cs="Arial" w:eastAsia="Arial" w:hAnsi="Arial"/>
          <w:sz w:val="16"/>
          <w:szCs w:val="16"/>
          <w:color w:val="auto"/>
        </w:rPr>
        <w:t>If (i) the Company intends to become a wholly-owned subsidiary of a corporation (by merger, contribution, or otherwise) or the Company or any subsidiary holding all or substantially all of the assets of the Company intends either to convert into a corporation (by conversion, merger, or otherwise) or to elect to be taxed as a corporation for federal income tax purposes or intends to convert into a Conversion Corporation (in each case, the successor corporate entity to the Company or such subsidiary, the “</w:t>
      </w:r>
      <w:r>
        <w:rPr>
          <w:rFonts w:ascii="Arial" w:cs="Arial" w:eastAsia="Arial" w:hAnsi="Arial"/>
          <w:sz w:val="16"/>
          <w:szCs w:val="16"/>
          <w:b w:val="1"/>
          <w:bCs w:val="1"/>
          <w:color w:val="auto"/>
        </w:rPr>
        <w:t>Successor Corporation</w:t>
      </w:r>
      <w:r>
        <w:rPr>
          <w:rFonts w:ascii="Arial" w:cs="Arial" w:eastAsia="Arial" w:hAnsi="Arial"/>
          <w:sz w:val="16"/>
          <w:szCs w:val="16"/>
          <w:color w:val="auto"/>
        </w:rPr>
        <w:t>” and any such transaction, a “</w:t>
      </w:r>
      <w:r>
        <w:rPr>
          <w:rFonts w:ascii="Arial" w:cs="Arial" w:eastAsia="Arial" w:hAnsi="Arial"/>
          <w:sz w:val="16"/>
          <w:szCs w:val="16"/>
          <w:b w:val="1"/>
          <w:bCs w:val="1"/>
          <w:color w:val="auto"/>
        </w:rPr>
        <w:t>Corporate Transaction</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firstLine="8"/>
        <w:spacing w:after="0" w:line="251" w:lineRule="auto"/>
        <w:tabs>
          <w:tab w:leader="none" w:pos="26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Company or any subsidiary intends to effect a sale, disposition or other similar transaction involving all or substantially all of the Units or assets of the Company (a “</w:t>
      </w:r>
      <w:r>
        <w:rPr>
          <w:rFonts w:ascii="Arial" w:cs="Arial" w:eastAsia="Arial" w:hAnsi="Arial"/>
          <w:sz w:val="18"/>
          <w:szCs w:val="18"/>
          <w:b w:val="1"/>
          <w:bCs w:val="1"/>
          <w:color w:val="auto"/>
        </w:rPr>
        <w:t>Covered Transaction</w:t>
      </w:r>
      <w:r>
        <w:rPr>
          <w:rFonts w:ascii="Arial" w:cs="Arial" w:eastAsia="Arial" w:hAnsi="Arial"/>
          <w:sz w:val="18"/>
          <w:szCs w:val="18"/>
          <w:color w:val="auto"/>
        </w:rPr>
        <w:t>”), the Company shall use commercially reasonable efforts to effect such Corporate Transaction or Covered Transaction, as applicable, so that each of (A) the Bain Fund, as the holder of all securities issued by BCLS Solid Bio, Inc. (the “</w:t>
      </w:r>
      <w:r>
        <w:rPr>
          <w:rFonts w:ascii="Arial" w:cs="Arial" w:eastAsia="Arial" w:hAnsi="Arial"/>
          <w:sz w:val="18"/>
          <w:szCs w:val="18"/>
          <w:b w:val="1"/>
          <w:bCs w:val="1"/>
          <w:color w:val="auto"/>
        </w:rPr>
        <w:t>Bain Blocker</w:t>
      </w:r>
      <w:r>
        <w:rPr>
          <w:rFonts w:ascii="Arial" w:cs="Arial" w:eastAsia="Arial" w:hAnsi="Arial"/>
          <w:sz w:val="18"/>
          <w:szCs w:val="18"/>
          <w:color w:val="auto"/>
        </w:rPr>
        <w:t>”) and (B) Foresite Capital Fund III, L.P. (the “</w:t>
      </w:r>
      <w:r>
        <w:rPr>
          <w:rFonts w:ascii="Arial" w:cs="Arial" w:eastAsia="Arial" w:hAnsi="Arial"/>
          <w:sz w:val="18"/>
          <w:szCs w:val="18"/>
          <w:b w:val="1"/>
          <w:bCs w:val="1"/>
          <w:color w:val="auto"/>
        </w:rPr>
        <w:t>Foresite Fund</w:t>
      </w:r>
      <w:r>
        <w:rPr>
          <w:rFonts w:ascii="Arial" w:cs="Arial" w:eastAsia="Arial" w:hAnsi="Arial"/>
          <w:sz w:val="18"/>
          <w:szCs w:val="18"/>
          <w:color w:val="auto"/>
        </w:rPr>
        <w:t>”) as the holder of all securities issued by FC Fund III Solid Holdings, Inc. (the “</w:t>
      </w:r>
      <w:r>
        <w:rPr>
          <w:rFonts w:ascii="Arial" w:cs="Arial" w:eastAsia="Arial" w:hAnsi="Arial"/>
          <w:sz w:val="18"/>
          <w:szCs w:val="18"/>
          <w:b w:val="1"/>
          <w:bCs w:val="1"/>
          <w:color w:val="auto"/>
        </w:rPr>
        <w:t>Foresite Blocker</w:t>
      </w:r>
      <w:r>
        <w:rPr>
          <w:rFonts w:ascii="Arial" w:cs="Arial" w:eastAsia="Arial" w:hAnsi="Arial"/>
          <w:sz w:val="18"/>
          <w:szCs w:val="18"/>
          <w:color w:val="auto"/>
        </w:rPr>
        <w:t xml:space="preserve">”), can exchange all (but not less than all) of the securities of the Bain Blocker or the Foresite Blocker, as applicable, for the securities of the Successor Corporation or proceeds from such Corporate Transaction or Covered Transaction that otherwise would have been directly or indirectly issued to the Bain Blocker or the Foresite Blocker, as applicable, and in a manner that, to the extent practicable without altering the intended economic arrangements of the parties, is otherwise a “reorganization” within the meaning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368(a) of the Code or a transfer of property to a corporation in exchange for stock of such corporation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351 of the Code.</w:t>
      </w:r>
    </w:p>
    <w:p>
      <w:pPr>
        <w:spacing w:after="0" w:line="198" w:lineRule="exact"/>
        <w:rPr>
          <w:rFonts w:ascii="Arial" w:cs="Arial" w:eastAsia="Arial" w:hAnsi="Arial"/>
          <w:sz w:val="18"/>
          <w:szCs w:val="18"/>
          <w:color w:val="auto"/>
        </w:rPr>
      </w:pPr>
    </w:p>
    <w:p>
      <w:pPr>
        <w:ind w:right="180" w:firstLine="921"/>
        <w:spacing w:after="0" w:line="276" w:lineRule="auto"/>
        <w:tabs>
          <w:tab w:leader="none" w:pos="130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 xml:space="preserve">The Company shall use commercially reasonable efforts to negotiate and consult with (i) the Bain Members and their Affiliates regarding the terms of any exchange of securities of the Bain Blocker pursuant to </w:t>
      </w:r>
      <w:r>
        <w:rPr>
          <w:rFonts w:ascii="Arial" w:cs="Arial" w:eastAsia="Arial" w:hAnsi="Arial"/>
          <w:sz w:val="17"/>
          <w:szCs w:val="17"/>
          <w:u w:val="single" w:color="auto"/>
          <w:color w:val="auto"/>
        </w:rPr>
        <w:t>Section 11.3(a)</w:t>
      </w:r>
      <w:r>
        <w:rPr>
          <w:rFonts w:ascii="Arial" w:cs="Arial" w:eastAsia="Arial" w:hAnsi="Arial"/>
          <w:sz w:val="17"/>
          <w:szCs w:val="17"/>
          <w:color w:val="auto"/>
        </w:rPr>
        <w:t xml:space="preserve">, and (ii) the Foresite Fund regarding the terms of any exchange of securities of the Foresite Blocker pursuant to </w:t>
      </w:r>
      <w:r>
        <w:rPr>
          <w:rFonts w:ascii="Arial" w:cs="Arial" w:eastAsia="Arial" w:hAnsi="Arial"/>
          <w:sz w:val="17"/>
          <w:szCs w:val="17"/>
          <w:u w:val="single" w:color="auto"/>
          <w:color w:val="auto"/>
        </w:rPr>
        <w:t>Section 11.3(a)</w:t>
      </w:r>
      <w:r>
        <w:rPr>
          <w:rFonts w:ascii="Arial" w:cs="Arial" w:eastAsia="Arial" w:hAnsi="Arial"/>
          <w:sz w:val="17"/>
          <w:szCs w:val="17"/>
          <w:color w:val="auto"/>
        </w:rPr>
        <w:t>, it being understood that (A) the parties intend that the gross proceeds to the Bain Members or the Foresite Fund as applicable, from such exchange shall be the same as the direct or indirect gross proceeds from such Corporate Transaction or Covered Transaction to the Bain Fund or Foresite Blocker, as applicable, absent any</w:t>
      </w:r>
    </w:p>
    <w:p>
      <w:pPr>
        <w:sectPr>
          <w:pgSz w:w="11900" w:h="16838" w:orient="portrait"/>
          <w:cols w:equalWidth="0" w:num="1">
            <w:col w:w="11400"/>
          </w:cols>
          <w:pgMar w:left="240" w:top="274" w:right="259" w:bottom="1440" w:gutter="0" w:footer="0" w:header="0"/>
        </w:sectPr>
      </w:pPr>
    </w:p>
    <w:bookmarkStart w:id="362" w:name="page363"/>
    <w:bookmarkEnd w:id="36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exchange of Bain Blocker securities or Foresite Blocker securities, as applicable, pursuant to the provisions of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provided, however, that no other Member shall bear any expenses, costs or adverse tax or economic consequences in connection with any such exchange (other than the potential adverse economic consequences to be indirectly borne by all Members through a reduction in total proceeds as a result of foregone potential tax benefits to the purchaser of Units or assets in connection with a Covered Transaction by reason of effecting a transfer of securities of Bain Blocker or the Foresite Blocker), (B) the Company may require each of the Bain Fund, the Bain Members, the Bain Blocker, the Foresite Fund, the Foresite Blocker and such other parties as are reasonably necessary, as applicable, to make certain representations and warranties, including representations and warranties by the Bain Blocker and the Foresite Blocker regarding their assets and liabilities, title to assets and lack of any activities other than holding a direct or indirect interest in the Company and (C) in no event shall the Company be liable to any Person for failure to effect any such Corporate Transaction or Covered Transaction in a manner that allows (1) the Bain Fund to exchange securities of the Bain Blocker for securities of the Successor Corporation or proceeds from a Corporate Transaction or Covered Transaction or for the tax consequences of any exchange by the Bain Fund of securities of the Bain Blocker pursuant to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or (2) the Foresite Fund to exchange securities of the Foresite Blocker for securities of the Successor Corporation or proceeds from a Corporate Transaction or Covered Transaction or for the tax consequences of any exchange by the Foresite Fund of securities of the Foresite Blocker pursuant to this </w:t>
      </w:r>
      <w:r>
        <w:rPr>
          <w:rFonts w:ascii="Arial" w:cs="Arial" w:eastAsia="Arial" w:hAnsi="Arial"/>
          <w:sz w:val="16"/>
          <w:szCs w:val="16"/>
          <w:u w:val="single" w:color="auto"/>
          <w:color w:val="auto"/>
        </w:rPr>
        <w:t>Section 11.3</w:t>
      </w:r>
      <w:r>
        <w:rPr>
          <w:rFonts w:ascii="Arial" w:cs="Arial" w:eastAsia="Arial" w:hAnsi="Arial"/>
          <w:sz w:val="16"/>
          <w:szCs w:val="16"/>
          <w:color w:val="auto"/>
        </w:rPr>
        <w:t>. All such negotiations shall be made by the applicable party in good faith.</w:t>
      </w:r>
    </w:p>
    <w:p>
      <w:pPr>
        <w:spacing w:after="0" w:line="175" w:lineRule="exact"/>
        <w:rPr>
          <w:sz w:val="20"/>
          <w:szCs w:val="20"/>
          <w:color w:val="auto"/>
        </w:rPr>
      </w:pPr>
    </w:p>
    <w:p>
      <w:pPr>
        <w:ind w:right="160" w:firstLine="921"/>
        <w:spacing w:after="0" w:line="271" w:lineRule="auto"/>
        <w:tabs>
          <w:tab w:leader="none" w:pos="1293"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If the Bain Fund transfers securities of the Bain Blocker to an Affiliate of the Bain Fund, the transferee of such securities shall have the same rights and obligations of the Bain Fund pursuant to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so that any such Affiliate and the Bain Fund can collectively transfer all securities of the Bain Blocker as contemplated by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The rights of the Bain Fund (and any Affiliate of the Bain Fund that holds securities of the Bain Blocker) and the obligations of the Company, as set forth in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shall cease to exist if any securities of the Bain Blocker are not owned by the Bain Fund or its Affiliates; provided that in the event of a transfer of securities of the Bain Blocker other than to an Affiliate of the Bain Blocker, the Company shall use commercially reasonable efforts to cause these rights to apply to a transferee of such securities, it being understood that as part of such undertaking the successor to such securities and its Affiliates would be expected to agree to provisions comparable to those set forth in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applicable to the Bain Fund, the Bain Blocker and the Bain Members and their Affiliates.</w:t>
      </w:r>
    </w:p>
    <w:p>
      <w:pPr>
        <w:spacing w:after="0" w:line="178" w:lineRule="exact"/>
        <w:rPr>
          <w:rFonts w:ascii="Arial" w:cs="Arial" w:eastAsia="Arial" w:hAnsi="Arial"/>
          <w:sz w:val="17"/>
          <w:szCs w:val="17"/>
          <w:color w:val="auto"/>
        </w:rPr>
      </w:pPr>
    </w:p>
    <w:p>
      <w:pPr>
        <w:ind w:firstLine="921"/>
        <w:spacing w:after="0" w:line="290" w:lineRule="auto"/>
        <w:tabs>
          <w:tab w:leader="none" w:pos="1303"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If the Foresite Fund transfers securities of the Foresite Blocker to an Affiliate of the Foresite Fund, the transferee of such securities shall have the same rights and obligations of the Foresite Fund pursuant to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so that any such Affiliate and the Foresite Fund can collectively transfer all securities of the Foresite Blocker as contemplated by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The rights of the Foresite Fund (and any Affiliate of the Foresite Fund that holds securities of the Foresite Blocker) and the obligations of the Company, as set forth in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shall cease to exist if any securities of the Foresite Blocker are not owned by the Foresite Fund or its Affiliates; provided that in the event of a transfer of securities of the Foresite Blocker other than to an Affiliate of the Foresite Fund, the Company shall use commercially reasonable efforts to cause these rights to apply to a transferee of such securities, it being understood that as part of such undertaking the successor to such securities and its Affiliates would be expected to agree to provisions comparable to those set forth in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applicable to the Foresite Fund, the Foresite Blocker and their Affiliates.</w:t>
      </w:r>
    </w:p>
    <w:p>
      <w:pPr>
        <w:sectPr>
          <w:pgSz w:w="11900" w:h="16838" w:orient="portrait"/>
          <w:cols w:equalWidth="0" w:num="1">
            <w:col w:w="11380"/>
          </w:cols>
          <w:pgMar w:left="240" w:top="274" w:right="279" w:bottom="1440" w:gutter="0" w:footer="0" w:header="0"/>
        </w:sectPr>
      </w:pPr>
    </w:p>
    <w:bookmarkStart w:id="363" w:name="page364"/>
    <w:bookmarkEnd w:id="3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12.1. </w:t>
      </w:r>
      <w:r>
        <w:rPr>
          <w:rFonts w:ascii="Arial" w:cs="Arial" w:eastAsia="Arial" w:hAnsi="Arial"/>
          <w:sz w:val="17"/>
          <w:szCs w:val="17"/>
          <w:u w:val="single" w:color="auto"/>
          <w:color w:val="auto"/>
        </w:rPr>
        <w:t>Right to Indemnification of Directors and Officers</w:t>
      </w:r>
      <w:r>
        <w:rPr>
          <w:rFonts w:ascii="Arial" w:cs="Arial" w:eastAsia="Arial" w:hAnsi="Arial"/>
          <w:sz w:val="17"/>
          <w:szCs w:val="17"/>
          <w:color w:val="auto"/>
        </w:rPr>
        <w:t>. The Company shall indemnify and hold harmless, to the fullest extent permitted by applicable law as it presently exists or may hereafter be amended, any person (an “</w:t>
      </w:r>
      <w:r>
        <w:rPr>
          <w:rFonts w:ascii="Arial" w:cs="Arial" w:eastAsia="Arial" w:hAnsi="Arial"/>
          <w:sz w:val="17"/>
          <w:szCs w:val="17"/>
          <w:b w:val="1"/>
          <w:bCs w:val="1"/>
          <w:color w:val="auto"/>
        </w:rPr>
        <w:t>Indemnified Person</w:t>
      </w:r>
      <w:r>
        <w:rPr>
          <w:rFonts w:ascii="Arial" w:cs="Arial" w:eastAsia="Arial" w:hAnsi="Arial"/>
          <w:sz w:val="17"/>
          <w:szCs w:val="17"/>
          <w:color w:val="auto"/>
        </w:rPr>
        <w:t>”) who was or is made or is threatened to be made a party or is otherwise involved in any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xml:space="preserve">”), by reason of the fact that such person, or a person for whom such person is the legal representative, is or was a Manager or Officer or, while a Manager or Officer, is or was serving at the request of the Company as a director, officer, manager,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(i) except as otherwise provided in </w:t>
      </w:r>
      <w:r>
        <w:rPr>
          <w:rFonts w:ascii="Arial" w:cs="Arial" w:eastAsia="Arial" w:hAnsi="Arial"/>
          <w:sz w:val="17"/>
          <w:szCs w:val="17"/>
          <w:u w:val="single" w:color="auto"/>
          <w:color w:val="auto"/>
        </w:rPr>
        <w:t>Section 12.3</w:t>
      </w:r>
      <w:r>
        <w:rPr>
          <w:rFonts w:ascii="Arial" w:cs="Arial" w:eastAsia="Arial" w:hAnsi="Arial"/>
          <w:sz w:val="17"/>
          <w:szCs w:val="17"/>
          <w:color w:val="auto"/>
        </w:rPr>
        <w:t>, the Company shall be required to indemnify an Indemnified Person in connection with a Proceeding (or part thereof) commenced by such Indemnified Person only if the commencement of such Proceeding (or part thereof) by the Indemnified Person was authorized in advance by the Board of Managers, and (ii) the Company shall not be required to indemnify an Indemnified Person in connection with a Proceeding (or part thereof) commenced by the Company against such Indemnified Person.</w:t>
      </w:r>
    </w:p>
    <w:p>
      <w:pPr>
        <w:spacing w:after="0" w:line="18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Section 12.2. </w:t>
      </w:r>
      <w:r>
        <w:rPr>
          <w:rFonts w:ascii="Arial" w:cs="Arial" w:eastAsia="Arial" w:hAnsi="Arial"/>
          <w:sz w:val="16"/>
          <w:szCs w:val="16"/>
          <w:u w:val="single" w:color="auto"/>
          <w:color w:val="auto"/>
        </w:rPr>
        <w:t>Prepayment of Expenses</w:t>
      </w:r>
      <w:r>
        <w:rPr>
          <w:rFonts w:ascii="Arial" w:cs="Arial" w:eastAsia="Arial" w:hAnsi="Arial"/>
          <w:sz w:val="16"/>
          <w:szCs w:val="16"/>
          <w:color w:val="auto"/>
        </w:rPr>
        <w:t xml:space="preserve">. The Company shall pay the expenses (including attorneys’ fees) incurred by an Indemnified Person in defending any Proceeding in advance of its final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or otherwise;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Company shall not be required to pay such expenses in connection with a Proceeding (or part thereof) commenced by the Company against such Indemnified Person.</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Claims by Managers and Officers</w:t>
      </w:r>
      <w:r>
        <w:rPr>
          <w:rFonts w:ascii="Arial" w:cs="Arial" w:eastAsia="Arial" w:hAnsi="Arial"/>
          <w:sz w:val="18"/>
          <w:szCs w:val="18"/>
          <w:color w:val="auto"/>
        </w:rPr>
        <w:t xml:space="preserve">. If a claim for indemnification or advancement of expenses under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is not paid in full within thirty (30) days after a written claim therefor by the Indemnified Person has been received by the Company, the Indemnified Person may file suit to recover the unpaid amount of such claim and, if successful in whole or in part, shall be entitled to be paid the expense of prosecuting such claim. In any such action the Company shall have the burden of proving that the Indemnified Person is not entitled to the requested indemnification or advancement of expenses under applicable law.</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 The Company may indemnify and advance expenses to any person who was or is made or is threatened to be made or is otherwise involved in any Proceeding by reason of the fact that such person, or a person for whom</w:t>
      </w:r>
    </w:p>
    <w:p>
      <w:pPr>
        <w:sectPr>
          <w:pgSz w:w="11900" w:h="16838" w:orient="portrait"/>
          <w:cols w:equalWidth="0" w:num="1">
            <w:col w:w="11400"/>
          </w:cols>
          <w:pgMar w:left="240" w:top="270" w:right="259" w:bottom="1440" w:gutter="0" w:footer="0" w:header="0"/>
        </w:sectPr>
      </w:pPr>
    </w:p>
    <w:bookmarkStart w:id="364" w:name="page365"/>
    <w:bookmarkEnd w:id="364"/>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person is the legal representative, is or was an employee or agent of the Company or, while an employee or agent of the Company, is or was serving at the request of the Company as a director, officer, manager,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Managers in its sole discretion.</w:t>
      </w:r>
    </w:p>
    <w:p>
      <w:pPr>
        <w:spacing w:after="0" w:line="19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u w:val="single" w:color="auto"/>
          <w:color w:val="auto"/>
        </w:rPr>
        <w:t>Advancement of Expenses of Employees and Agents</w:t>
      </w:r>
      <w:r>
        <w:rPr>
          <w:rFonts w:ascii="Arial" w:cs="Arial" w:eastAsia="Arial" w:hAnsi="Arial"/>
          <w:sz w:val="18"/>
          <w:szCs w:val="18"/>
          <w:color w:val="auto"/>
        </w:rPr>
        <w:t>. The Company may pay the expenses (including attorneys’ fees) incurred by an employee or agent in defending any Proceeding in advance of its final disposition on such terms and conditions as may be determined by the Board of Managers.</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conferred on any person by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shall not be exclusive of any other rights which such person may have or hereafter acquire under any statute, provision of the Certificate of Formation, any other agreement, vote of the Members or disinterested Managers or otherwise.</w:t>
      </w:r>
    </w:p>
    <w:p>
      <w:pPr>
        <w:spacing w:after="0" w:line="18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Company’s obligation, if any, to indemnify any person who was or is serving at its request as a director, manager, officer or employee of another corporation, partnership, limited liability company, joint venture, trust, organization or other enterprise shall be reduced by any amount such person actually collects as indemnification from such other corporation, partnership, limited liability company, joint venture, trust, organization or other enterprise.</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Section 12.8.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Board of Managers shall, to the full extent permitted by applicable law as it presently exists, or may hereafter be amended from time to time, authorize an appropriate Officer or Officers to purchase and maintain at the Company’s expense insurance in amounts satisfactory to the Board (a) to indemnify the Company for any obligation which it incurs as a result of the indemnification of Managers, Officers and employees under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and (b) to indemnify or insure Managers, Officers and employees against liability in instances in which they may not otherwise be indemnified by the Company under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maintains any such insurance for any Manager or Officer, it shall maintain it for all Managers and Officers.</w:t>
      </w:r>
    </w:p>
    <w:p>
      <w:pPr>
        <w:spacing w:after="0" w:line="287"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6"/>
          <w:szCs w:val="16"/>
          <w:u w:val="single" w:color="auto"/>
          <w:color w:val="auto"/>
        </w:rPr>
        <w:t>Fiduciary Duties</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77" w:lineRule="auto"/>
        <w:tabs>
          <w:tab w:leader="none" w:pos="1293"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Managers</w:t>
      </w:r>
      <w:r>
        <w:rPr>
          <w:rFonts w:ascii="Arial" w:cs="Arial" w:eastAsia="Arial" w:hAnsi="Arial"/>
          <w:sz w:val="18"/>
          <w:szCs w:val="18"/>
          <w:color w:val="auto"/>
        </w:rPr>
        <w:t>. Each Manager shall owe the Company and its Members the same fiduciary duties that a director of a Delaware corporation owes to such corporation and its stockholders.</w:t>
      </w:r>
    </w:p>
    <w:p>
      <w:pPr>
        <w:spacing w:after="0" w:line="170" w:lineRule="exact"/>
        <w:rPr>
          <w:rFonts w:ascii="Arial" w:cs="Arial" w:eastAsia="Arial" w:hAnsi="Arial"/>
          <w:sz w:val="18"/>
          <w:szCs w:val="18"/>
          <w:color w:val="auto"/>
        </w:rPr>
      </w:pPr>
    </w:p>
    <w:p>
      <w:pPr>
        <w:ind w:right="60" w:firstLine="921"/>
        <w:spacing w:after="0" w:line="342" w:lineRule="auto"/>
        <w:tabs>
          <w:tab w:leader="none" w:pos="1303"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Members</w:t>
      </w:r>
      <w:r>
        <w:rPr>
          <w:rFonts w:ascii="Arial" w:cs="Arial" w:eastAsia="Arial" w:hAnsi="Arial"/>
          <w:sz w:val="16"/>
          <w:szCs w:val="16"/>
          <w:color w:val="auto"/>
        </w:rPr>
        <w:t>. Each of the Members acknowledges and agrees that the sole duty and responsibility of any Member pursuant to this Agreement, applicable law or otherwise, shall be to act in the interest of such Member, as determined by the applicable Member in its sole discretion, and</w:t>
      </w:r>
    </w:p>
    <w:p>
      <w:pPr>
        <w:sectPr>
          <w:pgSz w:w="11900" w:h="16838" w:orient="portrait"/>
          <w:cols w:equalWidth="0" w:num="1">
            <w:col w:w="11360"/>
          </w:cols>
          <w:pgMar w:left="240" w:top="274" w:right="299" w:bottom="1440" w:gutter="0" w:footer="0" w:header="0"/>
        </w:sectPr>
      </w:pPr>
    </w:p>
    <w:bookmarkStart w:id="365" w:name="page366"/>
    <w:bookmarkEnd w:id="36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shall be no limitations on such Member’s right to act as determined by the Member in its sole discretion, except as otherwise specifically provided herein. In connection therewith, a Member may take into account only such Member’s best interests and such Member shall not be required to take into account the interest of any other Member or any other Person other than its own. No Member shall have any fiduciary or other implied duties or responsibilities except those expressly set forth herein, nor shall any fiduciary functions, responsibilities, duties, obligations or any liabilities be read into this Agreement or otherwise exist against such Member. To the maximum extent permitted by applicable law, no Member shall be a trustee or fiduciary for any other Member or the Company by reason of this Agreement. To the maximum extent permitted by law, each Member and the Company waive any fiduciary or other express or implied covenant, duty or other obligation of a Member to the other Members, the Company, any Company Subsidiaries or any third party, except for the specific obligations expressly set forth in this Agreement. To the maximum extent allowed by applicable law, each Member and the Company hereby waive all of the foregoing and all other duties, responsibilities or obligations (fiduciary or otherwise) that might otherwise apply to each.</w:t>
      </w:r>
    </w:p>
    <w:p>
      <w:pPr>
        <w:spacing w:after="0" w:line="16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xml:space="preserve">. Any repeal or modification of the foregoing provisions of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Agreement sets forth the entire agreement and understanding among the parties hereto with respect to the subject matter hereof and supersedes all prior agreements and understandings relating to such subject matter, including without limitation any prior agreements among the Members and any prior agreements relating to the operation of the Company. Except as otherwise expressly set forth in this Agreement, this Agreement may not be modified, altered, supplemented or amended (by merger, repeal, or otherwise) except pursuant to a written agreement executed and delivered by the Voting Majority;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any such modification, alteration, supplement or amendment which materially disproportionately and adversely affects the rights and privileges of the Series 1 Senior Preferred Units, the Junior Preferred Units, the Series A Common Units, the Series B Common Units or the Series C Common Units as compared to the rights and privileges of any another class of Units shall require, the consent of the Holders of a majority of the outstanding Units of such adversely affected class of Units, voting separately as a class and (ii) any such modification, alteration, supplement or amendment which materially disproportionately and adversely affects the rights and privileges of any Member or Members of a class of Units without similarly affecting all Members of such class of Units shall require the consent of the Holders of a majority in interest of the Members that are so materially disproportionately and adversely affected. Notwithstanding the foregoing, this Agreement may be modified, altered, supplemented or amended solely upon the vote or written consent of the Board to reflect the creation and/or issuance of (A) any security having a right to receive distributions junior to the rights of the</w:t>
      </w:r>
    </w:p>
    <w:p>
      <w:pPr>
        <w:sectPr>
          <w:pgSz w:w="11900" w:h="16838" w:orient="portrait"/>
          <w:cols w:equalWidth="0" w:num="1">
            <w:col w:w="11400"/>
          </w:cols>
          <w:pgMar w:left="240" w:top="273" w:right="259" w:bottom="1440" w:gutter="0" w:footer="0" w:header="0"/>
        </w:sectPr>
      </w:pPr>
    </w:p>
    <w:bookmarkStart w:id="366" w:name="page367"/>
    <w:bookmarkEnd w:id="366"/>
    <w:p>
      <w:pPr>
        <w:ind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Junior Preferred Units set forth in </w:t>
      </w:r>
      <w:r>
        <w:rPr>
          <w:rFonts w:ascii="Arial" w:cs="Arial" w:eastAsia="Arial" w:hAnsi="Arial"/>
          <w:sz w:val="18"/>
          <w:szCs w:val="18"/>
          <w:u w:val="single" w:color="auto"/>
          <w:color w:val="auto"/>
        </w:rPr>
        <w:t>Section 8.1(a)(i)</w:t>
      </w:r>
      <w:r>
        <w:rPr>
          <w:rFonts w:ascii="Arial" w:cs="Arial" w:eastAsia="Arial" w:hAnsi="Arial"/>
          <w:sz w:val="18"/>
          <w:szCs w:val="18"/>
          <w:color w:val="auto"/>
        </w:rPr>
        <w:t xml:space="preserve"> and (B) the Series 2 Senior Preferred Units;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such creation or issuance was undertaken in accordance with the terms of this Agreement.</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acknowledge and agree that a breach of this Agreement would cause irreparable damage to the other Parties and that the other Parties will not have an adequate remedy at law. Therefore, the obligations of the Parties under this Agreement shall be enforceable by a decree of specific performance issued by any court of competent jurisdiction, and appropriate injunctive relief may be applied for and granted in connection therewith. Such remedies shall, however, be cumulative and not exclusive and shall be in addition to any other remedies which any Party may have under this Agreement or otherwise.</w:t>
      </w:r>
    </w:p>
    <w:p>
      <w:pPr>
        <w:spacing w:after="0" w:line="18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13.3.</w:t>
      </w:r>
      <w:r>
        <w:rPr>
          <w:sz w:val="20"/>
          <w:szCs w:val="20"/>
          <w:color w:val="auto"/>
        </w:rPr>
        <w:tab/>
      </w:r>
      <w:r>
        <w:rPr>
          <w:rFonts w:ascii="Arial" w:cs="Arial" w:eastAsia="Arial" w:hAnsi="Arial"/>
          <w:sz w:val="16"/>
          <w:szCs w:val="16"/>
          <w:u w:val="single" w:color="auto"/>
          <w:color w:val="auto"/>
        </w:rPr>
        <w:t>Submission to Jurisdiction; Consent to Service of Process, Waiver of Jury Trial</w:t>
      </w:r>
      <w:r>
        <w:rPr>
          <w:rFonts w:ascii="Arial" w:cs="Arial" w:eastAsia="Arial" w:hAnsi="Arial"/>
          <w:sz w:val="16"/>
          <w:szCs w:val="16"/>
          <w:color w:val="auto"/>
        </w:rPr>
        <w:t>.</w:t>
      </w:r>
    </w:p>
    <w:p>
      <w:pPr>
        <w:spacing w:after="0" w:line="225" w:lineRule="exact"/>
        <w:rPr>
          <w:sz w:val="20"/>
          <w:szCs w:val="20"/>
          <w:color w:val="auto"/>
        </w:rPr>
      </w:pPr>
    </w:p>
    <w:p>
      <w:pPr>
        <w:ind w:right="100" w:firstLine="921"/>
        <w:spacing w:after="0" w:line="293" w:lineRule="auto"/>
        <w:tabs>
          <w:tab w:leader="none" w:pos="1293"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Parties hereby irrevocably submit to the non-exclusive jurisdiction of any federal or state court located within the State of Delaware over any dispute arising out of or relating to this Agreement or any of the transactions contemplated hereby and each Party hereby irrevocably agrees that all claims in respect of such dispute or any suit, action proceeding related thereto may be heard and determined in such courts.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agrees that a judgment in any such dispute may be enforced in other jurisdictions by suit on the judgment or in any other manner provided by law.</w:t>
      </w:r>
    </w:p>
    <w:p>
      <w:pPr>
        <w:spacing w:after="0" w:line="164" w:lineRule="exact"/>
        <w:rPr>
          <w:rFonts w:ascii="Arial" w:cs="Arial" w:eastAsia="Arial" w:hAnsi="Arial"/>
          <w:sz w:val="16"/>
          <w:szCs w:val="16"/>
          <w:color w:val="auto"/>
        </w:rPr>
      </w:pPr>
    </w:p>
    <w:p>
      <w:pPr>
        <w:ind w:right="40" w:firstLine="921"/>
        <w:spacing w:after="0" w:line="277" w:lineRule="auto"/>
        <w:tabs>
          <w:tab w:leader="none" w:pos="1303"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Consent to Service of Process</w:t>
      </w:r>
      <w:r>
        <w:rPr>
          <w:rFonts w:ascii="Arial" w:cs="Arial" w:eastAsia="Arial" w:hAnsi="Arial"/>
          <w:sz w:val="18"/>
          <w:szCs w:val="18"/>
          <w:color w:val="auto"/>
        </w:rPr>
        <w:t xml:space="preserve">. Each of the Parties hereby consents to process being served by any Party in any suit, action or proceeding by delivery of a copy thereof in accordance with the provisions of </w:t>
      </w:r>
      <w:r>
        <w:rPr>
          <w:rFonts w:ascii="Arial" w:cs="Arial" w:eastAsia="Arial" w:hAnsi="Arial"/>
          <w:sz w:val="18"/>
          <w:szCs w:val="18"/>
          <w:u w:val="single" w:color="auto"/>
          <w:color w:val="auto"/>
        </w:rPr>
        <w:t>Section 13.6</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921"/>
        <w:spacing w:after="0" w:line="254" w:lineRule="auto"/>
        <w:tabs>
          <w:tab w:leader="none" w:pos="1293"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HEREBY WAIVES, TO THE FULLEST EXTENT PERMITTED BY LAW, ANY RIGHT TO TRIAL BY JURY OF ANY CLAIM, DEMAND, ACTION, OR CAUSE OF ACTION: (i) ARISING UNDER THIS AGREEMENT; OR (ii) IN ANY WAY CONNECTED WITH OR RELATED OR INCIDENTAL TO THE DEALINGS OF THE PARTIES IN RESPECT OF THIS AGREEMENT OR ANY OF THE TRANSACTIONS CONTEMPLATED HEREBY, IN EACH CASE WHETHER NOW EXISTING OR HEREAFTER ARISING, AND WHETHER IN CONTRACT, TORT, EQUITY, OR OTHERWISE. EACH PARTY HEREBY AGREES AND CONSENTS THAT ANY SUCH CLAIM, DEMAND, ACTION, OR CAUSE OF ACTION SHALL BE DECIDED BY COURT TRIAL WITHOUT A JURY AND THAT THE PARTIES MAY FILE AN ORIGINAL COUNTERPART OF A COPY OF THIS AGREEMENT WITH ANY COURT AS WRITTEN EVIDENCE OF THE CONSENT OF THE PARTIES TO THE WAIVER OF THEIR RIGHT TO TRIAL BY JURY.</w:t>
      </w:r>
    </w:p>
    <w:p>
      <w:pPr>
        <w:sectPr>
          <w:pgSz w:w="11900" w:h="16838" w:orient="portrait"/>
          <w:cols w:equalWidth="0" w:num="1">
            <w:col w:w="11420"/>
          </w:cols>
          <w:pgMar w:left="240" w:top="273" w:right="239" w:bottom="1440" w:gutter="0" w:footer="0" w:header="0"/>
        </w:sectPr>
      </w:pPr>
    </w:p>
    <w:bookmarkStart w:id="367" w:name="page368"/>
    <w:bookmarkEnd w:id="367"/>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13.4. </w:t>
      </w:r>
      <w:r>
        <w:rPr>
          <w:rFonts w:ascii="Arial" w:cs="Arial" w:eastAsia="Arial" w:hAnsi="Arial"/>
          <w:sz w:val="17"/>
          <w:szCs w:val="17"/>
          <w:u w:val="single" w:color="auto"/>
          <w:color w:val="auto"/>
        </w:rPr>
        <w:t>Entire Agreement; Waivers</w:t>
      </w:r>
      <w:r>
        <w:rPr>
          <w:rFonts w:ascii="Arial" w:cs="Arial" w:eastAsia="Arial" w:hAnsi="Arial"/>
          <w:sz w:val="17"/>
          <w:szCs w:val="17"/>
          <w:color w:val="auto"/>
        </w:rPr>
        <w:t>. This Agreement represents the entire understanding and agreement among the Parties with respect to the subject matter of this Agreement and any provision of this Agreement can be waived only by written instrument making specific reference to this Agreement signed by the Party against whom enforcement of any such waiver is sought. No action taken pursuant to this Agreement, including any investigation by or on behalf of any Party, shall be deemed to constitute a waiver by the Party taking such action of compliance with any representation, warranty, covenant or agreement contained herein.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provided by law.</w:t>
      </w:r>
    </w:p>
    <w:p>
      <w:pPr>
        <w:spacing w:after="0" w:line="18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or causes of action or other matters (whether in contract, tort or otherwise) that may be based upon, arise out of or relate to this Agreement or the negotiation, execution or performance of this Agreement or the consummation of any of the transactions contemplated hereby, shall be governed by and construed in accordance with the laws of the State of Delaware applicable to contracts made and performed in such state.</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13.6.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this Agreement shall be in writing and shall be deemed given: (a) when delivered personally by hand (with written confirmation of receipt); (b) when sent by e-mail (with written confirmation of successful transmission); or (c) one Business Day following the day sent by overnight courier (with written confirmation of receipt), in each case at the following addresses (or to such other address as a Party may have specified by notice given to the other Party pursuant to this provision):</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Company, to:</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Solid Biosciences, LLC</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161 First Street,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Cambridge, MA 02142</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8"/>
          <w:szCs w:val="18"/>
          <w:color w:val="auto"/>
        </w:rPr>
        <w:t>Attention:</w:t>
        <w:tab/>
        <w:t>Ilan Ganot</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copy to:</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Proskauer Rose, LLP</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8"/>
          <w:szCs w:val="18"/>
          <w:color w:val="auto"/>
        </w:rPr>
        <w:t>Attention:</w:t>
        <w:tab/>
        <w:t>Daniel P. Finkelman</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any Member, to the address of such Member set forth on the signature page hereto.</w:t>
      </w:r>
    </w:p>
    <w:p>
      <w:pPr>
        <w:sectPr>
          <w:pgSz w:w="11900" w:h="16838" w:orient="portrait"/>
          <w:cols w:equalWidth="0" w:num="1">
            <w:col w:w="11420"/>
          </w:cols>
          <w:pgMar w:left="240" w:top="274" w:right="239" w:bottom="1440" w:gutter="0" w:footer="0" w:header="0"/>
        </w:sectPr>
      </w:pPr>
    </w:p>
    <w:bookmarkStart w:id="368" w:name="page369"/>
    <w:bookmarkEnd w:id="368"/>
    <w:p>
      <w:pPr>
        <w:ind w:right="1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13.8. </w:t>
      </w: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 This Agreement shall be binding upon and inure to the benefit of the Parties and their respective successors and permitted assigns. Nothing in this Agreement shall create or be deemed to create any third-party beneficiary rights in any Person not a Party to this Agreement. No assignment of this Agreement or of any rights or obligations hereunder may be made by any Party except subject to the terms of this Agreement.</w:t>
      </w:r>
    </w:p>
    <w:p>
      <w:pPr>
        <w:spacing w:after="0" w:line="18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 xml:space="preserve">Section 13.9. </w:t>
      </w:r>
      <w:r>
        <w:rPr>
          <w:rFonts w:ascii="Arial" w:cs="Arial" w:eastAsia="Arial" w:hAnsi="Arial"/>
          <w:sz w:val="17"/>
          <w:szCs w:val="17"/>
          <w:u w:val="single" w:color="auto"/>
          <w:color w:val="auto"/>
        </w:rPr>
        <w:t>Non-Recourse</w:t>
      </w:r>
      <w:r>
        <w:rPr>
          <w:rFonts w:ascii="Arial" w:cs="Arial" w:eastAsia="Arial" w:hAnsi="Arial"/>
          <w:sz w:val="17"/>
          <w:szCs w:val="17"/>
          <w:color w:val="auto"/>
        </w:rPr>
        <w:t>. No past, present or future manager, director, officer, employee, incorporator, member, partner, stockholder, Affiliate, agent, attorney, authorized person, or representative of any Member shall have any liability for any obligations or liabilities of such Member under this Agreement or for any claim based on, in respect of, or by reason of, the transactions contemplated hereby.</w:t>
      </w:r>
    </w:p>
    <w:p>
      <w:pPr>
        <w:spacing w:after="0" w:line="166"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13.10.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will be deemed to be an original copy of this Agreement and all of which, when taken together, will be deemed to constitute one and the same agreement.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effective for all purposes.</w:t>
      </w:r>
    </w:p>
    <w:p>
      <w:pPr>
        <w:sectPr>
          <w:pgSz w:w="11900" w:h="16838" w:orient="portrait"/>
          <w:cols w:equalWidth="0" w:num="1">
            <w:col w:w="11380"/>
          </w:cols>
          <w:pgMar w:left="240" w:top="274" w:right="279" w:bottom="1440" w:gutter="0" w:footer="0" w:header="0"/>
        </w:sectPr>
      </w:pPr>
    </w:p>
    <w:bookmarkStart w:id="369" w:name="page370"/>
    <w:bookmarkEnd w:id="36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Subsequent Incorporated Provisions</w:t>
      </w:r>
    </w:p>
    <w:p>
      <w:pPr>
        <w:spacing w:after="0" w:line="229" w:lineRule="exact"/>
        <w:rPr>
          <w:sz w:val="20"/>
          <w:szCs w:val="20"/>
          <w:color w:val="auto"/>
        </w:rPr>
      </w:pPr>
    </w:p>
    <w:p>
      <w:pPr>
        <w:ind w:left="420"/>
        <w:spacing w:after="0"/>
        <w:tabs>
          <w:tab w:leader="none" w:pos="144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Weighted-Average Anti-dilution Protection</w:t>
      </w:r>
      <w:r>
        <w:rPr>
          <w:rFonts w:ascii="Arial" w:cs="Arial" w:eastAsia="Arial" w:hAnsi="Arial"/>
          <w:sz w:val="16"/>
          <w:szCs w:val="16"/>
          <w:color w:val="auto"/>
        </w:rPr>
        <w:t>.</w:t>
      </w:r>
    </w:p>
    <w:p>
      <w:pPr>
        <w:spacing w:after="0" w:line="117" w:lineRule="exact"/>
        <w:rPr>
          <w:sz w:val="20"/>
          <w:szCs w:val="20"/>
          <w:color w:val="auto"/>
        </w:rPr>
      </w:pPr>
    </w:p>
    <w:p>
      <w:pPr>
        <w:ind w:left="-40" w:right="20" w:firstLine="921"/>
        <w:spacing w:after="0" w:line="286" w:lineRule="auto"/>
        <w:tabs>
          <w:tab w:leader="none" w:pos="1253"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For the Senior Preferred Units</w:t>
      </w:r>
      <w:r>
        <w:rPr>
          <w:rFonts w:ascii="Arial" w:cs="Arial" w:eastAsia="Arial" w:hAnsi="Arial"/>
          <w:sz w:val="16"/>
          <w:szCs w:val="16"/>
          <w:color w:val="auto"/>
        </w:rPr>
        <w:t xml:space="preserve">. If the Company issues Units that constitute New Securities at a purchase price per such Unit less than the amount by which the Senior Preferred Blended Issue Price exceeds cumulative distributions in respect of a Senior Preferred Unit pursuant to this Agreement, solely for the purposes of </w:t>
      </w:r>
      <w:r>
        <w:rPr>
          <w:rFonts w:ascii="Arial" w:cs="Arial" w:eastAsia="Arial" w:hAnsi="Arial"/>
          <w:sz w:val="16"/>
          <w:szCs w:val="16"/>
          <w:u w:val="single" w:color="auto"/>
          <w:color w:val="auto"/>
        </w:rPr>
        <w:t>Section 8.1(a)(x)</w:t>
      </w:r>
      <w:r>
        <w:rPr>
          <w:rFonts w:ascii="Arial" w:cs="Arial" w:eastAsia="Arial" w:hAnsi="Arial"/>
          <w:sz w:val="16"/>
          <w:szCs w:val="16"/>
          <w:color w:val="auto"/>
        </w:rPr>
        <w:t xml:space="preserve"> the number of Senior Preferred Units outstanding and held by the Senior Preferred Members shall automatically be deemed to have been adjusted to the number obtained by multiplying the number of such Senior Preferred Units by a fraction (which shall in no event be less than one): (i) the numerator of which shall be the sum of the number of all Units outstanding immediately prior to such issuance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number of Units issued in connection with such issuance; and (ii) the denominator of which shall be the sum of the number of all Units outstanding immediately prior to such issuance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number of Units that would have been issued in the new issuance if the aggregate amount of consideration received for Units in such issuance were used to purchase Units at a price equal to the amount by which the Senior Preferred Blended Issue Price exceeds cumulative distributions in respect of a Senior Preferred Unit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unless the Holders of a majority of the outstanding Senior Preferred Units elect otherwise, the deemed adjustment set forth in this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shall not be made with respect to the Senior Preferred Units held by any Senior Preferred Member who fails to, or has previously failed to, exercise in full its preemptive rights with respect to an issuance of Units that constitute New Securities that would cause a deemed adjustment set forth in this </w:t>
      </w:r>
      <w:r>
        <w:rPr>
          <w:rFonts w:ascii="Arial" w:cs="Arial" w:eastAsia="Arial" w:hAnsi="Arial"/>
          <w:sz w:val="16"/>
          <w:szCs w:val="16"/>
          <w:u w:val="single" w:color="auto"/>
          <w:color w:val="auto"/>
        </w:rPr>
        <w:t>Section 3.7</w:t>
      </w:r>
      <w:r>
        <w:rPr>
          <w:rFonts w:ascii="Arial" w:cs="Arial" w:eastAsia="Arial" w:hAnsi="Arial"/>
          <w:sz w:val="16"/>
          <w:szCs w:val="16"/>
          <w:color w:val="auto"/>
        </w:rPr>
        <w:t>. If such issuance of New Securities was without consideration, then the Company shall be deemed to have received an aggregate of $.0001 of consideration for all such New Securities.</w:t>
      </w:r>
    </w:p>
    <w:p>
      <w:pPr>
        <w:spacing w:after="0" w:line="174" w:lineRule="exact"/>
        <w:rPr>
          <w:rFonts w:ascii="Arial" w:cs="Arial" w:eastAsia="Arial" w:hAnsi="Arial"/>
          <w:sz w:val="16"/>
          <w:szCs w:val="16"/>
          <w:color w:val="auto"/>
        </w:rPr>
      </w:pPr>
    </w:p>
    <w:p>
      <w:pPr>
        <w:ind w:left="-40" w:firstLine="921"/>
        <w:spacing w:after="0" w:line="269" w:lineRule="auto"/>
        <w:tabs>
          <w:tab w:leader="none" w:pos="1263"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For the Junior Preferred Units</w:t>
      </w:r>
      <w:r>
        <w:rPr>
          <w:rFonts w:ascii="Arial" w:cs="Arial" w:eastAsia="Arial" w:hAnsi="Arial"/>
          <w:sz w:val="17"/>
          <w:szCs w:val="17"/>
          <w:color w:val="auto"/>
        </w:rPr>
        <w:t xml:space="preserve">. If the Company issues Units that constitute New Securities at a purchase price per such Unit less than the amount by which the Junior Preferred Original Issue Price exceeds cumulative distributions in respect of a Junior Preferred Unit pursuant to this Agreement, solely for the purposes of </w:t>
      </w:r>
      <w:r>
        <w:rPr>
          <w:rFonts w:ascii="Arial" w:cs="Arial" w:eastAsia="Arial" w:hAnsi="Arial"/>
          <w:sz w:val="17"/>
          <w:szCs w:val="17"/>
          <w:u w:val="single" w:color="auto"/>
          <w:color w:val="auto"/>
        </w:rPr>
        <w:t>Section 8.1(a)(x)</w:t>
      </w:r>
      <w:r>
        <w:rPr>
          <w:rFonts w:ascii="Arial" w:cs="Arial" w:eastAsia="Arial" w:hAnsi="Arial"/>
          <w:sz w:val="17"/>
          <w:szCs w:val="17"/>
          <w:color w:val="auto"/>
        </w:rPr>
        <w:t xml:space="preserve"> the number of Junior Preferred Units outstanding and held by the Junior Preferred Members shall automatically be deemed to have been adjusted to the number obtained by multiplying the number of such Junior Preferred Units by a fraction (which shall in no event be less than one): (i) the numerator of which shall be the sum of the number of all Units outstanding immediately prior to such issuance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number of Units issued in connection with such issuance; and (ii) the denominator of which shall be the sum of the number of all Units outstanding immediately prior to such issuance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number of Units that would have been issued in the new issuance if the aggregate amount of consideration received for Units in such issuance were used to purchase Units at a price equal to the amount by which the Junior Preferred Original Issue Price exceeds cumulative distributions in respect of a Junior Preferred Unit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unless the Holders of a majority of the outstanding Junior Preferred Units elect otherwise, the deemed adjustment set forth in this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shall not be made with respect to the Junior Preferred Units held by any Junior Preferred Member who fails to, or has</w:t>
      </w:r>
    </w:p>
    <w:p>
      <w:pPr>
        <w:sectPr>
          <w:pgSz w:w="11900" w:h="16838" w:orient="portrait"/>
          <w:cols w:equalWidth="0" w:num="1">
            <w:col w:w="11360"/>
          </w:cols>
          <w:pgMar w:left="280" w:top="270" w:right="259" w:bottom="1440" w:gutter="0" w:footer="0" w:header="0"/>
        </w:sectPr>
      </w:pPr>
    </w:p>
    <w:bookmarkStart w:id="370" w:name="page371"/>
    <w:bookmarkEnd w:id="370"/>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previously failed to, exercise in full its preemptive rights with respect to an issuance of Units that constitute New Securities that would cause a deemed adjustment set forth in this </w:t>
      </w:r>
      <w:r>
        <w:rPr>
          <w:rFonts w:ascii="Arial" w:cs="Arial" w:eastAsia="Arial" w:hAnsi="Arial"/>
          <w:sz w:val="18"/>
          <w:szCs w:val="18"/>
          <w:u w:val="single" w:color="auto"/>
          <w:color w:val="auto"/>
        </w:rPr>
        <w:t>Section 3.7</w:t>
      </w:r>
      <w:r>
        <w:rPr>
          <w:rFonts w:ascii="Arial" w:cs="Arial" w:eastAsia="Arial" w:hAnsi="Arial"/>
          <w:sz w:val="18"/>
          <w:szCs w:val="18"/>
          <w:color w:val="auto"/>
        </w:rPr>
        <w:t>. If such issuance of New Securities was without consideration, then the Company shall be deemed to have received an aggregate of $.0001 of consideration for all such New Securities.</w:t>
      </w:r>
    </w:p>
    <w:p>
      <w:pPr>
        <w:spacing w:after="0" w:line="289"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Redemption.</w:t>
      </w:r>
    </w:p>
    <w:p>
      <w:pPr>
        <w:spacing w:after="0" w:line="117" w:lineRule="exact"/>
        <w:rPr>
          <w:sz w:val="20"/>
          <w:szCs w:val="20"/>
          <w:color w:val="auto"/>
        </w:rPr>
      </w:pPr>
    </w:p>
    <w:p>
      <w:pPr>
        <w:ind w:right="60" w:firstLine="921"/>
        <w:spacing w:after="0" w:line="284" w:lineRule="auto"/>
        <w:tabs>
          <w:tab w:leader="none" w:pos="1293" w:val="left"/>
        </w:tabs>
        <w:numPr>
          <w:ilvl w:val="1"/>
          <w:numId w:val="261"/>
        </w:numPr>
        <w:rPr>
          <w:rFonts w:ascii="Arial" w:cs="Arial" w:eastAsia="Arial" w:hAnsi="Arial"/>
          <w:sz w:val="16"/>
          <w:szCs w:val="16"/>
          <w:color w:val="auto"/>
        </w:rPr>
      </w:pPr>
      <w:r>
        <w:rPr>
          <w:rFonts w:ascii="Arial" w:cs="Arial" w:eastAsia="Arial" w:hAnsi="Arial"/>
          <w:sz w:val="16"/>
          <w:szCs w:val="16"/>
          <w:u w:val="single" w:color="auto"/>
          <w:color w:val="auto"/>
        </w:rPr>
        <w:t>Redemption</w:t>
      </w:r>
      <w:r>
        <w:rPr>
          <w:rFonts w:ascii="Arial" w:cs="Arial" w:eastAsia="Arial" w:hAnsi="Arial"/>
          <w:sz w:val="16"/>
          <w:szCs w:val="16"/>
          <w:color w:val="auto"/>
        </w:rPr>
        <w:t>. To the extent permitted by the Act and applicable law, unless waived by the Holders of at least 66% of the then outstanding Senior Preferred Units, on the fifth annual anniversary of the date of this Agreement (the “</w:t>
      </w:r>
      <w:r>
        <w:rPr>
          <w:rFonts w:ascii="Arial" w:cs="Arial" w:eastAsia="Arial" w:hAnsi="Arial"/>
          <w:sz w:val="16"/>
          <w:szCs w:val="16"/>
          <w:b w:val="1"/>
          <w:bCs w:val="1"/>
          <w:u w:val="single" w:color="auto"/>
          <w:color w:val="auto"/>
        </w:rPr>
        <w:t>Redemption Date</w:t>
      </w:r>
      <w:r>
        <w:rPr>
          <w:rFonts w:ascii="Arial" w:cs="Arial" w:eastAsia="Arial" w:hAnsi="Arial"/>
          <w:sz w:val="16"/>
          <w:szCs w:val="16"/>
          <w:color w:val="auto"/>
        </w:rPr>
        <w:t xml:space="preserve">”), the Company shall redeem all of the Senior Preferred Units then outstanding, out of funds legally available therefor, at a price (i) per Series 1 Senior Preferred Unit equal to the positive amount (if any) of: (A) the Series 1 Senior Preferred Original Issue Price,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amount of any declared but unpaid dividends on such Series 1 Senior Preferred Unit as of the Redemption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amount of all previous distributions on such Series 1 Senior Preferred Unit that are not made in accordance with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and (ii) per Series 2 Senior Preferred Unit equal to the positive amount (if any) of: (A) the Series 2 Senior Preferred Original Issue Price, </w:t>
      </w:r>
      <w:r>
        <w:rPr>
          <w:rFonts w:ascii="Arial" w:cs="Arial" w:eastAsia="Arial" w:hAnsi="Arial"/>
          <w:sz w:val="16"/>
          <w:szCs w:val="16"/>
          <w:u w:val="single" w:color="auto"/>
          <w:color w:val="auto"/>
        </w:rPr>
        <w:t>plus</w:t>
      </w:r>
    </w:p>
    <w:p>
      <w:pPr>
        <w:spacing w:after="0" w:line="4" w:lineRule="exact"/>
        <w:rPr>
          <w:rFonts w:ascii="Arial" w:cs="Arial" w:eastAsia="Arial" w:hAnsi="Arial"/>
          <w:sz w:val="16"/>
          <w:szCs w:val="16"/>
          <w:color w:val="auto"/>
        </w:rPr>
      </w:pPr>
    </w:p>
    <w:p>
      <w:pPr>
        <w:ind w:right="60" w:firstLine="8"/>
        <w:spacing w:after="0" w:line="271" w:lineRule="auto"/>
        <w:tabs>
          <w:tab w:leader="none" w:pos="28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the amount of any declared but unpaid dividends on such Series 2 Senior Preferred Unit as of the Redemption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the amount of all previous distributions on such Series 2 Senior Preferred Unit that are not made in accordance with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(in each case, the “</w:t>
      </w:r>
      <w:r>
        <w:rPr>
          <w:rFonts w:ascii="Arial" w:cs="Arial" w:eastAsia="Arial" w:hAnsi="Arial"/>
          <w:sz w:val="17"/>
          <w:szCs w:val="17"/>
          <w:b w:val="1"/>
          <w:bCs w:val="1"/>
          <w:u w:val="single" w:color="auto"/>
          <w:color w:val="auto"/>
        </w:rPr>
        <w:t>Redemption Price</w:t>
      </w:r>
      <w:r>
        <w:rPr>
          <w:rFonts w:ascii="Arial" w:cs="Arial" w:eastAsia="Arial" w:hAnsi="Arial"/>
          <w:sz w:val="17"/>
          <w:szCs w:val="17"/>
          <w:color w:val="auto"/>
        </w:rPr>
        <w:t>”). Notwithstanding the foregoing, any Holder of Senior Preferred Units may, by providing written notice to the Company prior to the Redemption Date, in lieu of having such Units redeemed pursuant to the foregoing and receiving any payment in connection therewith, convert all of such Holder’s Senior Preferred Units into Series C Common Units, on a 1:1 basis effective immediately prior to such redemption.</w:t>
      </w:r>
    </w:p>
    <w:p>
      <w:pPr>
        <w:spacing w:after="0" w:line="178" w:lineRule="exact"/>
        <w:rPr>
          <w:rFonts w:ascii="Arial" w:cs="Arial" w:eastAsia="Arial" w:hAnsi="Arial"/>
          <w:sz w:val="17"/>
          <w:szCs w:val="17"/>
          <w:color w:val="auto"/>
        </w:rPr>
      </w:pPr>
    </w:p>
    <w:p>
      <w:pPr>
        <w:ind w:firstLine="921"/>
        <w:spacing w:after="0" w:line="254" w:lineRule="auto"/>
        <w:tabs>
          <w:tab w:leader="none" w:pos="1303"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If the funds of the Company legally available to be used for redeeming the Senior Preferred Units on the Redemption Date are insufficient to redeem all outstanding Senior Preferred Units, the Company shall (i) take any action necessary or appropriate, to the extent reasonably within its control, to remove promptly any impediments to its ability to redeem all outstanding Senior Preferred Units, including, without limitation, incurring any indebtedness necessary to make such redemption, and (ii) in any event, use any and all funds that are legally available to redeem Senior Preferred Units from Senior Preferred Members ratably based on the respective number of Senior Preferred Units held by the Senior Preferred Members. At any time thereafter when additional funds of the Company are legally available to redeem the tendered Senior Preferred Units, the Company shall immediately use such funds to redeem the balance of the Senior Preferred Units that the Company became obligated to redeem on the Redemption Date (but which it has not yet redeemed).</w:t>
      </w:r>
    </w:p>
    <w:p>
      <w:pPr>
        <w:spacing w:after="0" w:line="192" w:lineRule="exact"/>
        <w:rPr>
          <w:rFonts w:ascii="Arial" w:cs="Arial" w:eastAsia="Arial" w:hAnsi="Arial"/>
          <w:sz w:val="18"/>
          <w:szCs w:val="18"/>
          <w:color w:val="auto"/>
        </w:rPr>
      </w:pPr>
    </w:p>
    <w:p>
      <w:pPr>
        <w:ind w:right="20" w:firstLine="921"/>
        <w:spacing w:after="0" w:line="308" w:lineRule="auto"/>
        <w:tabs>
          <w:tab w:leader="none" w:pos="1293" w:val="left"/>
        </w:tabs>
        <w:numPr>
          <w:ilvl w:val="1"/>
          <w:numId w:val="262"/>
        </w:numPr>
        <w:rPr>
          <w:rFonts w:ascii="Arial" w:cs="Arial" w:eastAsia="Arial" w:hAnsi="Arial"/>
          <w:sz w:val="17"/>
          <w:szCs w:val="17"/>
          <w:color w:val="auto"/>
        </w:rPr>
      </w:pPr>
      <w:r>
        <w:rPr>
          <w:rFonts w:ascii="Arial" w:cs="Arial" w:eastAsia="Arial" w:hAnsi="Arial"/>
          <w:sz w:val="17"/>
          <w:szCs w:val="17"/>
          <w:u w:val="single" w:color="auto"/>
          <w:color w:val="auto"/>
        </w:rPr>
        <w:t>Continuing Rights</w:t>
      </w:r>
      <w:r>
        <w:rPr>
          <w:rFonts w:ascii="Arial" w:cs="Arial" w:eastAsia="Arial" w:hAnsi="Arial"/>
          <w:sz w:val="17"/>
          <w:szCs w:val="17"/>
          <w:color w:val="auto"/>
        </w:rPr>
        <w:t>. From and after the Redemption Date, and upon the payment in full of the Redemption Price by the Company, the Senior Preferred Members shall have no further rights or privileges with respect to their Senior Preferred Units that were redeemed.</w:t>
      </w:r>
    </w:p>
    <w:p>
      <w:pPr>
        <w:spacing w:after="0" w:line="146" w:lineRule="exact"/>
        <w:rPr>
          <w:rFonts w:ascii="Arial" w:cs="Arial" w:eastAsia="Arial" w:hAnsi="Arial"/>
          <w:sz w:val="17"/>
          <w:szCs w:val="17"/>
          <w:color w:val="auto"/>
        </w:rPr>
      </w:pPr>
    </w:p>
    <w:p>
      <w:pPr>
        <w:ind w:right="60" w:firstLine="921"/>
        <w:spacing w:after="0" w:line="264" w:lineRule="auto"/>
        <w:tabs>
          <w:tab w:leader="none" w:pos="1303"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No Approval Required</w:t>
      </w:r>
      <w:r>
        <w:rPr>
          <w:rFonts w:ascii="Arial" w:cs="Arial" w:eastAsia="Arial" w:hAnsi="Arial"/>
          <w:sz w:val="18"/>
          <w:szCs w:val="18"/>
          <w:color w:val="auto"/>
        </w:rPr>
        <w:t xml:space="preserve">. No redemption under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be subject to any consent or approval of the Board or the Members, and the Company and the Senior Preferred Members shall take such further actions that are reasonably necessary to effectuate the redemption contemplated by this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ectPr>
          <w:pgSz w:w="11900" w:h="16838" w:orient="portrait"/>
          <w:cols w:equalWidth="0" w:num="1">
            <w:col w:w="11400"/>
          </w:cols>
          <w:pgMar w:left="240" w:top="273" w:right="259" w:bottom="1440" w:gutter="0" w:footer="0" w:header="0"/>
        </w:sectPr>
      </w:pPr>
    </w:p>
    <w:bookmarkStart w:id="371" w:name="page372"/>
    <w:bookmarkEnd w:id="371"/>
    <w:p>
      <w:pPr>
        <w:ind w:right="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3.9. </w:t>
      </w:r>
      <w:r>
        <w:rPr>
          <w:rFonts w:ascii="Arial" w:cs="Arial" w:eastAsia="Arial" w:hAnsi="Arial"/>
          <w:sz w:val="18"/>
          <w:szCs w:val="18"/>
          <w:u w:val="single" w:color="auto"/>
          <w:color w:val="auto"/>
        </w:rPr>
        <w:t>Certain Payments</w:t>
      </w:r>
      <w:r>
        <w:rPr>
          <w:rFonts w:ascii="Arial" w:cs="Arial" w:eastAsia="Arial" w:hAnsi="Arial"/>
          <w:sz w:val="18"/>
          <w:szCs w:val="18"/>
          <w:color w:val="auto"/>
        </w:rPr>
        <w:t xml:space="preserve">. Under the Act, a member of a limited liability company may, under certain circumstances, be required to return amounts previously distributed to such member. It is the intent of the Members that no distribution to any Member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deemed to constitute money or other property paid or distributed in violation of the Act, and the Members agree that each such distribution shall constitute a compromise of the Members within the meaning of Section 18-502(b) of the Act, and, to the fullest extent permitted by law, the Member receiving such distribution shall not be required to return to any Person any such money or property, except as otherwise expressly set forth herein. If, however, any court of competent jurisdiction holds that, notwithstanding the provisions of this Agreement, any Member is obligated to make any such payment, such obligation shall be the obligation of such Member and not of the other Members, and, when funded, shall constitute a Capital Contribution to the Company by such Member.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MEMBERS; VOTING</w:t>
      </w:r>
    </w:p>
    <w:p>
      <w:pPr>
        <w:spacing w:after="0" w:line="22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Members</w:t>
      </w:r>
      <w:r>
        <w:rPr>
          <w:rFonts w:ascii="Arial" w:cs="Arial" w:eastAsia="Arial" w:hAnsi="Arial"/>
          <w:sz w:val="18"/>
          <w:szCs w:val="18"/>
          <w:color w:val="auto"/>
        </w:rPr>
        <w:t>. The name, mailing address and e-mail address of each Member is set forth on the List of Members, and shall be revised from time to time in accordance with this Agreement to reflect the addition, substitution, withdrawal, resignation or change of address of any Member as permitted under the terms of this Agreement.</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Consent</w:t>
      </w:r>
      <w:r>
        <w:rPr>
          <w:rFonts w:ascii="Arial" w:cs="Arial" w:eastAsia="Arial" w:hAnsi="Arial"/>
          <w:sz w:val="17"/>
          <w:szCs w:val="17"/>
          <w:color w:val="auto"/>
        </w:rPr>
        <w:t>. Unless otherwise expressly provided herein, the consent of the Members for purposes of this Agreement may be obtained: (a) at any meeting of the Senior Preferred Members, the Junior Preferred Members, the Series A Common Members and the Series B Common Members (collectively, the “</w:t>
      </w:r>
      <w:r>
        <w:rPr>
          <w:rFonts w:ascii="Arial" w:cs="Arial" w:eastAsia="Arial" w:hAnsi="Arial"/>
          <w:sz w:val="17"/>
          <w:szCs w:val="17"/>
          <w:b w:val="1"/>
          <w:bCs w:val="1"/>
          <w:u w:val="single" w:color="auto"/>
          <w:color w:val="auto"/>
        </w:rPr>
        <w:t>Voting Members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Holders of a majority in number of the outstanding Senior Preferred Units, Junior Preferred Units, Series A Common Units and Series B Common Units, together as a single class (a “</w:t>
      </w:r>
      <w:r>
        <w:rPr>
          <w:rFonts w:ascii="Arial" w:cs="Arial" w:eastAsia="Arial" w:hAnsi="Arial"/>
          <w:sz w:val="17"/>
          <w:szCs w:val="17"/>
          <w:b w:val="1"/>
          <w:bCs w:val="1"/>
          <w:u w:val="single" w:color="auto"/>
          <w:color w:val="auto"/>
        </w:rPr>
        <w:t>Voting Majority</w:t>
      </w:r>
      <w:r>
        <w:rPr>
          <w:rFonts w:ascii="Arial" w:cs="Arial" w:eastAsia="Arial" w:hAnsi="Arial"/>
          <w:sz w:val="17"/>
          <w:szCs w:val="17"/>
          <w:color w:val="auto"/>
        </w:rPr>
        <w:t>”), are present at such meeting and that a Voting Majority votes in favor of the matter being voted upon, or (b) by the written consent of a Voting Majority.</w:t>
      </w:r>
    </w:p>
    <w:p>
      <w:pPr>
        <w:spacing w:after="0" w:line="17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Meetings</w:t>
      </w:r>
      <w:r>
        <w:rPr>
          <w:rFonts w:ascii="Arial" w:cs="Arial" w:eastAsia="Arial" w:hAnsi="Arial"/>
          <w:sz w:val="16"/>
          <w:szCs w:val="16"/>
          <w:color w:val="auto"/>
        </w:rPr>
        <w:t>. Any matter requiring the approval or consent of the Voting Members pursuant to this Agreement may be considered at a meeting of the Voting Members held not less than five (5) nor more than sixty (60) days after notification thereof shall have been given by the Board to the Voting Members. Such notification may be given by the Board, in its discretion, at any time. Any such notification shall state briefly the purpose, time and place of the meeting. All such meetings shall be held within or outside the state of the Company’s principal place of business at such reasonable place as the Board shall designate and during normal business hours. To the fullest extent permitted by applicable law, any meeting may be held by conference telephone or similar communication equipment so long as all Voting Members participating in the meeting can hear one another, and all Voting Members participating by telephone or similar communication equipment shall be deemed to be present in person at the meeting. Any Voting Member may waive notice of a meeting by executing a written waiver. A Voting Member may act in person or by written proxy at any meeting of the Voting Members.</w:t>
      </w:r>
    </w:p>
    <w:p>
      <w:pPr>
        <w:sectPr>
          <w:pgSz w:w="11900" w:h="16838" w:orient="portrait"/>
          <w:cols w:equalWidth="0" w:num="1">
            <w:col w:w="11400"/>
          </w:cols>
          <w:pgMar w:left="240" w:top="273" w:right="259" w:bottom="1440" w:gutter="0" w:footer="0" w:header="0"/>
        </w:sectPr>
      </w:pPr>
    </w:p>
    <w:bookmarkStart w:id="372" w:name="page373"/>
    <w:bookmarkEnd w:id="372"/>
    <w:p>
      <w:pPr>
        <w:ind w:right="12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4.4. </w:t>
      </w:r>
      <w:r>
        <w:rPr>
          <w:rFonts w:ascii="Arial" w:cs="Arial" w:eastAsia="Arial" w:hAnsi="Arial"/>
          <w:sz w:val="17"/>
          <w:szCs w:val="17"/>
          <w:u w:val="single" w:color="auto"/>
          <w:color w:val="auto"/>
        </w:rPr>
        <w:t>Admission of Additional Members</w:t>
      </w:r>
      <w:r>
        <w:rPr>
          <w:rFonts w:ascii="Arial" w:cs="Arial" w:eastAsia="Arial" w:hAnsi="Arial"/>
          <w:sz w:val="17"/>
          <w:szCs w:val="17"/>
          <w:color w:val="auto"/>
        </w:rPr>
        <w:t>. Subject to the terms of this Agreement, one or more additional or substitute Members of the Company may be admitted to the Company by vote or with the written consent of the Board. Any such additional or substitute Member shall be admitted to the Company as a member of the Company upon its execution of a counterpart signature page to this Agreement. If a Member Transfers all of its interest in the Company pursuant to the terms of this Agreement, such admission shall be deemed effective immediately prior to such Transfer and, immediately following such admission, the transferor Member shall cease to be a member of the Company.</w:t>
      </w:r>
    </w:p>
    <w:p>
      <w:pPr>
        <w:spacing w:after="0" w:line="17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Voting Rights</w:t>
      </w:r>
      <w:r>
        <w:rPr>
          <w:rFonts w:ascii="Arial" w:cs="Arial" w:eastAsia="Arial" w:hAnsi="Arial"/>
          <w:sz w:val="18"/>
          <w:szCs w:val="18"/>
          <w:color w:val="auto"/>
        </w:rPr>
        <w:t>. Only Voting Members shall be entitled to participate as Members in the governance of the Company. Each Voting Member shall have the right to one vote per full Senior Preferred Unit, Junior Preferred Unit, Series A Common Unit or Series B Common Unit held by it. Except as otherwise expressly provided herein, the Voting Members shall vote together and not as separate classes. Except as otherwise expressly provided herein, Series C Common Members and Series D Common Members shall have no voting or consent or other rights or powers under this Agreement or the Act with respect to their Series C Common Units and Series D Common Units, other than the right to receive distributions as specifically enumerated in this Agreement.</w:t>
      </w:r>
    </w:p>
    <w:p>
      <w:pPr>
        <w:spacing w:after="0" w:line="19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No Management or Dissent Rights</w:t>
      </w:r>
      <w:r>
        <w:rPr>
          <w:rFonts w:ascii="Arial" w:cs="Arial" w:eastAsia="Arial" w:hAnsi="Arial"/>
          <w:sz w:val="16"/>
          <w:szCs w:val="16"/>
          <w:color w:val="auto"/>
        </w:rPr>
        <w:t>. Except as set forth herein or otherwise required by law, no Member shall have any right to take part in the management or operation of the Company other than through the Managers appointed by the Members having the right to designate Managers to the Board. No Member shall, without the prior written approval of the Board, take any action on behalf of or in the name of the Company, or enter into any commitment or obligation binding upon the Company, except for actions expressly authorized by the terms of this Agreement. Members shall not be entitled to any dissenters rights or to seek appraisal with respect to any transaction, including the merger or consolidation of the Company with any Person. For the avoidance of doubt, no Member shall have any “contractual appraisal rights” as such term is used in Section 18-210 of the Act.</w:t>
      </w:r>
    </w:p>
    <w:p>
      <w:pPr>
        <w:spacing w:after="0" w:line="16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Bankruptcy of a Member</w:t>
      </w:r>
      <w:r>
        <w:rPr>
          <w:rFonts w:ascii="Arial" w:cs="Arial" w:eastAsia="Arial" w:hAnsi="Arial"/>
          <w:sz w:val="16"/>
          <w:szCs w:val="16"/>
          <w:color w:val="auto"/>
        </w:rPr>
        <w:t>. The occurrence of any event set forth in Section 18-304 of the Act with respect to a Member shall not cause a dissolution of the Company, but the rights of such Member to receive distributions shall, on the happening of such an event, devolve on its successor, administrator or other legal representative for the purpose of settling its estate or administering its property, and the Company shall continue as a limited liability company. The successor or estate of any bankrupt Member described in the preceding sentence shall be liable for all the obligations of such Member.</w:t>
      </w:r>
    </w:p>
    <w:p>
      <w:pPr>
        <w:sectPr>
          <w:pgSz w:w="11900" w:h="16838" w:orient="portrait"/>
          <w:cols w:equalWidth="0" w:num="1">
            <w:col w:w="11360"/>
          </w:cols>
          <w:pgMar w:left="240" w:top="274" w:right="299" w:bottom="1440" w:gutter="0" w:footer="0" w:header="0"/>
        </w:sectPr>
      </w:pPr>
    </w:p>
    <w:bookmarkStart w:id="373" w:name="page374"/>
    <w:bookmarkEnd w:id="37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TRANSFER OF COMPANY INTERESTS</w:t>
      </w:r>
    </w:p>
    <w:p>
      <w:pPr>
        <w:spacing w:after="0" w:line="229"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Prohibited Transfers</w:t>
      </w:r>
      <w:r>
        <w:rPr>
          <w:rFonts w:ascii="Arial" w:cs="Arial" w:eastAsia="Arial" w:hAnsi="Arial"/>
          <w:sz w:val="16"/>
          <w:szCs w:val="16"/>
          <w:color w:val="auto"/>
        </w:rPr>
        <w:t>. No Member may Transfer all or any part of its Units or any interest therein if such Transfer: (i) would subject the Company to the reporting requirements of the Exchange Act, (ii) is prohibited by the Securities Act, (iii) would be to a competitor of the Company, as determined by the Board in its sole discretion; provided, for purposes of clarity, none of the Biogen Member, the Perceptive Members, Jennison Global Healthcare Master Fund, Ltd., the Janus Members, the RA Members, FC Fund III Solid Holdings, Inc. and the Bain Members, nor any of their respective Affiliates, shall be deemed a competitor of the Company, or (iv) would cause the Company to lose its status as a partnership for federal income tax purposes or cause the Company to be classified as a “publicly traded partnership” within the meaning of Code Section 7704 and the Regulations promulgated thereunder. No Series B Common Member or Series D Common Member may Transfer any of its unvested Series B Common Units or Series D Common Units, respectively. Notwithstanding anything to the contrary in this Agreement, no Transfer to any Person who is not already a Member shall be effective, and no such Transfer will be recognized by the Company, unless and until such Transfer has been evidenced by a written agreement, in form and substance satisfactory to the Company, that has been executed by the transferor, the transferee and the Company, pursuant to which the transferee shall agree to be bound by the terms, conditions and obligations of this Agreement and such Units shall continue to be subject to the provisions set forth in this Agreement.</w:t>
      </w:r>
    </w:p>
    <w:p>
      <w:pPr>
        <w:spacing w:after="0" w:line="281"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Right of First Refusal</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68" w:lineRule="auto"/>
        <w:tabs>
          <w:tab w:leader="none" w:pos="1293"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Inside Offer</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5.1</w:t>
      </w:r>
      <w:r>
        <w:rPr>
          <w:rFonts w:ascii="Arial" w:cs="Arial" w:eastAsia="Arial" w:hAnsi="Arial"/>
          <w:sz w:val="17"/>
          <w:szCs w:val="17"/>
          <w:color w:val="auto"/>
        </w:rPr>
        <w:t>, if any Series D Common Member holding Series D Common Units representing greater than one percent (1%) of the outstanding Units of the Company (the “</w:t>
      </w:r>
      <w:r>
        <w:rPr>
          <w:rFonts w:ascii="Arial" w:cs="Arial" w:eastAsia="Arial" w:hAnsi="Arial"/>
          <w:sz w:val="17"/>
          <w:szCs w:val="17"/>
          <w:b w:val="1"/>
          <w:bCs w:val="1"/>
          <w:u w:val="single" w:color="auto"/>
          <w:color w:val="auto"/>
        </w:rPr>
        <w:t>Offeror</w:t>
      </w:r>
      <w:r>
        <w:rPr>
          <w:rFonts w:ascii="Arial" w:cs="Arial" w:eastAsia="Arial" w:hAnsi="Arial"/>
          <w:sz w:val="17"/>
          <w:szCs w:val="17"/>
          <w:color w:val="auto"/>
        </w:rPr>
        <w:t>”) desires to Transfer any or all of its Series D Common Units (the “</w:t>
      </w:r>
      <w:r>
        <w:rPr>
          <w:rFonts w:ascii="Arial" w:cs="Arial" w:eastAsia="Arial" w:hAnsi="Arial"/>
          <w:sz w:val="17"/>
          <w:szCs w:val="17"/>
          <w:b w:val="1"/>
          <w:bCs w:val="1"/>
          <w:u w:val="single" w:color="auto"/>
          <w:color w:val="auto"/>
        </w:rPr>
        <w:t>Offered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Units</w:t>
      </w:r>
      <w:r>
        <w:rPr>
          <w:rFonts w:ascii="Arial" w:cs="Arial" w:eastAsia="Arial" w:hAnsi="Arial"/>
          <w:sz w:val="17"/>
          <w:szCs w:val="17"/>
          <w:color w:val="auto"/>
        </w:rPr>
        <w:t>”), the Offeror shall deliver to the Company, the Senior Preferred Members and the Junior Preferred Members (the “</w:t>
      </w:r>
      <w:r>
        <w:rPr>
          <w:rFonts w:ascii="Arial" w:cs="Arial" w:eastAsia="Arial" w:hAnsi="Arial"/>
          <w:sz w:val="17"/>
          <w:szCs w:val="17"/>
          <w:b w:val="1"/>
          <w:bCs w:val="1"/>
          <w:u w:val="single" w:color="auto"/>
          <w:color w:val="auto"/>
        </w:rPr>
        <w:t>Offerees</w:t>
      </w:r>
      <w:r>
        <w:rPr>
          <w:rFonts w:ascii="Arial" w:cs="Arial" w:eastAsia="Arial" w:hAnsi="Arial"/>
          <w:sz w:val="17"/>
          <w:szCs w:val="17"/>
          <w:color w:val="auto"/>
        </w:rPr>
        <w:t>”) a written notice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proposed transaction (hereinafter referred to as a “</w:t>
      </w:r>
      <w:r>
        <w:rPr>
          <w:rFonts w:ascii="Arial" w:cs="Arial" w:eastAsia="Arial" w:hAnsi="Arial"/>
          <w:sz w:val="17"/>
          <w:szCs w:val="17"/>
          <w:b w:val="1"/>
          <w:bCs w:val="1"/>
          <w:u w:val="single" w:color="auto"/>
          <w:color w:val="auto"/>
        </w:rPr>
        <w:t>First Refusal Notice</w:t>
      </w:r>
      <w:r>
        <w:rPr>
          <w:rFonts w:ascii="Arial" w:cs="Arial" w:eastAsia="Arial" w:hAnsi="Arial"/>
          <w:sz w:val="17"/>
          <w:szCs w:val="17"/>
          <w:color w:val="auto"/>
        </w:rPr>
        <w:t>”) to Transfer the Offered Units, which shall set forth the name and address of the proposed purchaser (the “</w:t>
      </w:r>
      <w:r>
        <w:rPr>
          <w:rFonts w:ascii="Arial" w:cs="Arial" w:eastAsia="Arial" w:hAnsi="Arial"/>
          <w:sz w:val="17"/>
          <w:szCs w:val="17"/>
          <w:b w:val="1"/>
          <w:bCs w:val="1"/>
          <w:u w:val="single" w:color="auto"/>
          <w:color w:val="auto"/>
        </w:rPr>
        <w:t>Third Party Purchaser</w:t>
      </w:r>
      <w:r>
        <w:rPr>
          <w:rFonts w:ascii="Arial" w:cs="Arial" w:eastAsia="Arial" w:hAnsi="Arial"/>
          <w:sz w:val="17"/>
          <w:szCs w:val="17"/>
          <w:color w:val="auto"/>
        </w:rPr>
        <w:t>”) and the material terms and conditions of the proposed transaction, including the purchase price and the number of Offered Units. The First Refusal Notice shall be accompanied by a written offer (hereinafter referred to as the “</w:t>
      </w:r>
      <w:r>
        <w:rPr>
          <w:rFonts w:ascii="Arial" w:cs="Arial" w:eastAsia="Arial" w:hAnsi="Arial"/>
          <w:sz w:val="17"/>
          <w:szCs w:val="17"/>
          <w:b w:val="1"/>
          <w:bCs w:val="1"/>
          <w:u w:val="single" w:color="auto"/>
          <w:color w:val="auto"/>
        </w:rPr>
        <w:t>Inside Offer</w:t>
      </w:r>
      <w:r>
        <w:rPr>
          <w:rFonts w:ascii="Arial" w:cs="Arial" w:eastAsia="Arial" w:hAnsi="Arial"/>
          <w:sz w:val="17"/>
          <w:szCs w:val="17"/>
          <w:color w:val="auto"/>
        </w:rPr>
        <w:t xml:space="preserve">”) irrevocable for twenty (20) Business Days from the date it is given, to sell to the Offerees, for a price determined in accordance with </w:t>
      </w:r>
      <w:r>
        <w:rPr>
          <w:rFonts w:ascii="Arial" w:cs="Arial" w:eastAsia="Arial" w:hAnsi="Arial"/>
          <w:sz w:val="17"/>
          <w:szCs w:val="17"/>
          <w:u w:val="single" w:color="auto"/>
          <w:color w:val="auto"/>
        </w:rPr>
        <w:t>Section 5.2(c)</w:t>
      </w:r>
      <w:r>
        <w:rPr>
          <w:rFonts w:ascii="Arial" w:cs="Arial" w:eastAsia="Arial" w:hAnsi="Arial"/>
          <w:sz w:val="17"/>
          <w:szCs w:val="17"/>
          <w:color w:val="auto"/>
        </w:rPr>
        <w:t>, the Offered Units, on the same terms and conditions as are contained in the First Refusal Notice. Upon such occurrence, the Company shall be entitled to purchase any of the Offered Units that it chooses, which decision shall be made by a vote of the Board. If the Company does not purchase all of the Offered Units, each Offeree holding Senior Preferred Units shall be entitled to purchase its pro rata share of the Offered Units not purchased by the Company. The pro rata share of each such Offeree shall be equal to the product obtained by multiplying the Offered Units that are not to be purchased by the Company by a fraction, the numerator of which is the number of Senior Preferred Units held by such Offeree at the time of sale and the denominator of which is the number of Senior Preferred Units held by all such Offerees at such</w:t>
      </w:r>
    </w:p>
    <w:p>
      <w:pPr>
        <w:sectPr>
          <w:pgSz w:w="11900" w:h="16838" w:orient="portrait"/>
          <w:cols w:equalWidth="0" w:num="1">
            <w:col w:w="11360"/>
          </w:cols>
          <w:pgMar w:left="240" w:top="270" w:right="299" w:bottom="1440" w:gutter="0" w:footer="0" w:header="0"/>
        </w:sectPr>
      </w:pPr>
    </w:p>
    <w:bookmarkStart w:id="374" w:name="page375"/>
    <w:bookmarkEnd w:id="37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If the Company and the Senior Preferred Members do not purchase all of the Offered Units, each Offeree holding Junior Preferred Units shall be entitled to purchase its pro rata share of the Offered Units not purchased by the Company and Senior Preferred Members. The pro rata share of each such Offeree shall be equal to the product obtained by multiplying the Offered Units that are not to be purchased by the Company and Senior Preferred Members by a fraction, the numerator of which is the number of Junior Preferred Units held by such Offeree at the time of sale and the denominator of which is the number of Junior Preferred Units held by all such Offerees at such time. If one or more Offerees accept the Inside Offer as to any Offered Units, such Offerees shall purchase and pay for such Offered Units in accordance with the terms of the Inside Offer. If any Offeree other than the Company does not accept its pro rata share of Offered Units, the other Offerees other than the Company that have accepted the Inside Offer in a timely fashion shall have the right of over-allotment with respect thereto.</w:t>
      </w:r>
    </w:p>
    <w:p>
      <w:pPr>
        <w:spacing w:after="0" w:line="192" w:lineRule="exact"/>
        <w:rPr>
          <w:sz w:val="20"/>
          <w:szCs w:val="20"/>
          <w:color w:val="auto"/>
        </w:rPr>
      </w:pPr>
    </w:p>
    <w:p>
      <w:pPr>
        <w:ind w:right="20" w:firstLine="921"/>
        <w:spacing w:after="0" w:line="272" w:lineRule="auto"/>
        <w:tabs>
          <w:tab w:leader="none" w:pos="1303"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Right of First Refusal Procedure</w:t>
      </w:r>
      <w:r>
        <w:rPr>
          <w:rFonts w:ascii="Arial" w:cs="Arial" w:eastAsia="Arial" w:hAnsi="Arial"/>
          <w:sz w:val="17"/>
          <w:szCs w:val="17"/>
          <w:color w:val="auto"/>
        </w:rPr>
        <w:t xml:space="preserve">. If any of the Offered Units offered by the Offeror are not purchased pursuant to the Inside Offer, or payment therefor is not made in accordance with </w:t>
      </w:r>
      <w:r>
        <w:rPr>
          <w:rFonts w:ascii="Arial" w:cs="Arial" w:eastAsia="Arial" w:hAnsi="Arial"/>
          <w:sz w:val="17"/>
          <w:szCs w:val="17"/>
          <w:u w:val="single" w:color="auto"/>
          <w:color w:val="auto"/>
        </w:rPr>
        <w:t>Sections 5.2(d)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5.2(e)</w:t>
      </w:r>
      <w:r>
        <w:rPr>
          <w:rFonts w:ascii="Arial" w:cs="Arial" w:eastAsia="Arial" w:hAnsi="Arial"/>
          <w:sz w:val="17"/>
          <w:szCs w:val="17"/>
          <w:color w:val="auto"/>
        </w:rPr>
        <w:t xml:space="preserve">, the Offeror may Transfer such Offered Units to the Third Party Purchaser on the same terms and conditions set forth in the First Refusal Notice, during the sixty (60) day period immediately following expiration of the Inside Offer;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Third Party Purchaser shall receive and hold such Offered Units subject to the provisions of this Agreement. All Offered Units Transferred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(other than Offered Units purchased by the Company) shall remain subject to the terms of this Agreement. Any Offered Units not purchased pursuant to the Inside Offer or by the Third Party Purchaser within such sixty (60) day period may not be Transferred without again offering them to the Offerees in accordance with this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300" w:hanging="379"/>
        <w:spacing w:after="0"/>
        <w:tabs>
          <w:tab w:leader="none" w:pos="1300" w:val="left"/>
        </w:tabs>
        <w:numPr>
          <w:ilvl w:val="1"/>
          <w:numId w:val="264"/>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to the Offerees for Offered Units shall be an amount equal to: (i) 100% of the cash purchase price plus</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100% of the fair market value (as reasonably determined in good faith by the Board) of any non-cash consideration identified in the First Refusal Notice.</w:t>
      </w:r>
    </w:p>
    <w:p>
      <w:pPr>
        <w:spacing w:after="0" w:line="233" w:lineRule="exact"/>
        <w:rPr>
          <w:rFonts w:ascii="Arial" w:cs="Arial" w:eastAsia="Arial" w:hAnsi="Arial"/>
          <w:sz w:val="16"/>
          <w:szCs w:val="16"/>
          <w:color w:val="auto"/>
        </w:rPr>
      </w:pPr>
    </w:p>
    <w:p>
      <w:pPr>
        <w:ind w:right="80" w:firstLine="921"/>
        <w:spacing w:after="0" w:line="302" w:lineRule="auto"/>
        <w:tabs>
          <w:tab w:leader="none" w:pos="1303" w:val="left"/>
        </w:tabs>
        <w:numPr>
          <w:ilvl w:val="1"/>
          <w:numId w:val="265"/>
        </w:numPr>
        <w:rPr>
          <w:rFonts w:ascii="Arial" w:cs="Arial" w:eastAsia="Arial" w:hAnsi="Arial"/>
          <w:sz w:val="16"/>
          <w:szCs w:val="16"/>
          <w:color w:val="auto"/>
        </w:rPr>
      </w:pPr>
      <w:r>
        <w:rPr>
          <w:rFonts w:ascii="Arial" w:cs="Arial" w:eastAsia="Arial" w:hAnsi="Arial"/>
          <w:sz w:val="16"/>
          <w:szCs w:val="16"/>
          <w:u w:val="single" w:color="auto"/>
          <w:color w:val="auto"/>
        </w:rPr>
        <w:t>Terms of Payment</w:t>
      </w:r>
      <w:r>
        <w:rPr>
          <w:rFonts w:ascii="Arial" w:cs="Arial" w:eastAsia="Arial" w:hAnsi="Arial"/>
          <w:sz w:val="16"/>
          <w:szCs w:val="16"/>
          <w:color w:val="auto"/>
        </w:rPr>
        <w:t xml:space="preserve">. If the Offerees exercise their right to purchase Offered Units pursuant to the terms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the Offerees shall purchase such Offered Units on substantially the same terms and with the same method of payment as are specified in the First Refusal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method of payment set forth in the First Refusal Notice consists of property other than cash, then the Offerees shall be entitled to pay the purchase price in a sum of cash equivalent to the fair market value (as reasonably determined in good faith by the Board) of such other property.</w:t>
      </w:r>
    </w:p>
    <w:p>
      <w:pPr>
        <w:spacing w:after="0" w:line="154" w:lineRule="exact"/>
        <w:rPr>
          <w:rFonts w:ascii="Arial" w:cs="Arial" w:eastAsia="Arial" w:hAnsi="Arial"/>
          <w:sz w:val="16"/>
          <w:szCs w:val="16"/>
          <w:color w:val="auto"/>
        </w:rPr>
      </w:pPr>
    </w:p>
    <w:p>
      <w:pPr>
        <w:ind w:right="60" w:firstLine="921"/>
        <w:spacing w:after="0" w:line="257" w:lineRule="auto"/>
        <w:tabs>
          <w:tab w:leader="none" w:pos="1293"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The closing date of the purchase of Offered Units subscribed for by the Offerees pursuant to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as specified in the written acceptance from the subscribing Offerees to the Offeror, which date shall not be fewer than five (5) or more than thirty (30) days after the giving of such notice by the Offerees. At such closing, the Offeror shall deliver to the subscribing Offerees appropriate documents representing ownership of the Offered Units being sold, duly endorsed for Transfer and accompanied by all requisite transfer taxes, if any, and such Offered Units shall be free and clear of any liens, claims, options, charges or encumbrances (other than</w:t>
      </w:r>
    </w:p>
    <w:p>
      <w:pPr>
        <w:sectPr>
          <w:pgSz w:w="11900" w:h="16838" w:orient="portrait"/>
          <w:cols w:equalWidth="0" w:num="1">
            <w:col w:w="11420"/>
          </w:cols>
          <w:pgMar w:left="240" w:top="274" w:right="239" w:bottom="1440" w:gutter="0" w:footer="0" w:header="0"/>
        </w:sectPr>
      </w:pPr>
    </w:p>
    <w:bookmarkStart w:id="375" w:name="page376"/>
    <w:bookmarkEnd w:id="375"/>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restrictions under this Agreement or applicable securities laws), and the Offeror shall so represent and warrant, and shall further represent and warrant that the Offeror is the sole record and beneficial owner of such Offered Units. The Offerees purchasing Offered Units shall deliver at the closing payment of the purchase price as described in </w:t>
      </w:r>
      <w:r>
        <w:rPr>
          <w:rFonts w:ascii="Arial" w:cs="Arial" w:eastAsia="Arial" w:hAnsi="Arial"/>
          <w:sz w:val="18"/>
          <w:szCs w:val="18"/>
          <w:u w:val="single" w:color="auto"/>
          <w:color w:val="auto"/>
        </w:rPr>
        <w:t>Section 5.2(c)</w:t>
      </w:r>
      <w:r>
        <w:rPr>
          <w:rFonts w:ascii="Arial" w:cs="Arial" w:eastAsia="Arial" w:hAnsi="Arial"/>
          <w:sz w:val="18"/>
          <w:szCs w:val="18"/>
          <w:color w:val="auto"/>
        </w:rPr>
        <w:t>. At such closing, all of the parties to the transaction shall execute such additional documents as are otherwise necessary or appropriate to effect the sale of such Offered Units, including counterpart signature pages to this Agreement to reflect a party’s status as a Member.</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Right of Co-Sale</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5.2</w:t>
      </w:r>
      <w:r>
        <w:rPr>
          <w:rFonts w:ascii="Arial" w:cs="Arial" w:eastAsia="Arial" w:hAnsi="Arial"/>
          <w:sz w:val="17"/>
          <w:szCs w:val="17"/>
          <w:color w:val="auto"/>
        </w:rPr>
        <w:t>, if any Series D Common Member holding Series D Common Units representing greater than one percent (1%) of the outstanding Units of the Company (a “</w:t>
      </w:r>
      <w:r>
        <w:rPr>
          <w:rFonts w:ascii="Arial" w:cs="Arial" w:eastAsia="Arial" w:hAnsi="Arial"/>
          <w:sz w:val="17"/>
          <w:szCs w:val="17"/>
          <w:b w:val="1"/>
          <w:bCs w:val="1"/>
          <w:u w:val="single" w:color="auto"/>
          <w:color w:val="auto"/>
        </w:rPr>
        <w:t>Selling Member</w:t>
      </w:r>
      <w:r>
        <w:rPr>
          <w:rFonts w:ascii="Arial" w:cs="Arial" w:eastAsia="Arial" w:hAnsi="Arial"/>
          <w:sz w:val="17"/>
          <w:szCs w:val="17"/>
          <w:color w:val="auto"/>
        </w:rPr>
        <w:t>”) proposes to sell all or any of its Series D Common Units (the “</w:t>
      </w:r>
      <w:r>
        <w:rPr>
          <w:rFonts w:ascii="Arial" w:cs="Arial" w:eastAsia="Arial" w:hAnsi="Arial"/>
          <w:sz w:val="17"/>
          <w:szCs w:val="17"/>
          <w:b w:val="1"/>
          <w:bCs w:val="1"/>
          <w:u w:val="single" w:color="auto"/>
          <w:color w:val="auto"/>
        </w:rPr>
        <w:t>Specified Units</w:t>
      </w:r>
      <w:r>
        <w:rPr>
          <w:rFonts w:ascii="Arial" w:cs="Arial" w:eastAsia="Arial" w:hAnsi="Arial"/>
          <w:sz w:val="17"/>
          <w:szCs w:val="17"/>
          <w:color w:val="auto"/>
        </w:rPr>
        <w:t>”) to a Third Party Purchaser (excluding, for the avoidance of doubt, the Company), the Senior Preferred Members and Junior Preferred Members (the “</w:t>
      </w:r>
      <w:r>
        <w:rPr>
          <w:rFonts w:ascii="Arial" w:cs="Arial" w:eastAsia="Arial" w:hAnsi="Arial"/>
          <w:sz w:val="17"/>
          <w:szCs w:val="17"/>
          <w:b w:val="1"/>
          <w:bCs w:val="1"/>
          <w:u w:val="single" w:color="auto"/>
          <w:color w:val="auto"/>
        </w:rPr>
        <w:t>Co-Sale Members</w:t>
      </w:r>
      <w:r>
        <w:rPr>
          <w:rFonts w:ascii="Arial" w:cs="Arial" w:eastAsia="Arial" w:hAnsi="Arial"/>
          <w:sz w:val="17"/>
          <w:szCs w:val="17"/>
          <w:color w:val="auto"/>
        </w:rPr>
        <w:t xml:space="preserve">”), regardless of whether a Co-Sale Member exercised its right of first refusal (if any) as an Offeree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shall have the right to Transfer Senior Preferred Units and Junior Preferred Units of the Co-Sale Member to the Third Party Purchaser, as a condition to such Transfer by such Selling Member, in the amounts and on the terms and conditions as follows:</w:t>
      </w:r>
    </w:p>
    <w:p>
      <w:pPr>
        <w:spacing w:after="0" w:line="178" w:lineRule="exact"/>
        <w:rPr>
          <w:sz w:val="20"/>
          <w:szCs w:val="20"/>
          <w:color w:val="auto"/>
        </w:rPr>
      </w:pPr>
    </w:p>
    <w:p>
      <w:pPr>
        <w:ind w:right="200" w:firstLine="921"/>
        <w:spacing w:after="0" w:line="255" w:lineRule="auto"/>
        <w:tabs>
          <w:tab w:leader="none" w:pos="1293"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Option to Participate</w:t>
      </w:r>
      <w:r>
        <w:rPr>
          <w:rFonts w:ascii="Arial" w:cs="Arial" w:eastAsia="Arial" w:hAnsi="Arial"/>
          <w:sz w:val="18"/>
          <w:szCs w:val="18"/>
          <w:color w:val="auto"/>
        </w:rPr>
        <w:t>. The Selling Member shall deliver to the Company and the Co-Sale Members a written notice of the proposed transaction (hereinafter referred to as a “</w:t>
      </w:r>
      <w:r>
        <w:rPr>
          <w:rFonts w:ascii="Arial" w:cs="Arial" w:eastAsia="Arial" w:hAnsi="Arial"/>
          <w:sz w:val="18"/>
          <w:szCs w:val="18"/>
          <w:b w:val="1"/>
          <w:bCs w:val="1"/>
          <w:u w:val="single" w:color="auto"/>
          <w:color w:val="auto"/>
        </w:rPr>
        <w:t>Co-Sale Notice</w:t>
      </w:r>
      <w:r>
        <w:rPr>
          <w:rFonts w:ascii="Arial" w:cs="Arial" w:eastAsia="Arial" w:hAnsi="Arial"/>
          <w:sz w:val="18"/>
          <w:szCs w:val="18"/>
          <w:color w:val="auto"/>
        </w:rPr>
        <w:t>”) to Transfer the Specified Units which shall set forth the name and address of the Third Party Purchaser and the material terms and conditions of the proposed transactions, including the purchase price and the number of Specified Units (the “</w:t>
      </w:r>
      <w:r>
        <w:rPr>
          <w:rFonts w:ascii="Arial" w:cs="Arial" w:eastAsia="Arial" w:hAnsi="Arial"/>
          <w:sz w:val="18"/>
          <w:szCs w:val="18"/>
          <w:b w:val="1"/>
          <w:bCs w:val="1"/>
          <w:u w:val="single" w:color="auto"/>
          <w:color w:val="auto"/>
        </w:rPr>
        <w:t>Co-Sale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Terms</w:t>
      </w:r>
      <w:r>
        <w:rPr>
          <w:rFonts w:ascii="Arial" w:cs="Arial" w:eastAsia="Arial" w:hAnsi="Arial"/>
          <w:sz w:val="18"/>
          <w:szCs w:val="18"/>
          <w:color w:val="auto"/>
        </w:rPr>
        <w:t>”). Co-Sale Members may elect to participate in the contemplated sale by delivering a written notice (an “</w:t>
      </w:r>
      <w:r>
        <w:rPr>
          <w:rFonts w:ascii="Arial" w:cs="Arial" w:eastAsia="Arial" w:hAnsi="Arial"/>
          <w:sz w:val="18"/>
          <w:szCs w:val="18"/>
          <w:b w:val="1"/>
          <w:bCs w:val="1"/>
          <w:u w:val="single" w:color="auto"/>
          <w:color w:val="auto"/>
        </w:rPr>
        <w:t>Election Notice</w:t>
      </w:r>
      <w:r>
        <w:rPr>
          <w:rFonts w:ascii="Arial" w:cs="Arial" w:eastAsia="Arial" w:hAnsi="Arial"/>
          <w:sz w:val="18"/>
          <w:szCs w:val="18"/>
          <w:color w:val="auto"/>
        </w:rPr>
        <w:t>”) to the Selling Member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within twenty (20) Business Days after the giving of a Co-Sale Notice relating to such Transfer and the Co-Sale Members may elect to Transfer in the contemplated transaction up to that number of Senior Preferred Units and Junior Preferred Units owned by the Co-Sale Members as is determined in accordance with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firstLine="921"/>
        <w:spacing w:after="0" w:line="291" w:lineRule="auto"/>
        <w:tabs>
          <w:tab w:leader="none" w:pos="1303"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Price per Unit</w:t>
      </w:r>
      <w:r>
        <w:rPr>
          <w:rFonts w:ascii="Arial" w:cs="Arial" w:eastAsia="Arial" w:hAnsi="Arial"/>
          <w:sz w:val="16"/>
          <w:szCs w:val="16"/>
          <w:color w:val="auto"/>
        </w:rPr>
        <w:t xml:space="preserve">. Each Co-Sale Member shall have the right to Transfer Series 1 Senior Preferred Units, Series 2 Senior Preferred Units and Junior Preferred Units to the Third Party Purchaser pursuant to the Co-Sale Notice for an amount per Series 1 Senior Preferred Unit, Series 2 Senior Preferred Unit or Junior Preferred Unit, respectively, that equals the amount per Series 1 Senior Preferred Unit, Series 2 Senior Preferred Unit or Junior Preferred Unit, respectively, that such Co-Sale Member would be entitled to receive, if, immediately prior to such sale, the Company sold all of its assets subject to all of its liabilities for an amount equal to the implied aggregate equity valuation of the Company as reasonably determined by the Board based on the price per Specified Unit that the Third Party Purchaser proposed to pay to the Selling Member, and distributed such amount to the Members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otherwise on the same terms and conditions as involved in such proposed sale to the Third Party Purchaser by the Selling Member.</w:t>
      </w:r>
    </w:p>
    <w:p>
      <w:pPr>
        <w:spacing w:after="0" w:line="167" w:lineRule="exact"/>
        <w:rPr>
          <w:rFonts w:ascii="Arial" w:cs="Arial" w:eastAsia="Arial" w:hAnsi="Arial"/>
          <w:sz w:val="16"/>
          <w:szCs w:val="16"/>
          <w:color w:val="auto"/>
        </w:rPr>
      </w:pPr>
    </w:p>
    <w:p>
      <w:pPr>
        <w:ind w:right="440" w:firstLine="921"/>
        <w:spacing w:after="0" w:line="308" w:lineRule="auto"/>
        <w:tabs>
          <w:tab w:leader="none" w:pos="1293"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Number of Units</w:t>
      </w:r>
      <w:r>
        <w:rPr>
          <w:rFonts w:ascii="Arial" w:cs="Arial" w:eastAsia="Arial" w:hAnsi="Arial"/>
          <w:sz w:val="17"/>
          <w:szCs w:val="17"/>
          <w:color w:val="auto"/>
        </w:rPr>
        <w:t>. Each Co-Sale Member shall have the right to Transfer pursuant to the Co-Sale Notice an amount of Senior Preferred Units and Junior Preferred Units equal to: (i) the number of Specified Units, multiplied by (ii) the result of: (A) the number of Senior</w:t>
      </w:r>
    </w:p>
    <w:p>
      <w:pPr>
        <w:sectPr>
          <w:pgSz w:w="11900" w:h="16838" w:orient="portrait"/>
          <w:cols w:equalWidth="0" w:num="1">
            <w:col w:w="11420"/>
          </w:cols>
          <w:pgMar w:left="240" w:top="273" w:right="239" w:bottom="1440" w:gutter="0" w:footer="0" w:header="0"/>
        </w:sectPr>
      </w:pPr>
    </w:p>
    <w:bookmarkStart w:id="376" w:name="page377"/>
    <w:bookmarkEnd w:id="37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Preferred Units and Junior Preferred Units held by such Co-Sale Member, divided by (B) the total number of Series D Common Units (other than unvested Series D Common Units) issued and outstanding and held by the Selling Member plus the total number of all Senior Preferred Units and Junior Preferred Units issued and outstanding and held by all Co-Sale Members participating in such sale pursuant to this </w:t>
      </w:r>
      <w:r>
        <w:rPr>
          <w:rFonts w:ascii="Arial" w:cs="Arial" w:eastAsia="Arial" w:hAnsi="Arial"/>
          <w:sz w:val="18"/>
          <w:szCs w:val="18"/>
          <w:u w:val="single" w:color="auto"/>
          <w:color w:val="auto"/>
        </w:rPr>
        <w:t>Section 5.3</w:t>
      </w:r>
      <w:r>
        <w:rPr>
          <w:rFonts w:ascii="Arial" w:cs="Arial" w:eastAsia="Arial" w:hAnsi="Arial"/>
          <w:sz w:val="18"/>
          <w:szCs w:val="18"/>
          <w:color w:val="auto"/>
        </w:rPr>
        <w:t>. To the extent that any Co-Sale Member exercises such right of participation in accordance with the terms and conditions of this Agreement, the number of Specified Units which the Selling Member may Transfer shall be correspondingly reduced.</w:t>
      </w:r>
    </w:p>
    <w:p>
      <w:pPr>
        <w:spacing w:after="0" w:line="188" w:lineRule="exact"/>
        <w:rPr>
          <w:sz w:val="20"/>
          <w:szCs w:val="20"/>
          <w:color w:val="auto"/>
        </w:rPr>
      </w:pPr>
    </w:p>
    <w:p>
      <w:pPr>
        <w:ind w:right="60" w:firstLine="921"/>
        <w:spacing w:after="0" w:line="286" w:lineRule="auto"/>
        <w:tabs>
          <w:tab w:leader="none" w:pos="1303"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Transfer Restrictions Binding on Third Party Purchaser</w:t>
      </w:r>
      <w:r>
        <w:rPr>
          <w:rFonts w:ascii="Arial" w:cs="Arial" w:eastAsia="Arial" w:hAnsi="Arial"/>
          <w:sz w:val="17"/>
          <w:szCs w:val="17"/>
          <w:color w:val="auto"/>
        </w:rPr>
        <w:t xml:space="preserve">. If any Units are sold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to any Third Party Purchaser who is not a party to this Agreement, such purchaser shall agree to be bound by the terms, conditions and obligations of this Agreement as a precondition to the purchase of such Units and such Units shall continue to be subject to the provisions set forth in this Agreement.</w:t>
      </w:r>
    </w:p>
    <w:p>
      <w:pPr>
        <w:spacing w:after="0" w:line="165" w:lineRule="exact"/>
        <w:rPr>
          <w:rFonts w:ascii="Arial" w:cs="Arial" w:eastAsia="Arial" w:hAnsi="Arial"/>
          <w:sz w:val="17"/>
          <w:szCs w:val="17"/>
          <w:color w:val="auto"/>
        </w:rPr>
      </w:pPr>
    </w:p>
    <w:p>
      <w:pPr>
        <w:ind w:right="20" w:firstLine="921"/>
        <w:spacing w:after="0" w:line="290" w:lineRule="auto"/>
        <w:tabs>
          <w:tab w:leader="none" w:pos="1293"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Other Obligations</w:t>
      </w:r>
      <w:r>
        <w:rPr>
          <w:rFonts w:ascii="Arial" w:cs="Arial" w:eastAsia="Arial" w:hAnsi="Arial"/>
          <w:sz w:val="16"/>
          <w:szCs w:val="16"/>
          <w:color w:val="auto"/>
        </w:rPr>
        <w:t xml:space="preserve">. In connection with a Transfer pursuant to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each participating Co-Sale Member shall be required (i) to make representations and warranties in such form as the Selling Member or the Third Party Purchaser may reasonably request, regarding the Senior Preferred Units and Junior Preferred Units that it proposes to Transfer, including, such Co-Sale Member’s ownership of and authority to Transfer such Senior Preferred Units and Junior Preferred Units, the absence of any liens or other encumbrances on such Senior Preferred Units and Junior Preferred Units (other than restrictions under this Agreement or applicable securities laws), and the compliance of such Transfer with federal and state securities laws and all other applicable laws and regulations; and (ii) to bear its proportionate share of any escrows, holdbacks or adjustments in respect of the purchase price or indemnification obligations. In connection with a Transfer pursuant to this </w:t>
      </w:r>
      <w:r>
        <w:rPr>
          <w:rFonts w:ascii="Arial" w:cs="Arial" w:eastAsia="Arial" w:hAnsi="Arial"/>
          <w:sz w:val="16"/>
          <w:szCs w:val="16"/>
          <w:u w:val="single" w:color="auto"/>
          <w:color w:val="auto"/>
        </w:rPr>
        <w:t>Section 5.3</w:t>
      </w:r>
      <w:r>
        <w:rPr>
          <w:rFonts w:ascii="Arial" w:cs="Arial" w:eastAsia="Arial" w:hAnsi="Arial"/>
          <w:sz w:val="16"/>
          <w:szCs w:val="16"/>
          <w:color w:val="auto"/>
        </w:rPr>
        <w:t>, no participating Co-Sale Member or any of its Affiliates shall be required to agree to any noncompetition, customer nonsolicitation or similar restrictive covenants.</w:t>
      </w:r>
    </w:p>
    <w:p>
      <w:pPr>
        <w:spacing w:after="0" w:line="166" w:lineRule="exact"/>
        <w:rPr>
          <w:rFonts w:ascii="Arial" w:cs="Arial" w:eastAsia="Arial" w:hAnsi="Arial"/>
          <w:sz w:val="16"/>
          <w:szCs w:val="16"/>
          <w:color w:val="auto"/>
        </w:rPr>
      </w:pPr>
    </w:p>
    <w:p>
      <w:pPr>
        <w:ind w:right="180" w:firstLine="921"/>
        <w:spacing w:after="0" w:line="277" w:lineRule="auto"/>
        <w:tabs>
          <w:tab w:leader="none" w:pos="1273"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No Waiver of Subsequent Rights</w:t>
      </w:r>
      <w:r>
        <w:rPr>
          <w:rFonts w:ascii="Arial" w:cs="Arial" w:eastAsia="Arial" w:hAnsi="Arial"/>
          <w:sz w:val="18"/>
          <w:szCs w:val="18"/>
          <w:color w:val="auto"/>
        </w:rPr>
        <w:t xml:space="preserve">. The exercise or non-exercise of the rights of any Co-Sale Member under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not affect its rights to participate in subsequent Transfers by a Selling Member that meet the conditions specified in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921"/>
        <w:spacing w:after="0" w:line="277" w:lineRule="auto"/>
        <w:tabs>
          <w:tab w:leader="none" w:pos="1303"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Consummation of Sale</w:t>
      </w:r>
      <w:r>
        <w:rPr>
          <w:rFonts w:ascii="Arial" w:cs="Arial" w:eastAsia="Arial" w:hAnsi="Arial"/>
          <w:sz w:val="18"/>
          <w:szCs w:val="18"/>
          <w:color w:val="auto"/>
        </w:rPr>
        <w:t xml:space="preserve">. The Selling Member shall have no liability to any Co-Sale Member if any Transfer proposed to be made pursuant to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is not consummated.</w:t>
      </w:r>
    </w:p>
    <w:p>
      <w:pPr>
        <w:spacing w:after="0" w:line="17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Indemnities</w:t>
      </w:r>
      <w:r>
        <w:rPr>
          <w:rFonts w:ascii="Arial" w:cs="Arial" w:eastAsia="Arial" w:hAnsi="Arial"/>
          <w:sz w:val="17"/>
          <w:szCs w:val="17"/>
          <w:color w:val="auto"/>
        </w:rPr>
        <w:t xml:space="preserve">. If Members are required to provide any representations, warranties or indemnities in connection with the Transfer of their Units in a transaction described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(other than representations, warranties and indemnities concerning each such Member’s valid ownership of its Units free of all liens and encumbrances (other than restrictions under this Agreement or applicable securities laws), and each such Member’s authority, power and right to enter into and consummate such sale or Transfer without violating any other agreement), then each such Member shall not be liable for more than the amount of proceeds actually received by such Member for any liability for misrepresentation, breach of warranty or indemnity and such liability shall be satisfied first out of any funds escrowed for such purpose.</w:t>
      </w:r>
    </w:p>
    <w:p>
      <w:pPr>
        <w:sectPr>
          <w:pgSz w:w="11900" w:h="16838" w:orient="portrait"/>
          <w:cols w:equalWidth="0" w:num="1">
            <w:col w:w="11400"/>
          </w:cols>
          <w:pgMar w:left="240" w:top="274" w:right="259" w:bottom="1440" w:gutter="0" w:footer="0" w:header="0"/>
        </w:sectPr>
      </w:pPr>
    </w:p>
    <w:bookmarkStart w:id="377" w:name="page378"/>
    <w:bookmarkEnd w:id="377"/>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5.5.</w:t>
      </w:r>
      <w:r>
        <w:rPr>
          <w:sz w:val="20"/>
          <w:szCs w:val="20"/>
          <w:color w:val="auto"/>
        </w:rPr>
        <w:tab/>
      </w:r>
      <w:r>
        <w:rPr>
          <w:rFonts w:ascii="Arial" w:cs="Arial" w:eastAsia="Arial" w:hAnsi="Arial"/>
          <w:sz w:val="16"/>
          <w:szCs w:val="16"/>
          <w:u w:val="single" w:color="auto"/>
          <w:color w:val="auto"/>
        </w:rPr>
        <w:t>Preemptive Rights</w:t>
      </w:r>
      <w:r>
        <w:rPr>
          <w:rFonts w:ascii="Arial" w:cs="Arial" w:eastAsia="Arial" w:hAnsi="Arial"/>
          <w:sz w:val="16"/>
          <w:szCs w:val="16"/>
          <w:color w:val="auto"/>
        </w:rPr>
        <w:t>.</w:t>
      </w:r>
    </w:p>
    <w:p>
      <w:pPr>
        <w:spacing w:after="0" w:line="113" w:lineRule="exact"/>
        <w:rPr>
          <w:sz w:val="20"/>
          <w:szCs w:val="20"/>
          <w:color w:val="auto"/>
        </w:rPr>
      </w:pPr>
    </w:p>
    <w:p>
      <w:pPr>
        <w:ind w:left="-460" w:firstLine="921"/>
        <w:spacing w:after="0" w:line="258" w:lineRule="auto"/>
        <w:tabs>
          <w:tab w:leader="none" w:pos="82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Company hereby grants to each Major Investor, Series B Common Member and Series C Common Member (the “</w:t>
      </w:r>
      <w:r>
        <w:rPr>
          <w:rFonts w:ascii="Arial" w:cs="Arial" w:eastAsia="Arial" w:hAnsi="Arial"/>
          <w:sz w:val="18"/>
          <w:szCs w:val="18"/>
          <w:b w:val="1"/>
          <w:bCs w:val="1"/>
          <w:u w:val="single" w:color="auto"/>
          <w:color w:val="auto"/>
        </w:rPr>
        <w:t>Preemptive Rights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Members</w:t>
      </w:r>
      <w:r>
        <w:rPr>
          <w:rFonts w:ascii="Arial" w:cs="Arial" w:eastAsia="Arial" w:hAnsi="Arial"/>
          <w:sz w:val="18"/>
          <w:szCs w:val="18"/>
          <w:color w:val="auto"/>
        </w:rPr>
        <w:t>”), the right to purchase up to that number of New Securities (as defined below) equal to the number of New Securities which the Company,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proposes to sell or issue, following the date of this Agreement, multiplied by a fraction, the numerator of which is the number of Units held by such Preemptive Rights Member at the time of issuance and the denominator of which is the number of Units held by all Members (excluding unvested Units) at such time.</w:t>
      </w:r>
    </w:p>
    <w:p>
      <w:pPr>
        <w:spacing w:after="0" w:line="183" w:lineRule="exact"/>
        <w:rPr>
          <w:rFonts w:ascii="Arial" w:cs="Arial" w:eastAsia="Arial" w:hAnsi="Arial"/>
          <w:sz w:val="18"/>
          <w:szCs w:val="18"/>
          <w:color w:val="auto"/>
        </w:rPr>
      </w:pPr>
    </w:p>
    <w:p>
      <w:pPr>
        <w:ind w:left="-460" w:right="140" w:firstLine="921"/>
        <w:spacing w:after="0" w:line="303" w:lineRule="auto"/>
        <w:tabs>
          <w:tab w:leader="none" w:pos="843"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Definition of New Securities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New Securities</w:t>
      </w:r>
      <w:r>
        <w:rPr>
          <w:rFonts w:ascii="Arial" w:cs="Arial" w:eastAsia="Arial" w:hAnsi="Arial"/>
          <w:sz w:val="16"/>
          <w:szCs w:val="16"/>
          <w:color w:val="auto"/>
        </w:rPr>
        <w:t xml:space="preserve">” means (1) any Units or other equity securities of the Company whether now authorized or not, or (2) any rights, options or warrants to purchase Units or other equity securities and any indebtedness or class of Units of the Company which is convertible or exchangeable into Units or other equity securities (or which is convertible or exchangeable into a security which is, in turn, convertible or exchangeable into Units or other equity securities)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New Securities does not include:</w:t>
      </w:r>
    </w:p>
    <w:p>
      <w:pPr>
        <w:spacing w:after="0" w:line="155" w:lineRule="exact"/>
        <w:rPr>
          <w:rFonts w:ascii="Arial" w:cs="Arial" w:eastAsia="Arial" w:hAnsi="Arial"/>
          <w:sz w:val="16"/>
          <w:szCs w:val="16"/>
          <w:color w:val="auto"/>
        </w:rPr>
      </w:pPr>
    </w:p>
    <w:p>
      <w:pPr>
        <w:ind w:left="1380" w:hanging="348"/>
        <w:spacing w:after="0"/>
        <w:tabs>
          <w:tab w:leader="none" w:pos="13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Units issued upon any subdivision or combination of all Units;</w:t>
      </w:r>
    </w:p>
    <w:p>
      <w:pPr>
        <w:spacing w:after="0" w:line="225" w:lineRule="exact"/>
        <w:rPr>
          <w:rFonts w:ascii="Arial" w:cs="Arial" w:eastAsia="Arial" w:hAnsi="Arial"/>
          <w:sz w:val="18"/>
          <w:szCs w:val="18"/>
          <w:color w:val="auto"/>
        </w:rPr>
      </w:pPr>
    </w:p>
    <w:p>
      <w:pPr>
        <w:ind w:left="-460" w:right="180" w:firstLine="1492"/>
        <w:spacing w:after="0" w:line="257" w:lineRule="auto"/>
        <w:tabs>
          <w:tab w:leader="none" w:pos="1423" w:val="left"/>
        </w:tabs>
        <w:numPr>
          <w:ilvl w:val="1"/>
          <w:numId w:val="268"/>
        </w:numPr>
        <w:rPr>
          <w:rFonts w:ascii="Arial" w:cs="Arial" w:eastAsia="Arial" w:hAnsi="Arial"/>
          <w:sz w:val="18"/>
          <w:szCs w:val="18"/>
          <w:color w:val="auto"/>
        </w:rPr>
      </w:pPr>
      <w:r>
        <w:rPr>
          <w:rFonts w:ascii="Arial" w:cs="Arial" w:eastAsia="Arial" w:hAnsi="Arial"/>
          <w:sz w:val="18"/>
          <w:szCs w:val="18"/>
          <w:color w:val="auto"/>
        </w:rPr>
        <w:t xml:space="preserve">Series D Common Units issued to officers, employees, consultants and other service providers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aggregate number of such Units issued after the date of this Agreement that are outstanding as of such time shall not exceed the sum of (A) 1,453,865 (including for this purpose all of such Units that are unvested) and (B) the number of such Units outstanding on the date of this Agreement that are forfeited to the Company for no consideration and thereafter made available for issuance (as equitably adjusted for Unit splits, distributions of Units, Unit combinations or similar events); or</w:t>
      </w:r>
    </w:p>
    <w:p>
      <w:pPr>
        <w:spacing w:after="0" w:line="188" w:lineRule="exact"/>
        <w:rPr>
          <w:rFonts w:ascii="Arial" w:cs="Arial" w:eastAsia="Arial" w:hAnsi="Arial"/>
          <w:sz w:val="18"/>
          <w:szCs w:val="18"/>
          <w:color w:val="auto"/>
        </w:rPr>
      </w:pPr>
    </w:p>
    <w:p>
      <w:pPr>
        <w:ind w:left="1480" w:hanging="448"/>
        <w:spacing w:after="0"/>
        <w:tabs>
          <w:tab w:leader="none" w:pos="14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issuance of any Units upon the exercise or conversion of any rights, options or warrants to purchase Units.</w:t>
      </w:r>
    </w:p>
    <w:p>
      <w:pPr>
        <w:spacing w:after="0" w:line="225" w:lineRule="exact"/>
        <w:rPr>
          <w:sz w:val="20"/>
          <w:szCs w:val="20"/>
          <w:color w:val="auto"/>
        </w:rPr>
      </w:pPr>
    </w:p>
    <w:p>
      <w:pPr>
        <w:ind w:left="-460" w:right="20" w:firstLine="1492"/>
        <w:spacing w:after="0" w:line="273" w:lineRule="auto"/>
        <w:tabs>
          <w:tab w:leader="none" w:pos="1403" w:val="left"/>
        </w:tabs>
        <w:numPr>
          <w:ilvl w:val="1"/>
          <w:numId w:val="269"/>
        </w:numPr>
        <w:rPr>
          <w:rFonts w:ascii="Arial" w:cs="Arial" w:eastAsia="Arial" w:hAnsi="Arial"/>
          <w:sz w:val="17"/>
          <w:szCs w:val="17"/>
          <w:color w:val="auto"/>
        </w:rPr>
      </w:pPr>
      <w:r>
        <w:rPr>
          <w:rFonts w:ascii="Arial" w:cs="Arial" w:eastAsia="Arial" w:hAnsi="Arial"/>
          <w:sz w:val="17"/>
          <w:szCs w:val="17"/>
          <w:u w:val="single" w:color="auto"/>
          <w:color w:val="auto"/>
        </w:rPr>
        <w:t>Notice from the Company</w:t>
      </w:r>
      <w:r>
        <w:rPr>
          <w:rFonts w:ascii="Arial" w:cs="Arial" w:eastAsia="Arial" w:hAnsi="Arial"/>
          <w:sz w:val="17"/>
          <w:szCs w:val="17"/>
          <w:color w:val="auto"/>
        </w:rPr>
        <w:t xml:space="preserve">. If New Securities are to be issued which trigger the rights set forth in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the Company shall give each Preemptive Rights Member written notice of such proposal, describing the type of New Securities and the price and the terms upon which the Company proposes to issue the same. For a period of twenty-five (25) days following the giving of such notice by the Company, the Company shall be deemed to have irrevocably offered to sell to each Preemptive Rights Member the number of New Securities calculated in accordance with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for the price and upon the terms specified in the notice. Each Preemptive Rights Member may exercise its preemptive rights hereunder by giving written notice to the Company and stating therein the quantity of New Securities to be purchased.</w:t>
      </w:r>
    </w:p>
    <w:p>
      <w:pPr>
        <w:spacing w:after="0" w:line="178" w:lineRule="exact"/>
        <w:rPr>
          <w:rFonts w:ascii="Arial" w:cs="Arial" w:eastAsia="Arial" w:hAnsi="Arial"/>
          <w:sz w:val="17"/>
          <w:szCs w:val="17"/>
          <w:color w:val="auto"/>
        </w:rPr>
      </w:pPr>
    </w:p>
    <w:p>
      <w:pPr>
        <w:ind w:left="-460" w:right="40" w:firstLine="921"/>
        <w:spacing w:after="0" w:line="257" w:lineRule="auto"/>
        <w:tabs>
          <w:tab w:leader="none" w:pos="843"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Sale by the Company</w:t>
      </w:r>
      <w:r>
        <w:rPr>
          <w:rFonts w:ascii="Arial" w:cs="Arial" w:eastAsia="Arial" w:hAnsi="Arial"/>
          <w:sz w:val="18"/>
          <w:szCs w:val="18"/>
          <w:color w:val="auto"/>
        </w:rPr>
        <w:t xml:space="preserve">. If any Preemptive Rights Member fails to exercise in full its preemptive right within said twenty-five (25) day period, each Preemptive Rights Member that has exercised in full its preemptive right within such period shall have the right of over-allotment with respect thereto. If, after the foregoing, preemptive rights have not been exercised with respect to all proposed New Securities, the Company shall have sixty (60) days thereafter to sell the New Securities with respect to which the preemptive right was not exercised, at a price and upon terms no more favorable to the purchasers thereof than specified in the Company’s notice given pursuant to </w:t>
      </w:r>
      <w:r>
        <w:rPr>
          <w:rFonts w:ascii="Arial" w:cs="Arial" w:eastAsia="Arial" w:hAnsi="Arial"/>
          <w:sz w:val="18"/>
          <w:szCs w:val="18"/>
          <w:u w:val="single" w:color="auto"/>
          <w:color w:val="auto"/>
        </w:rPr>
        <w:t>Section 5.5(d)</w:t>
      </w:r>
      <w:r>
        <w:rPr>
          <w:rFonts w:ascii="Arial" w:cs="Arial" w:eastAsia="Arial" w:hAnsi="Arial"/>
          <w:sz w:val="18"/>
          <w:szCs w:val="18"/>
          <w:color w:val="auto"/>
        </w:rPr>
        <w:t>.</w:t>
      </w:r>
    </w:p>
    <w:p>
      <w:pPr>
        <w:sectPr>
          <w:pgSz w:w="11900" w:h="16838" w:orient="portrait"/>
          <w:cols w:equalWidth="0" w:num="1">
            <w:col w:w="10960"/>
          </w:cols>
          <w:pgMar w:left="700" w:top="273" w:right="239" w:bottom="1440" w:gutter="0" w:footer="0" w:header="0"/>
        </w:sectPr>
      </w:pPr>
    </w:p>
    <w:bookmarkStart w:id="378" w:name="page379"/>
    <w:bookmarkEnd w:id="378"/>
    <w:p>
      <w:pPr>
        <w:jc w:val="both"/>
        <w:ind w:left="-80" w:right="40" w:firstLine="921"/>
        <w:spacing w:after="0" w:line="342" w:lineRule="auto"/>
        <w:tabs>
          <w:tab w:leader="none" w:pos="1213"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Closing</w:t>
      </w:r>
      <w:r>
        <w:rPr>
          <w:rFonts w:ascii="Arial" w:cs="Arial" w:eastAsia="Arial" w:hAnsi="Arial"/>
          <w:sz w:val="16"/>
          <w:szCs w:val="16"/>
          <w:color w:val="auto"/>
        </w:rPr>
        <w:t>. The closing for any such issuance shall take place as proposed by the Company with respect to the New Securities to be issued, at which closing the Company shall revise the List of Members to reflect the respective names of the purchasing Members against receipt of payment therefor.</w:t>
      </w:r>
    </w:p>
    <w:p>
      <w:pPr>
        <w:spacing w:after="0" w:line="123" w:lineRule="exact"/>
        <w:rPr>
          <w:rFonts w:ascii="Arial" w:cs="Arial" w:eastAsia="Arial" w:hAnsi="Arial"/>
          <w:sz w:val="16"/>
          <w:szCs w:val="16"/>
          <w:color w:val="auto"/>
        </w:rPr>
      </w:pPr>
    </w:p>
    <w:p>
      <w:pPr>
        <w:ind w:left="-80" w:firstLine="921"/>
        <w:spacing w:after="0" w:line="271" w:lineRule="auto"/>
        <w:tabs>
          <w:tab w:leader="none" w:pos="1193"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Immediate Purchase</w:t>
      </w:r>
      <w:r>
        <w:rPr>
          <w:rFonts w:ascii="Arial" w:cs="Arial" w:eastAsia="Arial" w:hAnsi="Arial"/>
          <w:sz w:val="17"/>
          <w:szCs w:val="17"/>
          <w:color w:val="auto"/>
        </w:rPr>
        <w:t xml:space="preserve">. Upon the written consent of the Holders of a majority of the outstanding Senior Preferred Units and Junior Preferred Units, voting together as a single class, nothing in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shall be deemed to prevent the Company from issuing New Securities, for cash, to any Preemptive Rights Member (an “</w:t>
      </w:r>
      <w:r>
        <w:rPr>
          <w:rFonts w:ascii="Arial" w:cs="Arial" w:eastAsia="Arial" w:hAnsi="Arial"/>
          <w:sz w:val="17"/>
          <w:szCs w:val="17"/>
          <w:b w:val="1"/>
          <w:bCs w:val="1"/>
          <w:u w:val="single" w:color="auto"/>
          <w:color w:val="auto"/>
        </w:rPr>
        <w:t>Immediate Purchaser</w:t>
      </w:r>
      <w:r>
        <w:rPr>
          <w:rFonts w:ascii="Arial" w:cs="Arial" w:eastAsia="Arial" w:hAnsi="Arial"/>
          <w:sz w:val="17"/>
          <w:szCs w:val="17"/>
          <w:color w:val="auto"/>
        </w:rPr>
        <w:t xml:space="preserve">”) without first complying with the provisions of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in connection with such purchase (an “</w:t>
      </w:r>
      <w:r>
        <w:rPr>
          <w:rFonts w:ascii="Arial" w:cs="Arial" w:eastAsia="Arial" w:hAnsi="Arial"/>
          <w:sz w:val="17"/>
          <w:szCs w:val="17"/>
          <w:b w:val="1"/>
          <w:bCs w:val="1"/>
          <w:u w:val="single" w:color="auto"/>
          <w:color w:val="auto"/>
        </w:rPr>
        <w:t>Immediate Purchase</w:t>
      </w:r>
      <w:r>
        <w:rPr>
          <w:rFonts w:ascii="Arial" w:cs="Arial" w:eastAsia="Arial" w:hAnsi="Arial"/>
          <w:sz w:val="17"/>
          <w:szCs w:val="17"/>
          <w:color w:val="auto"/>
        </w:rPr>
        <w:t xml:space="preserve">”): (i) the Board has determined in good faith that an immediate cash investment is in the best interests of the Company; and (ii) within twenty (20) Business Days following the consummation of any Immediate Purchase, the Immediate Purchaser and the Company shall notify each of the other Preemptive Rights Members of the existence and terms of the Immediate Purchase and afford such Preemptive Rights Members their respective rights under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with respect to their purchase of a pro rata share (based upon relative ownership of Units) of the New Securities issued to the Immediate Purchaser at the same purchase price paid by the Immediate Purchaser.</w:t>
      </w:r>
    </w:p>
    <w:p>
      <w:pPr>
        <w:spacing w:after="0" w:line="178" w:lineRule="exact"/>
        <w:rPr>
          <w:rFonts w:ascii="Arial" w:cs="Arial" w:eastAsia="Arial" w:hAnsi="Arial"/>
          <w:sz w:val="17"/>
          <w:szCs w:val="17"/>
          <w:color w:val="auto"/>
        </w:rPr>
      </w:pPr>
    </w:p>
    <w:p>
      <w:pPr>
        <w:jc w:val="both"/>
        <w:ind w:left="-80" w:right="80" w:firstLine="921"/>
        <w:spacing w:after="0" w:line="264" w:lineRule="auto"/>
        <w:tabs>
          <w:tab w:leader="none" w:pos="1223"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By its execution of this Agreement, each Member hereby irrevocably waives its preemptive rights pursuant to the 2</w:t>
      </w:r>
      <w:r>
        <w:rPr>
          <w:rFonts w:ascii="Arial" w:cs="Arial" w:eastAsia="Arial" w:hAnsi="Arial"/>
          <w:sz w:val="15"/>
          <w:szCs w:val="15"/>
          <w:color w:val="auto"/>
        </w:rPr>
        <w:t>nd</w:t>
      </w:r>
      <w:r>
        <w:rPr>
          <w:rFonts w:ascii="Arial" w:cs="Arial" w:eastAsia="Arial" w:hAnsi="Arial"/>
          <w:sz w:val="18"/>
          <w:szCs w:val="18"/>
          <w:color w:val="auto"/>
        </w:rPr>
        <w:t xml:space="preserve"> A&amp;R LLC Agreement and/or the GT LLC Agreement in connection with the issuance and sale of the Series 1 Senior Preferred Units on the date of this Agreement and of the Series 2 Senior Preferred Units upon the occurrence of the Additional Closing Event.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 AND OPERATION OF THE COMPANY</w:t>
      </w:r>
    </w:p>
    <w:p>
      <w:pPr>
        <w:spacing w:after="0" w:line="229"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Board</w:t>
      </w:r>
      <w:r>
        <w:rPr>
          <w:rFonts w:ascii="Arial" w:cs="Arial" w:eastAsia="Arial" w:hAnsi="Arial"/>
          <w:sz w:val="16"/>
          <w:szCs w:val="16"/>
          <w:color w:val="auto"/>
        </w:rPr>
        <w:t>.</w:t>
      </w:r>
    </w:p>
    <w:p>
      <w:pPr>
        <w:spacing w:after="0" w:line="117" w:lineRule="exact"/>
        <w:rPr>
          <w:sz w:val="20"/>
          <w:szCs w:val="20"/>
          <w:color w:val="auto"/>
        </w:rPr>
      </w:pPr>
    </w:p>
    <w:p>
      <w:pPr>
        <w:ind w:left="-80" w:firstLine="921"/>
        <w:spacing w:after="0" w:line="290" w:lineRule="auto"/>
        <w:tabs>
          <w:tab w:leader="none" w:pos="1213"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Management</w:t>
      </w:r>
      <w:r>
        <w:rPr>
          <w:rFonts w:ascii="Arial" w:cs="Arial" w:eastAsia="Arial" w:hAnsi="Arial"/>
          <w:sz w:val="16"/>
          <w:szCs w:val="16"/>
          <w:color w:val="auto"/>
        </w:rPr>
        <w:t>. In accordance with Section 18-402 of the Act, management of the Company shall be vested in the Board, and, except with respect to certain consent or approval requirements required by the Act or provided in this Agreement, no Member, by virtue of having the status of a Member, shall have any management power over the business and affairs of the Company or actual or apparent authority to enter into contracts on behalf of, or to otherwise bind, the Company. Except as described in the preceding sentence, (i) the powers of the Company shall be exercised by or under the authority of, and the business and affairs of the Company shall be managed under the direction of, the Board in accordance with this Agreement and (ii) the Managers shall exercise such powers in compliance with this Agreement and ensure that all required organizational formalities are observed with respect to the Company. Under the direction of the Board, the day-to-day activities of the Company shall be conducted on the Company’s behalf by the Officers, who shall be agents of the Company. In addition to the powers that now or hereafter may be granted under the Act and to all</w:t>
      </w:r>
    </w:p>
    <w:p>
      <w:pPr>
        <w:sectPr>
          <w:pgSz w:w="11900" w:h="16838" w:orient="portrait"/>
          <w:cols w:equalWidth="0" w:num="1">
            <w:col w:w="11260"/>
          </w:cols>
          <w:pgMar w:left="320" w:top="274" w:right="319" w:bottom="1440" w:gutter="0" w:footer="0" w:header="0"/>
        </w:sectPr>
      </w:pPr>
    </w:p>
    <w:bookmarkStart w:id="379" w:name="page380"/>
    <w:bookmarkEnd w:id="379"/>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powers granted under any other provision of this Agreement, the Board shall have full power and authority to do all things on such terms as it may deem necessary or appropriate to conduct, or cause to be conducted, the business and affairs of the Company, subject to the provisions of the Act and this Agreement.</w:t>
      </w:r>
    </w:p>
    <w:p>
      <w:pPr>
        <w:spacing w:after="0" w:line="181" w:lineRule="exact"/>
        <w:rPr>
          <w:sz w:val="20"/>
          <w:szCs w:val="20"/>
          <w:color w:val="auto"/>
        </w:rPr>
      </w:pPr>
    </w:p>
    <w:p>
      <w:pPr>
        <w:ind w:right="40" w:firstLine="921"/>
        <w:spacing w:after="0" w:line="259" w:lineRule="auto"/>
        <w:tabs>
          <w:tab w:leader="none" w:pos="1303"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Number, Appointment</w:t>
      </w:r>
      <w:r>
        <w:rPr>
          <w:rFonts w:ascii="Arial" w:cs="Arial" w:eastAsia="Arial" w:hAnsi="Arial"/>
          <w:sz w:val="18"/>
          <w:szCs w:val="18"/>
          <w:color w:val="auto"/>
        </w:rPr>
        <w:t xml:space="preserve">. The Board shall initially consist of nine (9) Managers. Appointments made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be evidenced by an instrument in writing signed by the appointing Member(s) and delivered to the Company. A Manager is not required to hold Units in order to serve as a Manager. Each Manager shall hold office until his successor is appointed and qualified or until his earlier resignation, removal or death. The Managers of the Company shall be designated and elected as follows:</w:t>
      </w:r>
    </w:p>
    <w:p>
      <w:pPr>
        <w:spacing w:after="0" w:line="186" w:lineRule="exact"/>
        <w:rPr>
          <w:rFonts w:ascii="Arial" w:cs="Arial" w:eastAsia="Arial" w:hAnsi="Arial"/>
          <w:sz w:val="18"/>
          <w:szCs w:val="18"/>
          <w:color w:val="auto"/>
        </w:rPr>
      </w:pPr>
    </w:p>
    <w:p>
      <w:pPr>
        <w:ind w:right="20" w:firstLine="1492"/>
        <w:spacing w:after="0" w:line="270" w:lineRule="auto"/>
        <w:tabs>
          <w:tab w:leader="none" w:pos="1833" w:val="left"/>
        </w:tabs>
        <w:numPr>
          <w:ilvl w:val="1"/>
          <w:numId w:val="273"/>
        </w:numPr>
        <w:rPr>
          <w:rFonts w:ascii="Arial" w:cs="Arial" w:eastAsia="Arial" w:hAnsi="Arial"/>
          <w:sz w:val="17"/>
          <w:szCs w:val="17"/>
          <w:color w:val="auto"/>
        </w:rPr>
      </w:pPr>
      <w:r>
        <w:rPr>
          <w:rFonts w:ascii="Arial" w:cs="Arial" w:eastAsia="Arial" w:hAnsi="Arial"/>
          <w:sz w:val="17"/>
          <w:szCs w:val="17"/>
          <w:color w:val="auto"/>
        </w:rPr>
        <w:t>For so long as any Senior Preferred Units are outstanding, the Senior Preferred Members, by vote of the Holders of a majority of the outstanding Senior Preferred Units shall collectively be entitled to designate and appoint two (2) Managers (the “</w:t>
      </w:r>
      <w:r>
        <w:rPr>
          <w:rFonts w:ascii="Arial" w:cs="Arial" w:eastAsia="Arial" w:hAnsi="Arial"/>
          <w:sz w:val="17"/>
          <w:szCs w:val="17"/>
          <w:b w:val="1"/>
          <w:bCs w:val="1"/>
          <w:u w:val="single" w:color="auto"/>
          <w:color w:val="auto"/>
        </w:rPr>
        <w:t>Senior Preferred Managers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(i) for so long as the RA Members own at least 50% of the Senior Preferred Units issued and held by them as of the date of the Additional Closing Event (as equitably adjusted for Unit splits, distributions of Units, Unit combinations or similar events), the RA Members shall together be entitled to designate and appoint one such Senior Preferred Manager, and (ii) for so long as the Bain Members owns at least 50% of the Senior Preferred Units issued and held by them as of the date of the Additional Closing Event (as equitably adjusted for Unit splits, distributions of Units, Unit combinations or similar events), the Bain Members shall be entitled to designate and appoint one such Senior Preferred Manager. Upon the reasonable request of the Senior Preferred Manager, the Company shall enter into an indemnification agreement with such Manager, in a form reasonably acceptable to the Company and such Manager, with respect to such Manager’s service to the Company.</w:t>
      </w:r>
    </w:p>
    <w:p>
      <w:pPr>
        <w:spacing w:after="0" w:line="181" w:lineRule="exact"/>
        <w:rPr>
          <w:rFonts w:ascii="Arial" w:cs="Arial" w:eastAsia="Arial" w:hAnsi="Arial"/>
          <w:sz w:val="17"/>
          <w:szCs w:val="17"/>
          <w:color w:val="auto"/>
        </w:rPr>
      </w:pPr>
    </w:p>
    <w:p>
      <w:pPr>
        <w:ind w:right="20" w:firstLine="1492"/>
        <w:spacing w:after="0" w:line="270" w:lineRule="auto"/>
        <w:tabs>
          <w:tab w:leader="none" w:pos="1883" w:val="left"/>
        </w:tabs>
        <w:numPr>
          <w:ilvl w:val="1"/>
          <w:numId w:val="273"/>
        </w:numPr>
        <w:rPr>
          <w:rFonts w:ascii="Arial" w:cs="Arial" w:eastAsia="Arial" w:hAnsi="Arial"/>
          <w:sz w:val="17"/>
          <w:szCs w:val="17"/>
          <w:color w:val="auto"/>
        </w:rPr>
      </w:pPr>
      <w:r>
        <w:rPr>
          <w:rFonts w:ascii="Arial" w:cs="Arial" w:eastAsia="Arial" w:hAnsi="Arial"/>
          <w:sz w:val="17"/>
          <w:szCs w:val="17"/>
          <w:color w:val="auto"/>
        </w:rPr>
        <w:t>For so long as any Junior Preferred Units are outstanding, the two largest Holders of Junior Preferred Units shall each be entitled to designate and appoint one (1) Manager (together, the “</w:t>
      </w:r>
      <w:r>
        <w:rPr>
          <w:rFonts w:ascii="Arial" w:cs="Arial" w:eastAsia="Arial" w:hAnsi="Arial"/>
          <w:sz w:val="17"/>
          <w:szCs w:val="17"/>
          <w:b w:val="1"/>
          <w:bCs w:val="1"/>
          <w:u w:val="single" w:color="auto"/>
          <w:color w:val="auto"/>
        </w:rPr>
        <w:t>Junior Preferred Managers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so long as the Perceptive Members own at least 50% of the Junior Preferred Units issued to them as of the date of this Agreement (as equitably adjusted for Unit splits, distributions of Units, Unit combinations or similar events), the Perceptive Members shall together be entitled to designate and appoint one Junior Preferred Manager, which Manager shall initially be Adam Stone,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so long as the Biogen Member owns at least 50% of the Junior Preferred Units issued to it as of the date of this Agreement (as equitably adjusted for Unit splits, distributions of Units, Unit combinations or similar events), the Biogen Member shall be entitled to designate and appoint one Junior Preferred Manager, which Manager shall initially be Lynne Sullivan. Upon the reasonable request of a Junior Preferred Manager, the Company shall enter into an indemnification agreement with such Manager, in a form reasonably acceptable to the Company and such Manager, with respect to such Manager’s service to the Company.</w:t>
      </w:r>
    </w:p>
    <w:p>
      <w:pPr>
        <w:sectPr>
          <w:pgSz w:w="11900" w:h="16838" w:orient="portrait"/>
          <w:cols w:equalWidth="0" w:num="1">
            <w:col w:w="11420"/>
          </w:cols>
          <w:pgMar w:left="240" w:top="274" w:right="239" w:bottom="1440" w:gutter="0" w:footer="0" w:header="0"/>
        </w:sectPr>
      </w:pPr>
    </w:p>
    <w:bookmarkStart w:id="380" w:name="page381"/>
    <w:bookmarkEnd w:id="380"/>
    <w:p>
      <w:pPr>
        <w:ind w:left="-921" w:right="80" w:firstLine="1492"/>
        <w:spacing w:after="0" w:line="257" w:lineRule="auto"/>
        <w:tabs>
          <w:tab w:leader="none" w:pos="1012" w:val="left"/>
        </w:tabs>
        <w:numPr>
          <w:ilvl w:val="1"/>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so long as any Series A Common Units are outstanding, the Series A Common Members, by vote of the Holders of a majority of the outstanding Series A Common Units, shall collectively be entitled to designate and appoint two (2) Managers (together, the “</w:t>
      </w:r>
      <w:r>
        <w:rPr>
          <w:rFonts w:ascii="Arial" w:cs="Arial" w:eastAsia="Arial" w:hAnsi="Arial"/>
          <w:sz w:val="18"/>
          <w:szCs w:val="18"/>
          <w:b w:val="1"/>
          <w:bCs w:val="1"/>
          <w:u w:val="single" w:color="auto"/>
          <w:color w:val="auto"/>
        </w:rPr>
        <w:t>Series A Managers</w:t>
      </w:r>
      <w:r>
        <w:rPr>
          <w:rFonts w:ascii="Arial" w:cs="Arial" w:eastAsia="Arial" w:hAnsi="Arial"/>
          <w:sz w:val="18"/>
          <w:szCs w:val="18"/>
          <w:color w:val="auto"/>
        </w:rPr>
        <w:t>”), which Managers shall initially consist of Matthew Arnold and Robert Huffines. Upon the reasonable request of a Series A Manager, the Company shall enter into an indemnification agreement with such Manager, in a form reasonably acceptable to the Company and such Manager, with respect to such Manager’s service to the Company.</w:t>
      </w:r>
    </w:p>
    <w:p>
      <w:pPr>
        <w:spacing w:after="0" w:line="188" w:lineRule="exact"/>
        <w:rPr>
          <w:rFonts w:ascii="Arial" w:cs="Arial" w:eastAsia="Arial" w:hAnsi="Arial"/>
          <w:sz w:val="18"/>
          <w:szCs w:val="18"/>
          <w:color w:val="auto"/>
        </w:rPr>
      </w:pPr>
    </w:p>
    <w:p>
      <w:pPr>
        <w:ind w:left="-921" w:right="20" w:firstLine="1492"/>
        <w:spacing w:after="0" w:line="257" w:lineRule="auto"/>
        <w:tabs>
          <w:tab w:leader="none" w:pos="100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For so long as any Series B Common Units are outstanding, the Series B Common Members, by vote of the Holders of a majority of the outstanding Series B Common Units, shall collectively be entitled to designed and appoint three (3) Managers (collectively, the “</w:t>
      </w:r>
      <w:r>
        <w:rPr>
          <w:rFonts w:ascii="Arial" w:cs="Arial" w:eastAsia="Arial" w:hAnsi="Arial"/>
          <w:sz w:val="18"/>
          <w:szCs w:val="18"/>
          <w:b w:val="1"/>
          <w:bCs w:val="1"/>
          <w:u w:val="single" w:color="auto"/>
          <w:color w:val="auto"/>
        </w:rPr>
        <w:t>Series B Managers</w:t>
      </w:r>
      <w:r>
        <w:rPr>
          <w:rFonts w:ascii="Arial" w:cs="Arial" w:eastAsia="Arial" w:hAnsi="Arial"/>
          <w:sz w:val="18"/>
          <w:szCs w:val="18"/>
          <w:color w:val="auto"/>
        </w:rPr>
        <w:t>”), which Managers shall initially consist of Ilan Ganot, Gilad Hayeem and Andrey Zarur. Upon the reasonable request of a Series B Manager, the Company shall enter into an indemnification agreement with such Manager, in a form reasonably acceptable to the Company and such Manager, with respect to such Manager’s service to the Company.</w:t>
      </w:r>
    </w:p>
    <w:p>
      <w:pPr>
        <w:spacing w:after="0" w:line="188" w:lineRule="exact"/>
        <w:rPr>
          <w:rFonts w:ascii="Arial" w:cs="Arial" w:eastAsia="Arial" w:hAnsi="Arial"/>
          <w:sz w:val="18"/>
          <w:szCs w:val="18"/>
          <w:color w:val="auto"/>
        </w:rPr>
      </w:pPr>
    </w:p>
    <w:p>
      <w:pPr>
        <w:jc w:val="both"/>
        <w:ind w:left="-921" w:right="400" w:firstLine="921"/>
        <w:spacing w:after="0" w:line="264" w:lineRule="auto"/>
        <w:tabs>
          <w:tab w:leader="none" w:pos="372"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Resignation; Removal</w:t>
      </w:r>
      <w:r>
        <w:rPr>
          <w:rFonts w:ascii="Arial" w:cs="Arial" w:eastAsia="Arial" w:hAnsi="Arial"/>
          <w:sz w:val="18"/>
          <w:szCs w:val="18"/>
          <w:color w:val="auto"/>
        </w:rPr>
        <w:t xml:space="preserve">. Managers may resign at any time. Managers may be removed at any time for any reason or no reason upon the written direction of the Member(s) that are permitted to appoint such Manager(s)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effective upon the delivery of such written direction by the removing Member(s) or Managers to the Company.</w:t>
      </w:r>
    </w:p>
    <w:p>
      <w:pPr>
        <w:spacing w:after="0" w:line="181" w:lineRule="exact"/>
        <w:rPr>
          <w:rFonts w:ascii="Arial" w:cs="Arial" w:eastAsia="Arial" w:hAnsi="Arial"/>
          <w:sz w:val="18"/>
          <w:szCs w:val="18"/>
          <w:color w:val="auto"/>
        </w:rPr>
      </w:pPr>
    </w:p>
    <w:p>
      <w:pPr>
        <w:ind w:left="399" w:hanging="399"/>
        <w:spacing w:after="0"/>
        <w:tabs>
          <w:tab w:leader="none" w:pos="399"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Regular Meetings</w:t>
      </w:r>
      <w:r>
        <w:rPr>
          <w:rFonts w:ascii="Arial" w:cs="Arial" w:eastAsia="Arial" w:hAnsi="Arial"/>
          <w:sz w:val="17"/>
          <w:szCs w:val="17"/>
          <w:color w:val="auto"/>
        </w:rPr>
        <w:t>. The Board shall hold regular meetings at such times and places as may be reasonably fixed by the Managers.</w:t>
      </w:r>
    </w:p>
    <w:p>
      <w:pPr>
        <w:spacing w:after="0" w:line="236" w:lineRule="exact"/>
        <w:rPr>
          <w:rFonts w:ascii="Arial" w:cs="Arial" w:eastAsia="Arial" w:hAnsi="Arial"/>
          <w:sz w:val="17"/>
          <w:szCs w:val="17"/>
          <w:color w:val="auto"/>
        </w:rPr>
      </w:pPr>
    </w:p>
    <w:p>
      <w:pPr>
        <w:ind w:left="-921" w:firstLine="921"/>
        <w:spacing w:after="0" w:line="271" w:lineRule="auto"/>
        <w:tabs>
          <w:tab w:leader="none" w:pos="372"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shall be held whenever called by at least two (2) Managers. Unless otherwise agreed to by all of the Managers present at a special meeting, the business to be transacted at any special meeting shall be limited to that stated in the notice of the meeting. Notice of any special meeting shall be given to each Manager at his business or residence in writing, or by telephone communication or electronic transmission (</w:t>
      </w:r>
      <w:r>
        <w:rPr>
          <w:rFonts w:ascii="Arial" w:cs="Arial" w:eastAsia="Arial" w:hAnsi="Arial"/>
          <w:sz w:val="17"/>
          <w:szCs w:val="17"/>
          <w:u w:val="single" w:color="auto"/>
          <w:color w:val="auto"/>
        </w:rPr>
        <w:t>provided</w:t>
      </w:r>
      <w:r>
        <w:rPr>
          <w:rFonts w:ascii="Arial" w:cs="Arial" w:eastAsia="Arial" w:hAnsi="Arial"/>
          <w:sz w:val="17"/>
          <w:szCs w:val="17"/>
          <w:color w:val="auto"/>
        </w:rPr>
        <w:t>, with respect to electronic transmission, that the Manager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electronic transmission, such notice shall be transmitted at least twenty-four (24) hours before such meeting. If by telephone, the notice shall be given at least twelve (12) hours prior to the time set for the meeting. A meeting may be held at any time without notice if all Managers waive notice of the meeting in writing, either before or after such meeting.</w:t>
      </w:r>
    </w:p>
    <w:p>
      <w:pPr>
        <w:spacing w:after="0" w:line="178" w:lineRule="exact"/>
        <w:rPr>
          <w:rFonts w:ascii="Arial" w:cs="Arial" w:eastAsia="Arial" w:hAnsi="Arial"/>
          <w:sz w:val="17"/>
          <w:szCs w:val="17"/>
          <w:color w:val="auto"/>
        </w:rPr>
      </w:pPr>
    </w:p>
    <w:p>
      <w:pPr>
        <w:ind w:left="-921" w:right="240" w:firstLine="921"/>
        <w:spacing w:after="0" w:line="264" w:lineRule="auto"/>
        <w:tabs>
          <w:tab w:leader="none" w:pos="352"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Telephonic Meetings</w:t>
      </w:r>
      <w:r>
        <w:rPr>
          <w:rFonts w:ascii="Arial" w:cs="Arial" w:eastAsia="Arial" w:hAnsi="Arial"/>
          <w:sz w:val="18"/>
          <w:szCs w:val="18"/>
          <w:color w:val="auto"/>
        </w:rPr>
        <w:t>. Managers may participate in a meeting of the Board by means of a conference telephone or similar communication equipment by means of which all persons participating in the meeting can hear each other. Participation in a meeting pursuant to this paragraph shall constitute presence in person at such meeting.</w:t>
      </w:r>
    </w:p>
    <w:p>
      <w:pPr>
        <w:spacing w:after="0" w:line="181" w:lineRule="exact"/>
        <w:rPr>
          <w:rFonts w:ascii="Arial" w:cs="Arial" w:eastAsia="Arial" w:hAnsi="Arial"/>
          <w:sz w:val="18"/>
          <w:szCs w:val="18"/>
          <w:color w:val="auto"/>
        </w:rPr>
      </w:pPr>
    </w:p>
    <w:p>
      <w:pPr>
        <w:ind w:left="-921" w:right="60" w:firstLine="921"/>
        <w:spacing w:after="0" w:line="257" w:lineRule="auto"/>
        <w:tabs>
          <w:tab w:leader="none" w:pos="382"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Quorum; Consent of Managers</w:t>
      </w:r>
      <w:r>
        <w:rPr>
          <w:rFonts w:ascii="Arial" w:cs="Arial" w:eastAsia="Arial" w:hAnsi="Arial"/>
          <w:sz w:val="18"/>
          <w:szCs w:val="18"/>
          <w:color w:val="auto"/>
        </w:rPr>
        <w:t>. Unless otherwise expressly provided herein, at any meeting of the Board, a quorum shall be present if a majority of all Managers then in office are present. When a quorum is present at any meeting of the Board, the vote of a majority of the Managers present shall be the act of the Board. Consent of the Board may also be obtained by majority written consent of the Managers, provided that at least one of the Senior Preferred Managers and at least one of the Junior Preferred Managers are included in such majority. Each Manager shall have one (1) vote on each matter presented to the Board for action on its part.</w:t>
      </w:r>
    </w:p>
    <w:p>
      <w:pPr>
        <w:sectPr>
          <w:pgSz w:w="11900" w:h="16838" w:orient="portrait"/>
          <w:cols w:equalWidth="0" w:num="1">
            <w:col w:w="10479"/>
          </w:cols>
          <w:pgMar w:left="1161" w:top="273" w:right="259" w:bottom="1440" w:gutter="0" w:footer="0" w:header="0"/>
        </w:sectPr>
      </w:pPr>
    </w:p>
    <w:bookmarkStart w:id="381" w:name="page382"/>
    <w:bookmarkEnd w:id="381"/>
    <w:p>
      <w:pPr>
        <w:ind w:left="-921" w:right="200" w:firstLine="921"/>
        <w:spacing w:after="0" w:line="308" w:lineRule="auto"/>
        <w:tabs>
          <w:tab w:leader="none" w:pos="382"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Committees</w:t>
      </w:r>
      <w:r>
        <w:rPr>
          <w:rFonts w:ascii="Arial" w:cs="Arial" w:eastAsia="Arial" w:hAnsi="Arial"/>
          <w:sz w:val="17"/>
          <w:szCs w:val="17"/>
          <w:color w:val="auto"/>
        </w:rPr>
        <w:t>. The Board shall have the right, by vote or consent, to establish any committees that it deems necessary or convenient from time to time. Each non-Officer Manager shall be entitled in such person’s discretion to be a member of any Board committee.</w:t>
      </w:r>
    </w:p>
    <w:p>
      <w:pPr>
        <w:spacing w:after="0" w:line="146" w:lineRule="exact"/>
        <w:rPr>
          <w:rFonts w:ascii="Arial" w:cs="Arial" w:eastAsia="Arial" w:hAnsi="Arial"/>
          <w:sz w:val="17"/>
          <w:szCs w:val="17"/>
          <w:color w:val="auto"/>
        </w:rPr>
      </w:pPr>
    </w:p>
    <w:p>
      <w:pPr>
        <w:jc w:val="both"/>
        <w:ind w:left="-921" w:right="340" w:firstLine="1492"/>
        <w:spacing w:after="0" w:line="264" w:lineRule="auto"/>
        <w:tabs>
          <w:tab w:leader="none" w:pos="912" w:val="left"/>
        </w:tabs>
        <w:numPr>
          <w:ilvl w:val="1"/>
          <w:numId w:val="276"/>
        </w:numPr>
        <w:rPr>
          <w:rFonts w:ascii="Arial" w:cs="Arial" w:eastAsia="Arial" w:hAnsi="Arial"/>
          <w:sz w:val="18"/>
          <w:szCs w:val="18"/>
          <w:color w:val="auto"/>
        </w:rPr>
      </w:pPr>
      <w:r>
        <w:rPr>
          <w:rFonts w:ascii="Arial" w:cs="Arial" w:eastAsia="Arial" w:hAnsi="Arial"/>
          <w:sz w:val="18"/>
          <w:szCs w:val="18"/>
          <w:u w:val="single" w:color="auto"/>
          <w:color w:val="auto"/>
        </w:rPr>
        <w:t>Special Board Matters</w:t>
      </w:r>
      <w:r>
        <w:rPr>
          <w:rFonts w:ascii="Arial" w:cs="Arial" w:eastAsia="Arial" w:hAnsi="Arial"/>
          <w:sz w:val="18"/>
          <w:szCs w:val="18"/>
          <w:color w:val="auto"/>
        </w:rPr>
        <w:t>. The Company shall not, without the approval of the Board, which approval must include the affirmative votes of at least two of the Senior Preferred Managers and Junior Preferred Managers (for the avoidance of doubt, two affirmative votes in total from the Senior Preferred Manager and Junior Preferred Managers, taken in the aggregate):</w:t>
      </w:r>
    </w:p>
    <w:p>
      <w:pPr>
        <w:spacing w:after="0" w:line="181" w:lineRule="exact"/>
        <w:rPr>
          <w:sz w:val="20"/>
          <w:szCs w:val="20"/>
          <w:color w:val="auto"/>
        </w:rPr>
      </w:pPr>
    </w:p>
    <w:p>
      <w:pPr>
        <w:ind w:left="-921" w:firstLine="1492"/>
        <w:spacing w:after="0" w:line="277" w:lineRule="auto"/>
        <w:tabs>
          <w:tab w:leader="none" w:pos="91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make any loan or advance to, or purchase any stock or other securities of, any Company Subsidiary or other corporation, partnership or other entity unless it is wholly-owned by the Company, in an amount greater than $1,000,000;</w:t>
      </w:r>
    </w:p>
    <w:p>
      <w:pPr>
        <w:spacing w:after="0" w:line="170" w:lineRule="exact"/>
        <w:rPr>
          <w:rFonts w:ascii="Arial" w:cs="Arial" w:eastAsia="Arial" w:hAnsi="Arial"/>
          <w:sz w:val="18"/>
          <w:szCs w:val="18"/>
          <w:color w:val="auto"/>
        </w:rPr>
      </w:pPr>
    </w:p>
    <w:p>
      <w:pPr>
        <w:ind w:left="-921" w:firstLine="1492"/>
        <w:spacing w:after="0" w:line="308" w:lineRule="auto"/>
        <w:tabs>
          <w:tab w:leader="none" w:pos="962" w:val="left"/>
        </w:tabs>
        <w:numPr>
          <w:ilvl w:val="0"/>
          <w:numId w:val="277"/>
        </w:numPr>
        <w:rPr>
          <w:rFonts w:ascii="Arial" w:cs="Arial" w:eastAsia="Arial" w:hAnsi="Arial"/>
          <w:sz w:val="17"/>
          <w:szCs w:val="17"/>
          <w:color w:val="auto"/>
        </w:rPr>
      </w:pPr>
      <w:r>
        <w:rPr>
          <w:rFonts w:ascii="Arial" w:cs="Arial" w:eastAsia="Arial" w:hAnsi="Arial"/>
          <w:sz w:val="17"/>
          <w:szCs w:val="17"/>
          <w:color w:val="auto"/>
        </w:rPr>
        <w:t>make any loan or advance to any natural person, including, any employee or Manager of the Company, except advances and similar expenditures in the ordinary course of business or under the terms of an employee unit or option plan approved by the Board;</w:t>
      </w:r>
    </w:p>
    <w:p>
      <w:pPr>
        <w:spacing w:after="0" w:line="146" w:lineRule="exact"/>
        <w:rPr>
          <w:rFonts w:ascii="Arial" w:cs="Arial" w:eastAsia="Arial" w:hAnsi="Arial"/>
          <w:sz w:val="17"/>
          <w:szCs w:val="17"/>
          <w:color w:val="auto"/>
        </w:rPr>
      </w:pPr>
    </w:p>
    <w:p>
      <w:pPr>
        <w:ind w:left="1019" w:hanging="448"/>
        <w:spacing w:after="0"/>
        <w:tabs>
          <w:tab w:leader="none" w:pos="1019" w:val="left"/>
        </w:tabs>
        <w:numPr>
          <w:ilvl w:val="0"/>
          <w:numId w:val="277"/>
        </w:numPr>
        <w:rPr>
          <w:rFonts w:ascii="Arial" w:cs="Arial" w:eastAsia="Arial" w:hAnsi="Arial"/>
          <w:sz w:val="17"/>
          <w:szCs w:val="17"/>
          <w:color w:val="auto"/>
        </w:rPr>
      </w:pPr>
      <w:r>
        <w:rPr>
          <w:rFonts w:ascii="Arial" w:cs="Arial" w:eastAsia="Arial" w:hAnsi="Arial"/>
          <w:sz w:val="17"/>
          <w:szCs w:val="17"/>
          <w:color w:val="auto"/>
        </w:rPr>
        <w:t>guarantee any indebtedness except for trade accounts of any Company Subsidiary arising in the ordinary course of business;</w:t>
      </w:r>
    </w:p>
    <w:p>
      <w:pPr>
        <w:spacing w:after="0" w:line="236" w:lineRule="exact"/>
        <w:rPr>
          <w:rFonts w:ascii="Arial" w:cs="Arial" w:eastAsia="Arial" w:hAnsi="Arial"/>
          <w:sz w:val="17"/>
          <w:szCs w:val="17"/>
          <w:color w:val="auto"/>
        </w:rPr>
      </w:pPr>
    </w:p>
    <w:p>
      <w:pPr>
        <w:ind w:left="1019" w:hanging="448"/>
        <w:spacing w:after="0"/>
        <w:tabs>
          <w:tab w:leader="none" w:pos="101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w:t>
      </w:r>
    </w:p>
    <w:p>
      <w:pPr>
        <w:spacing w:after="0" w:line="225" w:lineRule="exact"/>
        <w:rPr>
          <w:rFonts w:ascii="Arial" w:cs="Arial" w:eastAsia="Arial" w:hAnsi="Arial"/>
          <w:sz w:val="18"/>
          <w:szCs w:val="18"/>
          <w:color w:val="auto"/>
        </w:rPr>
      </w:pPr>
    </w:p>
    <w:p>
      <w:pPr>
        <w:ind w:left="-921" w:right="180" w:firstLine="1492"/>
        <w:spacing w:after="0" w:line="264" w:lineRule="auto"/>
        <w:tabs>
          <w:tab w:leader="none" w:pos="95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enter into or be a party to any transaction with any Manager or Officer or any “associate” (as defined in Rule 12b-2 promulgated under the Exchange Act) of any such Person except for transactions made in the ordinary course of business and pursuant to reasonable requirements of the Company’s business;</w:t>
      </w:r>
    </w:p>
    <w:p>
      <w:pPr>
        <w:spacing w:after="0" w:line="181" w:lineRule="exact"/>
        <w:rPr>
          <w:rFonts w:ascii="Arial" w:cs="Arial" w:eastAsia="Arial" w:hAnsi="Arial"/>
          <w:sz w:val="18"/>
          <w:szCs w:val="18"/>
          <w:color w:val="auto"/>
        </w:rPr>
      </w:pPr>
    </w:p>
    <w:p>
      <w:pPr>
        <w:ind w:left="-921" w:right="140" w:firstLine="1492"/>
        <w:spacing w:after="0" w:line="277" w:lineRule="auto"/>
        <w:tabs>
          <w:tab w:leader="none" w:pos="100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hire, fire or change the compensation of the Chairman, Chief Executive Officer, President, Chief Scientist, Chief Medical Officer or any other corporate level Officer, including approving any equity incentive grants;</w:t>
      </w:r>
    </w:p>
    <w:p>
      <w:pPr>
        <w:spacing w:after="0" w:line="170" w:lineRule="exact"/>
        <w:rPr>
          <w:rFonts w:ascii="Arial" w:cs="Arial" w:eastAsia="Arial" w:hAnsi="Arial"/>
          <w:sz w:val="18"/>
          <w:szCs w:val="18"/>
          <w:color w:val="auto"/>
        </w:rPr>
      </w:pPr>
    </w:p>
    <w:p>
      <w:pPr>
        <w:ind w:left="1059" w:hanging="488"/>
        <w:spacing w:after="0"/>
        <w:tabs>
          <w:tab w:leader="none" w:pos="105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change the principal business of the Company, enter new lines of business, or exit the current line of business;</w:t>
      </w:r>
    </w:p>
    <w:p>
      <w:pPr>
        <w:spacing w:after="0" w:line="225" w:lineRule="exact"/>
        <w:rPr>
          <w:rFonts w:ascii="Arial" w:cs="Arial" w:eastAsia="Arial" w:hAnsi="Arial"/>
          <w:sz w:val="18"/>
          <w:szCs w:val="18"/>
          <w:color w:val="auto"/>
        </w:rPr>
      </w:pPr>
    </w:p>
    <w:p>
      <w:pPr>
        <w:ind w:left="-921" w:right="440" w:firstLine="1492"/>
        <w:spacing w:after="0" w:line="342" w:lineRule="auto"/>
        <w:tabs>
          <w:tab w:leader="none" w:pos="1102" w:val="left"/>
        </w:tabs>
        <w:numPr>
          <w:ilvl w:val="0"/>
          <w:numId w:val="277"/>
        </w:numPr>
        <w:rPr>
          <w:rFonts w:ascii="Arial" w:cs="Arial" w:eastAsia="Arial" w:hAnsi="Arial"/>
          <w:sz w:val="16"/>
          <w:szCs w:val="16"/>
          <w:color w:val="auto"/>
        </w:rPr>
      </w:pPr>
      <w:r>
        <w:rPr>
          <w:rFonts w:ascii="Arial" w:cs="Arial" w:eastAsia="Arial" w:hAnsi="Arial"/>
          <w:sz w:val="16"/>
          <w:szCs w:val="16"/>
          <w:color w:val="auto"/>
        </w:rPr>
        <w:t>sell, assign, license, pledge or encumber material technology or intellectual property, including sales, assignments, licenses, pledges or encumbrances involving a Company Subsidiary, other than non-exclusive licenses granted in the ordinary course of business; or</w:t>
      </w:r>
    </w:p>
    <w:p>
      <w:pPr>
        <w:spacing w:after="0" w:line="123" w:lineRule="exact"/>
        <w:rPr>
          <w:rFonts w:ascii="Arial" w:cs="Arial" w:eastAsia="Arial" w:hAnsi="Arial"/>
          <w:sz w:val="16"/>
          <w:szCs w:val="16"/>
          <w:color w:val="auto"/>
        </w:rPr>
      </w:pPr>
    </w:p>
    <w:p>
      <w:pPr>
        <w:ind w:left="-921" w:right="620" w:firstLine="1492"/>
        <w:spacing w:after="0" w:line="277" w:lineRule="auto"/>
        <w:tabs>
          <w:tab w:leader="none" w:pos="100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the Company or to the Company of assets greater than $2,000,000, whether in one transaction or a series of related transactions.</w:t>
      </w:r>
    </w:p>
    <w:p>
      <w:pPr>
        <w:sectPr>
          <w:pgSz w:w="11900" w:h="16838" w:orient="portrait"/>
          <w:cols w:equalWidth="0" w:num="1">
            <w:col w:w="10459"/>
          </w:cols>
          <w:pgMar w:left="1161" w:top="274" w:right="279" w:bottom="1440" w:gutter="0" w:footer="0" w:header="0"/>
        </w:sectPr>
      </w:pPr>
    </w:p>
    <w:bookmarkStart w:id="382" w:name="page383"/>
    <w:bookmarkEnd w:id="382"/>
    <w:p>
      <w:pPr>
        <w:ind w:left="820" w:hanging="359"/>
        <w:spacing w:after="0"/>
        <w:tabs>
          <w:tab w:leader="none" w:pos="820"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Matters Reserved for Consent of Certain Members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 w:firstLine="1492"/>
        <w:spacing w:after="0" w:line="264" w:lineRule="auto"/>
        <w:tabs>
          <w:tab w:leader="none" w:pos="1373" w:val="left"/>
        </w:tabs>
        <w:numPr>
          <w:ilvl w:val="2"/>
          <w:numId w:val="278"/>
        </w:numPr>
        <w:rPr>
          <w:rFonts w:ascii="Arial" w:cs="Arial" w:eastAsia="Arial" w:hAnsi="Arial"/>
          <w:sz w:val="18"/>
          <w:szCs w:val="18"/>
          <w:color w:val="auto"/>
        </w:rPr>
      </w:pPr>
      <w:r>
        <w:rPr>
          <w:rFonts w:ascii="Arial" w:cs="Arial" w:eastAsia="Arial" w:hAnsi="Arial"/>
          <w:sz w:val="18"/>
          <w:szCs w:val="18"/>
          <w:u w:val="single" w:color="auto"/>
          <w:color w:val="auto"/>
        </w:rPr>
        <w:t>Senior Preferred Members</w:t>
      </w:r>
      <w:r>
        <w:rPr>
          <w:rFonts w:ascii="Arial" w:cs="Arial" w:eastAsia="Arial" w:hAnsi="Arial"/>
          <w:sz w:val="18"/>
          <w:szCs w:val="18"/>
          <w:color w:val="auto"/>
        </w:rPr>
        <w:t>. For so long as any Senior Preferred Units are outstanding, the Company shall not, and the Board shall not have the authority to cause the Company to, without the consent of the Holders of a majority of the outstanding Senior Preferred Units, voting together as a single class, either directly or by amendment, merger, consolidation or otherwise:</w:t>
      </w:r>
    </w:p>
    <w:p>
      <w:pPr>
        <w:spacing w:after="0" w:line="73" w:lineRule="exact"/>
        <w:rPr>
          <w:rFonts w:ascii="Arial" w:cs="Arial" w:eastAsia="Arial" w:hAnsi="Arial"/>
          <w:sz w:val="18"/>
          <w:szCs w:val="18"/>
          <w:color w:val="auto"/>
        </w:rPr>
      </w:pPr>
    </w:p>
    <w:p>
      <w:pPr>
        <w:ind w:left="1820" w:hanging="391"/>
        <w:spacing w:after="0"/>
        <w:tabs>
          <w:tab w:leader="none" w:pos="1820" w:val="left"/>
        </w:tabs>
        <w:numPr>
          <w:ilvl w:val="3"/>
          <w:numId w:val="278"/>
        </w:numPr>
        <w:rPr>
          <w:rFonts w:ascii="Arial" w:cs="Arial" w:eastAsia="Arial" w:hAnsi="Arial"/>
          <w:sz w:val="17"/>
          <w:szCs w:val="17"/>
          <w:color w:val="auto"/>
        </w:rPr>
      </w:pPr>
      <w:r>
        <w:rPr>
          <w:rFonts w:ascii="Arial" w:cs="Arial" w:eastAsia="Arial" w:hAnsi="Arial"/>
          <w:sz w:val="17"/>
          <w:szCs w:val="17"/>
          <w:color w:val="auto"/>
        </w:rPr>
        <w:t>liquidate, dissolve or wind-up the affairs of the Company, or effect any Deemed Liquidation Event, except pursuant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10.1(c)</w:t>
      </w:r>
      <w:r>
        <w:rPr>
          <w:rFonts w:ascii="Arial" w:cs="Arial" w:eastAsia="Arial" w:hAnsi="Arial"/>
          <w:sz w:val="18"/>
          <w:szCs w:val="18"/>
          <w:color w:val="auto"/>
        </w:rPr>
        <w:t>;</w:t>
      </w:r>
    </w:p>
    <w:p>
      <w:pPr>
        <w:spacing w:after="0" w:line="102" w:lineRule="exact"/>
        <w:rPr>
          <w:rFonts w:ascii="Arial" w:cs="Arial" w:eastAsia="Arial" w:hAnsi="Arial"/>
          <w:sz w:val="17"/>
          <w:szCs w:val="17"/>
          <w:color w:val="auto"/>
        </w:rPr>
      </w:pPr>
    </w:p>
    <w:p>
      <w:pPr>
        <w:ind w:firstLine="1429"/>
        <w:spacing w:after="0" w:line="273" w:lineRule="auto"/>
        <w:tabs>
          <w:tab w:leader="none" w:pos="1814" w:val="left"/>
        </w:tabs>
        <w:numPr>
          <w:ilvl w:val="3"/>
          <w:numId w:val="278"/>
        </w:numPr>
        <w:rPr>
          <w:rFonts w:ascii="Arial" w:cs="Arial" w:eastAsia="Arial" w:hAnsi="Arial"/>
          <w:sz w:val="17"/>
          <w:szCs w:val="17"/>
          <w:color w:val="auto"/>
        </w:rPr>
      </w:pPr>
      <w:r>
        <w:rPr>
          <w:rFonts w:ascii="Arial" w:cs="Arial" w:eastAsia="Arial" w:hAnsi="Arial"/>
          <w:sz w:val="17"/>
          <w:szCs w:val="17"/>
          <w:color w:val="auto"/>
        </w:rPr>
        <w:t xml:space="preserve">amend, alter or repeal any provision of this Agreement in a manner adverse to the rights, preferences or privileges of the Senior Preferred Units, which, for purposes of clarity, shall be deemed to include, but not be limited to, any amendment, alteration or repeal of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6.1(j)(i)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the terms defined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and used in such; provided such consent shall not be required for an amendment or alteration of this Agreement that solely creates any security having a right to receive distributions junior to the rights of the Series 1 Senior Preferred Units and Series 2 Senior Preferred Units set forth in </w:t>
      </w:r>
      <w:r>
        <w:rPr>
          <w:rFonts w:ascii="Arial" w:cs="Arial" w:eastAsia="Arial" w:hAnsi="Arial"/>
          <w:sz w:val="17"/>
          <w:szCs w:val="17"/>
          <w:u w:val="single" w:color="auto"/>
          <w:color w:val="auto"/>
        </w:rPr>
        <w:t>Sections 8.1(a)(i)</w:t>
      </w:r>
      <w:r>
        <w:rPr>
          <w:rFonts w:ascii="Arial" w:cs="Arial" w:eastAsia="Arial" w:hAnsi="Arial"/>
          <w:sz w:val="17"/>
          <w:szCs w:val="17"/>
          <w:color w:val="auto"/>
        </w:rPr>
        <w:t xml:space="preserve">, </w:t>
      </w:r>
      <w:r>
        <w:rPr>
          <w:rFonts w:ascii="Arial" w:cs="Arial" w:eastAsia="Arial" w:hAnsi="Arial"/>
          <w:sz w:val="17"/>
          <w:szCs w:val="17"/>
          <w:u w:val="single" w:color="auto"/>
          <w:color w:val="auto"/>
        </w:rPr>
        <w:t>8.1(a)(ii)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8.1(a)(iii)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8.1(a)(iv)</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80" w:firstLine="1429"/>
        <w:spacing w:after="0" w:line="259" w:lineRule="auto"/>
        <w:tabs>
          <w:tab w:leader="none" w:pos="1814" w:val="left"/>
        </w:tabs>
        <w:numPr>
          <w:ilvl w:val="3"/>
          <w:numId w:val="278"/>
        </w:numPr>
        <w:rPr>
          <w:rFonts w:ascii="Arial" w:cs="Arial" w:eastAsia="Arial" w:hAnsi="Arial"/>
          <w:sz w:val="18"/>
          <w:szCs w:val="18"/>
          <w:color w:val="auto"/>
        </w:rPr>
      </w:pPr>
      <w:r>
        <w:rPr>
          <w:rFonts w:ascii="Arial" w:cs="Arial" w:eastAsia="Arial" w:hAnsi="Arial"/>
          <w:sz w:val="18"/>
          <w:szCs w:val="18"/>
          <w:color w:val="auto"/>
        </w:rPr>
        <w:t xml:space="preserve">create or authorize the creation of or issue any other security convertible into or exercisable for any equity security, having rights, preferences or privileges senior or pari passu to the rights of the Series 1 Senior Preferred Units and/or Series 2 Senior Preferred Units set forth in </w:t>
      </w:r>
      <w:r>
        <w:rPr>
          <w:rFonts w:ascii="Arial" w:cs="Arial" w:eastAsia="Arial" w:hAnsi="Arial"/>
          <w:sz w:val="18"/>
          <w:szCs w:val="18"/>
          <w:u w:val="single" w:color="auto"/>
          <w:color w:val="auto"/>
        </w:rPr>
        <w:t>Sections 8.1(a)(i)</w:t>
      </w:r>
      <w:r>
        <w:rPr>
          <w:rFonts w:ascii="Arial" w:cs="Arial" w:eastAsia="Arial" w:hAnsi="Arial"/>
          <w:sz w:val="18"/>
          <w:szCs w:val="18"/>
          <w:color w:val="auto"/>
        </w:rPr>
        <w:t xml:space="preserve">, </w:t>
      </w:r>
      <w:r>
        <w:rPr>
          <w:rFonts w:ascii="Arial" w:cs="Arial" w:eastAsia="Arial" w:hAnsi="Arial"/>
          <w:sz w:val="18"/>
          <w:szCs w:val="18"/>
          <w:u w:val="single" w:color="auto"/>
          <w:color w:val="auto"/>
        </w:rPr>
        <w:t>8.1(a)(ii)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8.1(a)(iii)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8.1(a)(iv)</w:t>
      </w:r>
      <w:r>
        <w:rPr>
          <w:rFonts w:ascii="Arial" w:cs="Arial" w:eastAsia="Arial" w:hAnsi="Arial"/>
          <w:sz w:val="18"/>
          <w:szCs w:val="18"/>
          <w:color w:val="auto"/>
        </w:rPr>
        <w:t>, or increase the authorized number of Series 1 Senior Preferred Units and/or Series 2 Senior Preferred Units;</w:t>
      </w:r>
    </w:p>
    <w:p>
      <w:pPr>
        <w:spacing w:after="0" w:line="186" w:lineRule="exact"/>
        <w:rPr>
          <w:rFonts w:ascii="Arial" w:cs="Arial" w:eastAsia="Arial" w:hAnsi="Arial"/>
          <w:sz w:val="18"/>
          <w:szCs w:val="18"/>
          <w:color w:val="auto"/>
        </w:rPr>
      </w:pPr>
    </w:p>
    <w:p>
      <w:pPr>
        <w:ind w:right="80" w:firstLine="1429"/>
        <w:spacing w:after="0" w:line="264" w:lineRule="auto"/>
        <w:tabs>
          <w:tab w:leader="none" w:pos="1814" w:val="left"/>
        </w:tabs>
        <w:numPr>
          <w:ilvl w:val="3"/>
          <w:numId w:val="278"/>
        </w:numPr>
        <w:rPr>
          <w:rFonts w:ascii="Arial" w:cs="Arial" w:eastAsia="Arial" w:hAnsi="Arial"/>
          <w:sz w:val="18"/>
          <w:szCs w:val="18"/>
          <w:color w:val="auto"/>
        </w:rPr>
      </w:pPr>
      <w:r>
        <w:rPr>
          <w:rFonts w:ascii="Arial" w:cs="Arial" w:eastAsia="Arial" w:hAnsi="Arial"/>
          <w:sz w:val="18"/>
          <w:szCs w:val="18"/>
          <w:color w:val="auto"/>
        </w:rPr>
        <w:t xml:space="preserve">purchase or redeem or pay any distribution on any Units (other than distributions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the redemption of Series D Common Units from former officers, employees, consultants or other service providers in connection with the cessation of their services, at cost); or</w:t>
      </w:r>
    </w:p>
    <w:p>
      <w:pPr>
        <w:spacing w:after="0" w:line="181" w:lineRule="exact"/>
        <w:rPr>
          <w:rFonts w:ascii="Arial" w:cs="Arial" w:eastAsia="Arial" w:hAnsi="Arial"/>
          <w:sz w:val="18"/>
          <w:szCs w:val="18"/>
          <w:color w:val="auto"/>
        </w:rPr>
      </w:pPr>
    </w:p>
    <w:p>
      <w:pPr>
        <w:ind w:right="260" w:firstLine="1429"/>
        <w:spacing w:after="0" w:line="264" w:lineRule="auto"/>
        <w:tabs>
          <w:tab w:leader="none" w:pos="1814" w:val="left"/>
        </w:tabs>
        <w:numPr>
          <w:ilvl w:val="3"/>
          <w:numId w:val="278"/>
        </w:numPr>
        <w:rPr>
          <w:rFonts w:ascii="Arial" w:cs="Arial" w:eastAsia="Arial" w:hAnsi="Arial"/>
          <w:sz w:val="18"/>
          <w:szCs w:val="18"/>
          <w:color w:val="auto"/>
        </w:rPr>
      </w:pPr>
      <w:r>
        <w:rPr>
          <w:rFonts w:ascii="Arial" w:cs="Arial" w:eastAsia="Arial" w:hAnsi="Arial"/>
          <w:sz w:val="18"/>
          <w:szCs w:val="18"/>
          <w:color w:val="auto"/>
        </w:rPr>
        <w:t>create or authorize the creation of any debt security if the Company’s aggregate indebtedness for borrowed money would exceed $2 million (other than equipment leases), unless such debt security has received the prior approval of the Board, including the approval of at least two of the Senior Preferred Managers and Junior Preferred Managers.</w:t>
      </w:r>
    </w:p>
    <w:p>
      <w:pPr>
        <w:spacing w:after="0" w:line="181" w:lineRule="exact"/>
        <w:rPr>
          <w:rFonts w:ascii="Arial" w:cs="Arial" w:eastAsia="Arial" w:hAnsi="Arial"/>
          <w:sz w:val="18"/>
          <w:szCs w:val="18"/>
          <w:color w:val="auto"/>
        </w:rPr>
      </w:pPr>
    </w:p>
    <w:p>
      <w:pPr>
        <w:jc w:val="both"/>
        <w:ind w:left="-460" w:right="120" w:firstLine="1492"/>
        <w:spacing w:after="0" w:line="259" w:lineRule="auto"/>
        <w:tabs>
          <w:tab w:leader="none" w:pos="1423" w:val="left"/>
        </w:tabs>
        <w:numPr>
          <w:ilvl w:val="2"/>
          <w:numId w:val="278"/>
        </w:numPr>
        <w:rPr>
          <w:rFonts w:ascii="Arial" w:cs="Arial" w:eastAsia="Arial" w:hAnsi="Arial"/>
          <w:sz w:val="18"/>
          <w:szCs w:val="18"/>
          <w:color w:val="auto"/>
        </w:rPr>
      </w:pPr>
      <w:r>
        <w:rPr>
          <w:rFonts w:ascii="Arial" w:cs="Arial" w:eastAsia="Arial" w:hAnsi="Arial"/>
          <w:sz w:val="18"/>
          <w:szCs w:val="18"/>
          <w:u w:val="single" w:color="auto"/>
          <w:color w:val="auto"/>
        </w:rPr>
        <w:t>Junior Preferred Members</w:t>
      </w:r>
      <w:r>
        <w:rPr>
          <w:rFonts w:ascii="Arial" w:cs="Arial" w:eastAsia="Arial" w:hAnsi="Arial"/>
          <w:sz w:val="18"/>
          <w:szCs w:val="18"/>
          <w:color w:val="auto"/>
        </w:rPr>
        <w:t>. For so long as any Junior Preferred Units are outstanding, the Company shall not, and the Board shall not have the authority to cause the Company to, without the consent of the Holders of a majority of the outstanding Junior Preferred Units, either directly or by amendment, merger, consolidation or otherwise, amend, alter or repeal any provision amend, alter or repeal any provision of this Agreement in a manner adverse to the rights, preferences</w:t>
      </w:r>
    </w:p>
    <w:p>
      <w:pPr>
        <w:sectPr>
          <w:pgSz w:w="11900" w:h="16838" w:orient="portrait"/>
          <w:cols w:equalWidth="0" w:num="1">
            <w:col w:w="10900"/>
          </w:cols>
          <w:pgMar w:left="700" w:top="273" w:right="299" w:bottom="1440" w:gutter="0" w:footer="0" w:header="0"/>
        </w:sectPr>
      </w:pPr>
    </w:p>
    <w:bookmarkStart w:id="383" w:name="page384"/>
    <w:bookmarkEnd w:id="383"/>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privileges of the Junior Preferred Units, which, for purposes of clarity, shall be deemed to include, but not be limited to, any amendment, alteration or repeal of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6.1(j)(ii)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and the terms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used in such; provided such consent shall not be required for an amendment or alteration of this Agreement that solely creates any security having a right to receive distributions junior to the rights of the Junior Preferred Units set forth in </w:t>
      </w:r>
      <w:r>
        <w:rPr>
          <w:rFonts w:ascii="Arial" w:cs="Arial" w:eastAsia="Arial" w:hAnsi="Arial"/>
          <w:sz w:val="18"/>
          <w:szCs w:val="18"/>
          <w:u w:val="single" w:color="auto"/>
          <w:color w:val="auto"/>
        </w:rPr>
        <w:t>Section 8.1(a)(v)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8.1(a)(vi)</w:t>
      </w:r>
      <w:r>
        <w:rPr>
          <w:rFonts w:ascii="Arial" w:cs="Arial" w:eastAsia="Arial" w:hAnsi="Arial"/>
          <w:sz w:val="18"/>
          <w:szCs w:val="18"/>
          <w:color w:val="auto"/>
        </w:rPr>
        <w:t>;</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For the avoidance of doubt, the issuance of Series 2 Senior Preferred Units upon an Additional Closing Event in accordance with the Senior Preferred Purchase Agreement shall not require any consent pursuant to this </w:t>
      </w:r>
      <w:r>
        <w:rPr>
          <w:rFonts w:ascii="Arial" w:cs="Arial" w:eastAsia="Arial" w:hAnsi="Arial"/>
          <w:sz w:val="18"/>
          <w:szCs w:val="18"/>
          <w:u w:val="single" w:color="auto"/>
          <w:color w:val="auto"/>
        </w:rPr>
        <w:t>Section 6.1(j)</w:t>
      </w:r>
      <w:r>
        <w:rPr>
          <w:rFonts w:ascii="Arial" w:cs="Arial" w:eastAsia="Arial" w:hAnsi="Arial"/>
          <w:sz w:val="18"/>
          <w:szCs w:val="18"/>
          <w:color w:val="auto"/>
        </w:rPr>
        <w:t>.</w:t>
      </w:r>
    </w:p>
    <w:p>
      <w:pPr>
        <w:spacing w:after="0" w:line="170" w:lineRule="exact"/>
        <w:rPr>
          <w:sz w:val="20"/>
          <w:szCs w:val="20"/>
          <w:color w:val="auto"/>
        </w:rPr>
      </w:pPr>
    </w:p>
    <w:p>
      <w:pPr>
        <w:ind w:right="60" w:firstLine="921"/>
        <w:spacing w:after="0" w:line="255" w:lineRule="auto"/>
        <w:tabs>
          <w:tab w:leader="none" w:pos="1303"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Board Observers</w:t>
      </w:r>
      <w:r>
        <w:rPr>
          <w:rFonts w:ascii="Arial" w:cs="Arial" w:eastAsia="Arial" w:hAnsi="Arial"/>
          <w:sz w:val="18"/>
          <w:szCs w:val="18"/>
          <w:color w:val="auto"/>
        </w:rPr>
        <w:t xml:space="preserve">. If, at any time that the Perceptive Members or Biogen Member has the right to designate and appoint a Junior Preferred Manager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but such Member waives such right, such Member shall be entitled to designate one representative (an “</w:t>
      </w:r>
      <w:r>
        <w:rPr>
          <w:rFonts w:ascii="Arial" w:cs="Arial" w:eastAsia="Arial" w:hAnsi="Arial"/>
          <w:sz w:val="18"/>
          <w:szCs w:val="18"/>
          <w:b w:val="1"/>
          <w:bCs w:val="1"/>
          <w:u w:val="single" w:color="auto"/>
          <w:color w:val="auto"/>
        </w:rPr>
        <w:t>Observer</w:t>
      </w:r>
      <w:r>
        <w:rPr>
          <w:rFonts w:ascii="Arial" w:cs="Arial" w:eastAsia="Arial" w:hAnsi="Arial"/>
          <w:sz w:val="18"/>
          <w:szCs w:val="18"/>
          <w:color w:val="auto"/>
        </w:rPr>
        <w:t xml:space="preserve">”), to attend, and to receive notice of, all meetings of the Board or any committee thereof as a non-voting observer, and to receive all materials provided generally to Managers at the same time as such materials are provided to such Managers;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Board or committee thereof shall have the right to exclude such Observer (or fail to provide such materials) if the absence of the Observer in such meeting, or the failure to provide such materials is deemed necessary by the Board or committee, in its reasonable discretion, to preserve attorney-client privilege in connection with any matter being discussed in such meeting or contained in such materials.</w:t>
      </w:r>
    </w:p>
    <w:p>
      <w:pPr>
        <w:spacing w:after="0" w:line="297"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7"/>
          <w:szCs w:val="17"/>
          <w:u w:val="single" w:color="auto"/>
          <w:color w:val="auto"/>
        </w:rPr>
        <w:t>Officers</w:t>
      </w:r>
      <w:r>
        <w:rPr>
          <w:rFonts w:ascii="Arial" w:cs="Arial" w:eastAsia="Arial" w:hAnsi="Arial"/>
          <w:sz w:val="17"/>
          <w:szCs w:val="17"/>
          <w:color w:val="auto"/>
        </w:rPr>
        <w:t>.</w:t>
      </w:r>
    </w:p>
    <w:p>
      <w:pPr>
        <w:spacing w:after="0" w:line="113" w:lineRule="exact"/>
        <w:rPr>
          <w:sz w:val="20"/>
          <w:szCs w:val="20"/>
          <w:color w:val="auto"/>
        </w:rPr>
      </w:pPr>
    </w:p>
    <w:p>
      <w:pPr>
        <w:ind w:right="120" w:firstLine="921"/>
        <w:spacing w:after="0" w:line="256" w:lineRule="auto"/>
        <w:tabs>
          <w:tab w:leader="none" w:pos="1293"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Appointment of Officers</w:t>
      </w:r>
      <w:r>
        <w:rPr>
          <w:rFonts w:ascii="Arial" w:cs="Arial" w:eastAsia="Arial" w:hAnsi="Arial"/>
          <w:sz w:val="18"/>
          <w:szCs w:val="18"/>
          <w:color w:val="auto"/>
        </w:rPr>
        <w:t>. The Board may, subject to the terms of this Agreement, appoint individuals as officers (“</w:t>
      </w:r>
      <w:r>
        <w:rPr>
          <w:rFonts w:ascii="Arial" w:cs="Arial" w:eastAsia="Arial" w:hAnsi="Arial"/>
          <w:sz w:val="18"/>
          <w:szCs w:val="18"/>
          <w:b w:val="1"/>
          <w:bCs w:val="1"/>
          <w:u w:val="single" w:color="auto"/>
          <w:color w:val="auto"/>
        </w:rPr>
        <w:t>Officers</w:t>
      </w:r>
      <w:r>
        <w:rPr>
          <w:rFonts w:ascii="Arial" w:cs="Arial" w:eastAsia="Arial" w:hAnsi="Arial"/>
          <w:sz w:val="18"/>
          <w:szCs w:val="18"/>
          <w:color w:val="auto"/>
        </w:rPr>
        <w:t>”) of the Company, which may include a Chairman (who shall initially be Zarur), Chief Executive Officer (who shall initially be Ganot), President (who shall initially be Hayeem), Chief Financial Officer, Chief Operating Officer (who shall initially be Alvaro Amorrortu), one or more Vice-Presidents (who shall initially include Jorge A. Quiroz), Secretary, Treasurer, one or more Assistant Secretaries (who shall initially include Jonathan Budd), one or more Assistant Treasurers (who shall initially include Jonathan Budd), and such other Officers as the Board deems advisable. No Officer need be a Member or a Manager. An individual can be appointed to more than one office.</w:t>
      </w:r>
    </w:p>
    <w:p>
      <w:pPr>
        <w:spacing w:after="0" w:line="191" w:lineRule="exact"/>
        <w:rPr>
          <w:rFonts w:ascii="Arial" w:cs="Arial" w:eastAsia="Arial" w:hAnsi="Arial"/>
          <w:sz w:val="18"/>
          <w:szCs w:val="18"/>
          <w:color w:val="auto"/>
        </w:rPr>
      </w:pPr>
    </w:p>
    <w:p>
      <w:pPr>
        <w:ind w:right="60" w:firstLine="921"/>
        <w:spacing w:after="0" w:line="279" w:lineRule="auto"/>
        <w:tabs>
          <w:tab w:leader="none" w:pos="1303"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Duties of Officers Generally</w:t>
      </w:r>
      <w:r>
        <w:rPr>
          <w:rFonts w:ascii="Arial" w:cs="Arial" w:eastAsia="Arial" w:hAnsi="Arial"/>
          <w:sz w:val="17"/>
          <w:szCs w:val="17"/>
          <w:color w:val="auto"/>
        </w:rPr>
        <w:t>. Under the direction of and, at all times, subject to the authority of the Board, the Officers shall, subject to the terms of this Agreement and the Act, have full and complete discretion to manage and control the day-to-day business, operations and affairs of the Company in the ordinary course of its business, to make all decisions affecting the day-to-day business, operations and affairs of the Company in the ordinary course of its business and to take all such actions as such Officers deem necessary or appropriate to accomplish the foregoing.</w:t>
      </w:r>
    </w:p>
    <w:p>
      <w:pPr>
        <w:spacing w:after="0" w:line="171" w:lineRule="exact"/>
        <w:rPr>
          <w:rFonts w:ascii="Arial" w:cs="Arial" w:eastAsia="Arial" w:hAnsi="Arial"/>
          <w:sz w:val="17"/>
          <w:szCs w:val="17"/>
          <w:color w:val="auto"/>
        </w:rPr>
      </w:pPr>
    </w:p>
    <w:p>
      <w:pPr>
        <w:ind w:firstLine="921"/>
        <w:spacing w:after="0" w:line="342" w:lineRule="auto"/>
        <w:tabs>
          <w:tab w:leader="none" w:pos="1293"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Authority of Officers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6.2(b)</w:t>
      </w:r>
      <w:r>
        <w:rPr>
          <w:rFonts w:ascii="Arial" w:cs="Arial" w:eastAsia="Arial" w:hAnsi="Arial"/>
          <w:sz w:val="16"/>
          <w:szCs w:val="16"/>
          <w:color w:val="auto"/>
        </w:rPr>
        <w:t>, any Officer of the Company shall have the right, power and authority to transact business in the name of the Company or to execute agreements on behalf of the Company, with respect to those agreements which are commonly signed</w:t>
      </w:r>
    </w:p>
    <w:p>
      <w:pPr>
        <w:sectPr>
          <w:pgSz w:w="11900" w:h="16838" w:orient="portrait"/>
          <w:cols w:equalWidth="0" w:num="1">
            <w:col w:w="11420"/>
          </w:cols>
          <w:pgMar w:left="240" w:top="274" w:right="239" w:bottom="1440" w:gutter="0" w:footer="0" w:header="0"/>
        </w:sectPr>
      </w:pPr>
    </w:p>
    <w:bookmarkStart w:id="384" w:name="page385"/>
    <w:bookmarkEnd w:id="384"/>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such equivalent officers of a corporation organized under the laws of the State of Delaware. With respect to all matters within the ordinary course of business of the Company, third parties dealing with the Company may rely conclusively upon any certificate of any Officer to the effect that such Officer is acting on behalf of the Company.</w:t>
      </w:r>
    </w:p>
    <w:p>
      <w:pPr>
        <w:spacing w:after="0" w:line="181" w:lineRule="exact"/>
        <w:rPr>
          <w:sz w:val="20"/>
          <w:szCs w:val="20"/>
          <w:color w:val="auto"/>
        </w:rPr>
      </w:pPr>
    </w:p>
    <w:p>
      <w:pPr>
        <w:ind w:firstLine="921"/>
        <w:spacing w:after="0" w:line="255" w:lineRule="auto"/>
        <w:tabs>
          <w:tab w:leader="none" w:pos="1303"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Removal, Resignation and Filling of Vacancy of Officers</w:t>
      </w:r>
      <w:r>
        <w:rPr>
          <w:rFonts w:ascii="Arial" w:cs="Arial" w:eastAsia="Arial" w:hAnsi="Arial"/>
          <w:sz w:val="18"/>
          <w:szCs w:val="18"/>
          <w:color w:val="auto"/>
        </w:rPr>
        <w:t xml:space="preserve">. Subject to the terms of this Agreement, the Board may remove any Officer, for any reason or for no reason, at any time. Any Officer may resign at any time by giving written notice to the Board, and such resignation shall take effect at the date of receipt of that notice or any later time specified in that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specified in that notice, the acceptance of the resignation shall not be necessary to make it effective. Any such resignation shall be without prejudice to the rights, if any, of the Company or such Officer under this Agreement. A vacancy in any office because of death, resignation, removal or otherwise shall be filled in the manner prescribed in this Agreement for regular appointments to that office.</w:t>
      </w:r>
    </w:p>
    <w:p>
      <w:pPr>
        <w:spacing w:after="0" w:line="193" w:lineRule="exact"/>
        <w:rPr>
          <w:rFonts w:ascii="Arial" w:cs="Arial" w:eastAsia="Arial" w:hAnsi="Arial"/>
          <w:sz w:val="18"/>
          <w:szCs w:val="18"/>
          <w:color w:val="auto"/>
        </w:rPr>
      </w:pPr>
    </w:p>
    <w:p>
      <w:pPr>
        <w:ind w:right="40" w:firstLine="921"/>
        <w:spacing w:after="0" w:line="277" w:lineRule="auto"/>
        <w:tabs>
          <w:tab w:leader="none" w:pos="1293"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Compensation of Officers</w:t>
      </w:r>
      <w:r>
        <w:rPr>
          <w:rFonts w:ascii="Arial" w:cs="Arial" w:eastAsia="Arial" w:hAnsi="Arial"/>
          <w:sz w:val="18"/>
          <w:szCs w:val="18"/>
          <w:color w:val="auto"/>
        </w:rPr>
        <w:t>. Subject to the terms of this Agreement, the Officers shall be entitled to receive compensation from the Company as determined by the Board.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ALLOCATIONS AND OTHER TAX MATTERS</w:t>
      </w:r>
    </w:p>
    <w:p>
      <w:pPr>
        <w:spacing w:after="0" w:line="229"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General Application</w:t>
      </w:r>
      <w:r>
        <w:rPr>
          <w:rFonts w:ascii="Arial" w:cs="Arial" w:eastAsia="Arial" w:hAnsi="Arial"/>
          <w:sz w:val="18"/>
          <w:szCs w:val="18"/>
          <w:color w:val="auto"/>
        </w:rPr>
        <w:t xml:space="preserve">. The rules set forth below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apply for the purposes of determining each Member’s general allocable share of the items of income, gain, loss or expense of the Company comprising Net Income or Net Loss for each fiscal year, determining special allocations of other items of income, gain, loss and expense, and adjusting the balance of each Member’s Capital Account to reflect the aforementioned general and special allocations. For each fiscal year, the special allocations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shall be made immediately prior to the general allocations of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96"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General Allocations</w:t>
      </w:r>
      <w:r>
        <w:rPr>
          <w:rFonts w:ascii="Arial" w:cs="Arial" w:eastAsia="Arial" w:hAnsi="Arial"/>
          <w:sz w:val="16"/>
          <w:szCs w:val="16"/>
          <w:color w:val="auto"/>
        </w:rPr>
        <w:t>.</w:t>
      </w:r>
    </w:p>
    <w:p>
      <w:pPr>
        <w:spacing w:after="0" w:line="117" w:lineRule="exact"/>
        <w:rPr>
          <w:sz w:val="20"/>
          <w:szCs w:val="20"/>
          <w:color w:val="auto"/>
        </w:rPr>
      </w:pPr>
    </w:p>
    <w:p>
      <w:pPr>
        <w:ind w:right="80" w:firstLine="921"/>
        <w:spacing w:after="0" w:line="259" w:lineRule="auto"/>
        <w:tabs>
          <w:tab w:leader="none" w:pos="1293"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Allocations for a Fiscal Year and a Winding Up Year</w:t>
      </w:r>
      <w:r>
        <w:rPr>
          <w:rFonts w:ascii="Arial" w:cs="Arial" w:eastAsia="Arial" w:hAnsi="Arial"/>
          <w:sz w:val="18"/>
          <w:szCs w:val="18"/>
          <w:color w:val="auto"/>
        </w:rPr>
        <w:t>. The items of income, expense, gain and loss of the Company comprising Net Income or Net Loss of the Company for a fiscal year (including any Winding Up Year), shall be allocated among the Persons who were Members during such fiscal year in a manner that will, as nearly as possible, cause the Capital Account balance of each Member at the end of such fiscal year to equal the excess (which may be negative) of:</w:t>
      </w:r>
    </w:p>
    <w:p>
      <w:pPr>
        <w:spacing w:after="0" w:line="186" w:lineRule="exact"/>
        <w:rPr>
          <w:rFonts w:ascii="Arial" w:cs="Arial" w:eastAsia="Arial" w:hAnsi="Arial"/>
          <w:sz w:val="18"/>
          <w:szCs w:val="18"/>
          <w:color w:val="auto"/>
        </w:rPr>
      </w:pPr>
    </w:p>
    <w:p>
      <w:pPr>
        <w:ind w:right="180" w:firstLine="1492"/>
        <w:spacing w:after="0" w:line="302" w:lineRule="auto"/>
        <w:tabs>
          <w:tab w:leader="none" w:pos="1833" w:val="left"/>
        </w:tabs>
        <w:numPr>
          <w:ilvl w:val="1"/>
          <w:numId w:val="282"/>
        </w:numPr>
        <w:rPr>
          <w:rFonts w:ascii="Arial" w:cs="Arial" w:eastAsia="Arial" w:hAnsi="Arial"/>
          <w:sz w:val="16"/>
          <w:szCs w:val="16"/>
          <w:color w:val="auto"/>
        </w:rPr>
      </w:pPr>
      <w:r>
        <w:rPr>
          <w:rFonts w:ascii="Arial" w:cs="Arial" w:eastAsia="Arial" w:hAnsi="Arial"/>
          <w:sz w:val="16"/>
          <w:szCs w:val="16"/>
          <w:color w:val="auto"/>
        </w:rPr>
        <w:t xml:space="preserve">the hypothetical distribution (if any) that such Member would receive if, on the last day of the fiscal year: (A) all Company assets, including cash, were sold for cash equal to their Gross Asset Values, taking into account any adjustments thereto for such fiscal year; (B) all Company liabilities were satisfied in cash according to their terms (limited, with respect to each Nonrecourse Liability, to the Gross Asset Value of the assets securing such liability); and (C) the net proceeds thereof (after satisfaction of such liabilities) were distributed in full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over</w:t>
      </w:r>
    </w:p>
    <w:p>
      <w:pPr>
        <w:sectPr>
          <w:pgSz w:w="11900" w:h="16838" w:orient="portrait"/>
          <w:cols w:equalWidth="0" w:num="1">
            <w:col w:w="11400"/>
          </w:cols>
          <w:pgMar w:left="240" w:top="274" w:right="259" w:bottom="1440" w:gutter="0" w:footer="0" w:header="0"/>
        </w:sectPr>
      </w:pPr>
    </w:p>
    <w:bookmarkStart w:id="385" w:name="page386"/>
    <w:bookmarkEnd w:id="385"/>
    <w:p>
      <w:pPr>
        <w:ind w:firstLine="1492"/>
        <w:spacing w:after="0" w:line="288" w:lineRule="auto"/>
        <w:tabs>
          <w:tab w:leader="none" w:pos="1883" w:val="left"/>
        </w:tabs>
        <w:numPr>
          <w:ilvl w:val="1"/>
          <w:numId w:val="2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sum of: (A) the amount, if any, which such Member is obligated to contribute to the capital of the Company; (B) such Member’s share of the Company Minimum Gain determined pursuant to Regulations Section 1.704-2(g); and (C) such Member’s share of Member Nonrecourse Debt Minimum Gain determined pursuant to Regulations Section 1.704-2(i)(5), all computed immediately prior to the hypothetical sale described in </w:t>
      </w:r>
      <w:r>
        <w:rPr>
          <w:rFonts w:ascii="Arial" w:cs="Arial" w:eastAsia="Arial" w:hAnsi="Arial"/>
          <w:sz w:val="16"/>
          <w:szCs w:val="16"/>
          <w:u w:val="single" w:color="auto"/>
          <w:color w:val="auto"/>
        </w:rPr>
        <w:t>Section 7.2(a)</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80" w:firstLine="921"/>
        <w:spacing w:after="0" w:line="255" w:lineRule="auto"/>
        <w:tabs>
          <w:tab w:leader="none" w:pos="1303"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Loss Limitation</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the amount of items of expense and loss of the Company allocated pursuant to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to any Member shall not exceed the maximum amount of such items that can be so allocated without causing such Member to have an Adjusted Capital Account Deficit at the end of any fiscal year. All such items in excess of the limitation set forth in this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shall be allocated first, to Members who would not have an Adjusted Capital Account Deficit, pro rata, in proportion to their Capital Account balances, adjusted as provided in clauses (a) and (b) of the definition of Adjusted Capital Account Deficit, until no Member would be entitled to any further allocation, and thereafter, to all Members, pro rata, in proportion to their Units held.</w:t>
      </w:r>
    </w:p>
    <w:p>
      <w:pPr>
        <w:spacing w:after="0" w:line="193"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Special Allocations</w:t>
      </w:r>
      <w:r>
        <w:rPr>
          <w:rFonts w:ascii="Arial" w:cs="Arial" w:eastAsia="Arial" w:hAnsi="Arial"/>
          <w:sz w:val="16"/>
          <w:szCs w:val="16"/>
          <w:color w:val="auto"/>
        </w:rPr>
        <w:t>. The following special allocations shall be made in the following order:</w:t>
      </w:r>
    </w:p>
    <w:p>
      <w:pPr>
        <w:spacing w:after="0" w:line="225" w:lineRule="exact"/>
        <w:rPr>
          <w:sz w:val="20"/>
          <w:szCs w:val="20"/>
          <w:color w:val="auto"/>
        </w:rPr>
      </w:pPr>
    </w:p>
    <w:p>
      <w:pPr>
        <w:ind w:right="140" w:firstLine="921"/>
        <w:spacing w:after="0" w:line="264" w:lineRule="auto"/>
        <w:tabs>
          <w:tab w:leader="none" w:pos="1293"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Minimum Gain Chargeback</w:t>
      </w:r>
      <w:r>
        <w:rPr>
          <w:rFonts w:ascii="Arial" w:cs="Arial" w:eastAsia="Arial" w:hAnsi="Arial"/>
          <w:sz w:val="18"/>
          <w:szCs w:val="18"/>
          <w:color w:val="auto"/>
        </w:rPr>
        <w:t xml:space="preserve">. In the event that there is a net decrease during a fiscal year in either Company Minimum Gain or Member Nonrecourse Debt Minimum Gain, then notwithstanding any other provision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each Member shall receive such special allocations of items of Company income and gain as are required in order to conform to Regulations Section 1.704-2.</w:t>
      </w:r>
    </w:p>
    <w:p>
      <w:pPr>
        <w:spacing w:after="0" w:line="181" w:lineRule="exact"/>
        <w:rPr>
          <w:rFonts w:ascii="Arial" w:cs="Arial" w:eastAsia="Arial" w:hAnsi="Arial"/>
          <w:sz w:val="18"/>
          <w:szCs w:val="18"/>
          <w:color w:val="auto"/>
        </w:rPr>
      </w:pPr>
    </w:p>
    <w:p>
      <w:pPr>
        <w:ind w:right="240" w:firstLine="921"/>
        <w:spacing w:after="0" w:line="274" w:lineRule="auto"/>
        <w:tabs>
          <w:tab w:leader="none" w:pos="1303"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Qualified Income Offset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but notwithstanding any other provision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items of income and gain shall be specially allocated to the Members in a manner that complies with the “qualified income offset” requirement of Regulations</w:t>
      </w:r>
    </w:p>
    <w:p>
      <w:pPr>
        <w:spacing w:after="0"/>
        <w:rPr>
          <w:rFonts w:ascii="Arial" w:cs="Arial" w:eastAsia="Arial" w:hAnsi="Arial"/>
          <w:sz w:val="17"/>
          <w:szCs w:val="17"/>
          <w:color w:val="auto"/>
        </w:rPr>
      </w:pPr>
      <w:r>
        <w:rPr>
          <w:rFonts w:ascii="Arial" w:cs="Arial" w:eastAsia="Arial" w:hAnsi="Arial"/>
          <w:sz w:val="18"/>
          <w:szCs w:val="18"/>
          <w:color w:val="auto"/>
        </w:rPr>
        <w:t>Section 1.704-1(b)(2)(ii)(d)(3).</w:t>
      </w:r>
    </w:p>
    <w:p>
      <w:pPr>
        <w:spacing w:after="0" w:line="210" w:lineRule="exact"/>
        <w:rPr>
          <w:rFonts w:ascii="Arial" w:cs="Arial" w:eastAsia="Arial" w:hAnsi="Arial"/>
          <w:sz w:val="17"/>
          <w:szCs w:val="17"/>
          <w:color w:val="auto"/>
        </w:rPr>
      </w:pPr>
    </w:p>
    <w:p>
      <w:pPr>
        <w:ind w:left="1300" w:hanging="379"/>
        <w:spacing w:after="0"/>
        <w:tabs>
          <w:tab w:leader="none" w:pos="1300"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Deficit Capital Accounts Generally</w:t>
      </w:r>
      <w:r>
        <w:rPr>
          <w:rFonts w:ascii="Arial" w:cs="Arial" w:eastAsia="Arial" w:hAnsi="Arial"/>
          <w:sz w:val="16"/>
          <w:szCs w:val="16"/>
          <w:color w:val="auto"/>
        </w:rPr>
        <w:t>. If a Member has a deficit Capital Account balance at the end of any fiscal year which is in excess of the</w:t>
      </w:r>
    </w:p>
    <w:p>
      <w:pPr>
        <w:spacing w:after="0" w:line="46" w:lineRule="exact"/>
        <w:rPr>
          <w:rFonts w:ascii="Arial" w:cs="Arial" w:eastAsia="Arial" w:hAnsi="Arial"/>
          <w:sz w:val="16"/>
          <w:szCs w:val="16"/>
          <w:color w:val="auto"/>
        </w:rPr>
      </w:pPr>
    </w:p>
    <w:p>
      <w:pPr>
        <w:ind w:right="6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sum of: (i) the amount such Member is then obligated to restore pursuant to this Agreement; and (ii) the amount such Member is then deemed to be obligated to restore pursuant to the penultimate sentences of Regulations Sections 1.704-2(g)(1) and 1.704-2(i)(5), respectively, such Member shall be specially allocated items of income and gain of the Company in an amount of such excess as quickly as possible,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allocation under this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shall be made only if and to the extent that a Member would have a deficit Capital Account balance in excess of such sum after all allocations provided for in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have been tentatively made as if this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were not in this Agreement.</w:t>
      </w:r>
    </w:p>
    <w:p>
      <w:pPr>
        <w:spacing w:after="0" w:line="178" w:lineRule="exact"/>
        <w:rPr>
          <w:rFonts w:ascii="Arial" w:cs="Arial" w:eastAsia="Arial" w:hAnsi="Arial"/>
          <w:sz w:val="16"/>
          <w:szCs w:val="16"/>
          <w:color w:val="auto"/>
        </w:rPr>
      </w:pPr>
    </w:p>
    <w:p>
      <w:pPr>
        <w:jc w:val="both"/>
        <w:ind w:right="660" w:firstLine="921"/>
        <w:spacing w:after="0" w:line="264" w:lineRule="auto"/>
        <w:tabs>
          <w:tab w:leader="none" w:pos="1303"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Deductions Attributable to Member Nonrecourse Debt</w:t>
      </w:r>
      <w:r>
        <w:rPr>
          <w:rFonts w:ascii="Arial" w:cs="Arial" w:eastAsia="Arial" w:hAnsi="Arial"/>
          <w:sz w:val="18"/>
          <w:szCs w:val="18"/>
          <w:color w:val="auto"/>
        </w:rPr>
        <w:t>. Any item of loss or expense of the Company that is attributable to Member Nonrecourse Debt shall be specially allocated to the Members in the manner in which they share the economic risk of loss (as defined in Regulations Section 1.752-2) for such Member Nonrecourse Debt.</w:t>
      </w:r>
    </w:p>
    <w:p>
      <w:pPr>
        <w:sectPr>
          <w:pgSz w:w="11900" w:h="16838" w:orient="portrait"/>
          <w:cols w:equalWidth="0" w:num="1">
            <w:col w:w="11400"/>
          </w:cols>
          <w:pgMar w:left="240" w:top="273" w:right="259" w:bottom="1440" w:gutter="0" w:footer="0" w:header="0"/>
        </w:sectPr>
      </w:pPr>
    </w:p>
    <w:bookmarkStart w:id="386" w:name="page387"/>
    <w:bookmarkEnd w:id="386"/>
    <w:p>
      <w:pPr>
        <w:ind w:right="140" w:firstLine="921"/>
        <w:spacing w:after="0" w:line="277" w:lineRule="auto"/>
        <w:tabs>
          <w:tab w:leader="none" w:pos="1293"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Allocation of Nonrecourse Deductions</w:t>
      </w:r>
      <w:r>
        <w:rPr>
          <w:rFonts w:ascii="Arial" w:cs="Arial" w:eastAsia="Arial" w:hAnsi="Arial"/>
          <w:sz w:val="18"/>
          <w:szCs w:val="18"/>
          <w:color w:val="auto"/>
        </w:rPr>
        <w:t>. Each Nonrecourse Deduction of the Company shall be specially allocated among the Members pro rata to their relative ownership of Units.</w:t>
      </w:r>
    </w:p>
    <w:p>
      <w:pPr>
        <w:spacing w:after="0" w:line="170" w:lineRule="exact"/>
        <w:rPr>
          <w:rFonts w:ascii="Arial" w:cs="Arial" w:eastAsia="Arial" w:hAnsi="Arial"/>
          <w:sz w:val="18"/>
          <w:szCs w:val="18"/>
          <w:color w:val="auto"/>
        </w:rPr>
      </w:pPr>
    </w:p>
    <w:p>
      <w:pPr>
        <w:ind w:left="1280" w:hanging="359"/>
        <w:spacing w:after="0"/>
        <w:tabs>
          <w:tab w:leader="none" w:pos="128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Section 754 Adjustments</w:t>
      </w:r>
      <w:r>
        <w:rPr>
          <w:rFonts w:ascii="Arial" w:cs="Arial" w:eastAsia="Arial" w:hAnsi="Arial"/>
          <w:sz w:val="18"/>
          <w:szCs w:val="18"/>
          <w:color w:val="auto"/>
        </w:rPr>
        <w:t>. To the extent an adjustment to the adjusted tax basis of any asset of the Company, pursuant to Code</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Section 734(b) or Section 743(b) is required, pursuant to Regulations Section 1.704-1(b)(2)(iv)(m)(2) or Section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Regulations Section 1.704-1(b)(2)(iv)(m)(2) applies, or to the Member to whom such distribution was made in the event Regulations Section 1.704-1(b)(2)(iv)(m)(4) applies.</w:t>
      </w:r>
    </w:p>
    <w:p>
      <w:pPr>
        <w:spacing w:after="0" w:line="194" w:lineRule="exact"/>
        <w:rPr>
          <w:sz w:val="20"/>
          <w:szCs w:val="20"/>
          <w:color w:val="auto"/>
        </w:rPr>
      </w:pPr>
    </w:p>
    <w:p>
      <w:pPr>
        <w:jc w:val="both"/>
        <w:ind w:right="20" w:firstLine="1484"/>
        <w:spacing w:after="0" w:line="286" w:lineRule="auto"/>
        <w:rPr>
          <w:sz w:val="20"/>
          <w:szCs w:val="20"/>
          <w:color w:val="auto"/>
        </w:rPr>
      </w:pPr>
      <w:r>
        <w:rPr>
          <w:rFonts w:ascii="Arial" w:cs="Arial" w:eastAsia="Arial" w:hAnsi="Arial"/>
          <w:sz w:val="17"/>
          <w:szCs w:val="17"/>
          <w:color w:val="auto"/>
        </w:rPr>
        <w:t xml:space="preserve">The allocations pursuant to </w:t>
      </w:r>
      <w:r>
        <w:rPr>
          <w:rFonts w:ascii="Arial" w:cs="Arial" w:eastAsia="Arial" w:hAnsi="Arial"/>
          <w:sz w:val="17"/>
          <w:szCs w:val="17"/>
          <w:u w:val="single" w:color="auto"/>
          <w:color w:val="auto"/>
        </w:rPr>
        <w:t>Sections 7.3(a)</w:t>
      </w:r>
      <w:r>
        <w:rPr>
          <w:rFonts w:ascii="Arial" w:cs="Arial" w:eastAsia="Arial" w:hAnsi="Arial"/>
          <w:sz w:val="17"/>
          <w:szCs w:val="17"/>
          <w:color w:val="auto"/>
        </w:rPr>
        <w:t xml:space="preserve">, </w:t>
      </w:r>
      <w:r>
        <w:rPr>
          <w:rFonts w:ascii="Arial" w:cs="Arial" w:eastAsia="Arial" w:hAnsi="Arial"/>
          <w:sz w:val="17"/>
          <w:szCs w:val="17"/>
          <w:u w:val="single" w:color="auto"/>
          <w:color w:val="auto"/>
        </w:rPr>
        <w:t>7.3(b)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7.3(c)</w:t>
      </w:r>
      <w:r>
        <w:rPr>
          <w:rFonts w:ascii="Arial" w:cs="Arial" w:eastAsia="Arial" w:hAnsi="Arial"/>
          <w:sz w:val="17"/>
          <w:szCs w:val="17"/>
          <w:color w:val="auto"/>
        </w:rPr>
        <w:t xml:space="preserve"> shall be comprised of a proportionate share of each of the Company’s items of income or gain. The amounts of any income, gain, loss or deduction of the Company available to be specially allocated pursuant to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shall be determined by applying rules analogous to those set forth in subparagraphs (a) through (f) of the definitions of Net Income and Net Loss.</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Allocation of Nonrecourse Liabilities</w:t>
      </w:r>
      <w:r>
        <w:rPr>
          <w:rFonts w:ascii="Arial" w:cs="Arial" w:eastAsia="Arial" w:hAnsi="Arial"/>
          <w:sz w:val="18"/>
          <w:szCs w:val="18"/>
          <w:color w:val="auto"/>
        </w:rPr>
        <w:t xml:space="preserve">. For purposes of determining each Member’s share of Nonrecourse Liabilities, if any, of the Company in accordance with Regulations Section 1.752-3(a)(3), the Members’ interests in the Company’s profits shall be determined in the same manner as prescribed by </w:t>
      </w:r>
      <w:r>
        <w:rPr>
          <w:rFonts w:ascii="Arial" w:cs="Arial" w:eastAsia="Arial" w:hAnsi="Arial"/>
          <w:sz w:val="18"/>
          <w:szCs w:val="18"/>
          <w:u w:val="single" w:color="auto"/>
          <w:color w:val="auto"/>
        </w:rPr>
        <w:t>Section 7.3(e)</w:t>
      </w:r>
      <w:r>
        <w:rPr>
          <w:rFonts w:ascii="Arial" w:cs="Arial" w:eastAsia="Arial" w:hAnsi="Arial"/>
          <w:sz w:val="18"/>
          <w:szCs w:val="18"/>
          <w:color w:val="auto"/>
        </w:rPr>
        <w:t>.</w:t>
      </w:r>
    </w:p>
    <w:p>
      <w:pPr>
        <w:spacing w:after="0" w:line="289"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Other Allocation Rules</w:t>
      </w:r>
      <w:r>
        <w:rPr>
          <w:rFonts w:ascii="Arial" w:cs="Arial" w:eastAsia="Arial" w:hAnsi="Arial"/>
          <w:sz w:val="16"/>
          <w:szCs w:val="16"/>
          <w:color w:val="auto"/>
        </w:rPr>
        <w:t>.</w:t>
      </w:r>
    </w:p>
    <w:p>
      <w:pPr>
        <w:spacing w:after="0" w:line="117" w:lineRule="exact"/>
        <w:rPr>
          <w:sz w:val="20"/>
          <w:szCs w:val="20"/>
          <w:color w:val="auto"/>
        </w:rPr>
      </w:pPr>
    </w:p>
    <w:p>
      <w:pPr>
        <w:ind w:left="1300" w:hanging="379"/>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Tax Allocations; Other Allocation Rules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92"/>
        <w:spacing w:after="0" w:line="291" w:lineRule="auto"/>
        <w:tabs>
          <w:tab w:leader="none" w:pos="1833" w:val="left"/>
        </w:tabs>
        <w:numPr>
          <w:ilvl w:val="1"/>
          <w:numId w:val="287"/>
        </w:numPr>
        <w:rPr>
          <w:rFonts w:ascii="Arial" w:cs="Arial" w:eastAsia="Arial" w:hAnsi="Arial"/>
          <w:sz w:val="16"/>
          <w:szCs w:val="16"/>
          <w:color w:val="auto"/>
        </w:rPr>
      </w:pPr>
      <w:r>
        <w:rPr>
          <w:rFonts w:ascii="Arial" w:cs="Arial" w:eastAsia="Arial" w:hAnsi="Arial"/>
          <w:sz w:val="16"/>
          <w:szCs w:val="16"/>
          <w:u w:val="single" w:color="auto"/>
          <w:color w:val="auto"/>
        </w:rPr>
        <w:t>Tax Allocations</w:t>
      </w:r>
      <w:r>
        <w:rPr>
          <w:rFonts w:ascii="Arial" w:cs="Arial" w:eastAsia="Arial" w:hAnsi="Arial"/>
          <w:sz w:val="16"/>
          <w:szCs w:val="16"/>
          <w:color w:val="auto"/>
        </w:rPr>
        <w:t xml:space="preserve">. Tax allocations of each item of income, gain, loss, or deduction of the Company for federal income tax purposes for each fiscal year or other accounting period of the Company shall be made consistent with and in the same proportion as the corresponding allocations of such items of income, gain, loss or deduction that are made pursuant to </w:t>
      </w:r>
      <w:r>
        <w:rPr>
          <w:rFonts w:ascii="Arial" w:cs="Arial" w:eastAsia="Arial" w:hAnsi="Arial"/>
          <w:sz w:val="16"/>
          <w:szCs w:val="16"/>
          <w:u w:val="single" w:color="auto"/>
          <w:color w:val="auto"/>
        </w:rPr>
        <w:t>Sections 7.2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7.3</w:t>
      </w:r>
      <w:r>
        <w:rPr>
          <w:rFonts w:ascii="Arial" w:cs="Arial" w:eastAsia="Arial" w:hAnsi="Arial"/>
          <w:sz w:val="16"/>
          <w:szCs w:val="16"/>
          <w:color w:val="auto"/>
        </w:rPr>
        <w:t xml:space="preserve"> for such year or period, except that, solely for tax purposes, items of income, expense, gain and loss with respect to assets of the Company reflected hereunder in the Members’ Capital Accounts and on the books of the Company at values that differ from the Company’s adjusted tax basis in such assets shall be allocated among the Members so as to take account of those differences in a manner which will comply with Code Sections 704(b) and 704(c) and the Regulations promulgated thereunder. The Company shall, at the discretion of the Board of Managers, make, or not make, “curative” or “remedial” allocations (within the meaning of the Regulations Section 1.704-3).</w:t>
      </w:r>
    </w:p>
    <w:p>
      <w:pPr>
        <w:spacing w:after="0" w:line="167" w:lineRule="exact"/>
        <w:rPr>
          <w:rFonts w:ascii="Arial" w:cs="Arial" w:eastAsia="Arial" w:hAnsi="Arial"/>
          <w:sz w:val="16"/>
          <w:szCs w:val="16"/>
          <w:color w:val="auto"/>
        </w:rPr>
      </w:pPr>
    </w:p>
    <w:p>
      <w:pPr>
        <w:ind w:right="580" w:firstLine="1492"/>
        <w:spacing w:after="0" w:line="264" w:lineRule="auto"/>
        <w:tabs>
          <w:tab w:leader="none" w:pos="1883"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Changes in Members’ Interests</w:t>
      </w:r>
      <w:r>
        <w:rPr>
          <w:rFonts w:ascii="Arial" w:cs="Arial" w:eastAsia="Arial" w:hAnsi="Arial"/>
          <w:sz w:val="18"/>
          <w:szCs w:val="18"/>
          <w:color w:val="auto"/>
        </w:rPr>
        <w:t>. If during any fiscal year or other accounting period of the Company there is a change in any Member’s interest in the Company, the Board of Managers shall allocate Net Income or Net Loss to the Members in a manner that complies with the provisions of Code Section 706 and the Regulations thereunder.</w:t>
      </w:r>
    </w:p>
    <w:p>
      <w:pPr>
        <w:sectPr>
          <w:pgSz w:w="11900" w:h="16838" w:orient="portrait"/>
          <w:cols w:equalWidth="0" w:num="1">
            <w:col w:w="11420"/>
          </w:cols>
          <w:pgMar w:left="240" w:top="274" w:right="239" w:bottom="1440" w:gutter="0" w:footer="0" w:header="0"/>
        </w:sectPr>
      </w:pPr>
    </w:p>
    <w:bookmarkStart w:id="387" w:name="page388"/>
    <w:bookmarkEnd w:id="387"/>
    <w:p>
      <w:pPr>
        <w:ind w:left="-921" w:right="120" w:firstLine="1492"/>
        <w:spacing w:after="0" w:line="264" w:lineRule="auto"/>
        <w:tabs>
          <w:tab w:leader="none" w:pos="1012" w:val="left"/>
        </w:tabs>
        <w:numPr>
          <w:ilvl w:val="1"/>
          <w:numId w:val="2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Credits</w:t>
      </w:r>
      <w:r>
        <w:rPr>
          <w:rFonts w:ascii="Arial" w:cs="Arial" w:eastAsia="Arial" w:hAnsi="Arial"/>
          <w:sz w:val="18"/>
          <w:szCs w:val="18"/>
          <w:color w:val="auto"/>
        </w:rPr>
        <w:t>. All tax credits of the Company for a fiscal year or other accounting period (or portion thereof, if appropriate) shall be allocated among the Members in accordance with their interests in such items in a manner reasonably determined by the Board of Managers, consistent with applicable law.</w:t>
      </w:r>
    </w:p>
    <w:p>
      <w:pPr>
        <w:spacing w:after="0" w:line="289" w:lineRule="exact"/>
        <w:rPr>
          <w:rFonts w:ascii="Arial" w:cs="Arial" w:eastAsia="Arial" w:hAnsi="Arial"/>
          <w:sz w:val="18"/>
          <w:szCs w:val="18"/>
          <w:color w:val="auto"/>
        </w:rPr>
      </w:pPr>
    </w:p>
    <w:p>
      <w:pPr>
        <w:ind w:left="399" w:hanging="399"/>
        <w:spacing w:after="0"/>
        <w:tabs>
          <w:tab w:leader="none" w:pos="399"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921" w:right="20" w:firstLine="1492"/>
        <w:spacing w:after="0" w:line="312" w:lineRule="auto"/>
        <w:tabs>
          <w:tab w:leader="none" w:pos="912"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If the Company receives proceeds in respect of which a tax has been withheld, the Company shall be treated as having received cash in an amount equal to the amount of such withheld tax, and, for all purposes of this Agreement each Member shall be treated as having received a distribution under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equal to the portion of the withholding tax allocable to such Member, as reasonably determined by the Board of Managers.</w:t>
      </w:r>
    </w:p>
    <w:p>
      <w:pPr>
        <w:spacing w:after="0" w:line="147" w:lineRule="exact"/>
        <w:rPr>
          <w:sz w:val="20"/>
          <w:szCs w:val="20"/>
          <w:color w:val="auto"/>
        </w:rPr>
      </w:pPr>
    </w:p>
    <w:p>
      <w:pPr>
        <w:ind w:left="-921" w:firstLine="1492"/>
        <w:spacing w:after="0" w:line="254" w:lineRule="auto"/>
        <w:tabs>
          <w:tab w:leader="none" w:pos="96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If the Company incurs a withholding tax obligation with respect to the share of income allocated to any Member, any amount which is (A) actually withheld from a distribution that would otherwise have been made to such Member, and (B) paid over to the applicable taxing authority in satisfaction of such withholding tax obligation shall be treated for all purposes under this Agreement as if such amount had been distributed to such Member under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For these purposes, each Member’s direct and indirect share of any payments by the Company or any other entity treated as a partnership for U.S. federal income tax purposes (other than the portion of any such payment by an entity that is held directly or indirectly by the Company through an entity treated as a corporation for U.S. federal income tax purposes) pursuant to Subchapter C of Chapter 63 of the Code shall be deemed to be a withholding tax obligation with respect to such Member that otherwise meets the requirements of the preceding sentence to be treated as having been distributed to such Member under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921" w:right="100" w:firstLine="1492"/>
        <w:spacing w:after="0" w:line="255" w:lineRule="auto"/>
        <w:tabs>
          <w:tab w:leader="none" w:pos="100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Taxes withheld pursuant to </w:t>
      </w:r>
      <w:r>
        <w:rPr>
          <w:rFonts w:ascii="Arial" w:cs="Arial" w:eastAsia="Arial" w:hAnsi="Arial"/>
          <w:sz w:val="18"/>
          <w:szCs w:val="18"/>
          <w:u w:val="single" w:color="auto"/>
          <w:color w:val="auto"/>
        </w:rPr>
        <w:t>Sections 7.5(b)(i)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but which exceed the amount, if any, actually withheld from a distribution which would otherwise have been made to such Member, shall be treated as an interest-free advance to such Member. Amounts treated as advanced to any Member pursuant to this </w:t>
      </w:r>
      <w:r>
        <w:rPr>
          <w:rFonts w:ascii="Arial" w:cs="Arial" w:eastAsia="Arial" w:hAnsi="Arial"/>
          <w:sz w:val="18"/>
          <w:szCs w:val="18"/>
          <w:u w:val="single" w:color="auto"/>
          <w:color w:val="auto"/>
        </w:rPr>
        <w:t>Section 7.5(b)(iii)</w:t>
      </w:r>
      <w:r>
        <w:rPr>
          <w:rFonts w:ascii="Arial" w:cs="Arial" w:eastAsia="Arial" w:hAnsi="Arial"/>
          <w:sz w:val="18"/>
          <w:szCs w:val="18"/>
          <w:color w:val="auto"/>
        </w:rPr>
        <w:t xml:space="preserve"> shall be repaid by such Member to the Company within thirty (30) days after the Board of Managers gives notice to such Member making demand therefor, with any such demands being made equitably and ratably of such Members. Any amounts so advanced and not timely repaid shall bear interest, commencing on the expiration of said thirty (30) day period, compounded monthly on unpaid balances, at an annual rate equal to the Applicable Federal Rate as of such expiration date. The Company shall collect any unpaid amounts from any distributions by the Company that would otherwise be made to such Member.</w:t>
      </w:r>
    </w:p>
    <w:p>
      <w:pPr>
        <w:spacing w:after="0" w:line="189" w:lineRule="exact"/>
        <w:rPr>
          <w:rFonts w:ascii="Arial" w:cs="Arial" w:eastAsia="Arial" w:hAnsi="Arial"/>
          <w:sz w:val="18"/>
          <w:szCs w:val="18"/>
          <w:color w:val="auto"/>
        </w:rPr>
      </w:pPr>
    </w:p>
    <w:p>
      <w:pPr>
        <w:ind w:left="-921" w:firstLine="1492"/>
        <w:spacing w:after="0" w:line="255" w:lineRule="auto"/>
        <w:tabs>
          <w:tab w:leader="none" w:pos="99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Company shall not be liable for any excess taxes withheld in respect of any Member’s Units, and, in the event of any such overwithholding, a Member’s sole recourse shall be to apply for a refund from the appropriate governmental authority. If the Company or any of its respective Affiliates, or any of their respective shareholders, partners, members, officers, directors, employees, managers and, as determined by the Board of Managers in its discretion, consultants or agents, becomes liable as a result of a failure to withhold and remit taxes in respect of any Member, then such Member shall, unless otherwise agreed by the Board of Managers in writing, to the fullest extent permitted by law, indemnify and hold harmless the Company or any of its respective Affiliates,</w:t>
      </w:r>
    </w:p>
    <w:p>
      <w:pPr>
        <w:sectPr>
          <w:pgSz w:w="11900" w:h="16838" w:orient="portrait"/>
          <w:cols w:equalWidth="0" w:num="1">
            <w:col w:w="10479"/>
          </w:cols>
          <w:pgMar w:left="1161" w:top="273" w:right="259" w:bottom="1440" w:gutter="0" w:footer="0" w:header="0"/>
        </w:sectPr>
      </w:pPr>
    </w:p>
    <w:bookmarkStart w:id="388" w:name="page389"/>
    <w:bookmarkEnd w:id="388"/>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any of their respective shareholders, partners, members, officers, directors, employees, managers and, as determined by the Board of Managers in its discretion, consultants or agents, as the case may be, in respect of all taxes, including interest and penalties, and any expenses incurred in any examination, determination, resolution and payment of such liability. The provisions contained in this </w:t>
      </w:r>
      <w:r>
        <w:rPr>
          <w:rFonts w:ascii="Arial" w:cs="Arial" w:eastAsia="Arial" w:hAnsi="Arial"/>
          <w:sz w:val="18"/>
          <w:szCs w:val="18"/>
          <w:u w:val="single" w:color="auto"/>
          <w:color w:val="auto"/>
        </w:rPr>
        <w:t>Section 7.5(b)</w:t>
      </w:r>
      <w:r>
        <w:rPr>
          <w:rFonts w:ascii="Arial" w:cs="Arial" w:eastAsia="Arial" w:hAnsi="Arial"/>
          <w:sz w:val="18"/>
          <w:szCs w:val="18"/>
          <w:color w:val="auto"/>
        </w:rPr>
        <w:t xml:space="preserve"> shall survive the termination of the Company, the termination of this Agreement and the Transfer of any Units.</w:t>
      </w:r>
    </w:p>
    <w:p>
      <w:pPr>
        <w:spacing w:after="0" w:line="187"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u w:val="single" w:color="auto"/>
          <w:color w:val="auto"/>
        </w:rPr>
        <w:t>Tax Classification of the Company</w:t>
      </w:r>
      <w:r>
        <w:rPr>
          <w:rFonts w:ascii="Arial" w:cs="Arial" w:eastAsia="Arial" w:hAnsi="Arial"/>
          <w:sz w:val="16"/>
          <w:szCs w:val="16"/>
          <w:color w:val="auto"/>
        </w:rPr>
        <w:t>. It is intended that the Company be classified as a partnership for United States federal income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211" w:lineRule="exact"/>
        <w:rPr>
          <w:sz w:val="20"/>
          <w:szCs w:val="20"/>
          <w:color w:val="auto"/>
        </w:rPr>
      </w:pPr>
    </w:p>
    <w:p>
      <w:pPr>
        <w:jc w:val="both"/>
        <w:ind w:right="280" w:firstLine="921"/>
        <w:spacing w:after="0" w:line="264" w:lineRule="auto"/>
        <w:tabs>
          <w:tab w:leader="none" w:pos="1303"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Certain Tax Elections</w:t>
      </w:r>
      <w:r>
        <w:rPr>
          <w:rFonts w:ascii="Arial" w:cs="Arial" w:eastAsia="Arial" w:hAnsi="Arial"/>
          <w:sz w:val="18"/>
          <w:szCs w:val="18"/>
          <w:color w:val="auto"/>
        </w:rPr>
        <w:t xml:space="preserve">. Except in connection with actions taken in accordance with </w:t>
      </w:r>
      <w:r>
        <w:rPr>
          <w:rFonts w:ascii="Arial" w:cs="Arial" w:eastAsia="Arial" w:hAnsi="Arial"/>
          <w:sz w:val="18"/>
          <w:szCs w:val="18"/>
          <w:u w:val="single" w:color="auto"/>
          <w:color w:val="auto"/>
        </w:rPr>
        <w:t>Section 11.1</w:t>
      </w:r>
      <w:r>
        <w:rPr>
          <w:rFonts w:ascii="Arial" w:cs="Arial" w:eastAsia="Arial" w:hAnsi="Arial"/>
          <w:sz w:val="18"/>
          <w:szCs w:val="18"/>
          <w:color w:val="auto"/>
        </w:rPr>
        <w:t>, the Company shall not file any election pursuant to Regulations Section 301.7701-3(c) to be treated as an entity other than a partnership or elect, pursuant to Code Section 761(a), to be excluded from the provisions of subchapter K of the Code.</w:t>
      </w:r>
    </w:p>
    <w:p>
      <w:pPr>
        <w:spacing w:after="0" w:line="181" w:lineRule="exact"/>
        <w:rPr>
          <w:rFonts w:ascii="Arial" w:cs="Arial" w:eastAsia="Arial" w:hAnsi="Arial"/>
          <w:sz w:val="18"/>
          <w:szCs w:val="18"/>
          <w:color w:val="auto"/>
        </w:rPr>
      </w:pPr>
    </w:p>
    <w:p>
      <w:pPr>
        <w:ind w:right="220" w:firstLine="921"/>
        <w:spacing w:after="0" w:line="264" w:lineRule="auto"/>
        <w:tabs>
          <w:tab w:leader="none" w:pos="1293"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Publicly Traded Partnership</w:t>
      </w:r>
      <w:r>
        <w:rPr>
          <w:rFonts w:ascii="Arial" w:cs="Arial" w:eastAsia="Arial" w:hAnsi="Arial"/>
          <w:sz w:val="18"/>
          <w:szCs w:val="18"/>
          <w:color w:val="auto"/>
        </w:rPr>
        <w:t>. To ensure that Units are not traded on an established securities market within the meaning of Regulations Section 1.7704-1(b) or readily tradable on a secondary market or the substantial equivalent thereof within the meaning of Regulations Section 1.7704-1(c), notwithstanding anything to the contrary contained in this Agreement:</w:t>
      </w:r>
    </w:p>
    <w:p>
      <w:pPr>
        <w:spacing w:after="0" w:line="181" w:lineRule="exact"/>
        <w:rPr>
          <w:rFonts w:ascii="Arial" w:cs="Arial" w:eastAsia="Arial" w:hAnsi="Arial"/>
          <w:sz w:val="18"/>
          <w:szCs w:val="18"/>
          <w:color w:val="auto"/>
        </w:rPr>
      </w:pPr>
    </w:p>
    <w:p>
      <w:pPr>
        <w:ind w:left="1840" w:hanging="348"/>
        <w:spacing w:after="0"/>
        <w:tabs>
          <w:tab w:leader="none" w:pos="18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Company shall not participate in the establishment of a market or the inclusion of Units thereon; and</w:t>
      </w:r>
    </w:p>
    <w:p>
      <w:pPr>
        <w:spacing w:after="0" w:line="225" w:lineRule="exact"/>
        <w:rPr>
          <w:rFonts w:ascii="Arial" w:cs="Arial" w:eastAsia="Arial" w:hAnsi="Arial"/>
          <w:sz w:val="18"/>
          <w:szCs w:val="18"/>
          <w:color w:val="auto"/>
        </w:rPr>
      </w:pPr>
    </w:p>
    <w:p>
      <w:pPr>
        <w:jc w:val="both"/>
        <w:ind w:right="40" w:firstLine="1492"/>
        <w:spacing w:after="0" w:line="264" w:lineRule="auto"/>
        <w:tabs>
          <w:tab w:leader="none" w:pos="1883"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Company shall not recognize any Transfer made on any market by (A) redeeming any Units of a Member, or (B) admitting as a Member any transferee pursuant to a Transfer or otherwise recognizing any rights of any transferee, such as a right of such transferee to receive distributions from the Company (directly or indirectly) or to acquire an interest in the capital or profits of the Company.</w:t>
      </w:r>
    </w:p>
    <w:p>
      <w:pPr>
        <w:spacing w:after="0" w:line="289" w:lineRule="exact"/>
        <w:rPr>
          <w:rFonts w:ascii="Arial" w:cs="Arial" w:eastAsia="Arial" w:hAnsi="Arial"/>
          <w:sz w:val="18"/>
          <w:szCs w:val="18"/>
          <w:color w:val="auto"/>
        </w:rPr>
      </w:pPr>
    </w:p>
    <w:p>
      <w:pPr>
        <w:ind w:left="1280" w:hanging="359"/>
        <w:spacing w:after="0"/>
        <w:tabs>
          <w:tab w:leader="none" w:pos="128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Other Tax Elections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40" w:hanging="348"/>
        <w:spacing w:after="0"/>
        <w:tabs>
          <w:tab w:leader="none" w:pos="1840"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Elections by the Company</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7.5(a)(i)</w:t>
      </w:r>
      <w:r>
        <w:rPr>
          <w:rFonts w:ascii="Arial" w:cs="Arial" w:eastAsia="Arial" w:hAnsi="Arial"/>
          <w:sz w:val="18"/>
          <w:szCs w:val="18"/>
          <w:color w:val="auto"/>
        </w:rPr>
        <w:t>, relating to Code Section 704(c) allocation methods,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Section 7.5(d)</w:t>
      </w:r>
      <w:r>
        <w:rPr>
          <w:rFonts w:ascii="Arial" w:cs="Arial" w:eastAsia="Arial" w:hAnsi="Arial"/>
          <w:sz w:val="17"/>
          <w:szCs w:val="17"/>
          <w:color w:val="auto"/>
        </w:rPr>
        <w:t xml:space="preserve">, relating to the tax classification of the Company, and </w:t>
      </w:r>
      <w:r>
        <w:rPr>
          <w:rFonts w:ascii="Arial" w:cs="Arial" w:eastAsia="Arial" w:hAnsi="Arial"/>
          <w:sz w:val="17"/>
          <w:szCs w:val="17"/>
          <w:u w:val="single" w:color="auto"/>
          <w:color w:val="auto"/>
        </w:rPr>
        <w:t>Section 7.5(f)(ii)</w:t>
      </w:r>
      <w:r>
        <w:rPr>
          <w:rFonts w:ascii="Arial" w:cs="Arial" w:eastAsia="Arial" w:hAnsi="Arial"/>
          <w:sz w:val="17"/>
          <w:szCs w:val="17"/>
          <w:color w:val="auto"/>
        </w:rPr>
        <w:t xml:space="preserve">, relating to Code Section 754 elections, the Board of Managers may make, or refrain from making, in its sole and absolute discretion, any tax election provided under the Code, or any provision of state, local or foreign tax law. All decisions and other matters concerning the computation and allocation of items of income, gain, loss, deduction and credits among the Members, and accounting procedures not specifically and expressly provided for by the terms of this Agreement, shall be determined by the Board. Any determination made pursuant to this </w:t>
      </w:r>
      <w:r>
        <w:rPr>
          <w:rFonts w:ascii="Arial" w:cs="Arial" w:eastAsia="Arial" w:hAnsi="Arial"/>
          <w:sz w:val="17"/>
          <w:szCs w:val="17"/>
          <w:u w:val="single" w:color="auto"/>
          <w:color w:val="auto"/>
        </w:rPr>
        <w:t>Section 7.5(f)</w:t>
      </w:r>
      <w:r>
        <w:rPr>
          <w:rFonts w:ascii="Arial" w:cs="Arial" w:eastAsia="Arial" w:hAnsi="Arial"/>
          <w:sz w:val="17"/>
          <w:szCs w:val="17"/>
          <w:color w:val="auto"/>
        </w:rPr>
        <w:t xml:space="preserve"> by the Board of Managers shall be conclusive and binding on all Members.</w:t>
      </w:r>
    </w:p>
    <w:p>
      <w:pPr>
        <w:spacing w:after="0" w:line="179" w:lineRule="exact"/>
        <w:rPr>
          <w:sz w:val="20"/>
          <w:szCs w:val="20"/>
          <w:color w:val="auto"/>
        </w:rPr>
      </w:pPr>
    </w:p>
    <w:p>
      <w:pPr>
        <w:ind w:right="680" w:firstLine="1492"/>
        <w:spacing w:after="0" w:line="308" w:lineRule="auto"/>
        <w:tabs>
          <w:tab w:leader="none" w:pos="1883"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Elections by Company Subsidiaries</w:t>
      </w:r>
      <w:r>
        <w:rPr>
          <w:rFonts w:ascii="Arial" w:cs="Arial" w:eastAsia="Arial" w:hAnsi="Arial"/>
          <w:sz w:val="17"/>
          <w:szCs w:val="17"/>
          <w:color w:val="auto"/>
        </w:rPr>
        <w:t>. The Company will make and the Company will, if authorized in the sole and absolute discretion of the Board of Managers, cause any and all eligible Company Subsidiaries to make, an election under Code Section 754.</w:t>
      </w:r>
    </w:p>
    <w:p>
      <w:pPr>
        <w:sectPr>
          <w:pgSz w:w="11900" w:h="16838" w:orient="portrait"/>
          <w:cols w:equalWidth="0" w:num="1">
            <w:col w:w="11380"/>
          </w:cols>
          <w:pgMar w:left="240" w:top="274" w:right="279" w:bottom="1440" w:gutter="0" w:footer="0" w:header="0"/>
        </w:sectPr>
      </w:pPr>
    </w:p>
    <w:bookmarkStart w:id="389" w:name="page390"/>
    <w:bookmarkEnd w:id="389"/>
    <w:p>
      <w:pPr>
        <w:ind w:left="-460" w:right="80" w:firstLine="1492"/>
        <w:spacing w:after="0" w:line="302" w:lineRule="auto"/>
        <w:tabs>
          <w:tab w:leader="none" w:pos="1473"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by Members</w:t>
      </w:r>
      <w:r>
        <w:rPr>
          <w:rFonts w:ascii="Arial" w:cs="Arial" w:eastAsia="Arial" w:hAnsi="Arial"/>
          <w:sz w:val="16"/>
          <w:szCs w:val="16"/>
          <w:color w:val="auto"/>
        </w:rPr>
        <w:t>. In the event any Member makes any tax election that requires the Company to furnish information to such Member to enable such Member to compute its own tax liability, or requires the Company to file any tax return or report with any tax authority, in either case that would not be required in the absence of such election made by such Member, the Board of Managers may, as a condition to furnishing such information or filing such return or report, require such Member to pay to the Company any incremental expenses incurred in connection therewith.</w:t>
      </w:r>
    </w:p>
    <w:p>
      <w:pPr>
        <w:spacing w:after="0" w:line="154" w:lineRule="exact"/>
        <w:rPr>
          <w:rFonts w:ascii="Arial" w:cs="Arial" w:eastAsia="Arial" w:hAnsi="Arial"/>
          <w:sz w:val="16"/>
          <w:szCs w:val="16"/>
          <w:color w:val="auto"/>
        </w:rPr>
      </w:pPr>
    </w:p>
    <w:p>
      <w:pPr>
        <w:ind w:left="-460" w:right="60" w:firstLine="1492"/>
        <w:spacing w:after="0" w:line="291" w:lineRule="auto"/>
        <w:tabs>
          <w:tab w:leader="none" w:pos="1463"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Other Member Obligations</w:t>
      </w:r>
      <w:r>
        <w:rPr>
          <w:rFonts w:ascii="Arial" w:cs="Arial" w:eastAsia="Arial" w:hAnsi="Arial"/>
          <w:sz w:val="16"/>
          <w:szCs w:val="16"/>
          <w:color w:val="auto"/>
        </w:rPr>
        <w:t>. Promptly upon request, each Member shall use commercially reasonable efforts to provide the Company with any information related to such Member necessary (A) to allow the Company to comply with any tax reporting, tax withholding or tax payment obligations of the Company or (B) to establish the Company’s legal entitlement to an exemption from, or reduction of, withholding or other taxes or similar payments, including U.S. federal withholding tax under Sections 1471 and 1472 of the Code. For the avoidance of doubt, if a Member fails to provide the Company with any such information, such Member shall not be relieved of any adverse consequences of such failure even if such Member used commercially reasonable efforts to provide such information. A Member who acquires a Unit shall promptly furnish to the Company such information as the Company shall reasonably request to enable it to compute the adjustments required by Section 755 of the Code and the Regulations thereunder.</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Tax Matters Member</w:t>
      </w:r>
      <w:r>
        <w:rPr>
          <w:rFonts w:ascii="Arial" w:cs="Arial" w:eastAsia="Arial" w:hAnsi="Arial"/>
          <w:sz w:val="16"/>
          <w:szCs w:val="16"/>
          <w:color w:val="auto"/>
        </w:rPr>
        <w:t>.</w:t>
      </w:r>
    </w:p>
    <w:p>
      <w:pPr>
        <w:spacing w:after="0" w:line="117" w:lineRule="exact"/>
        <w:rPr>
          <w:sz w:val="20"/>
          <w:szCs w:val="20"/>
          <w:color w:val="auto"/>
        </w:rPr>
      </w:pPr>
    </w:p>
    <w:p>
      <w:pPr>
        <w:ind w:left="-460" w:right="320" w:firstLine="921"/>
        <w:spacing w:after="0" w:line="257" w:lineRule="auto"/>
        <w:tabs>
          <w:tab w:leader="none" w:pos="833"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Designation</w:t>
      </w:r>
      <w:r>
        <w:rPr>
          <w:rFonts w:ascii="Arial" w:cs="Arial" w:eastAsia="Arial" w:hAnsi="Arial"/>
          <w:sz w:val="18"/>
          <w:szCs w:val="18"/>
          <w:color w:val="auto"/>
        </w:rPr>
        <w:t>. The Board may appoint, or remove a Person to be designated as the tax matters partner within the meaning of Code Section 6231(a)(7) (the “</w:t>
      </w:r>
      <w:r>
        <w:rPr>
          <w:rFonts w:ascii="Arial" w:cs="Arial" w:eastAsia="Arial" w:hAnsi="Arial"/>
          <w:sz w:val="18"/>
          <w:szCs w:val="18"/>
          <w:b w:val="1"/>
          <w:bCs w:val="1"/>
          <w:u w:val="single" w:color="auto"/>
          <w:color w:val="auto"/>
        </w:rPr>
        <w:t>Tax Matters Member</w:t>
      </w:r>
      <w:r>
        <w:rPr>
          <w:rFonts w:ascii="Arial" w:cs="Arial" w:eastAsia="Arial" w:hAnsi="Arial"/>
          <w:sz w:val="18"/>
          <w:szCs w:val="18"/>
          <w:color w:val="auto"/>
        </w:rPr>
        <w:t>”). In such capacity, the Tax Matters Member shall have all of the rights, authority and power, and shall be subject to all of the regulations of, a tax matters partner to the extent provided in the Code and the Regulations. The Tax Matters Member shall also be the “partnership representative” within the meaning of Code Section 6223, and for the avoidance of doubt, references herein to “Tax Matters Member” shall include a person acting in the capacity of “partnership representative.”</w:t>
      </w:r>
    </w:p>
    <w:p>
      <w:pPr>
        <w:spacing w:after="0" w:line="188" w:lineRule="exact"/>
        <w:rPr>
          <w:rFonts w:ascii="Arial" w:cs="Arial" w:eastAsia="Arial" w:hAnsi="Arial"/>
          <w:sz w:val="18"/>
          <w:szCs w:val="18"/>
          <w:color w:val="auto"/>
        </w:rPr>
      </w:pPr>
    </w:p>
    <w:p>
      <w:pPr>
        <w:ind w:left="-460" w:right="260" w:firstLine="921"/>
        <w:spacing w:after="0" w:line="264" w:lineRule="auto"/>
        <w:tabs>
          <w:tab w:leader="none" w:pos="843"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Foreign, State and Local Tax Law</w:t>
      </w:r>
      <w:r>
        <w:rPr>
          <w:rFonts w:ascii="Arial" w:cs="Arial" w:eastAsia="Arial" w:hAnsi="Arial"/>
          <w:sz w:val="18"/>
          <w:szCs w:val="18"/>
          <w:color w:val="auto"/>
        </w:rPr>
        <w:t>. If any foreign, state or local tax law provides for a tax matters partner or person having similar rights, powers, authority or obligations, the Tax Matters Member shall also serve in such capacity. In all other cases, the Tax Matters Member shall represent the Company in all tax matters to the extent allowed by law.</w:t>
      </w:r>
    </w:p>
    <w:p>
      <w:pPr>
        <w:spacing w:after="0" w:line="181" w:lineRule="exact"/>
        <w:rPr>
          <w:rFonts w:ascii="Arial" w:cs="Arial" w:eastAsia="Arial" w:hAnsi="Arial"/>
          <w:sz w:val="18"/>
          <w:szCs w:val="18"/>
          <w:color w:val="auto"/>
        </w:rPr>
      </w:pPr>
    </w:p>
    <w:p>
      <w:pPr>
        <w:ind w:left="-460" w:firstLine="921"/>
        <w:spacing w:after="0" w:line="264" w:lineRule="auto"/>
        <w:tabs>
          <w:tab w:leader="none" w:pos="833"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Expenses of the Tax Matters Member</w:t>
      </w:r>
      <w:r>
        <w:rPr>
          <w:rFonts w:ascii="Arial" w:cs="Arial" w:eastAsia="Arial" w:hAnsi="Arial"/>
          <w:sz w:val="18"/>
          <w:szCs w:val="18"/>
          <w:color w:val="auto"/>
        </w:rPr>
        <w:t xml:space="preserve">. Expenses incurred by the Tax Matters Member as the Tax Matters Member, or in a similar capacity as set forth in this </w:t>
      </w:r>
      <w:r>
        <w:rPr>
          <w:rFonts w:ascii="Arial" w:cs="Arial" w:eastAsia="Arial" w:hAnsi="Arial"/>
          <w:sz w:val="18"/>
          <w:szCs w:val="18"/>
          <w:u w:val="single" w:color="auto"/>
          <w:color w:val="auto"/>
        </w:rPr>
        <w:t>Section 7.6</w:t>
      </w:r>
      <w:r>
        <w:rPr>
          <w:rFonts w:ascii="Arial" w:cs="Arial" w:eastAsia="Arial" w:hAnsi="Arial"/>
          <w:sz w:val="18"/>
          <w:szCs w:val="18"/>
          <w:color w:val="auto"/>
        </w:rPr>
        <w:t>, shall be borne by the Company as Company expenses. Such expenses shall include fees of attorneys and other tax professionals, accountants, appraisers and experts, filing fees and reasonable out-of-pocket costs.</w:t>
      </w:r>
    </w:p>
    <w:p>
      <w:pPr>
        <w:spacing w:after="0" w:line="181" w:lineRule="exact"/>
        <w:rPr>
          <w:rFonts w:ascii="Arial" w:cs="Arial" w:eastAsia="Arial" w:hAnsi="Arial"/>
          <w:sz w:val="18"/>
          <w:szCs w:val="18"/>
          <w:color w:val="auto"/>
        </w:rPr>
      </w:pPr>
    </w:p>
    <w:p>
      <w:pPr>
        <w:ind w:left="-460" w:right="100" w:firstLine="921"/>
        <w:spacing w:after="0" w:line="264" w:lineRule="auto"/>
        <w:tabs>
          <w:tab w:leader="none" w:pos="843"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Effect of Certain Decisions by Tax Matters Member</w:t>
      </w:r>
      <w:r>
        <w:rPr>
          <w:rFonts w:ascii="Arial" w:cs="Arial" w:eastAsia="Arial" w:hAnsi="Arial"/>
          <w:sz w:val="18"/>
          <w:szCs w:val="18"/>
          <w:color w:val="auto"/>
        </w:rPr>
        <w:t>. Any decisions made by the Tax Matters Member, including whether or not to settle or contest any tax matter, whether or not to extend the period of limitations for the assessment or collection of any tax and the choice of forum for such contest shall be made in the Tax Matters Member’s sole and absolute discretion.</w:t>
      </w:r>
    </w:p>
    <w:p>
      <w:pPr>
        <w:sectPr>
          <w:pgSz w:w="11900" w:h="16838" w:orient="portrait"/>
          <w:cols w:equalWidth="0" w:num="1">
            <w:col w:w="10960"/>
          </w:cols>
          <w:pgMar w:left="700" w:top="274" w:right="239" w:bottom="1440" w:gutter="0" w:footer="0" w:header="0"/>
        </w:sectPr>
      </w:pPr>
    </w:p>
    <w:bookmarkStart w:id="390" w:name="page391"/>
    <w:bookmarkEnd w:id="390"/>
    <w:p>
      <w:pPr>
        <w:ind w:left="-20" w:right="160" w:firstLine="921"/>
        <w:spacing w:after="0" w:line="257" w:lineRule="auto"/>
        <w:tabs>
          <w:tab w:leader="none" w:pos="1273"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Inconsistent Return Positions</w:t>
      </w:r>
      <w:r>
        <w:rPr>
          <w:rFonts w:ascii="Arial" w:cs="Arial" w:eastAsia="Arial" w:hAnsi="Arial"/>
          <w:sz w:val="18"/>
          <w:szCs w:val="18"/>
          <w:color w:val="auto"/>
        </w:rPr>
        <w:t>. No Member shall file a notice with the IRS under Code Section 6222(b) in connection with such Member’s intention to treat an item on such Member’s federal income tax return in a manner that is inconsistent with the treatment of such item on the Company’s federal income tax return, unless such Member has, not less than thirty (30) days prior to the filing of such notice, provided the Tax Matters Member with a copy of the notice; in addition, such Member shall thereafter in a timely manner provides such other information related thereto as the Tax Matters Member shall reasonably request.</w:t>
      </w:r>
    </w:p>
    <w:p>
      <w:pPr>
        <w:spacing w:after="0" w:line="188" w:lineRule="exact"/>
        <w:rPr>
          <w:rFonts w:ascii="Arial" w:cs="Arial" w:eastAsia="Arial" w:hAnsi="Arial"/>
          <w:sz w:val="18"/>
          <w:szCs w:val="18"/>
          <w:color w:val="auto"/>
        </w:rPr>
      </w:pPr>
    </w:p>
    <w:p>
      <w:pPr>
        <w:ind w:left="-20" w:right="60" w:firstLine="1492"/>
        <w:spacing w:after="0" w:line="259" w:lineRule="auto"/>
        <w:tabs>
          <w:tab w:leader="none" w:pos="1823"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Consolidated Audit Rules</w:t>
      </w:r>
      <w:r>
        <w:rPr>
          <w:rFonts w:ascii="Arial" w:cs="Arial" w:eastAsia="Arial" w:hAnsi="Arial"/>
          <w:sz w:val="18"/>
          <w:szCs w:val="18"/>
          <w:color w:val="auto"/>
        </w:rPr>
        <w:t>. In furtherance of the foregoing, if the Company is not subject to the consolidated audit rules of Code Section 6221 through 6234 during any taxable year, the Members hereby agree to sign an election pursuant to Code Section 6231(a)(1)(B)(ii) to be filed with the Company’s federal income tax return for such taxable year to have such consolidated audit rules apply to the Company to the extent such election is available.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Distributions</w:t>
      </w:r>
      <w:r>
        <w:rPr>
          <w:rFonts w:ascii="Arial" w:cs="Arial" w:eastAsia="Arial" w:hAnsi="Arial"/>
          <w:sz w:val="16"/>
          <w:szCs w:val="16"/>
          <w:color w:val="auto"/>
        </w:rPr>
        <w:t>.</w:t>
      </w:r>
    </w:p>
    <w:p>
      <w:pPr>
        <w:spacing w:after="0" w:line="117" w:lineRule="exact"/>
        <w:rPr>
          <w:sz w:val="20"/>
          <w:szCs w:val="20"/>
          <w:color w:val="auto"/>
        </w:rPr>
      </w:pPr>
    </w:p>
    <w:p>
      <w:pPr>
        <w:ind w:left="-20" w:firstLine="921"/>
        <w:spacing w:after="0" w:line="264" w:lineRule="auto"/>
        <w:tabs>
          <w:tab w:leader="none" w:pos="1273"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Order of Distributions</w:t>
      </w:r>
      <w:r>
        <w:rPr>
          <w:rFonts w:ascii="Arial" w:cs="Arial" w:eastAsia="Arial" w:hAnsi="Arial"/>
          <w:sz w:val="18"/>
          <w:szCs w:val="18"/>
          <w:color w:val="auto"/>
        </w:rPr>
        <w:t xml:space="preserve">. If and to the extent that the Company makes distributions to its Members, other than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8.1(c)</w:t>
      </w:r>
      <w:r>
        <w:rPr>
          <w:rFonts w:ascii="Arial" w:cs="Arial" w:eastAsia="Arial" w:hAnsi="Arial"/>
          <w:sz w:val="18"/>
          <w:szCs w:val="18"/>
          <w:color w:val="auto"/>
        </w:rPr>
        <w:t>, the Company shall, to the fullest extent permitted by law, including without limitation, Section 18-607 of the Act, make distributions as follows:</w:t>
      </w:r>
    </w:p>
    <w:p>
      <w:pPr>
        <w:spacing w:after="0" w:line="181" w:lineRule="exact"/>
        <w:rPr>
          <w:rFonts w:ascii="Arial" w:cs="Arial" w:eastAsia="Arial" w:hAnsi="Arial"/>
          <w:sz w:val="18"/>
          <w:szCs w:val="18"/>
          <w:color w:val="auto"/>
        </w:rPr>
      </w:pPr>
    </w:p>
    <w:p>
      <w:pPr>
        <w:jc w:val="both"/>
        <w:ind w:left="-20" w:right="60" w:firstLine="1492"/>
        <w:spacing w:after="0" w:line="264" w:lineRule="auto"/>
        <w:tabs>
          <w:tab w:leader="none" w:pos="181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first, to the Series 2 Senior Preferred Members, pro rata to the number of Series 2 Senior Preferred Units held by each of them as of such time, until the cumulative amount distributed pursuant to this clause (i) with respect to each outstanding Series 2 Senior Preferred Unit equals the Series 2 Senior Preferred Original Issue Price;</w:t>
      </w:r>
    </w:p>
    <w:p>
      <w:pPr>
        <w:spacing w:after="0" w:line="181" w:lineRule="exact"/>
        <w:rPr>
          <w:rFonts w:ascii="Arial" w:cs="Arial" w:eastAsia="Arial" w:hAnsi="Arial"/>
          <w:sz w:val="18"/>
          <w:szCs w:val="18"/>
          <w:color w:val="auto"/>
        </w:rPr>
      </w:pPr>
    </w:p>
    <w:p>
      <w:pPr>
        <w:ind w:left="-20" w:right="20" w:firstLine="1492"/>
        <w:spacing w:after="0" w:line="264" w:lineRule="auto"/>
        <w:tabs>
          <w:tab w:leader="none" w:pos="186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second, to the Series 2 Senior Preferred Members, pro rata to the number of Series 2 Senior Preferred Units held by each of them as of such time, until the cumulative amount distributed pursuant to this clause (ii) with respect to each outstanding Series 2 Senior Preferred Unit equals the Series 2 Senior Preferred Dividend Amount, if any;</w:t>
      </w:r>
    </w:p>
    <w:p>
      <w:pPr>
        <w:spacing w:after="0" w:line="181" w:lineRule="exact"/>
        <w:rPr>
          <w:rFonts w:ascii="Arial" w:cs="Arial" w:eastAsia="Arial" w:hAnsi="Arial"/>
          <w:sz w:val="18"/>
          <w:szCs w:val="18"/>
          <w:color w:val="auto"/>
        </w:rPr>
      </w:pPr>
    </w:p>
    <w:p>
      <w:pPr>
        <w:ind w:left="-20" w:right="140" w:firstLine="1492"/>
        <w:spacing w:after="0" w:line="264" w:lineRule="auto"/>
        <w:tabs>
          <w:tab w:leader="none" w:pos="191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third, to the Series 1 Senior Preferred Members, pro rata to the number of Series 1 Senior Preferred Units held by each of them as of such time, until the cumulative amount distributed pursuant to this clause (iii) with respect to each outstanding Series 1 Senior Preferred Unit equals the Series 1 Senior Preferred Original Issue Price;</w:t>
      </w:r>
    </w:p>
    <w:p>
      <w:pPr>
        <w:spacing w:after="0" w:line="181" w:lineRule="exact"/>
        <w:rPr>
          <w:rFonts w:ascii="Arial" w:cs="Arial" w:eastAsia="Arial" w:hAnsi="Arial"/>
          <w:sz w:val="18"/>
          <w:szCs w:val="18"/>
          <w:color w:val="auto"/>
        </w:rPr>
      </w:pPr>
    </w:p>
    <w:p>
      <w:pPr>
        <w:ind w:left="-20" w:right="40" w:firstLine="1492"/>
        <w:spacing w:after="0" w:line="264" w:lineRule="auto"/>
        <w:tabs>
          <w:tab w:leader="none" w:pos="190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fourth, to the Series 1 Senior Preferred Members, pro rata to the number of Series 1 Senior Preferred Units held by each of them as of such time, until the cumulative amount distributed pursuant to this clause (iv) with respect to each outstanding Series 1 Senior Preferred Unit equals the Series 1 Senior Preferred Dividend Amount, if any;</w:t>
      </w:r>
    </w:p>
    <w:p>
      <w:pPr>
        <w:sectPr>
          <w:pgSz w:w="11900" w:h="16838" w:orient="portrait"/>
          <w:cols w:equalWidth="0" w:num="1">
            <w:col w:w="11380"/>
          </w:cols>
          <w:pgMar w:left="260" w:top="274" w:right="259" w:bottom="1440" w:gutter="0" w:footer="0" w:header="0"/>
        </w:sectPr>
      </w:pPr>
    </w:p>
    <w:bookmarkStart w:id="391" w:name="page392"/>
    <w:bookmarkEnd w:id="391"/>
    <w:p>
      <w:pPr>
        <w:ind w:left="-1200" w:right="60" w:firstLine="1492"/>
        <w:spacing w:after="0" w:line="264" w:lineRule="auto"/>
        <w:tabs>
          <w:tab w:leader="none" w:pos="673"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fifth, to the Junior Preferred Members, pro rata to the number of Junior Preferred Units held by each of them as of such time, until the cumulative amount distributed pursuant to this clause (v) with respect to each outstanding Junior Preferred Unit equals the Junior Preferred Original Issue Price;</w:t>
      </w:r>
    </w:p>
    <w:p>
      <w:pPr>
        <w:spacing w:after="0" w:line="181" w:lineRule="exact"/>
        <w:rPr>
          <w:rFonts w:ascii="Arial" w:cs="Arial" w:eastAsia="Arial" w:hAnsi="Arial"/>
          <w:sz w:val="18"/>
          <w:szCs w:val="18"/>
          <w:color w:val="auto"/>
        </w:rPr>
      </w:pPr>
    </w:p>
    <w:p>
      <w:pPr>
        <w:ind w:left="-1200" w:right="80" w:firstLine="1492"/>
        <w:spacing w:after="0" w:line="264" w:lineRule="auto"/>
        <w:tabs>
          <w:tab w:leader="none" w:pos="72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sixth, to the Junior Preferred Members, pro rata to the number of Junior Preferred Units held by each of them as of such time, until the cumulative amount distributed pursuant to this clause (vi) with respect to each outstanding Junior Preferred Unit equals the Junior Preferred Dividend Amount, if any;</w:t>
      </w:r>
    </w:p>
    <w:p>
      <w:pPr>
        <w:spacing w:after="0" w:line="181" w:lineRule="exact"/>
        <w:rPr>
          <w:rFonts w:ascii="Arial" w:cs="Arial" w:eastAsia="Arial" w:hAnsi="Arial"/>
          <w:sz w:val="18"/>
          <w:szCs w:val="18"/>
          <w:color w:val="auto"/>
        </w:rPr>
      </w:pPr>
    </w:p>
    <w:p>
      <w:pPr>
        <w:ind w:left="-1200" w:right="200" w:firstLine="1492"/>
        <w:spacing w:after="0" w:line="297" w:lineRule="auto"/>
        <w:tabs>
          <w:tab w:leader="none" w:pos="773"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seventh, to the Series A Common Members, Series B Common Members, Series C Common Members and Series D Common Members, pro rata to the aggregate number of Series A Common Units, Series B Common Units, Series C Common Units and vested Series D Common Units held by each of them as of such time, but taking into account the limitations of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with respect to Series D Common Units, until the cumulative amount distributed pursuant to this clause (vii) with respect to one Series A Common Unit, Series B Common Unit, Series C Common Unit and vested Series D Common Unit equals the cumulative amount distributed to one Junior Preferred Unit pursuant to clauses (v) and (vi);</w:t>
      </w:r>
    </w:p>
    <w:p>
      <w:pPr>
        <w:spacing w:after="0" w:line="158" w:lineRule="exact"/>
        <w:rPr>
          <w:rFonts w:ascii="Arial" w:cs="Arial" w:eastAsia="Arial" w:hAnsi="Arial"/>
          <w:sz w:val="16"/>
          <w:szCs w:val="16"/>
          <w:color w:val="auto"/>
        </w:rPr>
      </w:pPr>
    </w:p>
    <w:p>
      <w:pPr>
        <w:ind w:left="-1200" w:firstLine="1492"/>
        <w:spacing w:after="0" w:line="255" w:lineRule="auto"/>
        <w:tabs>
          <w:tab w:leader="none" w:pos="82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eighth, to the Junior Preferred Members, Series A Common Members, Series B Common Members, Series C Common Members and Series D Common Members, pro rata to the aggregate number of Junior Preferred Units, Series A Common Units, Series B Common Units, Series C Common Units and vested Series D Common Units held by each of them as of such time, but taking into account the limitations of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with respect to Series D Common Units, until the cumulative amount distributed pursuant to clauses (v), (vi), (vii) and (viii) with respect to one Junior Preferred Unit, Series A Common Unit, Series B Common Unit, Series C Common Unit and vested Series D Common Unit equals the cumulative amount distributed to one Series 1 Senior Preferred Unit pursuant to clauses (iii) and (iv);</w:t>
      </w:r>
    </w:p>
    <w:p>
      <w:pPr>
        <w:spacing w:after="0" w:line="193" w:lineRule="exact"/>
        <w:rPr>
          <w:rFonts w:ascii="Arial" w:cs="Arial" w:eastAsia="Arial" w:hAnsi="Arial"/>
          <w:sz w:val="18"/>
          <w:szCs w:val="18"/>
          <w:color w:val="auto"/>
        </w:rPr>
      </w:pPr>
    </w:p>
    <w:p>
      <w:pPr>
        <w:ind w:left="-1200" w:firstLine="1492"/>
        <w:spacing w:after="0" w:line="255" w:lineRule="auto"/>
        <w:tabs>
          <w:tab w:leader="none" w:pos="72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ninth, to the Series 1 Senior Preferred Members, Junior Preferred Members, the Series A Common Members, the Series B Common Members, the Series C Common Members and the Series D Common Members, pro rata to the aggregate number of Series 1 Senior Preferred Units, Junior Preferred Units, Series A Common Units, Series B Common Units, Series C Common Units and vested Series D Common Units held by each of them as of such time, but taking into account the limitations of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with respect to Series D Common Units, until the cumulative amount distributed pursuant to clauses (iii), (iv), (v), (vi), (vii), (viii) and (ix) with respect to one Series 1 Senior Preferred Unit, Junior Preferred Unit, Series A Common Unit, Series B Common Unit, Series C Common Unit and vested Series D Common Unit equals the cumulative amount distributed to one Series 2 Senior Preferred Unit pursuant to clauses (i) and (ii); and</w:t>
      </w:r>
    </w:p>
    <w:p>
      <w:pPr>
        <w:spacing w:after="0" w:line="189" w:lineRule="exact"/>
        <w:rPr>
          <w:rFonts w:ascii="Arial" w:cs="Arial" w:eastAsia="Arial" w:hAnsi="Arial"/>
          <w:sz w:val="18"/>
          <w:szCs w:val="18"/>
          <w:color w:val="auto"/>
        </w:rPr>
      </w:pPr>
    </w:p>
    <w:p>
      <w:pPr>
        <w:ind w:left="-1200" w:right="100" w:firstLine="1492"/>
        <w:spacing w:after="0" w:line="286" w:lineRule="auto"/>
        <w:tabs>
          <w:tab w:leader="none" w:pos="673"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tenth, subject to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to all Holders of Units, pro rata to the number of Series 2 Senior Preferred Units, Series 1 Senior Preferred Units, Junior Preferred Units, Series A Common Units, Series B Common Units, Series C Common Units and vested Series D Common Units held by each of them as of such time, but taking into account the limitations of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with respect to Series D Common Units.</w:t>
      </w:r>
    </w:p>
    <w:p>
      <w:pPr>
        <w:sectPr>
          <w:pgSz w:w="11900" w:h="16838" w:orient="portrait"/>
          <w:cols w:equalWidth="0" w:num="1">
            <w:col w:w="10220"/>
          </w:cols>
          <w:pgMar w:left="1440" w:top="274" w:right="239" w:bottom="1440" w:gutter="0" w:footer="0" w:header="0"/>
        </w:sectPr>
      </w:pPr>
    </w:p>
    <w:bookmarkStart w:id="392" w:name="page393"/>
    <w:bookmarkEnd w:id="392"/>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Solely for purposes of this </w:t>
      </w:r>
      <w:r>
        <w:rPr>
          <w:rFonts w:ascii="Arial" w:cs="Arial" w:eastAsia="Arial" w:hAnsi="Arial"/>
          <w:sz w:val="18"/>
          <w:szCs w:val="18"/>
          <w:u w:val="single" w:color="auto"/>
          <w:color w:val="auto"/>
        </w:rPr>
        <w:t>Section 8.1(a)</w:t>
      </w:r>
      <w:r>
        <w:rPr>
          <w:rFonts w:ascii="Arial" w:cs="Arial" w:eastAsia="Arial" w:hAnsi="Arial"/>
          <w:sz w:val="18"/>
          <w:szCs w:val="18"/>
          <w:color w:val="auto"/>
        </w:rPr>
        <w:t>, all Series B Common Units and Series D Common Units resulting from the conversion of the Series A Common Units of the Company (as defined in the 2</w:t>
      </w:r>
      <w:r>
        <w:rPr>
          <w:rFonts w:ascii="Arial" w:cs="Arial" w:eastAsia="Arial" w:hAnsi="Arial"/>
          <w:sz w:val="15"/>
          <w:szCs w:val="15"/>
          <w:color w:val="auto"/>
        </w:rPr>
        <w:t>nd</w:t>
      </w:r>
      <w:r>
        <w:rPr>
          <w:rFonts w:ascii="Arial" w:cs="Arial" w:eastAsia="Arial" w:hAnsi="Arial"/>
          <w:sz w:val="18"/>
          <w:szCs w:val="18"/>
          <w:color w:val="auto"/>
        </w:rPr>
        <w:t xml:space="preserve"> A&amp;R Agreement) as part of the GT Merger that had been issued on or prior to December 17, 2014, shall be deemed fully vested.</w:t>
      </w:r>
    </w:p>
    <w:p>
      <w:pPr>
        <w:spacing w:after="0" w:line="181" w:lineRule="exact"/>
        <w:rPr>
          <w:sz w:val="20"/>
          <w:szCs w:val="20"/>
          <w:color w:val="auto"/>
        </w:rPr>
      </w:pPr>
    </w:p>
    <w:p>
      <w:pPr>
        <w:ind w:firstLine="921"/>
        <w:spacing w:after="0" w:line="297" w:lineRule="auto"/>
        <w:tabs>
          <w:tab w:leader="none" w:pos="1303"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Timing of Distributions</w:t>
      </w:r>
      <w:r>
        <w:rPr>
          <w:rFonts w:ascii="Arial" w:cs="Arial" w:eastAsia="Arial" w:hAnsi="Arial"/>
          <w:sz w:val="16"/>
          <w:szCs w:val="16"/>
          <w:color w:val="auto"/>
        </w:rPr>
        <w:t xml:space="preserve">. The Members acknowledge that the Company shall make distributions at such times as designated by the Board, in its sole discretion, and in accordance with the terms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of a Deemed Liquidation Event, the Board shall to the extent permitted by law, cause the Company to distribute to the Members,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the proceeds received by the Company in connection with such Deemed Liquidation Event within 90 days after the Deemed Liquidation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holders of at least 66% of the outstanding Senior Preferred Units and the holders of a majority of the Junior Preferred Units may together waive the occurrence of a Deemed Liquidation Event.</w:t>
      </w:r>
    </w:p>
    <w:p>
      <w:pPr>
        <w:spacing w:after="0" w:line="158" w:lineRule="exact"/>
        <w:rPr>
          <w:rFonts w:ascii="Arial" w:cs="Arial" w:eastAsia="Arial" w:hAnsi="Arial"/>
          <w:sz w:val="16"/>
          <w:szCs w:val="16"/>
          <w:color w:val="auto"/>
        </w:rPr>
      </w:pPr>
    </w:p>
    <w:p>
      <w:pPr>
        <w:ind w:firstLine="921"/>
        <w:spacing w:after="0" w:line="268" w:lineRule="auto"/>
        <w:tabs>
          <w:tab w:leader="none" w:pos="1293"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Profits Interests</w:t>
      </w:r>
      <w:r>
        <w:rPr>
          <w:rFonts w:ascii="Arial" w:cs="Arial" w:eastAsia="Arial" w:hAnsi="Arial"/>
          <w:sz w:val="17"/>
          <w:szCs w:val="17"/>
          <w:color w:val="auto"/>
        </w:rPr>
        <w:t>. If the Company issues Series D Common Units intended to be treated as “profits interests” (as that term is used in Revenue Procedures 93-27 and 2001-43), the Members intend that, under current interpretations of the Code, the recipient will not realize income upon the issuance of such Unit. In furtherance of such intention, distributions in respect of any such Series D Common Unit may be limited, as determined by the Board, so that such Series D Common Unit does not share in the value of the Company’s assets as of the date of grant of such Series D Common Unit, and only shares in subsequent appreciation in value of the Company’s assets. Following the promulgation, if any, of final regulations and associated guidance by the Treasury Department and Internal Revenue Service regarding the tax consequences associated with the issuance or transfer of partnership interests in exchange for the performance of services, the Company is authorized and directed to elect (on behalf of the Company and each of its Members) to have the liquidation value safe harbor contemplated by proposed Section 1.83-3(l) of the Treasury Regulations and by the revenue procedure contemplated by IRS Notice 2005-43 (or the corresponding provisions of any such final Treasury Regulations or associated guidance) apply irrevocably with respect to all Series D Common Units transferred in connection with the performance of services. The Company and each Member (including any Member obtaining a Member interest in exchange for the performance of services and any Person to whom a Member interest in the Company is Transferred) shall comply with all requirements associated with any such election, including forfeiture allocations if the interest for which a Section 83(b) election is made is later forfeited, while the election remains effective.</w:t>
      </w:r>
    </w:p>
    <w:p>
      <w:pPr>
        <w:spacing w:after="0" w:line="18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Non-Cash Distributions</w:t>
      </w:r>
      <w:r>
        <w:rPr>
          <w:rFonts w:ascii="Arial" w:cs="Arial" w:eastAsia="Arial" w:hAnsi="Arial"/>
          <w:sz w:val="18"/>
          <w:szCs w:val="18"/>
          <w:color w:val="auto"/>
        </w:rPr>
        <w:t xml:space="preserve">. Whenever a distribution provided for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payable in property other than cash, the amount of the distribution shall equal the Gross Asset Value of such property.</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Tax Distributions</w:t>
      </w:r>
      <w:r>
        <w:rPr>
          <w:rFonts w:ascii="Arial" w:cs="Arial" w:eastAsia="Arial" w:hAnsi="Arial"/>
          <w:sz w:val="18"/>
          <w:szCs w:val="18"/>
          <w:color w:val="auto"/>
        </w:rPr>
        <w:t>. The Board shall cause the Company to distribute within five (5) days prior to each April 15, June 15, September 15 and January 15 of the succeeding year (or such other time period or date as the Board shall determine), in proportion to their respective Tax Liability Deficiencies (as hereinafter defined and calculated using the assumptions set forth herein) for the period in question, an amount up to the aggregate Tax Liability Deficiencies of all</w:t>
      </w:r>
    </w:p>
    <w:p>
      <w:pPr>
        <w:sectPr>
          <w:pgSz w:w="11900" w:h="16838" w:orient="portrait"/>
          <w:cols w:equalWidth="0" w:num="1">
            <w:col w:w="11400"/>
          </w:cols>
          <w:pgMar w:left="240" w:top="273" w:right="259" w:bottom="1440" w:gutter="0" w:footer="0" w:header="0"/>
        </w:sectPr>
      </w:pPr>
    </w:p>
    <w:bookmarkStart w:id="393" w:name="page394"/>
    <w:bookmarkEnd w:id="393"/>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Members for such period. For purposes of this </w:t>
      </w:r>
      <w:r>
        <w:rPr>
          <w:rFonts w:ascii="Arial" w:cs="Arial" w:eastAsia="Arial" w:hAnsi="Arial"/>
          <w:sz w:val="17"/>
          <w:szCs w:val="17"/>
          <w:u w:val="single" w:color="auto"/>
          <w:color w:val="auto"/>
        </w:rPr>
        <w:t>Section 8.3</w:t>
      </w:r>
      <w:r>
        <w:rPr>
          <w:rFonts w:ascii="Arial" w:cs="Arial" w:eastAsia="Arial" w:hAnsi="Arial"/>
          <w:sz w:val="17"/>
          <w:szCs w:val="17"/>
          <w:color w:val="auto"/>
        </w:rPr>
        <w:t>, the term “</w:t>
      </w:r>
      <w:r>
        <w:rPr>
          <w:rFonts w:ascii="Arial" w:cs="Arial" w:eastAsia="Arial" w:hAnsi="Arial"/>
          <w:sz w:val="17"/>
          <w:szCs w:val="17"/>
          <w:b w:val="1"/>
          <w:bCs w:val="1"/>
          <w:color w:val="auto"/>
        </w:rPr>
        <w:t>Tax Liability Deficiency</w:t>
      </w:r>
      <w:r>
        <w:rPr>
          <w:rFonts w:ascii="Arial" w:cs="Arial" w:eastAsia="Arial" w:hAnsi="Arial"/>
          <w:sz w:val="17"/>
          <w:szCs w:val="17"/>
          <w:color w:val="auto"/>
        </w:rPr>
        <w:t xml:space="preserve">” means the excess, if any, of (A) the highest marginal combined U.S. federal and state tax rates applicable to individuals, taking into account the character of income and such other reasonable assumptions as determined by the Board, or such higher rate as determined by the Board to be appropriate in order for the Members to defray their tax liability associated with an ownership interest in the Company, of the amount of the Company’s federal taxable income (as estimated by the Board) for the current taxable year allocated to the Members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in respect of the class of Units held by such Members, over (B) the cumulative amount of cash previously distributed to the Member during such taxable year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attributable to such taxable year, in each case, in respect of such class of Units. For these purposes, a Member’s Tax Liability Deficiency shall be determined separately for each class of Units held by such Member. Any distributions made to a Member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in respect of such Member’s Series 2 Senior Preferred Units, Series 1 Senior Preferred Units, Junior Preferred Units, Series A Common Units, Series B Common Units, Series C Common Units or Series D Common Units, to the extent attributable to allocations to such Member corresponding to amounts distributable to such Member in respect of such Units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shall be treated as advances against and shall reduce dollar-for-dollar any subsequent distributions to be made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in respect of such Member’s Series 2 Senior Preferred Units, Series 1 Senior Preferred Units, Junior Preferred Units, Series A Common Units, Series B Common Units, Series C Common Units or Series D Common Units, as applicable. The determination of Tax Liability Deficiency shall be subject to such other adjustments and modifications as determined by the Board to be equitable. If the Company shall fail to make distributions in respect of any Member’s Tax Liability Deficiency with respect to a taxable year, then prior to making distributions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in respect of the Tax Liability Deficiencies of the Members for any subsequent taxable year, the Company shall make distributions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to the Member or Members who did not receive sufficient distributions to meet the prior year’s Tax Liability Deficiency until such deficiency is remedied. For the avoidance of doubt, if the amount of the distributions to be made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is less than the Tax Liability Deficiency of the Members, any distributions made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be made to the Members in proportion to their respective share of the Tax Liability Deficiency.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BOOKS AND RECORDS; REPORTS</w:t>
      </w:r>
    </w:p>
    <w:p>
      <w:pPr>
        <w:spacing w:after="0" w:line="22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Books and Records</w:t>
      </w:r>
      <w:r>
        <w:rPr>
          <w:rFonts w:ascii="Arial" w:cs="Arial" w:eastAsia="Arial" w:hAnsi="Arial"/>
          <w:sz w:val="16"/>
          <w:szCs w:val="16"/>
          <w:color w:val="auto"/>
        </w:rPr>
        <w:t xml:space="preserve">. The Officers will keep appropriate books and records with respect to the Company’s business, including all books and records necessary to provide any information, lists and copies of documents required to be provided pursuant to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pursuant to applicable law. Each Major Investor and each Series C Common Member shall have reasonable access, during normal business hours and upon reasonable advance notice, to the Company’s facilities, to discuss the operations and business of the Company with the Officers of the Company and to inspect the Company’s books and records, subject to reasonable confidentiality agreements that the Board may impose. Each Member shall have the right to inspect and make a copy of the List of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Series D Common Member shall only have the right to inspect the List of Members as to its own entry therein.</w:t>
      </w:r>
    </w:p>
    <w:p>
      <w:pPr>
        <w:sectPr>
          <w:pgSz w:w="11900" w:h="16838" w:orient="portrait"/>
          <w:cols w:equalWidth="0" w:num="1">
            <w:col w:w="11420"/>
          </w:cols>
          <w:pgMar w:left="240" w:top="270" w:right="239" w:bottom="1440" w:gutter="0" w:footer="0" w:header="0"/>
        </w:sectPr>
      </w:pPr>
    </w:p>
    <w:bookmarkStart w:id="394" w:name="page395"/>
    <w:bookmarkEnd w:id="394"/>
    <w:p>
      <w:pPr>
        <w:ind w:left="460"/>
        <w:spacing w:after="0"/>
        <w:tabs>
          <w:tab w:leader="none" w:pos="1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9.2.</w:t>
      </w:r>
      <w:r>
        <w:rPr>
          <w:sz w:val="20"/>
          <w:szCs w:val="20"/>
          <w:color w:val="auto"/>
        </w:rPr>
        <w:tab/>
      </w:r>
      <w:r>
        <w:rPr>
          <w:rFonts w:ascii="Arial" w:cs="Arial" w:eastAsia="Arial" w:hAnsi="Arial"/>
          <w:sz w:val="15"/>
          <w:szCs w:val="15"/>
          <w:u w:val="single" w:color="auto"/>
          <w:color w:val="auto"/>
        </w:rPr>
        <w:t>Reports</w:t>
      </w:r>
      <w:r>
        <w:rPr>
          <w:rFonts w:ascii="Arial" w:cs="Arial" w:eastAsia="Arial" w:hAnsi="Arial"/>
          <w:sz w:val="15"/>
          <w:szCs w:val="15"/>
          <w:color w:val="auto"/>
        </w:rPr>
        <w:t>.</w:t>
      </w:r>
    </w:p>
    <w:p>
      <w:pPr>
        <w:spacing w:after="0" w:line="117" w:lineRule="exact"/>
        <w:rPr>
          <w:sz w:val="20"/>
          <w:szCs w:val="20"/>
          <w:color w:val="auto"/>
        </w:rPr>
      </w:pPr>
    </w:p>
    <w:p>
      <w:pPr>
        <w:ind w:left="1300" w:hanging="379"/>
        <w:spacing w:after="0"/>
        <w:tabs>
          <w:tab w:leader="none" w:pos="130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Company shall deliver to each Major Investor and each Series B Common Member:</w:t>
      </w:r>
    </w:p>
    <w:p>
      <w:pPr>
        <w:spacing w:after="0" w:line="225" w:lineRule="exact"/>
        <w:rPr>
          <w:rFonts w:ascii="Arial" w:cs="Arial" w:eastAsia="Arial" w:hAnsi="Arial"/>
          <w:sz w:val="18"/>
          <w:szCs w:val="18"/>
          <w:color w:val="auto"/>
        </w:rPr>
      </w:pPr>
    </w:p>
    <w:p>
      <w:pPr>
        <w:ind w:right="80" w:firstLine="1492"/>
        <w:spacing w:after="0" w:line="277" w:lineRule="auto"/>
        <w:tabs>
          <w:tab w:leader="none" w:pos="183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no later than 90 days after the end of each fiscal year, a copy of the consolidated balance sheet of the Company as at the end of such year, together with consolidated statements of income, owners’ equity and cash flow of the Company for such year;</w:t>
      </w:r>
    </w:p>
    <w:p>
      <w:pPr>
        <w:spacing w:after="0" w:line="170" w:lineRule="exact"/>
        <w:rPr>
          <w:rFonts w:ascii="Arial" w:cs="Arial" w:eastAsia="Arial" w:hAnsi="Arial"/>
          <w:sz w:val="18"/>
          <w:szCs w:val="18"/>
          <w:color w:val="auto"/>
        </w:rPr>
      </w:pPr>
    </w:p>
    <w:p>
      <w:pPr>
        <w:ind w:right="200" w:firstLine="1492"/>
        <w:spacing w:after="0" w:line="308" w:lineRule="auto"/>
        <w:tabs>
          <w:tab w:leader="none" w:pos="1883" w:val="left"/>
        </w:tabs>
        <w:numPr>
          <w:ilvl w:val="1"/>
          <w:numId w:val="299"/>
        </w:numPr>
        <w:rPr>
          <w:rFonts w:ascii="Arial" w:cs="Arial" w:eastAsia="Arial" w:hAnsi="Arial"/>
          <w:sz w:val="17"/>
          <w:szCs w:val="17"/>
          <w:color w:val="auto"/>
        </w:rPr>
      </w:pPr>
      <w:r>
        <w:rPr>
          <w:rFonts w:ascii="Arial" w:cs="Arial" w:eastAsia="Arial" w:hAnsi="Arial"/>
          <w:sz w:val="17"/>
          <w:szCs w:val="17"/>
          <w:color w:val="auto"/>
        </w:rPr>
        <w:t>no later than 45 days after the end of each fiscal quarter, a copy of the consolidated balance sheet of the Company as at the end of such quarter, together with consolidated statements of income, owners’ equity and cash flow of the Company for such quarter; and</w:t>
      </w:r>
    </w:p>
    <w:p>
      <w:pPr>
        <w:spacing w:after="0" w:line="146" w:lineRule="exact"/>
        <w:rPr>
          <w:rFonts w:ascii="Arial" w:cs="Arial" w:eastAsia="Arial" w:hAnsi="Arial"/>
          <w:sz w:val="17"/>
          <w:szCs w:val="17"/>
          <w:color w:val="auto"/>
        </w:rPr>
      </w:pPr>
    </w:p>
    <w:p>
      <w:pPr>
        <w:ind w:left="1940" w:hanging="448"/>
        <w:spacing w:after="0"/>
        <w:tabs>
          <w:tab w:leader="none" w:pos="19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such other information as determined by the Board of Managers.</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Monthly and Other Reports</w:t>
      </w:r>
      <w:r>
        <w:rPr>
          <w:rFonts w:ascii="Arial" w:cs="Arial" w:eastAsia="Arial" w:hAnsi="Arial"/>
          <w:sz w:val="18"/>
          <w:szCs w:val="18"/>
          <w:color w:val="auto"/>
        </w:rPr>
        <w:t>. The Company shall deliver to each Major Investor and each Series B Common Member:</w:t>
      </w:r>
    </w:p>
    <w:p>
      <w:pPr>
        <w:spacing w:after="0" w:line="225" w:lineRule="exact"/>
        <w:rPr>
          <w:rFonts w:ascii="Arial" w:cs="Arial" w:eastAsia="Arial" w:hAnsi="Arial"/>
          <w:sz w:val="18"/>
          <w:szCs w:val="18"/>
          <w:color w:val="auto"/>
        </w:rPr>
      </w:pPr>
    </w:p>
    <w:p>
      <w:pPr>
        <w:ind w:right="220" w:firstLine="1492"/>
        <w:spacing w:after="0" w:line="277" w:lineRule="auto"/>
        <w:tabs>
          <w:tab w:leader="none" w:pos="183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promptly after the end of each fiscal month, a copy of the consolidated balance sheet of the Company as at the end of such month, together with consolidated statements of income, owners’ equity and cash flow of the Company for such month;</w:t>
      </w:r>
    </w:p>
    <w:p>
      <w:pPr>
        <w:spacing w:after="0" w:line="170" w:lineRule="exact"/>
        <w:rPr>
          <w:rFonts w:ascii="Arial" w:cs="Arial" w:eastAsia="Arial" w:hAnsi="Arial"/>
          <w:sz w:val="18"/>
          <w:szCs w:val="18"/>
          <w:color w:val="auto"/>
        </w:rPr>
      </w:pPr>
    </w:p>
    <w:p>
      <w:pPr>
        <w:ind w:left="1900" w:hanging="408"/>
        <w:spacing w:after="0"/>
        <w:tabs>
          <w:tab w:leader="none" w:pos="190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promptly after the end of each fiscal quarter, a copy of the current capitalization table of the Company; and</w:t>
      </w:r>
    </w:p>
    <w:p>
      <w:pPr>
        <w:spacing w:after="0" w:line="225" w:lineRule="exact"/>
        <w:rPr>
          <w:rFonts w:ascii="Arial" w:cs="Arial" w:eastAsia="Arial" w:hAnsi="Arial"/>
          <w:sz w:val="18"/>
          <w:szCs w:val="18"/>
          <w:color w:val="auto"/>
        </w:rPr>
      </w:pPr>
    </w:p>
    <w:p>
      <w:pPr>
        <w:ind w:right="100" w:firstLine="1492"/>
        <w:spacing w:after="0" w:line="277" w:lineRule="auto"/>
        <w:tabs>
          <w:tab w:leader="none" w:pos="193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within thirty (30) days prior to the end of each fiscal year, a copy of a comprehensive operating budget forecasting the Company’s revenues, expenses and cash position on a month-to-month basis for the upcoming fiscal year.</w:t>
      </w:r>
    </w:p>
    <w:p>
      <w:pPr>
        <w:spacing w:after="0" w:line="170" w:lineRule="exact"/>
        <w:rPr>
          <w:rFonts w:ascii="Arial" w:cs="Arial" w:eastAsia="Arial" w:hAnsi="Arial"/>
          <w:sz w:val="18"/>
          <w:szCs w:val="18"/>
          <w:color w:val="auto"/>
        </w:rPr>
      </w:pPr>
    </w:p>
    <w:p>
      <w:pPr>
        <w:ind w:firstLine="921"/>
        <w:spacing w:after="0" w:line="259" w:lineRule="auto"/>
        <w:tabs>
          <w:tab w:leader="none" w:pos="1293"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Tax Reports</w:t>
      </w:r>
      <w:r>
        <w:rPr>
          <w:rFonts w:ascii="Arial" w:cs="Arial" w:eastAsia="Arial" w:hAnsi="Arial"/>
          <w:sz w:val="18"/>
          <w:szCs w:val="18"/>
          <w:color w:val="auto"/>
        </w:rPr>
        <w:t>. Within 90 days after the end of each fiscal year, the Company shall deliver to each Member such Member’s Schedule K-1 and such other information, if any, with respect to the Company as may be necessary for the preparation of such Member’s federal, state and local income tax returns, including a statement showing such Member’s share of the Company’s income, gain or loss, expense and credit for such fiscal year for federal income tax purposes.</w:t>
      </w:r>
    </w:p>
    <w:p>
      <w:pPr>
        <w:spacing w:after="0" w:line="18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Company shall be the twelve (12) month period ending on December 31 of each calendar year, or such other annual accounting period as may be established by the Board of Managers. The taxable year of the Company for federal and applicable state income tax purposes shall be the same as the Company’s fiscal year unless a different taxable year is required by applicable law.</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Non-Disclosure</w:t>
      </w:r>
      <w:r>
        <w:rPr>
          <w:rFonts w:ascii="Arial" w:cs="Arial" w:eastAsia="Arial" w:hAnsi="Arial"/>
          <w:sz w:val="18"/>
          <w:szCs w:val="18"/>
          <w:color w:val="auto"/>
        </w:rPr>
        <w:t>. Each Member agrees that it shall not disclose, reveal, divulge or communicate to any Person (except an Affiliate), or use or otherwise exploit for its own benefit or for the benefit of any other Person, any Confidential Information, except with the consent of the Board. No Member shall have any obligation to keep confidential any Confidential Information if</w:t>
      </w:r>
    </w:p>
    <w:p>
      <w:pPr>
        <w:sectPr>
          <w:pgSz w:w="11900" w:h="16838" w:orient="portrait"/>
          <w:cols w:equalWidth="0" w:num="1">
            <w:col w:w="11420"/>
          </w:cols>
          <w:pgMar w:left="240" w:top="274" w:right="239" w:bottom="1440" w:gutter="0" w:footer="0" w:header="0"/>
        </w:sectPr>
      </w:pPr>
    </w:p>
    <w:bookmarkStart w:id="395" w:name="page396"/>
    <w:bookmarkEnd w:id="395"/>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to the extent disclosure thereof is specifically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the event disclosure is required by applicable law, the applicable Member shall, to the extent reasonably possible, provide the Company with prompt notice of such requirement prior to making any disclosure so that the Company may seek an appropriate protective order. Notwithstanding the foregoing, nothing in this Agreement prohibits a Member from reporting possible violations of federal or state law or regulations to any governmental agency or entity or self-regulatory institution, including the Equal Employment Opportunity Commission, the National Labor Relations Board, the Department of Justice, the Securities and Exchange Commission, Congress, and any Inspector General, or making other disclosures that are protected under the whistleblower provisions of federal or state law or regulation. Prior authorization of the Board or the Chief Executive Officer shall not be required to make any such reports or disclosures pursuant to the preceding sentence and a Member is not required to notify the Company that it has made such reports or disclosures pursuant to such sentence.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DISSOLUTION AND LIQUIDATION</w:t>
      </w:r>
    </w:p>
    <w:p>
      <w:pPr>
        <w:spacing w:after="0" w:line="229"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Dissolution</w:t>
      </w:r>
      <w:r>
        <w:rPr>
          <w:rFonts w:ascii="Arial" w:cs="Arial" w:eastAsia="Arial" w:hAnsi="Arial"/>
          <w:sz w:val="16"/>
          <w:szCs w:val="16"/>
          <w:color w:val="auto"/>
        </w:rPr>
        <w:t xml:space="preserve">. The Company shall dissolve, and its affairs shall be wound up, upon the first to occur of the following: (a) subject to </w:t>
      </w:r>
      <w:r>
        <w:rPr>
          <w:rFonts w:ascii="Arial" w:cs="Arial" w:eastAsia="Arial" w:hAnsi="Arial"/>
          <w:sz w:val="16"/>
          <w:szCs w:val="16"/>
          <w:u w:val="single" w:color="auto"/>
          <w:color w:val="auto"/>
        </w:rPr>
        <w:t>Section 6.1(j)(i)(1)</w:t>
      </w:r>
      <w:r>
        <w:rPr>
          <w:rFonts w:ascii="Arial" w:cs="Arial" w:eastAsia="Arial" w:hAnsi="Arial"/>
          <w:sz w:val="16"/>
          <w:szCs w:val="16"/>
          <w:color w:val="auto"/>
        </w:rPr>
        <w:t>, the written consent of both the Board (in accordance with the terms of this Agreement) and a Voting Majority, (b) the sale of all of the assets of the Company in accordance with the terms of this Agreement, and (c) the entry of a decree of judicial dissolution under Section 18-802 of the Act.</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Liquidation</w:t>
      </w:r>
      <w:r>
        <w:rPr>
          <w:rFonts w:ascii="Arial" w:cs="Arial" w:eastAsia="Arial" w:hAnsi="Arial"/>
          <w:sz w:val="17"/>
          <w:szCs w:val="17"/>
          <w:color w:val="auto"/>
        </w:rPr>
        <w:t xml:space="preserve">. Upon dissolution of the Company, the Board of Managers or, if one is appointed, an authorized liquidating trustee, shall wind up the Company’s affairs. Upon termination and dissolution of the Company and liquidation of its assets, the Board of Managers or liquidating trustee, as the case may be, shall apply the Company’s assets to the payment of all liabilities owing to creditors in accordance with the applicable law. The Board of Managers or liquidating trustee, as the case may be, shall set up such reserves as it deems reasonably necessary for any contingent or unforeseen liabilities or obligations of the Company. Said reserves may be paid by the Board of Managers or liquidating trustee, as the case may be, upon dissolution to a bank or trust company to be held in escrow for the purpose of paying any such contingent or unforeseen liabilities or obligations and, at the expiration of such period or occurrence of such events as the Board of Managers or liquidating trustee, as the case may be, may in establishing such reserves deem advisable, such reserves shall be distributed to the Members in the manner set forth in </w:t>
      </w:r>
      <w:r>
        <w:rPr>
          <w:rFonts w:ascii="Arial" w:cs="Arial" w:eastAsia="Arial" w:hAnsi="Arial"/>
          <w:sz w:val="17"/>
          <w:szCs w:val="17"/>
          <w:u w:val="single" w:color="auto"/>
          <w:color w:val="auto"/>
        </w:rPr>
        <w:t>Section 8.1(a)</w:t>
      </w:r>
      <w:r>
        <w:rPr>
          <w:rFonts w:ascii="Arial" w:cs="Arial" w:eastAsia="Arial" w:hAnsi="Arial"/>
          <w:sz w:val="17"/>
          <w:szCs w:val="17"/>
          <w:color w:val="auto"/>
        </w:rPr>
        <w:t>.</w:t>
      </w:r>
    </w:p>
    <w:p>
      <w:pPr>
        <w:spacing w:after="0" w:line="17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Final Allocation and Distribution</w:t>
      </w:r>
      <w:r>
        <w:rPr>
          <w:rFonts w:ascii="Arial" w:cs="Arial" w:eastAsia="Arial" w:hAnsi="Arial"/>
          <w:sz w:val="18"/>
          <w:szCs w:val="18"/>
          <w:color w:val="auto"/>
        </w:rPr>
        <w:t xml:space="preserve">. After paying all liabilities to creditors and providing for reserves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the Board of Managers or liquidating trustee, as the case may be, shall: (i) make a final allocation of all items comprising Net Income and Net Loss to the Members’ Capital Accounts in accordance with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which allocation shall take into account any unrealized gains and losses with respect to assets to be distributed in kind in accordance with Sections 1.704 1(b)(2)(iv)(e) and 1.704 1(b)(2)(iv)(f) of the Regulations; and (ii) distribute all other remaining assets of the Company to the Members in the manner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396" w:name="page397"/>
    <w:bookmarkEnd w:id="3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CONVERSION</w:t>
      </w:r>
    </w:p>
    <w:p>
      <w:pPr>
        <w:spacing w:after="0" w:line="229"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Conversion to Corporation</w:t>
      </w:r>
      <w:r>
        <w:rPr>
          <w:rFonts w:ascii="Arial" w:cs="Arial" w:eastAsia="Arial" w:hAnsi="Arial"/>
          <w:sz w:val="16"/>
          <w:szCs w:val="16"/>
          <w:color w:val="auto"/>
        </w:rPr>
        <w:t>.</w:t>
      </w:r>
    </w:p>
    <w:p>
      <w:pPr>
        <w:spacing w:after="0" w:line="117" w:lineRule="exact"/>
        <w:rPr>
          <w:sz w:val="20"/>
          <w:szCs w:val="20"/>
          <w:color w:val="auto"/>
        </w:rPr>
      </w:pPr>
    </w:p>
    <w:p>
      <w:pPr>
        <w:ind w:right="60" w:firstLine="921"/>
        <w:spacing w:after="0" w:line="269" w:lineRule="auto"/>
        <w:tabs>
          <w:tab w:leader="none" w:pos="1293" w:val="left"/>
        </w:tabs>
        <w:numPr>
          <w:ilvl w:val="1"/>
          <w:numId w:val="300"/>
        </w:numPr>
        <w:rPr>
          <w:rFonts w:ascii="Arial" w:cs="Arial" w:eastAsia="Arial" w:hAnsi="Arial"/>
          <w:sz w:val="17"/>
          <w:szCs w:val="17"/>
          <w:color w:val="auto"/>
        </w:rPr>
      </w:pPr>
      <w:r>
        <w:rPr>
          <w:rFonts w:ascii="Arial" w:cs="Arial" w:eastAsia="Arial" w:hAnsi="Arial"/>
          <w:sz w:val="17"/>
          <w:szCs w:val="17"/>
          <w:u w:val="single" w:color="auto"/>
          <w:color w:val="auto"/>
        </w:rPr>
        <w:t>Conversion</w:t>
      </w:r>
      <w:r>
        <w:rPr>
          <w:rFonts w:ascii="Arial" w:cs="Arial" w:eastAsia="Arial" w:hAnsi="Arial"/>
          <w:sz w:val="17"/>
          <w:szCs w:val="17"/>
          <w:color w:val="auto"/>
        </w:rPr>
        <w:t>. Notwithstanding anything to the contrary contained herein, (i) upon the request of the Voting Majority in connection with effecting the Initial Public Offering pursuant to which the offering price per share is equal to at least one hundred seventy-five percent (175%) of the Senior Preferred Blended Issue Price with gross proceeds to the Company of at least $20,000,000, or (ii) upon the request of the Holders of a majority of each of the outstanding Senior Preferred Units and outstanding Junior Preferred Units, in connection with effecting the Initial Public Offering (in each case, a “</w:t>
      </w:r>
      <w:r>
        <w:rPr>
          <w:rFonts w:ascii="Arial" w:cs="Arial" w:eastAsia="Arial" w:hAnsi="Arial"/>
          <w:sz w:val="17"/>
          <w:szCs w:val="17"/>
          <w:b w:val="1"/>
          <w:bCs w:val="1"/>
          <w:u w:val="single" w:color="auto"/>
          <w:color w:val="auto"/>
        </w:rPr>
        <w:t>QIPO</w:t>
      </w:r>
      <w:r>
        <w:rPr>
          <w:rFonts w:ascii="Arial" w:cs="Arial" w:eastAsia="Arial" w:hAnsi="Arial"/>
          <w:sz w:val="17"/>
          <w:szCs w:val="17"/>
          <w:color w:val="auto"/>
        </w:rPr>
        <w:t>”), each of the Members hereby agrees that it will take such action and execute such documents as may reasonably be necessary to: (A) convert the Company (including by merger or Unit contribution) into a corporation formed for the purpose of effecting the QIPO; or (B) contribute the assets of the Company and the equity interests of the Company Subsidiaries to a corporation (such corporation, in either case, the “</w:t>
      </w:r>
      <w:r>
        <w:rPr>
          <w:rFonts w:ascii="Arial" w:cs="Arial" w:eastAsia="Arial" w:hAnsi="Arial"/>
          <w:sz w:val="17"/>
          <w:szCs w:val="17"/>
          <w:b w:val="1"/>
          <w:bCs w:val="1"/>
          <w:u w:val="single" w:color="auto"/>
          <w:color w:val="auto"/>
        </w:rPr>
        <w:t>Conversion Corporation</w:t>
      </w:r>
      <w:r>
        <w:rPr>
          <w:rFonts w:ascii="Arial" w:cs="Arial" w:eastAsia="Arial" w:hAnsi="Arial"/>
          <w:sz w:val="17"/>
          <w:szCs w:val="17"/>
          <w:color w:val="auto"/>
        </w:rPr>
        <w:t>”) in exchange for capital stock of the Conversion Corporation with equivalent value substantially concurrently with the closing of QIPO. If the Board reasonably determines that an alternative structure (as compared to the foregoing) to effect QIPO would be beneficial to the Members, collectively, and not materially adverse to any Member as compared to the foregoing, then each Member hereby agrees that it will take such action and execute such documents as may reasonably be necessary to effectuate such alternative structure upon the request of the Voting Majority.</w:t>
      </w:r>
    </w:p>
    <w:p>
      <w:pPr>
        <w:spacing w:after="0" w:line="182" w:lineRule="exact"/>
        <w:rPr>
          <w:rFonts w:ascii="Arial" w:cs="Arial" w:eastAsia="Arial" w:hAnsi="Arial"/>
          <w:sz w:val="17"/>
          <w:szCs w:val="17"/>
          <w:color w:val="auto"/>
        </w:rPr>
      </w:pPr>
    </w:p>
    <w:p>
      <w:pPr>
        <w:ind w:firstLine="921"/>
        <w:spacing w:after="0" w:line="284" w:lineRule="auto"/>
        <w:tabs>
          <w:tab w:leader="none" w:pos="1303" w:val="left"/>
        </w:tabs>
        <w:numPr>
          <w:ilvl w:val="1"/>
          <w:numId w:val="300"/>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In such event, the Members shall be entitled to receive upon such conversion that value of the securities of the Conversion Corporation as equals the value of the Units which such Members held in the Company immediately prior to such conversion;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upon completion of such conversion the securities received by each such Member shall as nearly as practicable provide such Member with the same economic, voting, preferences, benefits and other rights as such Member was entitled to prior to such conversion;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 the aggregate value of the securities received by the Series 2 Senior Preferred Members is greater than the aggregate Series 2 Senior Preferred Unreturned Capital, (ii) the aggregate value of the securities received by the Series 1 Senior Preferred Members is greater than the aggregate Series 1 Senior Preferred Unreturned Capital, and</w:t>
      </w:r>
    </w:p>
    <w:p>
      <w:pPr>
        <w:spacing w:after="0" w:line="4" w:lineRule="exact"/>
        <w:rPr>
          <w:rFonts w:ascii="Arial" w:cs="Arial" w:eastAsia="Arial" w:hAnsi="Arial"/>
          <w:sz w:val="16"/>
          <w:szCs w:val="16"/>
          <w:color w:val="auto"/>
        </w:rPr>
      </w:pPr>
    </w:p>
    <w:p>
      <w:pPr>
        <w:ind w:right="280" w:firstLine="8"/>
        <w:spacing w:after="0" w:line="261" w:lineRule="auto"/>
        <w:tabs>
          <w:tab w:leader="none" w:pos="31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aggregate value of the securities received by the Junior Preferred Members is greater than the aggregate Junior Preferred Unreturned Capital, each Member shall receive common stock of the Conversion Corporation with respect to its Units.</w:t>
      </w:r>
    </w:p>
    <w:p>
      <w:pPr>
        <w:spacing w:after="0" w:line="183" w:lineRule="exact"/>
        <w:rPr>
          <w:rFonts w:ascii="Arial" w:cs="Arial" w:eastAsia="Arial" w:hAnsi="Arial"/>
          <w:sz w:val="18"/>
          <w:szCs w:val="18"/>
          <w:color w:val="auto"/>
        </w:rPr>
      </w:pPr>
    </w:p>
    <w:p>
      <w:pPr>
        <w:ind w:right="320" w:firstLine="921"/>
        <w:spacing w:after="0" w:line="277" w:lineRule="auto"/>
        <w:tabs>
          <w:tab w:leader="none" w:pos="1293"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Contemporaneously with the execution of this Agreement, the Company and certain Members have entered into an amended and restated registration rights agreement substantially in the form attached hereto as Exhibit C.</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Member Cooperation Upon Certain Events</w:t>
      </w:r>
      <w:r>
        <w:rPr>
          <w:rFonts w:ascii="Arial" w:cs="Arial" w:eastAsia="Arial" w:hAnsi="Arial"/>
          <w:sz w:val="18"/>
          <w:szCs w:val="18"/>
          <w:color w:val="auto"/>
        </w:rPr>
        <w:t xml:space="preserve">. Each Member agrees to reasonably cooperate in connection with a conversion contemplated by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as may reasonably be requested by the Board.</w:t>
      </w:r>
    </w:p>
    <w:p>
      <w:pPr>
        <w:sectPr>
          <w:pgSz w:w="11900" w:h="16838" w:orient="portrait"/>
          <w:cols w:equalWidth="0" w:num="1">
            <w:col w:w="11400"/>
          </w:cols>
          <w:pgMar w:left="240" w:top="270" w:right="259" w:bottom="1440" w:gutter="0" w:footer="0" w:header="0"/>
        </w:sectPr>
      </w:pPr>
    </w:p>
    <w:bookmarkStart w:id="397" w:name="page398"/>
    <w:bookmarkEnd w:id="397"/>
    <w:p>
      <w:pPr>
        <w:ind w:left="452"/>
        <w:spacing w:after="0"/>
        <w:tabs>
          <w:tab w:leader="none" w:pos="15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11.3.</w:t>
      </w:r>
      <w:r>
        <w:rPr>
          <w:sz w:val="20"/>
          <w:szCs w:val="20"/>
          <w:color w:val="auto"/>
        </w:rPr>
        <w:tab/>
      </w:r>
      <w:r>
        <w:rPr>
          <w:rFonts w:ascii="Arial" w:cs="Arial" w:eastAsia="Arial" w:hAnsi="Arial"/>
          <w:sz w:val="16"/>
          <w:szCs w:val="16"/>
          <w:u w:val="single" w:color="auto"/>
          <w:color w:val="auto"/>
        </w:rPr>
        <w:t>Blocker Provisions</w:t>
      </w:r>
      <w:r>
        <w:rPr>
          <w:rFonts w:ascii="Arial" w:cs="Arial" w:eastAsia="Arial" w:hAnsi="Arial"/>
          <w:sz w:val="16"/>
          <w:szCs w:val="16"/>
          <w:color w:val="auto"/>
        </w:rPr>
        <w:t>.</w:t>
      </w:r>
    </w:p>
    <w:p>
      <w:pPr>
        <w:spacing w:after="0" w:line="117" w:lineRule="exact"/>
        <w:rPr>
          <w:sz w:val="20"/>
          <w:szCs w:val="20"/>
          <w:color w:val="auto"/>
        </w:rPr>
      </w:pPr>
    </w:p>
    <w:p>
      <w:pPr>
        <w:ind w:left="-8" w:right="180" w:firstLine="921"/>
        <w:spacing w:after="0" w:line="286" w:lineRule="auto"/>
        <w:tabs>
          <w:tab w:leader="none" w:pos="1285" w:val="left"/>
        </w:tabs>
        <w:numPr>
          <w:ilvl w:val="1"/>
          <w:numId w:val="302"/>
        </w:numPr>
        <w:rPr>
          <w:rFonts w:ascii="Arial" w:cs="Arial" w:eastAsia="Arial" w:hAnsi="Arial"/>
          <w:sz w:val="16"/>
          <w:szCs w:val="16"/>
          <w:color w:val="auto"/>
        </w:rPr>
      </w:pPr>
      <w:r>
        <w:rPr>
          <w:rFonts w:ascii="Arial" w:cs="Arial" w:eastAsia="Arial" w:hAnsi="Arial"/>
          <w:sz w:val="16"/>
          <w:szCs w:val="16"/>
          <w:color w:val="auto"/>
        </w:rPr>
        <w:t>If (i) the Company intends to become a wholly-owned subsidiary of a corporation (by merger, contribution, or otherwise) or the Company or any subsidiary holding all or substantially all of the assets of the Company intends either to convert into a corporation (by conversion, merger, or otherwise) or to elect to be taxed as a corporation for federal income tax purposes or intends to convert into a Conversion Corporation (in each case, the successor corporate entity to the Company or such subsidiary, the “</w:t>
      </w:r>
      <w:r>
        <w:rPr>
          <w:rFonts w:ascii="Arial" w:cs="Arial" w:eastAsia="Arial" w:hAnsi="Arial"/>
          <w:sz w:val="16"/>
          <w:szCs w:val="16"/>
          <w:b w:val="1"/>
          <w:bCs w:val="1"/>
          <w:color w:val="auto"/>
        </w:rPr>
        <w:t>Successor Corporation</w:t>
      </w:r>
      <w:r>
        <w:rPr>
          <w:rFonts w:ascii="Arial" w:cs="Arial" w:eastAsia="Arial" w:hAnsi="Arial"/>
          <w:sz w:val="16"/>
          <w:szCs w:val="16"/>
          <w:color w:val="auto"/>
        </w:rPr>
        <w:t>” and any such transaction, a “</w:t>
      </w:r>
      <w:r>
        <w:rPr>
          <w:rFonts w:ascii="Arial" w:cs="Arial" w:eastAsia="Arial" w:hAnsi="Arial"/>
          <w:sz w:val="16"/>
          <w:szCs w:val="16"/>
          <w:b w:val="1"/>
          <w:bCs w:val="1"/>
          <w:color w:val="auto"/>
        </w:rPr>
        <w:t>Corporate Transaction</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8" w:right="20" w:firstLine="8"/>
        <w:spacing w:after="0" w:line="251" w:lineRule="auto"/>
        <w:tabs>
          <w:tab w:leader="none" w:pos="25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Company or any subsidiary intends to effect a sale, disposition or other similar transaction involving all or substantially all of the Units or assets of the Company (a “</w:t>
      </w:r>
      <w:r>
        <w:rPr>
          <w:rFonts w:ascii="Arial" w:cs="Arial" w:eastAsia="Arial" w:hAnsi="Arial"/>
          <w:sz w:val="18"/>
          <w:szCs w:val="18"/>
          <w:b w:val="1"/>
          <w:bCs w:val="1"/>
          <w:color w:val="auto"/>
        </w:rPr>
        <w:t>Covered Transaction</w:t>
      </w:r>
      <w:r>
        <w:rPr>
          <w:rFonts w:ascii="Arial" w:cs="Arial" w:eastAsia="Arial" w:hAnsi="Arial"/>
          <w:sz w:val="18"/>
          <w:szCs w:val="18"/>
          <w:color w:val="auto"/>
        </w:rPr>
        <w:t>”), the Company shall use commercially reasonable efforts to effect such Corporate Transaction or Covered Transaction, as applicable, so that each of (A) the Bain Fund, as the holder of all securities issued by BCLS Solid Bio, Inc. (the “</w:t>
      </w:r>
      <w:r>
        <w:rPr>
          <w:rFonts w:ascii="Arial" w:cs="Arial" w:eastAsia="Arial" w:hAnsi="Arial"/>
          <w:sz w:val="18"/>
          <w:szCs w:val="18"/>
          <w:b w:val="1"/>
          <w:bCs w:val="1"/>
          <w:color w:val="auto"/>
        </w:rPr>
        <w:t>Bain Blocker</w:t>
      </w:r>
      <w:r>
        <w:rPr>
          <w:rFonts w:ascii="Arial" w:cs="Arial" w:eastAsia="Arial" w:hAnsi="Arial"/>
          <w:sz w:val="18"/>
          <w:szCs w:val="18"/>
          <w:color w:val="auto"/>
        </w:rPr>
        <w:t>”) and (B) Foresite Capital Fund III, L.P. (the “</w:t>
      </w:r>
      <w:r>
        <w:rPr>
          <w:rFonts w:ascii="Arial" w:cs="Arial" w:eastAsia="Arial" w:hAnsi="Arial"/>
          <w:sz w:val="18"/>
          <w:szCs w:val="18"/>
          <w:b w:val="1"/>
          <w:bCs w:val="1"/>
          <w:color w:val="auto"/>
        </w:rPr>
        <w:t>Foresite Fund</w:t>
      </w:r>
      <w:r>
        <w:rPr>
          <w:rFonts w:ascii="Arial" w:cs="Arial" w:eastAsia="Arial" w:hAnsi="Arial"/>
          <w:sz w:val="18"/>
          <w:szCs w:val="18"/>
          <w:color w:val="auto"/>
        </w:rPr>
        <w:t>”) as the holder of all securities issued by FC Fund III Solid Holdings, Inc. (the “</w:t>
      </w:r>
      <w:r>
        <w:rPr>
          <w:rFonts w:ascii="Arial" w:cs="Arial" w:eastAsia="Arial" w:hAnsi="Arial"/>
          <w:sz w:val="18"/>
          <w:szCs w:val="18"/>
          <w:b w:val="1"/>
          <w:bCs w:val="1"/>
          <w:color w:val="auto"/>
        </w:rPr>
        <w:t>Foresite Blocker</w:t>
      </w:r>
      <w:r>
        <w:rPr>
          <w:rFonts w:ascii="Arial" w:cs="Arial" w:eastAsia="Arial" w:hAnsi="Arial"/>
          <w:sz w:val="18"/>
          <w:szCs w:val="18"/>
          <w:color w:val="auto"/>
        </w:rPr>
        <w:t xml:space="preserve">”), can exchange all (but not less than all) of the securities of the Bain Blocker or the Foresite Blocker, as applicable, for the securities of the Successor Corporation or proceeds from such Corporate Transaction or Covered Transaction that otherwise would have been directly or indirectly issued to the Bain Blocker or the Foresite Blocker, as applicable, and in a manner that, to the extent practicable without altering the intended economic arrangements of the parties, is otherwise a “reorganization” within the meaning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368(a) of the Code or a transfer of property to a corporation in exchange for stock of such corporation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351 of the Code.</w:t>
      </w:r>
    </w:p>
    <w:p>
      <w:pPr>
        <w:spacing w:after="0" w:line="198" w:lineRule="exact"/>
        <w:rPr>
          <w:rFonts w:ascii="Arial" w:cs="Arial" w:eastAsia="Arial" w:hAnsi="Arial"/>
          <w:sz w:val="18"/>
          <w:szCs w:val="18"/>
          <w:color w:val="auto"/>
        </w:rPr>
      </w:pPr>
    </w:p>
    <w:p>
      <w:pPr>
        <w:ind w:left="-8" w:firstLine="921"/>
        <w:spacing w:after="0" w:line="268" w:lineRule="auto"/>
        <w:tabs>
          <w:tab w:leader="none" w:pos="1292" w:val="left"/>
        </w:tabs>
        <w:numPr>
          <w:ilvl w:val="1"/>
          <w:numId w:val="303"/>
        </w:numPr>
        <w:rPr>
          <w:rFonts w:ascii="Arial" w:cs="Arial" w:eastAsia="Arial" w:hAnsi="Arial"/>
          <w:sz w:val="17"/>
          <w:szCs w:val="17"/>
          <w:color w:val="auto"/>
        </w:rPr>
      </w:pPr>
      <w:r>
        <w:rPr>
          <w:rFonts w:ascii="Arial" w:cs="Arial" w:eastAsia="Arial" w:hAnsi="Arial"/>
          <w:sz w:val="17"/>
          <w:szCs w:val="17"/>
          <w:color w:val="auto"/>
        </w:rPr>
        <w:t xml:space="preserve">The Company shall use commercially reasonable efforts to negotiate and consult with (i) the Bain Members and their Affiliates regarding the terms of any exchange of securities of the Bain Blocker pursuant to </w:t>
      </w:r>
      <w:r>
        <w:rPr>
          <w:rFonts w:ascii="Arial" w:cs="Arial" w:eastAsia="Arial" w:hAnsi="Arial"/>
          <w:sz w:val="17"/>
          <w:szCs w:val="17"/>
          <w:u w:val="single" w:color="auto"/>
          <w:color w:val="auto"/>
        </w:rPr>
        <w:t>Section 11.3(a)</w:t>
      </w:r>
      <w:r>
        <w:rPr>
          <w:rFonts w:ascii="Arial" w:cs="Arial" w:eastAsia="Arial" w:hAnsi="Arial"/>
          <w:sz w:val="17"/>
          <w:szCs w:val="17"/>
          <w:color w:val="auto"/>
        </w:rPr>
        <w:t xml:space="preserve">, and (ii) the Foresite Fund regarding the terms of any exchange of securities of the Foresite Blocker pursuant to </w:t>
      </w:r>
      <w:r>
        <w:rPr>
          <w:rFonts w:ascii="Arial" w:cs="Arial" w:eastAsia="Arial" w:hAnsi="Arial"/>
          <w:sz w:val="17"/>
          <w:szCs w:val="17"/>
          <w:u w:val="single" w:color="auto"/>
          <w:color w:val="auto"/>
        </w:rPr>
        <w:t>Section 11.3(a)</w:t>
      </w:r>
      <w:r>
        <w:rPr>
          <w:rFonts w:ascii="Arial" w:cs="Arial" w:eastAsia="Arial" w:hAnsi="Arial"/>
          <w:sz w:val="17"/>
          <w:szCs w:val="17"/>
          <w:color w:val="auto"/>
        </w:rPr>
        <w:t xml:space="preserve">, it being understood that (A) the parties intend that the gross proceeds to the Bain Members or the Foresite Fund as applicable, from such exchange shall be the same as the direct or indirect gross proceeds from such Corporate Transaction or Covered Transaction to the Bain Fund or Foresite Blocker, as applicable, absent any such exchange of Bain Blocker securities or Foresite Blocker securities, as applicable, pursuant to the provisions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provided, however, that no other Member shall bear any expenses, costs or adverse tax or economic consequences in connection with any such exchange (other than the potential adverse economic consequences to be indirectly borne by all Members through a reduction in total proceeds as a result of foregone potential tax benefits to the purchaser of Units or assets in connection with a Covered Transaction by reason of effecting a transfer of securities of Bain Blocker or the Foresite Blocker), (B) the Company may require each of the Bain Fund, the Bain Members, the Bain Blocker, the Foresite Fund, the Foresite Blocker and such other parties as are reasonably necessary, as applicable, to make certain representations and warranties, including representations and warranties by the Bain Blocker and the Foresite Blocker regarding their assets and liabilities, title to assets and lack of any activities other than holding a direct or indirect interest in the Company and (C) in no event shall the Company be liable to any Person for failure to effect any such Corporate Transaction or Covered Transaction in a manner that allows (1) the Bain Fund to exchange securities of the Bain Blocker for securities of the Successor Corporation or proceeds from a Corporate Transaction or Covered Transaction or for the tax consequences of any exchange by the Bain Fund of</w:t>
      </w:r>
    </w:p>
    <w:p>
      <w:pPr>
        <w:sectPr>
          <w:pgSz w:w="11900" w:h="16838" w:orient="portrait"/>
          <w:cols w:equalWidth="0" w:num="1">
            <w:col w:w="11412"/>
          </w:cols>
          <w:pgMar w:left="248" w:top="273" w:right="239" w:bottom="1440" w:gutter="0" w:footer="0" w:header="0"/>
        </w:sectPr>
      </w:pPr>
    </w:p>
    <w:bookmarkStart w:id="398" w:name="page399"/>
    <w:bookmarkEnd w:id="398"/>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securities of the Bain Blocker pursuant to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or (2) the Foresite Fund to exchange securities of the Foresite Blocker for securities of the Successor Corporation or proceeds from a Corporate Transaction or Covered Transaction or for the tax consequences of any exchange by the Foresite Fund of securities of the Foresite Blocker pursuant to this </w:t>
      </w:r>
      <w:r>
        <w:rPr>
          <w:rFonts w:ascii="Arial" w:cs="Arial" w:eastAsia="Arial" w:hAnsi="Arial"/>
          <w:sz w:val="17"/>
          <w:szCs w:val="17"/>
          <w:u w:val="single" w:color="auto"/>
          <w:color w:val="auto"/>
        </w:rPr>
        <w:t>Section 11.3</w:t>
      </w:r>
      <w:r>
        <w:rPr>
          <w:rFonts w:ascii="Arial" w:cs="Arial" w:eastAsia="Arial" w:hAnsi="Arial"/>
          <w:sz w:val="17"/>
          <w:szCs w:val="17"/>
          <w:color w:val="auto"/>
        </w:rPr>
        <w:t>. All such negotiations shall be made by the applicable party in good faith.</w:t>
      </w:r>
    </w:p>
    <w:p>
      <w:pPr>
        <w:spacing w:after="0" w:line="166" w:lineRule="exact"/>
        <w:rPr>
          <w:sz w:val="20"/>
          <w:szCs w:val="20"/>
          <w:color w:val="auto"/>
        </w:rPr>
      </w:pPr>
    </w:p>
    <w:p>
      <w:pPr>
        <w:ind w:right="180" w:firstLine="921"/>
        <w:spacing w:after="0" w:line="271" w:lineRule="auto"/>
        <w:tabs>
          <w:tab w:leader="none" w:pos="1293"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If the Bain Fund transfers securities of the Bain Blocker to an Affiliate of the Bain Fund, the transferee of such securities shall have the same rights and obligations of the Bain Fund pursuant to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so that any such Affiliate and the Bain Fund can collectively transfer all securities of the Bain Blocker as contemplated by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The rights of the Bain Fund (and any Affiliate of the Bain Fund that holds securities of the Bain Blocker) and the obligations of the Company, as set forth in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shall cease to exist if any securities of the Bain Blocker are not owned by the Bain Fund or its Affiliates; provided that in the event of a transfer of securities of the Bain Blocker other than to an Affiliate of the Bain Blocker, the Company shall use commercially reasonable efforts to cause these rights to apply to a transferee of such securities, it being understood that as part of such undertaking the successor to such securities and its Affiliates would be expected to agree to provisions comparable to those set forth in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applicable to the Bain Fund, the Bain Blocker and the Bain Members and their Affiliates.</w:t>
      </w:r>
    </w:p>
    <w:p>
      <w:pPr>
        <w:spacing w:after="0" w:line="178" w:lineRule="exact"/>
        <w:rPr>
          <w:rFonts w:ascii="Arial" w:cs="Arial" w:eastAsia="Arial" w:hAnsi="Arial"/>
          <w:sz w:val="17"/>
          <w:szCs w:val="17"/>
          <w:color w:val="auto"/>
        </w:rPr>
      </w:pPr>
    </w:p>
    <w:p>
      <w:pPr>
        <w:ind w:right="20" w:firstLine="921"/>
        <w:spacing w:after="0" w:line="290" w:lineRule="auto"/>
        <w:tabs>
          <w:tab w:leader="none" w:pos="1303"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If the Foresite Fund transfers securities of the Foresite Blocker to an Affiliate of the Foresite Fund, the transferee of such securities shall have the same rights and obligations of the Foresite Fund pursuant to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so that any such Affiliate and the Foresite Fund can collectively transfer all securities of the Foresite Blocker as contemplated by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The rights of the Foresite Fund (and any Affiliate of the Foresite Fund that holds securities of the Foresite Blocker) and the obligations of the Company, as set forth in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shall cease to exist if any securities of the Foresite Blocker are not owned by the Foresite Fund or its Affiliates; provided that in the event of a transfer of securities of the Foresite Blocker other than to an Affiliate of the Foresite Fund, the Company shall use commercially reasonable efforts to cause these rights to apply to a transferee of such securities, it being understood that as part of such undertaking the successor to such securities and its Affiliates would be expected to agree to provisions comparable to those set forth in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applicable to the Foresite Fund, the Foresite Blocker and their Affiliates.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Right to Indemnification of Directors and Officers</w:t>
      </w:r>
      <w:r>
        <w:rPr>
          <w:rFonts w:ascii="Arial" w:cs="Arial" w:eastAsia="Arial" w:hAnsi="Arial"/>
          <w:sz w:val="18"/>
          <w:szCs w:val="18"/>
          <w:color w:val="auto"/>
        </w:rPr>
        <w:t>. The Company shall indemnify and hold harmless, to the fullest extent permitted by applicable law as it presently exists or may hereafter be amended, any person (an “</w:t>
      </w:r>
      <w:r>
        <w:rPr>
          <w:rFonts w:ascii="Arial" w:cs="Arial" w:eastAsia="Arial" w:hAnsi="Arial"/>
          <w:sz w:val="18"/>
          <w:szCs w:val="18"/>
          <w:b w:val="1"/>
          <w:bCs w:val="1"/>
          <w:color w:val="auto"/>
        </w:rPr>
        <w:t>Indemnified Person</w:t>
      </w:r>
      <w:r>
        <w:rPr>
          <w:rFonts w:ascii="Arial" w:cs="Arial" w:eastAsia="Arial" w:hAnsi="Arial"/>
          <w:sz w:val="18"/>
          <w:szCs w:val="18"/>
          <w:color w:val="auto"/>
        </w:rPr>
        <w:t>”) who was or is made or is threatened to be made a party or is otherwise involved in any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such person, or a person for whom such person is the legal representative, is or was a Manager or Officer or, while a Manager or Officer, is or was serving at the request of the Company as a director, officer, manager, employee or agent of another corporation or of a partnership, joint venture, limited liability company,</w:t>
      </w:r>
    </w:p>
    <w:p>
      <w:pPr>
        <w:sectPr>
          <w:pgSz w:w="11900" w:h="16838" w:orient="portrait"/>
          <w:cols w:equalWidth="0" w:num="1">
            <w:col w:w="11400"/>
          </w:cols>
          <w:pgMar w:left="240" w:top="273" w:right="259" w:bottom="1440" w:gutter="0" w:footer="0" w:header="0"/>
        </w:sectPr>
      </w:pPr>
    </w:p>
    <w:bookmarkStart w:id="399" w:name="page400"/>
    <w:bookmarkEnd w:id="39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trust, enterprise or nonprofit entity, including service with respect to employee benefit plans, against all liability and loss suffered and expenses (including attorneys’ fees) reasonably incurred by such Indemnified Person in such Proceeding. Notwithstanding the preceding sentence, (i) except as otherwise provided in </w:t>
      </w:r>
      <w:r>
        <w:rPr>
          <w:rFonts w:ascii="Arial" w:cs="Arial" w:eastAsia="Arial" w:hAnsi="Arial"/>
          <w:sz w:val="18"/>
          <w:szCs w:val="18"/>
          <w:u w:val="single" w:color="auto"/>
          <w:color w:val="auto"/>
        </w:rPr>
        <w:t>Section 12.3</w:t>
      </w:r>
      <w:r>
        <w:rPr>
          <w:rFonts w:ascii="Arial" w:cs="Arial" w:eastAsia="Arial" w:hAnsi="Arial"/>
          <w:sz w:val="18"/>
          <w:szCs w:val="18"/>
          <w:color w:val="auto"/>
        </w:rPr>
        <w:t>, the Company shall be required to indemnify an Indemnified Person in connection with a Proceeding (or part thereof) commenced by such Indemnified Person only if the commencement of such Proceeding (or part thereof) by the Indemnified Person was authorized in advance by the Board of Managers, and (ii) the Company shall not be required to indemnify an Indemnified Person in connection with a Proceeding (or part thereof) commenced by the Company against such Indemnified Person.</w:t>
      </w:r>
    </w:p>
    <w:p>
      <w:pPr>
        <w:spacing w:after="0" w:line="193"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Section 12.2. </w:t>
      </w:r>
      <w:r>
        <w:rPr>
          <w:rFonts w:ascii="Arial" w:cs="Arial" w:eastAsia="Arial" w:hAnsi="Arial"/>
          <w:sz w:val="16"/>
          <w:szCs w:val="16"/>
          <w:u w:val="single" w:color="auto"/>
          <w:color w:val="auto"/>
        </w:rPr>
        <w:t>Prepayment of Expenses</w:t>
      </w:r>
      <w:r>
        <w:rPr>
          <w:rFonts w:ascii="Arial" w:cs="Arial" w:eastAsia="Arial" w:hAnsi="Arial"/>
          <w:sz w:val="16"/>
          <w:szCs w:val="16"/>
          <w:color w:val="auto"/>
        </w:rPr>
        <w:t xml:space="preserve">. The Company shall pay the expenses (including attorneys’ fees) incurred by an Indemnified Person in defending any Proceeding in advance of its final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or otherwise;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Company shall not be required to pay such expenses in connection with a Proceeding (or part thereof) commenced by the Company against such Indemnified Person.</w:t>
      </w:r>
    </w:p>
    <w:p>
      <w:pPr>
        <w:spacing w:after="0" w:line="15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Claims by Managers and Officers</w:t>
      </w:r>
      <w:r>
        <w:rPr>
          <w:rFonts w:ascii="Arial" w:cs="Arial" w:eastAsia="Arial" w:hAnsi="Arial"/>
          <w:sz w:val="18"/>
          <w:szCs w:val="18"/>
          <w:color w:val="auto"/>
        </w:rPr>
        <w:t xml:space="preserve">. If a claim for indemnification or advancement of expenses under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is not paid in full within thirty (30) days after a written claim therefor by the Indemnified Person has been received by the Company, the Indemnified Person may file suit to recover the unpaid amount of such claim and, if successful in whole or in part, shall be entitled to be paid the expense of prosecuting such claim. In any such action the Company shall have the burden of proving that the Indemnified Person is not entitled to the requested indemnification or advancement of expenses under applicable law.</w:t>
      </w:r>
    </w:p>
    <w:p>
      <w:pPr>
        <w:spacing w:after="0" w:line="18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u w:val="single" w:color="auto"/>
          <w:color w:val="auto"/>
        </w:rPr>
        <w:t>Indemnification of Employees and Agents</w:t>
      </w:r>
      <w:r>
        <w:rPr>
          <w:rFonts w:ascii="Arial" w:cs="Arial" w:eastAsia="Arial" w:hAnsi="Arial"/>
          <w:sz w:val="16"/>
          <w:szCs w:val="16"/>
          <w:color w:val="auto"/>
        </w:rPr>
        <w:t>. The Company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Company or, while an employee or agent of the Company, is or was serving at the request of the Company as a director, officer, manager,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Managers in its sole discretion.</w:t>
      </w:r>
    </w:p>
    <w:p>
      <w:pPr>
        <w:spacing w:after="0" w:line="16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u w:val="single" w:color="auto"/>
          <w:color w:val="auto"/>
        </w:rPr>
        <w:t>Advancement of Expenses of Employees and Agents</w:t>
      </w:r>
      <w:r>
        <w:rPr>
          <w:rFonts w:ascii="Arial" w:cs="Arial" w:eastAsia="Arial" w:hAnsi="Arial"/>
          <w:sz w:val="18"/>
          <w:szCs w:val="18"/>
          <w:color w:val="auto"/>
        </w:rPr>
        <w:t>. The Company may pay the expenses (including attorneys’ fees) incurred by an employee or agent in defending any Proceeding in advance of its final disposition on such terms and conditions as may be determined by the Board of Managers.</w:t>
      </w:r>
    </w:p>
    <w:p>
      <w:pPr>
        <w:sectPr>
          <w:pgSz w:w="11900" w:h="16838" w:orient="portrait"/>
          <w:cols w:equalWidth="0" w:num="1">
            <w:col w:w="11420"/>
          </w:cols>
          <w:pgMar w:left="240" w:top="274" w:right="239" w:bottom="1440" w:gutter="0" w:footer="0" w:header="0"/>
        </w:sectPr>
      </w:pPr>
    </w:p>
    <w:bookmarkStart w:id="400" w:name="page401"/>
    <w:bookmarkEnd w:id="400"/>
    <w:p>
      <w:pPr>
        <w:jc w:val="both"/>
        <w:ind w:right="1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12.6.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conferred on any person by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shall not be exclusive of any other rights which such person may have or hereafter acquire under any statute, provision of the Certificate of Formation, any other agreement, vote of the Members or disinterested Managers or otherwise.</w:t>
      </w:r>
    </w:p>
    <w:p>
      <w:pPr>
        <w:spacing w:after="0" w:line="18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Company’s obligation, if any, to indemnify any person who was or is serving at its request as a director, manager, officer or employee of another corporation, partnership, limited liability company, joint venture, trust, organization or other enterprise shall be reduced by any amount such person actually collects as indemnification from such other corporation, partnership, limited liability company, joint venture, trust, organization or other enterprise.</w:t>
      </w:r>
    </w:p>
    <w:p>
      <w:pPr>
        <w:spacing w:after="0" w:line="18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 xml:space="preserve">Section 12.8.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Board of Managers shall, to the full extent permitted by applicable law as it presently exists, or may hereafter be amended from time to time, authorize an appropriate Officer or Officers to purchase and maintain at the Company’s expense insurance in amounts satisfactory to the Board (a) to indemnify the Company for any obligation which it incurs as a result of the indemnification of Managers, Officers and employees under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and (b) to indemnify or insure Managers, Officers and employees against liability in instances in which they may not otherwise be indemnified by the Company under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maintains any such insurance for any Manager or Officer, it shall maintain it for all Managers and Officers.</w:t>
      </w:r>
    </w:p>
    <w:p>
      <w:pPr>
        <w:spacing w:after="0" w:line="17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6"/>
          <w:szCs w:val="16"/>
          <w:u w:val="single" w:color="auto"/>
          <w:color w:val="auto"/>
        </w:rPr>
        <w:t>Fiduciary Duties</w:t>
      </w:r>
      <w:r>
        <w:rPr>
          <w:rFonts w:ascii="Arial" w:cs="Arial" w:eastAsia="Arial" w:hAnsi="Arial"/>
          <w:sz w:val="16"/>
          <w:szCs w:val="16"/>
          <w:color w:val="auto"/>
        </w:rPr>
        <w:t>.</w:t>
      </w:r>
    </w:p>
    <w:p>
      <w:pPr>
        <w:spacing w:after="0" w:line="225" w:lineRule="exact"/>
        <w:rPr>
          <w:sz w:val="20"/>
          <w:szCs w:val="20"/>
          <w:color w:val="auto"/>
        </w:rPr>
      </w:pPr>
    </w:p>
    <w:p>
      <w:pPr>
        <w:ind w:right="60" w:firstLine="921"/>
        <w:spacing w:after="0" w:line="277" w:lineRule="auto"/>
        <w:tabs>
          <w:tab w:leader="none" w:pos="1293"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Managers</w:t>
      </w:r>
      <w:r>
        <w:rPr>
          <w:rFonts w:ascii="Arial" w:cs="Arial" w:eastAsia="Arial" w:hAnsi="Arial"/>
          <w:sz w:val="18"/>
          <w:szCs w:val="18"/>
          <w:color w:val="auto"/>
        </w:rPr>
        <w:t>. Each Manager shall owe the Company and its Members the same fiduciary duties that a director of a Delaware corporation owes to such corporation and its stockholders.</w:t>
      </w:r>
    </w:p>
    <w:p>
      <w:pPr>
        <w:spacing w:after="0" w:line="170" w:lineRule="exact"/>
        <w:rPr>
          <w:rFonts w:ascii="Arial" w:cs="Arial" w:eastAsia="Arial" w:hAnsi="Arial"/>
          <w:sz w:val="18"/>
          <w:szCs w:val="18"/>
          <w:color w:val="auto"/>
        </w:rPr>
      </w:pPr>
    </w:p>
    <w:p>
      <w:pPr>
        <w:ind w:firstLine="921"/>
        <w:spacing w:after="0" w:line="287" w:lineRule="auto"/>
        <w:tabs>
          <w:tab w:leader="none" w:pos="1303"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Members</w:t>
      </w:r>
      <w:r>
        <w:rPr>
          <w:rFonts w:ascii="Arial" w:cs="Arial" w:eastAsia="Arial" w:hAnsi="Arial"/>
          <w:sz w:val="16"/>
          <w:szCs w:val="16"/>
          <w:color w:val="auto"/>
        </w:rPr>
        <w:t>. Each of the Members acknowledges and agrees that the sole duty and responsibility of any Member pursuant to this Agreement, applicable law or otherwise, shall be to act in the interest of such Member, as determined by the applicable Member in its sole discretion, and there shall be no limitations on such Member’s right to act as determined by the Member in its sole discretion, except as otherwise specifically provided herein. In connection therewith, a Member may take into account only such Member’s best interests and such Member shall not be required to take into account the interest of any other Member or any other Person other than its own. No Member shall have any fiduciary or other implied duties or responsibilities except those expressly set forth herein, nor shall any fiduciary functions, responsibilities, duties, obligations or any liabilities be read into this Agreement or otherwise exist against such Member. To the maximum extent permitted by applicable law, no Member shall be a trustee or fiduciary for any other Member or the Company by reason of this Agreement. To the maximum extent permitted by law, each Member and the Company waive any fiduciary or other express or implied covenant, duty or other obligation of a Member to the other Members, the Company, any Company Subsidiaries or any third party, except for the specific obligations expressly set forth in this Agreement. To the maximum extent allowed by applicable law, each Member and the Company hereby waive all of the foregoing and all other duties, responsibilities or obligations (fiduciary or otherwise) that might otherwise apply to each.</w:t>
      </w:r>
    </w:p>
    <w:p>
      <w:pPr>
        <w:sectPr>
          <w:pgSz w:w="11900" w:h="16838" w:orient="portrait"/>
          <w:cols w:equalWidth="0" w:num="1">
            <w:col w:w="11420"/>
          </w:cols>
          <w:pgMar w:left="240" w:top="274" w:right="239" w:bottom="1440" w:gutter="0" w:footer="0" w:header="0"/>
        </w:sectPr>
      </w:pPr>
    </w:p>
    <w:bookmarkStart w:id="401" w:name="page402"/>
    <w:bookmarkEnd w:id="401"/>
    <w:p>
      <w:pPr>
        <w:ind w:right="2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12.10.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xml:space="preserve">. Any repeal or modification of the foregoing provisions of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Agreement sets forth the entire agreement and understanding among the parties hereto with respect to the subject matter hereof and supersedes all prior agreements and understandings relating to such subject matter, including without limitation any prior agreements among the Members and any prior agreements relating to the operation of the Company. Except as otherwise expressly set forth in this Agreement, this Agreement may not be modified, altered, supplemented or amended (by merger, repeal, or otherwise) except pursuant to a written agreement executed and delivered by the Voting Majority;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any such modification, alteration, supplement or amendment which materially disproportionately and adversely affects the rights and privileges of the Series 2 Senior Preferred Units, Series 1 Senior Preferred Units, the Junior Preferred Units, the Series A Common Units, the Series B Common Units or the Series C Common Units as compared to the rights and privileges of any another class of Units shall require, the consent of the Holders of a majority of the outstanding Units of such adversely affected class of Units, voting separately as a class and (ii) any such modification, alteration, supplement or amendment which materially disproportionately and adversely affects the rights and privileges of any Member or Members of a class of Units without similarly affecting all Members of such class of Units shall require the consent of the Holders of a majority in interest of the Members that are so materially disproportionately and adversely affected. Notwithstanding the foregoing, this Agreement may be modified, altered, supplemented or amended solely upon the vote or written consent of the Board to reflect the creation and/or issuance of any security having a right to receive distributions junior to the rights of the Junior Preferred Units set forth in </w:t>
      </w:r>
      <w:r>
        <w:rPr>
          <w:rFonts w:ascii="Arial" w:cs="Arial" w:eastAsia="Arial" w:hAnsi="Arial"/>
          <w:sz w:val="17"/>
          <w:szCs w:val="17"/>
          <w:u w:val="single" w:color="auto"/>
          <w:color w:val="auto"/>
        </w:rPr>
        <w:t>Sections 8.1(a)(v)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8.1(a)(vi)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such creation or issuance was undertaken in accordance with the terms of this Agreement.</w:t>
      </w:r>
    </w:p>
    <w:p>
      <w:pPr>
        <w:spacing w:after="0" w:line="18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acknowledge and agree that a breach of this Agreement would cause irreparable damage to the other Parties and that the other Parties will not have an adequate remedy at law. Therefore, the obligations of the Parties under this Agreement shall be enforceable by a decree of specific performance issued by any court of competent jurisdiction, and appropriate injunctive relief may be applied for and granted in connection therewith. Such remedies shall, however, be cumulative and not exclusive and shall be in addition to any other remedies which any Party may have under this Agreement or otherwise.</w:t>
      </w:r>
    </w:p>
    <w:p>
      <w:pPr>
        <w:spacing w:after="0" w:line="296"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13.3.</w:t>
      </w:r>
      <w:r>
        <w:rPr>
          <w:sz w:val="20"/>
          <w:szCs w:val="20"/>
          <w:color w:val="auto"/>
        </w:rPr>
        <w:tab/>
      </w:r>
      <w:r>
        <w:rPr>
          <w:rFonts w:ascii="Arial" w:cs="Arial" w:eastAsia="Arial" w:hAnsi="Arial"/>
          <w:sz w:val="16"/>
          <w:szCs w:val="16"/>
          <w:u w:val="single" w:color="auto"/>
          <w:color w:val="auto"/>
        </w:rPr>
        <w:t>Submission to Jurisdiction; Consent to Service of Process, Waiver of Jury Trial</w:t>
      </w:r>
      <w:r>
        <w:rPr>
          <w:rFonts w:ascii="Arial" w:cs="Arial" w:eastAsia="Arial" w:hAnsi="Arial"/>
          <w:sz w:val="16"/>
          <w:szCs w:val="16"/>
          <w:color w:val="auto"/>
        </w:rPr>
        <w:t>.</w:t>
      </w:r>
    </w:p>
    <w:p>
      <w:pPr>
        <w:spacing w:after="0" w:line="117" w:lineRule="exact"/>
        <w:rPr>
          <w:sz w:val="20"/>
          <w:szCs w:val="20"/>
          <w:color w:val="auto"/>
        </w:rPr>
      </w:pPr>
    </w:p>
    <w:p>
      <w:pPr>
        <w:ind w:right="400" w:firstLine="921"/>
        <w:spacing w:after="0" w:line="277" w:lineRule="auto"/>
        <w:tabs>
          <w:tab w:leader="none" w:pos="1293"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Parties hereby irrevocably submit to the non-exclusive jurisdiction of any federal or state court located within the State of Delaware over any</w:t>
      </w:r>
    </w:p>
    <w:p>
      <w:pPr>
        <w:sectPr>
          <w:pgSz w:w="11900" w:h="16838" w:orient="portrait"/>
          <w:cols w:equalWidth="0" w:num="1">
            <w:col w:w="11420"/>
          </w:cols>
          <w:pgMar w:left="240" w:top="274" w:right="239" w:bottom="1440" w:gutter="0" w:footer="0" w:header="0"/>
        </w:sectPr>
      </w:pPr>
    </w:p>
    <w:bookmarkStart w:id="402" w:name="page403"/>
    <w:bookmarkEnd w:id="402"/>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dispute arising out of or relating to this Agreement or any of the transactions contemplated hereby and each Party hereby irrevocably agrees that all claims in respect of such dispute or any suit, action proceeding related thereto may be heard and determined in such courts.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agrees that a judgment in any such dispute may be enforced in other jurisdictions by suit on the judgment or in any other manner provided by law.</w:t>
      </w:r>
    </w:p>
    <w:p>
      <w:pPr>
        <w:spacing w:after="0" w:line="173" w:lineRule="exact"/>
        <w:rPr>
          <w:sz w:val="20"/>
          <w:szCs w:val="20"/>
          <w:color w:val="auto"/>
        </w:rPr>
      </w:pPr>
    </w:p>
    <w:p>
      <w:pPr>
        <w:ind w:right="40" w:firstLine="921"/>
        <w:spacing w:after="0" w:line="277" w:lineRule="auto"/>
        <w:tabs>
          <w:tab w:leader="none" w:pos="1303"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Consent to Service of Process</w:t>
      </w:r>
      <w:r>
        <w:rPr>
          <w:rFonts w:ascii="Arial" w:cs="Arial" w:eastAsia="Arial" w:hAnsi="Arial"/>
          <w:sz w:val="18"/>
          <w:szCs w:val="18"/>
          <w:color w:val="auto"/>
        </w:rPr>
        <w:t xml:space="preserve">. Each of the Parties hereby consents to process being served by any Party in any suit, action or proceeding by delivery of a copy thereof in accordance with the provisions of </w:t>
      </w:r>
      <w:r>
        <w:rPr>
          <w:rFonts w:ascii="Arial" w:cs="Arial" w:eastAsia="Arial" w:hAnsi="Arial"/>
          <w:sz w:val="18"/>
          <w:szCs w:val="18"/>
          <w:u w:val="single" w:color="auto"/>
          <w:color w:val="auto"/>
        </w:rPr>
        <w:t>Section 13.6</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921"/>
        <w:spacing w:after="0" w:line="254" w:lineRule="auto"/>
        <w:tabs>
          <w:tab w:leader="none" w:pos="1293"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HEREBY WAIVES, TO THE FULLEST EXTENT PERMITTED BY LAW, ANY RIGHT TO TRIAL BY JURY OF ANY CLAIM, DEMAND, ACTION, OR CAUSE OF ACTION: (i) ARISING UNDER THIS AGREEMENT; OR (ii) IN ANY WAY CONNECTED WITH OR RELATED OR INCIDENTAL TO THE DEALINGS OF THE PARTIES IN RESPECT OF THIS AGREEMENT OR ANY OF THE TRANSACTIONS CONTEMPLATED HEREBY, IN EACH CASE WHETHER NOW EXISTING OR HEREAFTER ARISING, AND WHETHER IN CONTRACT, TORT, EQUITY, OR OTHERWISE. EACH PARTY HEREBY AGREES AND CONSENTS THAT ANY SUCH CLAIM, DEMAND, ACTION, OR CAUSE OF ACTION SHALL BE DECIDED BY COURT TRIAL WITHOUT A JURY AND THAT THE PARTIES MAY FILE AN ORIGINAL COUNTERPART OF A COPY OF THIS AGREEMENT WITH ANY COURT AS WRITTEN EVIDENCE OF THE CONSENT OF THE PARTIES TO THE WAIVER OF THEIR RIGHT TO TRIAL BY JURY.</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13.4. </w:t>
      </w:r>
      <w:r>
        <w:rPr>
          <w:rFonts w:ascii="Arial" w:cs="Arial" w:eastAsia="Arial" w:hAnsi="Arial"/>
          <w:sz w:val="17"/>
          <w:szCs w:val="17"/>
          <w:u w:val="single" w:color="auto"/>
          <w:color w:val="auto"/>
        </w:rPr>
        <w:t>Entire Agreement; Waivers</w:t>
      </w:r>
      <w:r>
        <w:rPr>
          <w:rFonts w:ascii="Arial" w:cs="Arial" w:eastAsia="Arial" w:hAnsi="Arial"/>
          <w:sz w:val="17"/>
          <w:szCs w:val="17"/>
          <w:color w:val="auto"/>
        </w:rPr>
        <w:t>. This Agreement represents the entire understanding and agreement among the Parties with respect to the subject matter of this Agreement and any provision of this Agreement can be waived only by written instrument making specific reference to this Agreement signed by the Party against whom enforcement of any such waiver is sought. No action taken pursuant to this Agreement, including any investigation by or on behalf of any Party, shall be deemed to constitute a waiver by the Party taking such action of compliance with any representation, warranty, covenant or agreement contained herein.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provided by law.</w:t>
      </w:r>
    </w:p>
    <w:p>
      <w:pPr>
        <w:spacing w:after="0" w:line="18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or causes of action or other matters (whether in contract, tort or otherwise) that may be based upon, arise out of or relate to this Agreement or the negotiation, execution or performance of this Agreement or the consummation of any of the transactions contemplated hereby, shall be governed by and construed in accordance with the laws of the State of Delaware applicable to contracts made and performed in such state.</w:t>
      </w:r>
    </w:p>
    <w:p>
      <w:pPr>
        <w:sectPr>
          <w:pgSz w:w="11900" w:h="16838" w:orient="portrait"/>
          <w:cols w:equalWidth="0" w:num="1">
            <w:col w:w="11420"/>
          </w:cols>
          <w:pgMar w:left="240" w:top="273" w:right="239" w:bottom="1440" w:gutter="0" w:footer="0" w:header="0"/>
        </w:sectPr>
      </w:pPr>
    </w:p>
    <w:bookmarkStart w:id="403" w:name="page404"/>
    <w:bookmarkEnd w:id="403"/>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this Agreement shall be in writing and shall be deemed given: (a) when delivered personally by hand (with written confirmation of receipt); (b) when sent by e-mail (with written confirmation of successful transmission); or (c) one Business Day following the day sent by overnight courier (with written confirmation of receipt), in each case at the following addresses (or to such other address as a Party may have specified by notice given to the other Party pursuant to this provision):</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to the Company, to:</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Solid Biosciences, LLC</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161 First Street,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Cambridge, MA 02142</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700"/>
        <w:spacing w:after="0"/>
        <w:tabs>
          <w:tab w:leader="none" w:pos="1640" w:val="left"/>
        </w:tabs>
        <w:rPr>
          <w:sz w:val="20"/>
          <w:szCs w:val="20"/>
          <w:color w:val="auto"/>
        </w:rPr>
      </w:pPr>
      <w:r>
        <w:rPr>
          <w:rFonts w:ascii="Arial" w:cs="Arial" w:eastAsia="Arial" w:hAnsi="Arial"/>
          <w:sz w:val="18"/>
          <w:szCs w:val="18"/>
          <w:color w:val="auto"/>
        </w:rPr>
        <w:t>Attention:</w:t>
        <w:tab/>
        <w:t>Ilan Ganot</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a copy to:</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Proskauer Rose, LLP</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700"/>
        <w:spacing w:after="0"/>
        <w:tabs>
          <w:tab w:leader="none" w:pos="1640" w:val="left"/>
        </w:tabs>
        <w:rPr>
          <w:sz w:val="20"/>
          <w:szCs w:val="20"/>
          <w:color w:val="auto"/>
        </w:rPr>
      </w:pPr>
      <w:r>
        <w:rPr>
          <w:rFonts w:ascii="Arial" w:cs="Arial" w:eastAsia="Arial" w:hAnsi="Arial"/>
          <w:sz w:val="18"/>
          <w:szCs w:val="18"/>
          <w:color w:val="auto"/>
        </w:rPr>
        <w:t>Attention:</w:t>
        <w:tab/>
        <w:t>Daniel P. Finkelman</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to any Member, to the address of such Member set forth on the signature page hereto.</w:t>
      </w:r>
    </w:p>
    <w:p>
      <w:pPr>
        <w:spacing w:after="0" w:line="23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13.8. </w:t>
      </w: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 This Agreement shall be binding upon and inure to the benefit of the Parties and their respective successors and permitted assigns. Nothing in this Agreement shall create or be deemed to create any third-party beneficiary rights in any Person not a Party to this Agreement. No assignment of this Agreement or of any rights or obligations hereunder may be made by any Party except subject to the terms of this Agreement.</w:t>
      </w:r>
    </w:p>
    <w:p>
      <w:pPr>
        <w:sectPr>
          <w:pgSz w:w="11900" w:h="16838" w:orient="portrait"/>
          <w:cols w:equalWidth="0" w:num="1">
            <w:col w:w="11380"/>
          </w:cols>
          <w:pgMar w:left="240" w:top="273" w:right="279" w:bottom="1440" w:gutter="0" w:footer="0" w:header="0"/>
        </w:sectPr>
      </w:pPr>
    </w:p>
    <w:bookmarkStart w:id="404" w:name="page405"/>
    <w:bookmarkEnd w:id="404"/>
    <w:p>
      <w:pPr>
        <w:ind w:right="28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13.9. </w:t>
      </w:r>
      <w:r>
        <w:rPr>
          <w:rFonts w:ascii="Arial" w:cs="Arial" w:eastAsia="Arial" w:hAnsi="Arial"/>
          <w:sz w:val="17"/>
          <w:szCs w:val="17"/>
          <w:u w:val="single" w:color="auto"/>
          <w:color w:val="auto"/>
        </w:rPr>
        <w:t>Non-Recourse</w:t>
      </w:r>
      <w:r>
        <w:rPr>
          <w:rFonts w:ascii="Arial" w:cs="Arial" w:eastAsia="Arial" w:hAnsi="Arial"/>
          <w:sz w:val="17"/>
          <w:szCs w:val="17"/>
          <w:color w:val="auto"/>
        </w:rPr>
        <w:t>. No past, present or future manager, director, officer, employee, incorporator, member, partner, stockholder, Affiliate, agent, attorney, authorized person, or representative of any Member shall have any liability for any obligations or liabilities of such Member under this Agreement or for any claim based on, in respect of, or by reason of, the transactions contemplated hereby.</w:t>
      </w:r>
    </w:p>
    <w:p>
      <w:pPr>
        <w:spacing w:after="0" w:line="166"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13.10.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will be deemed to be an original copy of this Agreement and all of which, when taken together, will be deemed to constitute one and the same agreement.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effective for all purposes.</w:t>
      </w:r>
    </w:p>
    <w:p>
      <w:pPr>
        <w:sectPr>
          <w:pgSz w:w="11900" w:h="16838" w:orient="portrait"/>
          <w:cols w:equalWidth="0" w:num="1">
            <w:col w:w="11380"/>
          </w:cols>
          <w:pgMar w:left="240" w:top="274" w:right="27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LIMITED LIABILITY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AGREEMENT OF SOLID BIOSCIENCES, LLC</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This Amendment No. 1 (this “Amendment”) to the Third Amended and Restated Limited Liability Company Agreement dated as of March 29, 2017 (the “Agreement”), of Solid Biosciences, LLC, a Delaware limited liability company (the “Company”), is entered into and shall be effective, as of October 26, 2017.</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signatories hereto are parties to the Agreement and wish to amend the Agreement as hereinafter provided;</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is hereby acknowledged, the parties hereto do hereby agree as follows:</w:t>
      </w:r>
    </w:p>
    <w:p>
      <w:pPr>
        <w:spacing w:after="0" w:line="76" w:lineRule="exact"/>
        <w:rPr>
          <w:sz w:val="20"/>
          <w:szCs w:val="20"/>
          <w:color w:val="auto"/>
        </w:rPr>
      </w:pPr>
    </w:p>
    <w:p>
      <w:pPr>
        <w:ind w:left="900" w:hanging="446"/>
        <w:spacing w:after="0"/>
        <w:tabs>
          <w:tab w:leader="none" w:pos="9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Capitalized terms used herein without definition shall have the respective meanings specified therefor in the Agreement.</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Senior Preferred Blended Issue Price defined in Article 1 of the Agreement is hereby changed to $10,832 per Senior Preferred Unit (as equitably adjusted for Unit splits, distributions of Units, Unit combinations or similar events).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Series 2 Senior Preferred Original Issue Price defined in Article 1 of the Agreement is hereby changed to $11.257 (subject to adjustment as provided in such definition).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Section 3.4(a) of the Agreement is hereby amended and restated in its entirety to read as follows:</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Units Generally</w:t>
      </w:r>
      <w:r>
        <w:rPr>
          <w:rFonts w:ascii="Arial" w:cs="Arial" w:eastAsia="Arial" w:hAnsi="Arial"/>
          <w:sz w:val="16"/>
          <w:szCs w:val="16"/>
          <w:color w:val="auto"/>
        </w:rPr>
        <w:t>. Each Member’s limited liability company interests in the Company shall be represented by Units. Subject to</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7"/>
          <w:szCs w:val="17"/>
          <w:u w:val="single" w:color="auto"/>
          <w:color w:val="auto"/>
        </w:rPr>
        <w:t>Section 3.5</w:t>
      </w:r>
      <w:r>
        <w:rPr>
          <w:rFonts w:ascii="Arial" w:cs="Arial" w:eastAsia="Arial" w:hAnsi="Arial"/>
          <w:sz w:val="17"/>
          <w:szCs w:val="17"/>
          <w:color w:val="auto"/>
        </w:rPr>
        <w:t>, the total number of Units that the Company shall have authority to issue is 31,989,865 Units, classified as: (i) 2,500,000</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Series 1 Senior Preferred Units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Series 1 Senior Preferred Units</w:t>
      </w:r>
      <w:r>
        <w:rPr>
          <w:rFonts w:ascii="Arial" w:cs="Arial" w:eastAsia="Arial" w:hAnsi="Arial"/>
          <w:sz w:val="17"/>
          <w:szCs w:val="17"/>
          <w:b w:val="1"/>
          <w:bCs w:val="1"/>
          <w:color w:val="auto"/>
        </w:rPr>
        <w:t>”</w:t>
      </w:r>
      <w:r>
        <w:rPr>
          <w:rFonts w:ascii="Arial" w:cs="Arial" w:eastAsia="Arial" w:hAnsi="Arial"/>
          <w:sz w:val="17"/>
          <w:szCs w:val="17"/>
          <w:color w:val="auto"/>
        </w:rPr>
        <w:t xml:space="preserve"> and the Holders thereof,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Series 1 Senior Preferred</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6"/>
          <w:szCs w:val="16"/>
          <w:b w:val="1"/>
          <w:bCs w:val="1"/>
          <w:u w:val="single" w:color="auto"/>
          <w:color w:val="auto"/>
        </w:rPr>
        <w:t>Members</w:t>
      </w:r>
      <w:r>
        <w:rPr>
          <w:rFonts w:ascii="Arial" w:cs="Arial" w:eastAsia="Arial" w:hAnsi="Arial"/>
          <w:sz w:val="16"/>
          <w:szCs w:val="16"/>
          <w:b w:val="1"/>
          <w:bCs w:val="1"/>
          <w:color w:val="auto"/>
        </w:rPr>
        <w:t xml:space="preserve">”); </w:t>
      </w:r>
      <w:r>
        <w:rPr>
          <w:rFonts w:ascii="Arial" w:cs="Arial" w:eastAsia="Arial" w:hAnsi="Arial"/>
          <w:sz w:val="16"/>
          <w:szCs w:val="16"/>
          <w:color w:val="auto"/>
        </w:rPr>
        <w:t>(ii) 4,886,000 Series 2 Senior Preferred Units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Series 2 Senior Preferred Units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Holders thereof,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Series</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7"/>
          <w:szCs w:val="17"/>
          <w:b w:val="1"/>
          <w:bCs w:val="1"/>
          <w:u w:val="single" w:color="auto"/>
          <w:color w:val="auto"/>
        </w:rPr>
        <w:t>2 Senior Preferred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(iii) 4,414,356 Junior Preferred Units (the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Junior Preferred Units</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Holders thereof, the</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Junior Preferred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(iv) 12,219,299 Series A Common Units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Series A Common Units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Holders thereof, the</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Series A Common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(v) 3,258,480 Series B Common Units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Series B Common Units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Holders thereof, the</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Series B Common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(vi) 1,635,916 Series C Common Units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Series C Common Units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Holders thereof, the</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Series C Common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and (vii) 3,075,814 Series D Common Units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Series D Common Units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Holders thereof,</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Series D Common Members</w:t>
      </w:r>
      <w:r>
        <w:rPr>
          <w:rFonts w:ascii="Arial" w:cs="Arial" w:eastAsia="Arial" w:hAnsi="Arial"/>
          <w:sz w:val="16"/>
          <w:szCs w:val="16"/>
          <w:b w:val="1"/>
          <w:bCs w:val="1"/>
          <w:color w:val="auto"/>
        </w:rPr>
        <w:t>”).</w:t>
      </w:r>
      <w:r>
        <w:rPr>
          <w:rFonts w:ascii="Arial" w:cs="Arial" w:eastAsia="Arial" w:hAnsi="Arial"/>
          <w:sz w:val="16"/>
          <w:szCs w:val="16"/>
          <w:color w:val="auto"/>
        </w:rPr>
        <w:t xml:space="preserve"> The number of Units issued to each Member as of the date of this Agreement is set forth opposite</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its name on the List of Members. Unless otherwise determined by the Board, the Units do not need to be certificated.”</w:t>
      </w:r>
    </w:p>
    <w:p>
      <w:pPr>
        <w:sectPr>
          <w:pgSz w:w="11900" w:h="16838" w:orient="portrait"/>
          <w:cols w:equalWidth="0" w:num="1">
            <w:col w:w="11420"/>
          </w:cols>
          <w:pgMar w:left="240" w:top="121" w:right="239" w:bottom="1440" w:gutter="0" w:footer="0" w:header="0"/>
        </w:sectPr>
      </w:pPr>
    </w:p>
    <w:bookmarkStart w:id="406" w:name="page407"/>
    <w:bookmarkEnd w:id="406"/>
    <w:p>
      <w:pPr>
        <w:ind w:left="446" w:hanging="446"/>
        <w:spacing w:after="0"/>
        <w:tabs>
          <w:tab w:leader="none" w:pos="446" w:val="left"/>
        </w:tabs>
        <w:numPr>
          <w:ilvl w:val="0"/>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13.6 of the Agreement is hereby amended and restated in its entirety to read as follows:</w:t>
      </w:r>
    </w:p>
    <w:p>
      <w:pPr>
        <w:spacing w:after="0" w:line="117" w:lineRule="exact"/>
        <w:rPr>
          <w:sz w:val="20"/>
          <w:szCs w:val="20"/>
          <w:color w:val="auto"/>
        </w:rPr>
      </w:pPr>
    </w:p>
    <w:p>
      <w:pPr>
        <w:ind w:left="1426"/>
        <w:spacing w:after="0"/>
        <w:rPr>
          <w:sz w:val="20"/>
          <w:szCs w:val="20"/>
          <w:color w:val="auto"/>
        </w:rPr>
      </w:pPr>
      <w:r>
        <w:rPr>
          <w:rFonts w:ascii="Arial" w:cs="Arial" w:eastAsia="Arial" w:hAnsi="Arial"/>
          <w:sz w:val="16"/>
          <w:szCs w:val="16"/>
          <w:color w:val="auto"/>
        </w:rPr>
        <w:t xml:space="preserve">“Section 13.6.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this Agreement shall be in writing and shall be deemed given:</w:t>
      </w:r>
    </w:p>
    <w:p>
      <w:pPr>
        <w:spacing w:after="0" w:line="46" w:lineRule="exact"/>
        <w:rPr>
          <w:sz w:val="20"/>
          <w:szCs w:val="20"/>
          <w:color w:val="auto"/>
        </w:rPr>
      </w:pPr>
    </w:p>
    <w:p>
      <w:pPr>
        <w:ind w:left="1286" w:hanging="248"/>
        <w:spacing w:after="0"/>
        <w:tabs>
          <w:tab w:leader="none" w:pos="128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when delivered personally by hand (with written confirmation of receipt); (b) when sent by e-mail (with written confirmation of</w:t>
      </w:r>
    </w:p>
    <w:p>
      <w:pPr>
        <w:spacing w:after="0" w:line="20" w:lineRule="exact"/>
        <w:rPr>
          <w:rFonts w:ascii="Arial" w:cs="Arial" w:eastAsia="Arial" w:hAnsi="Arial"/>
          <w:sz w:val="17"/>
          <w:szCs w:val="17"/>
          <w:color w:val="auto"/>
        </w:rPr>
      </w:pPr>
    </w:p>
    <w:p>
      <w:pPr>
        <w:ind w:left="1046"/>
        <w:spacing w:after="0" w:line="255" w:lineRule="auto"/>
        <w:rPr>
          <w:rFonts w:ascii="Arial" w:cs="Arial" w:eastAsia="Arial" w:hAnsi="Arial"/>
          <w:sz w:val="17"/>
          <w:szCs w:val="17"/>
          <w:color w:val="auto"/>
        </w:rPr>
      </w:pPr>
      <w:r>
        <w:rPr>
          <w:rFonts w:ascii="Arial" w:cs="Arial" w:eastAsia="Arial" w:hAnsi="Arial"/>
          <w:sz w:val="18"/>
          <w:szCs w:val="18"/>
          <w:color w:val="auto"/>
        </w:rPr>
        <w:t>successful transmission); or (c) one Business Day following the day sent by overnight courier (with written confirmation of receipt), in each case at the following addresses (or to such other address as a Party may have specified by notice given to the other Party pursuant to this provision):</w:t>
      </w:r>
    </w:p>
    <w:p>
      <w:pPr>
        <w:spacing w:after="0" w:line="82"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Solid Biosciences, LLC</w:t>
      </w:r>
    </w:p>
    <w:p>
      <w:pPr>
        <w:spacing w:after="0" w:line="23"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161 First Street, 3rd Floor</w:t>
      </w:r>
    </w:p>
    <w:p>
      <w:pPr>
        <w:spacing w:after="0" w:line="9"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Attention: Ilan Ganot</w:t>
      </w:r>
    </w:p>
    <w:p>
      <w:pPr>
        <w:spacing w:after="0" w:line="103"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Solid Biosciences, LLC</w:t>
      </w:r>
    </w:p>
    <w:p>
      <w:pPr>
        <w:spacing w:after="0" w:line="22"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161 First Street,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Attention: Daniel P. Finkelman</w:t>
      </w:r>
    </w:p>
    <w:p>
      <w:pPr>
        <w:spacing w:after="0" w:line="103"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If to any Member, to the address of such Member set forth on the signature page hereto,”</w:t>
      </w:r>
    </w:p>
    <w:p>
      <w:pPr>
        <w:spacing w:after="0" w:line="131" w:lineRule="exact"/>
        <w:rPr>
          <w:sz w:val="20"/>
          <w:szCs w:val="20"/>
          <w:color w:val="auto"/>
        </w:rPr>
      </w:pPr>
    </w:p>
    <w:p>
      <w:pPr>
        <w:ind w:left="446" w:right="440" w:hanging="446"/>
        <w:spacing w:after="0" w:line="277" w:lineRule="auto"/>
        <w:tabs>
          <w:tab w:leader="none" w:pos="44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For the avoidance of doubt, the Members hereby agree and confirm that the definition of the term “New Securities” in Section 5.5(b) of the Agreement excludes all 4,886,000 Series 2 Senior Preferred Units.</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 all other respects, the Agreement shall continue in full force and effect and shall be unaffected by this Amendment,</w:t>
      </w:r>
    </w:p>
    <w:p>
      <w:pPr>
        <w:sectPr>
          <w:pgSz w:w="11900" w:h="16838" w:orient="portrait"/>
          <w:cols w:equalWidth="0" w:num="1">
            <w:col w:w="10926"/>
          </w:cols>
          <w:pgMar w:left="694" w:top="274" w:right="279" w:bottom="1440" w:gutter="0" w:footer="0" w:header="0"/>
        </w:sectPr>
      </w:pPr>
    </w:p>
    <w:bookmarkStart w:id="407" w:name="page408"/>
    <w:bookmarkEnd w:id="4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intending to be legally bound hereby, have duly executed this Amendment as of the date first written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Solid Biosciences,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Ilan Ganot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Chief Executive Office</w:t>
      </w:r>
    </w:p>
    <w:p>
      <w:pPr>
        <w:sectPr>
          <w:pgSz w:w="11900" w:h="16838" w:orient="portrait"/>
          <w:cols w:equalWidth="0" w:num="1">
            <w:col w:w="10460"/>
          </w:cols>
          <w:pgMar w:left="700" w:top="273" w:right="739" w:bottom="1440" w:gutter="0" w:footer="0" w:header="0"/>
        </w:sectPr>
      </w:pPr>
    </w:p>
    <w:bookmarkStart w:id="408" w:name="page409"/>
    <w:bookmarkEnd w:id="408"/>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[MEMBER SIGNATURE PAGES OMITTED]</w:t>
      </w:r>
    </w:p>
    <w:p>
      <w:pPr>
        <w:sectPr>
          <w:pgSz w:w="11900" w:h="16838" w:orient="portrait"/>
          <w:cols w:equalWidth="0" w:num="1">
            <w:col w:w="9019"/>
          </w:cols>
          <w:pgMar w:left="1440" w:top="273" w:right="1440"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b w:val="1"/>
          <w:bCs w:val="1"/>
          <w:color w:val="auto"/>
        </w:rPr>
        <w:t>Exhibit 3.3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INC.</w:t>
      </w:r>
    </w:p>
    <w:p>
      <w:pPr>
        <w:spacing w:after="0" w:line="2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undersigned, for purposes of incorporating a corporation under the General Corporation Law of the State of Delaware, does hereby certify as follows: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NAME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Solid Biosciences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AND AGENT</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Corporation Trust Center, 1209 Orange Street, Wilmington, Delaware 19801. The name of the Corporation’s registered agent at such address is The Corporation Trust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The Corporation is being incorporated in connection with the conversion of Solid Biosciences, LLC, a Delaware limited liability company (the “</w:t>
      </w:r>
      <w:r>
        <w:rPr>
          <w:rFonts w:ascii="Arial" w:cs="Arial" w:eastAsia="Arial" w:hAnsi="Arial"/>
          <w:sz w:val="18"/>
          <w:szCs w:val="18"/>
          <w:b w:val="1"/>
          <w:bCs w:val="1"/>
          <w:color w:val="auto"/>
        </w:rPr>
        <w:t>LLC</w:t>
      </w:r>
      <w:r>
        <w:rPr>
          <w:rFonts w:ascii="Arial" w:cs="Arial" w:eastAsia="Arial" w:hAnsi="Arial"/>
          <w:sz w:val="18"/>
          <w:szCs w:val="18"/>
          <w:color w:val="auto"/>
        </w:rPr>
        <w:t>”), to the Corporation, and this Certificate of Incorporation is being filed simultaneously with the Certificate of Conversion of the LLC to the Corporation.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number of shares that the Corporation shall have authority to issue is 310,000,000 shares consisting of:</w:t>
      </w:r>
    </w:p>
    <w:p>
      <w:pPr>
        <w:spacing w:after="0" w:line="113" w:lineRule="exact"/>
        <w:rPr>
          <w:sz w:val="20"/>
          <w:szCs w:val="20"/>
          <w:color w:val="auto"/>
        </w:rPr>
      </w:pPr>
    </w:p>
    <w:p>
      <w:pPr>
        <w:ind w:left="1100" w:hanging="179"/>
        <w:spacing w:after="0"/>
        <w:tabs>
          <w:tab w:leader="none" w:pos="11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300,000,000 shares of 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100" w:hanging="179"/>
        <w:spacing w:after="0"/>
        <w:tabs>
          <w:tab w:leader="none" w:pos="11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10,000,000 shares of Preferred Stock, $0.001 par value per share (the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410" w:name="page411"/>
    <w:bookmarkEnd w:id="410"/>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5" w:lineRule="exact"/>
        <w:rPr>
          <w:sz w:val="20"/>
          <w:szCs w:val="20"/>
          <w:color w:val="auto"/>
        </w:rPr>
      </w:pPr>
    </w:p>
    <w:p>
      <w:pPr>
        <w:ind w:right="140" w:firstLine="921"/>
        <w:spacing w:after="0" w:line="308" w:lineRule="auto"/>
        <w:tabs>
          <w:tab w:leader="none" w:pos="1293" w:val="left"/>
        </w:tabs>
        <w:numPr>
          <w:ilvl w:val="0"/>
          <w:numId w:val="313"/>
        </w:numPr>
        <w:rPr>
          <w:rFonts w:ascii="Arial" w:cs="Arial" w:eastAsia="Arial" w:hAnsi="Arial"/>
          <w:sz w:val="17"/>
          <w:szCs w:val="17"/>
          <w:color w:val="auto"/>
        </w:rPr>
      </w:pPr>
      <w:r>
        <w:rPr>
          <w:rFonts w:ascii="Arial" w:cs="Arial" w:eastAsia="Arial" w:hAnsi="Arial"/>
          <w:sz w:val="17"/>
          <w:szCs w:val="17"/>
          <w:color w:val="auto"/>
        </w:rPr>
        <w:t>Each share of Common Stock issued and outstanding shall be identical in all respects one with the other and no dividends shall be paid on any shares of Common Stock unless the same dividend is paid on all shares of Common Stock outstanding at the time of such payment.</w:t>
      </w:r>
    </w:p>
    <w:p>
      <w:pPr>
        <w:spacing w:after="0" w:line="146" w:lineRule="exact"/>
        <w:rPr>
          <w:rFonts w:ascii="Arial" w:cs="Arial" w:eastAsia="Arial" w:hAnsi="Arial"/>
          <w:sz w:val="17"/>
          <w:szCs w:val="17"/>
          <w:color w:val="auto"/>
        </w:rPr>
      </w:pPr>
    </w:p>
    <w:p>
      <w:pPr>
        <w:ind w:firstLine="921"/>
        <w:spacing w:after="0" w:line="293" w:lineRule="auto"/>
        <w:tabs>
          <w:tab w:leader="none" w:pos="1303" w:val="left"/>
        </w:tabs>
        <w:numPr>
          <w:ilvl w:val="0"/>
          <w:numId w:val="313"/>
        </w:numPr>
        <w:rPr>
          <w:rFonts w:ascii="Arial" w:cs="Arial" w:eastAsia="Arial" w:hAnsi="Arial"/>
          <w:sz w:val="16"/>
          <w:szCs w:val="16"/>
          <w:color w:val="auto"/>
        </w:rPr>
      </w:pPr>
      <w:r>
        <w:rPr>
          <w:rFonts w:ascii="Arial" w:cs="Arial" w:eastAsia="Arial" w:hAnsi="Arial"/>
          <w:sz w:val="16"/>
          <w:szCs w:val="16"/>
          <w:color w:val="auto"/>
        </w:rPr>
        <w:t>Except for and subject to those rights expressly granted to the holders of the Preferred Stock, or except as may be provided by the DGCL, the holders of Common Stock shall have exclusively all other rights of stockholders, including, but not by way of limitation, (i) the right to receive dividends, when, as and if declared by the Board of Directors out of assets lawfully available therefor, and (ii) in the event of any distribution of assets upon liquidation, dissolution or winding up of the Corporation or otherwise, the right to receive ratably and equally all the assets and funds of the Corporation remaining after payment of all of the Corporation’s debts and other liabilities and payment to the holders of any then outstanding shares of Preferred Stock of the specific amounts that they are entitled to receive upon such liquidation, dissolution or winding up of the Corporation as herein provided.</w:t>
      </w:r>
    </w:p>
    <w:p>
      <w:pPr>
        <w:spacing w:after="0" w:line="164" w:lineRule="exact"/>
        <w:rPr>
          <w:rFonts w:ascii="Arial" w:cs="Arial" w:eastAsia="Arial" w:hAnsi="Arial"/>
          <w:sz w:val="16"/>
          <w:szCs w:val="16"/>
          <w:color w:val="auto"/>
        </w:rPr>
      </w:pPr>
    </w:p>
    <w:p>
      <w:pPr>
        <w:ind w:right="20" w:firstLine="921"/>
        <w:spacing w:after="0" w:line="264" w:lineRule="auto"/>
        <w:tabs>
          <w:tab w:leader="none" w:pos="129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Each holder of shares of Common Stock shall be entitled to one vote for each share of such Common Stock held by such holder, and voting power with respect to all classes of securities of the Corporation shall be vested solely in the Common Stock, other than as specifically provided in this Certificate of Incorporation, as it may be amended, with respect to the Preferred Stock.</w:t>
      </w:r>
    </w:p>
    <w:p>
      <w:pPr>
        <w:spacing w:after="0" w:line="181" w:lineRule="exact"/>
        <w:rPr>
          <w:rFonts w:ascii="Arial" w:cs="Arial" w:eastAsia="Arial" w:hAnsi="Arial"/>
          <w:sz w:val="18"/>
          <w:szCs w:val="18"/>
          <w:color w:val="auto"/>
        </w:rPr>
      </w:pPr>
    </w:p>
    <w:p>
      <w:pPr>
        <w:ind w:right="20" w:firstLine="921"/>
        <w:spacing w:after="0" w:line="277" w:lineRule="auto"/>
        <w:tabs>
          <w:tab w:leader="none" w:pos="13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Common Stock shall not be convertible into, or exchangeable for, shares of any other class or classes or of any other series of the same class of the Corporation’s capital stock.</w:t>
      </w:r>
    </w:p>
    <w:p>
      <w:pPr>
        <w:spacing w:after="0" w:line="170" w:lineRule="exact"/>
        <w:rPr>
          <w:rFonts w:ascii="Arial" w:cs="Arial" w:eastAsia="Arial" w:hAnsi="Arial"/>
          <w:sz w:val="18"/>
          <w:szCs w:val="18"/>
          <w:color w:val="auto"/>
        </w:rPr>
      </w:pPr>
    </w:p>
    <w:p>
      <w:pPr>
        <w:ind w:right="60" w:firstLine="921"/>
        <w:spacing w:after="0" w:line="277" w:lineRule="auto"/>
        <w:tabs>
          <w:tab w:leader="none" w:pos="129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 holder of Common Stock shall have any preemptive rights with respect to the Common Stock or any other securities of the Corporation or to any obligations convertible (directly or indirectly) into securities of the Corporation whether now or hereafter authorized.</w:t>
      </w:r>
    </w:p>
    <w:p>
      <w:pPr>
        <w:spacing w:after="0" w:line="279"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Authority is hereby vested in the Board of Directors of the Corporation to provide for the issuance of Preferred Stock in one or more series and in connection therewith to fix by resolution providing for the issue of any such series, the number of shares to be included and such of the preferences and relative participating, optional or other special rights and limitations of such series, including, without limitation, rights of redemption or conversion into Common Stock, to the fullest extent now or hereafter permitted by the DGCL. The authority of the Board of Directors with respect to each series of Preferred Stock shall include, but not be limited to, determination of the following:</w:t>
      </w:r>
    </w:p>
    <w:p>
      <w:pPr>
        <w:spacing w:after="0" w:line="94" w:lineRule="exact"/>
        <w:rPr>
          <w:sz w:val="20"/>
          <w:szCs w:val="20"/>
          <w:color w:val="auto"/>
        </w:rPr>
      </w:pPr>
    </w:p>
    <w:p>
      <w:pPr>
        <w:ind w:left="2280" w:hanging="354"/>
        <w:spacing w:after="0"/>
        <w:tabs>
          <w:tab w:leader="none" w:pos="22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w:t>
      </w:r>
    </w:p>
    <w:p>
      <w:pPr>
        <w:spacing w:after="0" w:line="130" w:lineRule="exact"/>
        <w:rPr>
          <w:rFonts w:ascii="Arial" w:cs="Arial" w:eastAsia="Arial" w:hAnsi="Arial"/>
          <w:sz w:val="18"/>
          <w:szCs w:val="18"/>
          <w:color w:val="auto"/>
        </w:rPr>
      </w:pPr>
    </w:p>
    <w:p>
      <w:pPr>
        <w:ind w:left="1920" w:right="180" w:firstLine="6"/>
        <w:spacing w:after="0" w:line="277" w:lineRule="auto"/>
        <w:tabs>
          <w:tab w:leader="none" w:pos="23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number of shares of the series, which number the Board of Directors may thereafter increase or decrease (but not below the number of shares thereof then outstanding);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411" w:name="page412"/>
    <w:bookmarkEnd w:id="411"/>
    <w:p>
      <w:pPr>
        <w:ind w:left="2380" w:hanging="454"/>
        <w:spacing w:after="0"/>
        <w:tabs>
          <w:tab w:leader="none" w:pos="23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dividends, if any, shall be cumulative or noncumulative and the dividend rate of the series;</w:t>
      </w:r>
    </w:p>
    <w:p>
      <w:pPr>
        <w:spacing w:after="0" w:line="130" w:lineRule="exact"/>
        <w:rPr>
          <w:rFonts w:ascii="Arial" w:cs="Arial" w:eastAsia="Arial" w:hAnsi="Arial"/>
          <w:sz w:val="18"/>
          <w:szCs w:val="18"/>
          <w:color w:val="auto"/>
        </w:rPr>
      </w:pPr>
    </w:p>
    <w:p>
      <w:pPr>
        <w:ind w:left="2360" w:hanging="434"/>
        <w:spacing w:after="0"/>
        <w:tabs>
          <w:tab w:leader="none" w:pos="23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dates at which dividends, if any, shall be payable;</w:t>
      </w:r>
    </w:p>
    <w:p>
      <w:pPr>
        <w:spacing w:after="0" w:line="130" w:lineRule="exact"/>
        <w:rPr>
          <w:rFonts w:ascii="Arial" w:cs="Arial" w:eastAsia="Arial" w:hAnsi="Arial"/>
          <w:sz w:val="18"/>
          <w:szCs w:val="18"/>
          <w:color w:val="auto"/>
        </w:rPr>
      </w:pPr>
    </w:p>
    <w:p>
      <w:pPr>
        <w:ind w:left="2320" w:hanging="394"/>
        <w:spacing w:after="0"/>
        <w:tabs>
          <w:tab w:leader="none" w:pos="2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30" w:lineRule="exact"/>
        <w:rPr>
          <w:rFonts w:ascii="Arial" w:cs="Arial" w:eastAsia="Arial" w:hAnsi="Arial"/>
          <w:sz w:val="18"/>
          <w:szCs w:val="18"/>
          <w:color w:val="auto"/>
        </w:rPr>
      </w:pPr>
    </w:p>
    <w:p>
      <w:pPr>
        <w:ind w:left="2360" w:hanging="434"/>
        <w:spacing w:after="0"/>
        <w:tabs>
          <w:tab w:leader="none" w:pos="23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shares of the series;</w:t>
      </w:r>
    </w:p>
    <w:p>
      <w:pPr>
        <w:spacing w:after="0" w:line="130" w:lineRule="exact"/>
        <w:rPr>
          <w:rFonts w:ascii="Arial" w:cs="Arial" w:eastAsia="Arial" w:hAnsi="Arial"/>
          <w:sz w:val="18"/>
          <w:szCs w:val="18"/>
          <w:color w:val="auto"/>
        </w:rPr>
      </w:pPr>
    </w:p>
    <w:p>
      <w:pPr>
        <w:ind w:left="1920" w:right="460" w:firstLine="6"/>
        <w:spacing w:after="0" w:line="277" w:lineRule="auto"/>
        <w:tabs>
          <w:tab w:leader="none" w:pos="241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the event of any voluntary or involuntary liquidation, dissolution or winding up of the affairs of the Corporation;</w:t>
      </w:r>
    </w:p>
    <w:p>
      <w:pPr>
        <w:spacing w:after="0" w:line="75" w:lineRule="exact"/>
        <w:rPr>
          <w:rFonts w:ascii="Arial" w:cs="Arial" w:eastAsia="Arial" w:hAnsi="Arial"/>
          <w:sz w:val="18"/>
          <w:szCs w:val="18"/>
          <w:color w:val="auto"/>
        </w:rPr>
      </w:pPr>
    </w:p>
    <w:p>
      <w:pPr>
        <w:ind w:left="1920" w:firstLine="6"/>
        <w:spacing w:after="0" w:line="259" w:lineRule="auto"/>
        <w:tabs>
          <w:tab w:leader="none" w:pos="24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whether the shares of the series shall be convertible into shares of any other class or series, or any other security, of the Corporation or any other entity, and, if so, the specification of such other class or series of such other security, the conversion price or prices or rate or rates, any adjustments thereof, the date or dates at which such shares shall be convertible and all other terms and conditions upon which such conversion may be made;</w:t>
      </w:r>
    </w:p>
    <w:p>
      <w:pPr>
        <w:spacing w:after="0" w:line="92" w:lineRule="exact"/>
        <w:rPr>
          <w:rFonts w:ascii="Arial" w:cs="Arial" w:eastAsia="Arial" w:hAnsi="Arial"/>
          <w:sz w:val="18"/>
          <w:szCs w:val="18"/>
          <w:color w:val="auto"/>
        </w:rPr>
      </w:pPr>
    </w:p>
    <w:p>
      <w:pPr>
        <w:ind w:left="2360" w:hanging="434"/>
        <w:spacing w:after="0"/>
        <w:tabs>
          <w:tab w:leader="none" w:pos="23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w:t>
      </w:r>
    </w:p>
    <w:p>
      <w:pPr>
        <w:spacing w:after="0" w:line="130" w:lineRule="exact"/>
        <w:rPr>
          <w:rFonts w:ascii="Arial" w:cs="Arial" w:eastAsia="Arial" w:hAnsi="Arial"/>
          <w:sz w:val="18"/>
          <w:szCs w:val="18"/>
          <w:color w:val="auto"/>
        </w:rPr>
      </w:pPr>
    </w:p>
    <w:p>
      <w:pPr>
        <w:ind w:left="2320" w:hanging="394"/>
        <w:spacing w:after="0"/>
        <w:tabs>
          <w:tab w:leader="none" w:pos="2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series; and</w:t>
      </w:r>
    </w:p>
    <w:p>
      <w:pPr>
        <w:spacing w:after="0" w:line="130" w:lineRule="exact"/>
        <w:rPr>
          <w:rFonts w:ascii="Arial" w:cs="Arial" w:eastAsia="Arial" w:hAnsi="Arial"/>
          <w:sz w:val="18"/>
          <w:szCs w:val="18"/>
          <w:color w:val="auto"/>
        </w:rPr>
      </w:pPr>
    </w:p>
    <w:p>
      <w:pPr>
        <w:ind w:left="1920" w:right="120" w:firstLine="6"/>
        <w:spacing w:after="0" w:line="277" w:lineRule="auto"/>
        <w:tabs>
          <w:tab w:leader="none" w:pos="23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such other powers, privileges, preferences and rights, and qualifications, limitations and restrictions thereof, as the Board of Directors shall determine.</w:t>
      </w:r>
    </w:p>
    <w:p>
      <w:pPr>
        <w:spacing w:after="0" w:line="279"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Conversion of Limited Liability Company Interests</w:t>
      </w:r>
      <w:r>
        <w:rPr>
          <w:rFonts w:ascii="Arial" w:cs="Arial" w:eastAsia="Arial" w:hAnsi="Arial"/>
          <w:sz w:val="16"/>
          <w:szCs w:val="16"/>
          <w:color w:val="auto"/>
        </w:rPr>
        <w:t>.</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Upon the filing of the Certificate of Conversion of the LLC to the Corporation and this Certificate of Incorporation or, if such certificates provide that they are not to become effective until a specified later date, upon such specified later effective date (the “</w:t>
      </w:r>
      <w:r>
        <w:rPr>
          <w:rFonts w:ascii="Arial" w:cs="Arial" w:eastAsia="Arial" w:hAnsi="Arial"/>
          <w:sz w:val="17"/>
          <w:szCs w:val="17"/>
          <w:b w:val="1"/>
          <w:bCs w:val="1"/>
          <w:color w:val="auto"/>
        </w:rPr>
        <w:t>Effective Time</w:t>
      </w:r>
      <w:r>
        <w:rPr>
          <w:rFonts w:ascii="Arial" w:cs="Arial" w:eastAsia="Arial" w:hAnsi="Arial"/>
          <w:sz w:val="17"/>
          <w:szCs w:val="17"/>
          <w:color w:val="auto"/>
        </w:rPr>
        <w:t>”) each limited liability company unit of the LLC issued and outstanding immediately prior to the Effective Time will be deemed to be issued and outstanding fully paid and nonassessable share of Common Stock. [Notwithstanding the foregoing, there shall be no fractional shares of Common Stock issued in connection with the conversion and, in lieu thereof, the Corporation shall pay to each former holder of limited liability company units otherwise entitled to receive any such fraction an amount equal to the fair value thereof, as determined in good faith by the Board of Directors.]</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9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hanging="452"/>
        <w:spacing w:after="0"/>
        <w:tabs>
          <w:tab w:leader="none" w:pos="460" w:val="left"/>
        </w:tabs>
        <w:numPr>
          <w:ilvl w:val="0"/>
          <w:numId w:val="316"/>
        </w:numPr>
        <w:rPr>
          <w:rFonts w:ascii="Arial" w:cs="Arial" w:eastAsia="Arial" w:hAnsi="Arial"/>
          <w:sz w:val="15"/>
          <w:szCs w:val="15"/>
          <w:color w:val="auto"/>
        </w:rPr>
      </w:pPr>
      <w:r>
        <w:rPr>
          <w:rFonts w:ascii="Arial" w:cs="Arial" w:eastAsia="Arial" w:hAnsi="Arial"/>
          <w:sz w:val="18"/>
          <w:szCs w:val="18"/>
          <w:color w:val="auto"/>
        </w:rPr>
        <w:t>To be deleted if conversion ratio is one-to-one.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12" w:name="page413"/>
    <w:bookmarkEnd w:id="41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Number of Directors</w:t>
      </w:r>
      <w:r>
        <w:rPr>
          <w:rFonts w:ascii="Arial" w:cs="Arial" w:eastAsia="Arial" w:hAnsi="Arial"/>
          <w:sz w:val="16"/>
          <w:szCs w:val="16"/>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number of directors that shall constitute the Board of Directors shall be fixed from time to time by resolution adopted by the affirmative vote of a majority of the total number of directors then in office.</w:t>
      </w:r>
    </w:p>
    <w:p>
      <w:pPr>
        <w:spacing w:after="0" w:line="279"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Classes of Directors</w:t>
      </w:r>
      <w:r>
        <w:rPr>
          <w:rFonts w:ascii="Arial" w:cs="Arial" w:eastAsia="Arial" w:hAnsi="Arial"/>
          <w:sz w:val="16"/>
          <w:szCs w:val="16"/>
          <w:color w:val="auto"/>
        </w:rPr>
        <w:t>.</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Board of Directors shall be and is divided into three classes, as nearly equal in number as possible, designated: Class I, Class II and Class III. In case of any increase or decrease, from time to time, in the number of directors, the number of directors shall be apportioned as nearly equal as possible. No decrease in the number of directors shall shorten the term of any incumbent director.</w:t>
      </w:r>
    </w:p>
    <w:p>
      <w:pPr>
        <w:spacing w:after="0" w:line="289"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Election and Term of Office</w:t>
      </w:r>
      <w:r>
        <w:rPr>
          <w:rFonts w:ascii="Arial" w:cs="Arial" w:eastAsia="Arial" w:hAnsi="Arial"/>
          <w:sz w:val="16"/>
          <w:szCs w:val="16"/>
          <w:color w:val="auto"/>
        </w:rPr>
        <w:t>.</w:t>
      </w:r>
    </w:p>
    <w:p>
      <w:pPr>
        <w:spacing w:after="0" w:line="2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directors shall be elected in accordance with the procedures set forth in the Bylaws of the Corporation (the “</w:t>
      </w:r>
      <w:r>
        <w:rPr>
          <w:rFonts w:ascii="Arial" w:cs="Arial" w:eastAsia="Arial" w:hAnsi="Arial"/>
          <w:sz w:val="17"/>
          <w:szCs w:val="17"/>
          <w:b w:val="1"/>
          <w:bCs w:val="1"/>
          <w:color w:val="auto"/>
        </w:rPr>
        <w:t>Bylaws</w:t>
      </w:r>
      <w:r>
        <w:rPr>
          <w:rFonts w:ascii="Arial" w:cs="Arial" w:eastAsia="Arial" w:hAnsi="Arial"/>
          <w:sz w:val="17"/>
          <w:szCs w:val="17"/>
          <w:color w:val="auto"/>
        </w:rPr>
        <w:t>”), as permitted by law. Each director shall serve for a term ending on the date of the third annual meeting of stockholders following the annual meeting at which such director was elected; provided, that each director initially appointed to Class I shall serve for an initial term expiring at the Corporation’s first annual meeting of stockholders following the effectiveness of this provision; each director initially appointed to Class II shall serve for an initial term expiring at the Corporation’s second annual meeting of stockholders following the effectiveness of this provision; and each director initially appointed to Class III shall serve for an initial term expiring at the Corporation’s third annual meeting of stockholders following the effectiveness of this provision. The directors shall be elected and shall hold office only in this manner, except as expressly provided in Section 4 and Section 5 of this Article V. Each director shall hold office until a successor is duly elected and qualified or until his or her earlier death, resignation, retirement, disqualification or removal. Elections of directors need not be by written ballot unless the Bylaws shall so provide.</w:t>
      </w:r>
    </w:p>
    <w:p>
      <w:pPr>
        <w:spacing w:after="0" w:line="286"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Newly Created Directorships and Vacancies</w:t>
      </w:r>
      <w:r>
        <w:rPr>
          <w:rFonts w:ascii="Arial" w:cs="Arial" w:eastAsia="Arial" w:hAnsi="Arial"/>
          <w:sz w:val="16"/>
          <w:szCs w:val="16"/>
          <w:color w:val="auto"/>
        </w:rPr>
        <w:t>.</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Newly created directorships resulting from any increase in the number of directors or any vacancies in the Board of Directors resulting from expansion of the Board of Directors, death, resignation, retirement, disqualification, removal from office or any other cause may be filled, so long as there is at least one remaining director, only by the Board of Directors, provided that a quorum is then in office and present, or by a majority of the directors then in office, if less than a quorum is then in office, or by the sole remaining director. Directors elected to fill vacancies shall have the same remaining term as that of his or her predecessor.</w:t>
      </w:r>
    </w:p>
    <w:p>
      <w:pPr>
        <w:spacing w:after="0" w:line="296"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Removal of Directors</w:t>
      </w:r>
      <w:r>
        <w:rPr>
          <w:rFonts w:ascii="Arial" w:cs="Arial" w:eastAsia="Arial" w:hAnsi="Arial"/>
          <w:sz w:val="16"/>
          <w:szCs w:val="16"/>
          <w:color w:val="auto"/>
        </w:rPr>
        <w:t>.</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Directors may be removed from office only for cause and, in addition to any vote required by law, the affirmative vote of the holders of at least two-thirds of the voting power of all then outstanding shares of capital stock of the Corporation entitled to vote generally in an election of directors, voting together as a single class, shall be required to effect such removal.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69" w:right="279" w:bottom="1440" w:gutter="0" w:footer="0" w:header="0"/>
        </w:sectPr>
      </w:pPr>
    </w:p>
    <w:bookmarkStart w:id="413" w:name="page414"/>
    <w:bookmarkEnd w:id="413"/>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w:t>
      </w:r>
      <w:r>
        <w:rPr>
          <w:sz w:val="20"/>
          <w:szCs w:val="20"/>
          <w:color w:val="auto"/>
        </w:rPr>
        <w:tab/>
      </w:r>
      <w:r>
        <w:rPr>
          <w:rFonts w:ascii="Arial" w:cs="Arial" w:eastAsia="Arial" w:hAnsi="Arial"/>
          <w:sz w:val="16"/>
          <w:szCs w:val="16"/>
          <w:u w:val="single" w:color="auto"/>
          <w:color w:val="auto"/>
        </w:rPr>
        <w:t>Rights of Holders of Preferred Stock</w:t>
      </w:r>
      <w:r>
        <w:rPr>
          <w:rFonts w:ascii="Arial" w:cs="Arial" w:eastAsia="Arial" w:hAnsi="Arial"/>
          <w:sz w:val="16"/>
          <w:szCs w:val="16"/>
          <w:color w:val="auto"/>
        </w:rPr>
        <w:t>.</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Notwithstanding the provisions of this Article V, whenever the holders of one or more series of Preferred Stock issued by the Corporation shall have the right, voting separately or together by series, to elect directors at an annual or special meeting of stockholders, the election, term of office, filling of vacancies and other features of such directorship shall be governed by the rights of such Preferred Stock as set forth in this Certificate of Incorporation or the certificate of designation governing such series.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annual meeting of stockholders for the election of directors and for the transaction of such other business as may properly come before the meeting shall be held at such date, time and place, if any, as shall be determined solely by the resolution of the Board of Directors in its sole and absolute discretion, including, without limitation, by remote electronic communication technology.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Board of Directors is expressly authorized to adopt, amend or repeal the Bylaws. The affirmative vote of at least a majority of the entire Board of Directors shall be required to adopt, amend or repeal the Bylaws. Notwithstanding the foregoing and anything contained in this Certificate of Incorporation to the contrary, the Bylaws shall not be amended or repealed by the stockholders, and no provision inconsistent therewith shall be adopted by the stockholders, without the affirmative vote of the holders of at least two-thirds of the voting power of all outstanding shares of the Corporation entitled to vote generally in the election of directors, voting together as a single class.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 OF LIABILITY</w:t>
      </w:r>
    </w:p>
    <w:p>
      <w:pPr>
        <w:spacing w:after="0" w:line="22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To the fullest extent permitted by the DGCL as it now exists or may hereafter be amended (but, in the case of any such amendment, only to the extent that such amendment permits the Corporation to provide broader director protection rights than permitted prior thereto), no director of the Corporation shall be personally liable to the Corporation or any of its stockholders for monetary damages arising from a breach of fiduciary duty owed to the Corporation or its stockholders. Any repeal or modification of this Article VIII by the stockholders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Corporation shall indemnify its directors to the fullest extent permitted by the DGCL as it now exists or may hereafter be amended (but, in the case of any such amendment, only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414" w:name="page415"/>
    <w:bookmarkEnd w:id="41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extent that such amendment permits the Corporation to provide broader protection rights than permitted prior thereto), and such right to indemnification shall continue as to a person who has ceased to be a director of the Corporation and shall inure to the benefit of his or her heirs, executors and personal and legal representatives; provided, that, except for proceedings to enforce rights and indemnification, the Corporation shall not be obligated to indemnify any director (or his or her heirs, executors or personal or legal representatives) in connection with a proceeding (or part thereof) initiated by such person unless such proceeding (or part thereof) was authorized or consented by the Board of Directors. The right to indemnification conferred by this Article X shall include the right to be paid by the Corporation the expenses incurred in defending or otherwise participating in any proceeding in advance of its final disposition.</w:t>
      </w:r>
    </w:p>
    <w:p>
      <w:pPr>
        <w:spacing w:after="0" w:line="16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Corporation may, to the extent authorized from time to time by the Board of Directors, provide rights to indemnification and to the advancement of expenses to officers, employees and agents of the Corporation similar to those conferred in this Article X to the Board of Directors.</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rights to indemnification and to the advancement of expenses in this Article X shall not be exclusive of any other right which any person may have or hereafter acquire under this Certificate of Incorporation, as amended from time to time, the Bylaws, any statute, agreement, vote of stockholders or disinterested directors or otherwise.</w:t>
      </w:r>
    </w:p>
    <w:p>
      <w:pPr>
        <w:spacing w:after="0" w:line="18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Any repeal or modification of this Article X by the stockholders of the Corporation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 OF STOCKHOLDER MEETINGS; BOOKS AND RECORDS</w:t>
      </w:r>
    </w:p>
    <w:p>
      <w:pPr>
        <w:spacing w:after="0" w:line="22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Meetings of stockholders may be held within or without the State of Delaware, as the Board of Directors or the Bylaws may provide. The books of the Corporation may be kept (subject to any provision contained in the DGCL) outside the State of Delaware at such place or places as may be designated from time to time by the Board of Directors or in the Bylaws.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ACTION BY WRITTEN CONSENT; SPECIAL MEETINGS OF STOCKHOLDERS; ADVANCE NOTICE</w:t>
      </w:r>
    </w:p>
    <w:p>
      <w:pPr>
        <w:spacing w:after="0" w:line="229"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No Action by Written Consent</w:t>
      </w:r>
      <w:r>
        <w:rPr>
          <w:rFonts w:ascii="Arial" w:cs="Arial" w:eastAsia="Arial" w:hAnsi="Arial"/>
          <w:sz w:val="16"/>
          <w:szCs w:val="16"/>
          <w:color w:val="auto"/>
        </w:rPr>
        <w:t>.</w:t>
      </w:r>
    </w:p>
    <w:p>
      <w:pPr>
        <w:spacing w:after="0" w:line="225"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Any action required or permitted to be taken by stockholders of the Corporation must be effected at a meeting of the stockholders of the Corporation and may not be effected by written consent in lieu of a meeting.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15" w:name="page416"/>
    <w:bookmarkEnd w:id="415"/>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w:t>
      </w:r>
      <w:r>
        <w:rPr>
          <w:sz w:val="20"/>
          <w:szCs w:val="20"/>
          <w:color w:val="auto"/>
        </w:rPr>
        <w:tab/>
      </w:r>
      <w:r>
        <w:rPr>
          <w:rFonts w:ascii="Arial" w:cs="Arial" w:eastAsia="Arial" w:hAnsi="Arial"/>
          <w:sz w:val="16"/>
          <w:szCs w:val="16"/>
          <w:u w:val="single" w:color="auto"/>
          <w:color w:val="auto"/>
        </w:rPr>
        <w:t>Special Meetings</w:t>
      </w:r>
      <w:r>
        <w:rPr>
          <w:rFonts w:ascii="Arial" w:cs="Arial" w:eastAsia="Arial" w:hAnsi="Arial"/>
          <w:sz w:val="16"/>
          <w:szCs w:val="16"/>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otherwise expressly provided by the terms of any series of Preferred Stock and to the requirements of applicable law, special meetings of stockholders of the Corporation may be called only by a majority of the Board of Directors, the Chairman of the Board of Directors or the Chief Executive Officer of the Corporation, and the ability of the stockholders to call a special meeting is hereby specifically denied. Only such business shall be considered at a special meeting of stockholders as shall have been stated in the notice for such meeting.</w:t>
      </w:r>
    </w:p>
    <w:p>
      <w:pPr>
        <w:spacing w:after="0" w:line="187"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Advance Notice</w:t>
      </w:r>
      <w:r>
        <w:rPr>
          <w:rFonts w:ascii="Arial" w:cs="Arial" w:eastAsia="Arial" w:hAnsi="Arial"/>
          <w:sz w:val="16"/>
          <w:szCs w:val="16"/>
          <w:color w:val="auto"/>
        </w:rPr>
        <w:t>.</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Advance notice of stockholder nominations for the election of directors and of business to be brought by stockholders before any meeting of the stockholders of the Corporation shall be given in the manner provided in the Bylaws.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for breach of a fiduciary duty owed by any director, officer, employee or agent of the Corporation to the Corporation or the Corporation’s stockholders, (iii) any action asserting a claim arising pursuant to any provision of the Delaware General Corporation Law, the Certificate of Incorporation or the Bylaws or (iv) any action asserting a claim governed by the internal affairs doctrine, in each case subject to said Court of Chancery having personal jurisdiction over the indispensable parties named as defendants therein.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Certificate of Incorporation, in the manner now or hereafter prescribed by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416" w:name="page417"/>
    <w:bookmarkEnd w:id="41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statute, and all rights conferred upon stockholders herein are granted subject to this reservation. In addition, the affirmative vote of the holders of at least two-thirds of the voting power of all outstanding shares of the Corporation entitled to vote generally in the election of directors shall be required to adopt any provision inconsistent with, to amend or repeal any provision of, or to adopt a bylaw inconsistent with Article V, Article VII, Article XI, Article XIII or this Article XIV of this Certificate of Incorporation.</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INCORPORATOR</w:t>
      </w:r>
    </w:p>
    <w:p>
      <w:pPr>
        <w:sectPr>
          <w:pgSz w:w="11900" w:h="16838" w:orient="portrait"/>
          <w:cols w:equalWidth="0" w:num="1">
            <w:col w:w="11380"/>
          </w:cols>
          <w:pgMar w:left="240" w:top="274" w:right="279" w:bottom="1440" w:gutter="0" w:footer="0" w:header="0"/>
        </w:sectPr>
      </w:pP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incorporator of the Corporation is [ Massachusetts 02142.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whose mailing address is c/o Solid Biosciences Inc., 161 First Street, Third Floor, Cambridge,</w:t>
      </w:r>
    </w:p>
    <w:p>
      <w:pPr>
        <w:spacing w:after="0" w:line="493" w:lineRule="exact"/>
        <w:rPr>
          <w:sz w:val="20"/>
          <w:szCs w:val="20"/>
          <w:color w:val="auto"/>
        </w:rPr>
      </w:pPr>
    </w:p>
    <w:p>
      <w:pPr>
        <w:sectPr>
          <w:pgSz w:w="11900" w:h="16838" w:orient="portrait"/>
          <w:cols w:equalWidth="0" w:num="2">
            <w:col w:w="3500" w:space="720"/>
            <w:col w:w="7160"/>
          </w:cols>
          <w:pgMar w:left="240" w:top="274" w:right="279" w:bottom="1440" w:gutter="0" w:footer="0" w:header="0"/>
          <w:type w:val="continuous"/>
        </w:sectPr>
      </w:pP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INITIAL BOARD OF DIRECTORS</w:t>
      </w:r>
    </w:p>
    <w:p>
      <w:pPr>
        <w:sectPr>
          <w:pgSz w:w="11900" w:h="16838" w:orient="portrait"/>
          <w:cols w:equalWidth="0" w:num="1">
            <w:col w:w="11380"/>
          </w:cols>
          <w:pgMar w:left="240" w:top="274" w:right="279" w:bottom="1440" w:gutter="0" w:footer="0" w:header="0"/>
          <w:type w:val="continuous"/>
        </w:sect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powers of the incorporator are to terminate upon the filing of this Certificate of Incorporation with the Secretary of State of the State of Delaware.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names of the persons who are to serve as the initial directors of the Corporation 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Class I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Robert Huffines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Adam Koppel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Rajeev Shah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Class II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Matthew Arnold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Adam 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Lynne Sullivan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Class III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Ilan Ganot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Gilad Hayeem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Andrey Zarur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mailing address of each such director is: c/o Solid Biosciences Inc., 161 First Street, Third Floor, Cambridge, Massachusetts 02142.</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 *</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type w:val="continuous"/>
        </w:sectPr>
      </w:pPr>
    </w:p>
    <w:bookmarkStart w:id="417" w:name="page418"/>
    <w:bookmarkEnd w:id="417"/>
    <w:p>
      <w:pPr>
        <w:ind w:right="220" w:hanging="44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incorporator hereby acknowledges that the foregoing certificate of incorporation is his act and deed on this the ,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day of</w:t>
      </w:r>
    </w:p>
    <w:p>
      <w:pPr>
        <w:spacing w:after="0" w:line="493" w:lineRule="exact"/>
        <w:rPr>
          <w:sz w:val="20"/>
          <w:szCs w:val="20"/>
          <w:color w:val="auto"/>
        </w:rPr>
      </w:pPr>
    </w:p>
    <w:p>
      <w:pPr>
        <w:sectPr>
          <w:pgSz w:w="11900" w:h="16838" w:orient="portrait"/>
          <w:cols w:equalWidth="0" w:num="2">
            <w:col w:w="8980" w:space="720"/>
            <w:col w:w="460"/>
          </w:cols>
          <w:pgMar w:left="1140" w:top="273" w:right="59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5960"/>
        <w:spacing w:after="0"/>
        <w:tabs>
          <w:tab w:leader="none" w:pos="6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-130175</wp:posOffset>
            </wp:positionV>
            <wp:extent cx="289877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Incorporator</w:t>
      </w:r>
    </w:p>
    <w:p>
      <w:pPr>
        <w:spacing w:after="0" w:line="143"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160"/>
          </w:cols>
          <w:pgMar w:left="1140" w:top="273" w:right="599" w:bottom="1440" w:gutter="0" w:footer="0" w:header="0"/>
          <w:type w:val="continuous"/>
        </w:sectPr>
      </w:pPr>
    </w:p>
    <w:bookmarkStart w:id="418" w:name="page419"/>
    <w:bookmarkEnd w:id="418"/>
    <w:p>
      <w:pPr>
        <w:jc w:val="right"/>
        <w:spacing w:after="0"/>
        <w:rPr>
          <w:sz w:val="20"/>
          <w:szCs w:val="20"/>
          <w:color w:val="auto"/>
        </w:rPr>
      </w:pPr>
      <w:r>
        <w:rPr>
          <w:rFonts w:ascii="Arial" w:cs="Arial" w:eastAsia="Arial" w:hAnsi="Arial"/>
          <w:sz w:val="18"/>
          <w:szCs w:val="18"/>
          <w:b w:val="1"/>
          <w:bCs w:val="1"/>
          <w:color w:val="auto"/>
        </w:rPr>
        <w:t>Exhibit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206375</wp:posOffset>
            </wp:positionV>
            <wp:extent cx="72466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 BYLAWS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SOLID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19" w:name="page420"/>
    <w:bookmarkEnd w:id="419"/>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7520" w:type="dxa"/>
            <w:vAlign w:val="bottom"/>
          </w:tcPr>
          <w:p>
            <w:pPr>
              <w:ind w:left="334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459"/>
        </w:trPr>
        <w:tc>
          <w:tcPr>
            <w:tcW w:w="8940" w:type="dxa"/>
            <w:vAlign w:val="bottom"/>
            <w:gridSpan w:val="2"/>
          </w:tcPr>
          <w:p>
            <w:pPr>
              <w:jc w:val="center"/>
              <w:ind w:right="7250"/>
              <w:spacing w:after="0"/>
              <w:rPr>
                <w:sz w:val="20"/>
                <w:szCs w:val="20"/>
                <w:color w:val="auto"/>
              </w:rPr>
            </w:pPr>
            <w:r>
              <w:rPr>
                <w:rFonts w:ascii="Arial" w:cs="Arial" w:eastAsia="Arial" w:hAnsi="Arial"/>
                <w:sz w:val="18"/>
                <w:szCs w:val="18"/>
                <w:color w:val="auto"/>
                <w:w w:val="94"/>
              </w:rPr>
              <w:t>Article I Stockholders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1.01</w:t>
            </w:r>
          </w:p>
        </w:tc>
        <w:tc>
          <w:tcPr>
            <w:tcW w:w="7520" w:type="dxa"/>
            <w:vAlign w:val="bottom"/>
          </w:tcPr>
          <w:p>
            <w:pPr>
              <w:ind w:left="140"/>
              <w:spacing w:after="0"/>
              <w:rPr>
                <w:sz w:val="20"/>
                <w:szCs w:val="20"/>
                <w:color w:val="auto"/>
              </w:rPr>
            </w:pPr>
            <w:r>
              <w:rPr>
                <w:rFonts w:ascii="Arial" w:cs="Arial" w:eastAsia="Arial" w:hAnsi="Arial"/>
                <w:sz w:val="18"/>
                <w:szCs w:val="18"/>
                <w:color w:val="auto"/>
              </w:rPr>
              <w:t>Annual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1.02</w:t>
            </w:r>
          </w:p>
        </w:tc>
        <w:tc>
          <w:tcPr>
            <w:tcW w:w="7520" w:type="dxa"/>
            <w:vAlign w:val="bottom"/>
          </w:tcPr>
          <w:p>
            <w:pPr>
              <w:ind w:left="160"/>
              <w:spacing w:after="0"/>
              <w:rPr>
                <w:sz w:val="20"/>
                <w:szCs w:val="20"/>
                <w:color w:val="auto"/>
              </w:rPr>
            </w:pPr>
            <w:r>
              <w:rPr>
                <w:rFonts w:ascii="Arial" w:cs="Arial" w:eastAsia="Arial" w:hAnsi="Arial"/>
                <w:sz w:val="18"/>
                <w:szCs w:val="18"/>
                <w:color w:val="auto"/>
              </w:rPr>
              <w:t>Special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1.03</w:t>
            </w:r>
          </w:p>
        </w:tc>
        <w:tc>
          <w:tcPr>
            <w:tcW w:w="7520" w:type="dxa"/>
            <w:vAlign w:val="bottom"/>
          </w:tcPr>
          <w:p>
            <w:pPr>
              <w:ind w:left="160"/>
              <w:spacing w:after="0"/>
              <w:rPr>
                <w:sz w:val="20"/>
                <w:szCs w:val="20"/>
                <w:color w:val="auto"/>
              </w:rPr>
            </w:pPr>
            <w:r>
              <w:rPr>
                <w:rFonts w:ascii="Arial" w:cs="Arial" w:eastAsia="Arial" w:hAnsi="Arial"/>
                <w:sz w:val="18"/>
                <w:szCs w:val="18"/>
                <w:color w:val="auto"/>
              </w:rPr>
              <w:t>Notice of Stockholder Business and Nominations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1.04</w:t>
            </w:r>
          </w:p>
        </w:tc>
        <w:tc>
          <w:tcPr>
            <w:tcW w:w="7520" w:type="dxa"/>
            <w:vAlign w:val="bottom"/>
          </w:tcPr>
          <w:p>
            <w:pPr>
              <w:ind w:left="160"/>
              <w:spacing w:after="0"/>
              <w:rPr>
                <w:sz w:val="20"/>
                <w:szCs w:val="20"/>
                <w:color w:val="auto"/>
              </w:rPr>
            </w:pPr>
            <w:r>
              <w:rPr>
                <w:rFonts w:ascii="Arial" w:cs="Arial" w:eastAsia="Arial" w:hAnsi="Arial"/>
                <w:sz w:val="18"/>
                <w:szCs w:val="18"/>
                <w:color w:val="auto"/>
              </w:rPr>
              <w:t>Place of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1.05</w:t>
            </w:r>
          </w:p>
        </w:tc>
        <w:tc>
          <w:tcPr>
            <w:tcW w:w="7520" w:type="dxa"/>
            <w:vAlign w:val="bottom"/>
          </w:tcPr>
          <w:p>
            <w:pPr>
              <w:ind w:left="160"/>
              <w:spacing w:after="0"/>
              <w:rPr>
                <w:sz w:val="20"/>
                <w:szCs w:val="20"/>
                <w:color w:val="auto"/>
              </w:rPr>
            </w:pPr>
            <w:r>
              <w:rPr>
                <w:rFonts w:ascii="Arial" w:cs="Arial" w:eastAsia="Arial" w:hAnsi="Arial"/>
                <w:sz w:val="18"/>
                <w:szCs w:val="18"/>
                <w:color w:val="auto"/>
              </w:rPr>
              <w:t>Notice of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1.06</w:t>
            </w:r>
          </w:p>
        </w:tc>
        <w:tc>
          <w:tcPr>
            <w:tcW w:w="7520" w:type="dxa"/>
            <w:vAlign w:val="bottom"/>
          </w:tcPr>
          <w:p>
            <w:pPr>
              <w:ind w:left="160"/>
              <w:spacing w:after="0"/>
              <w:rPr>
                <w:sz w:val="20"/>
                <w:szCs w:val="20"/>
                <w:color w:val="auto"/>
              </w:rPr>
            </w:pPr>
            <w:r>
              <w:rPr>
                <w:rFonts w:ascii="Arial" w:cs="Arial" w:eastAsia="Arial" w:hAnsi="Arial"/>
                <w:sz w:val="18"/>
                <w:szCs w:val="18"/>
                <w:color w:val="auto"/>
              </w:rPr>
              <w:t>Stockholders List</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1.07</w:t>
            </w:r>
          </w:p>
        </w:tc>
        <w:tc>
          <w:tcPr>
            <w:tcW w:w="7520" w:type="dxa"/>
            <w:vAlign w:val="bottom"/>
          </w:tcPr>
          <w:p>
            <w:pPr>
              <w:ind w:left="160"/>
              <w:spacing w:after="0"/>
              <w:rPr>
                <w:sz w:val="20"/>
                <w:szCs w:val="20"/>
                <w:color w:val="auto"/>
              </w:rPr>
            </w:pPr>
            <w:r>
              <w:rPr>
                <w:rFonts w:ascii="Arial" w:cs="Arial" w:eastAsia="Arial" w:hAnsi="Arial"/>
                <w:sz w:val="18"/>
                <w:szCs w:val="18"/>
                <w:color w:val="auto"/>
              </w:rPr>
              <w:t>Quorum</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1.08</w:t>
            </w:r>
          </w:p>
        </w:tc>
        <w:tc>
          <w:tcPr>
            <w:tcW w:w="7520" w:type="dxa"/>
            <w:vAlign w:val="bottom"/>
          </w:tcPr>
          <w:p>
            <w:pPr>
              <w:ind w:left="160"/>
              <w:spacing w:after="0"/>
              <w:rPr>
                <w:sz w:val="20"/>
                <w:szCs w:val="20"/>
                <w:color w:val="auto"/>
              </w:rPr>
            </w:pPr>
            <w:r>
              <w:rPr>
                <w:rFonts w:ascii="Arial" w:cs="Arial" w:eastAsia="Arial" w:hAnsi="Arial"/>
                <w:sz w:val="18"/>
                <w:szCs w:val="18"/>
                <w:color w:val="auto"/>
              </w:rPr>
              <w:t>Adjournment</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1.09</w:t>
            </w:r>
          </w:p>
        </w:tc>
        <w:tc>
          <w:tcPr>
            <w:tcW w:w="7520" w:type="dxa"/>
            <w:vAlign w:val="bottom"/>
          </w:tcPr>
          <w:p>
            <w:pPr>
              <w:ind w:left="160"/>
              <w:spacing w:after="0"/>
              <w:rPr>
                <w:sz w:val="20"/>
                <w:szCs w:val="20"/>
                <w:color w:val="auto"/>
              </w:rPr>
            </w:pPr>
            <w:r>
              <w:rPr>
                <w:rFonts w:ascii="Arial" w:cs="Arial" w:eastAsia="Arial" w:hAnsi="Arial"/>
                <w:sz w:val="18"/>
                <w:szCs w:val="18"/>
                <w:color w:val="auto"/>
              </w:rPr>
              <w:t>Voting</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1.10</w:t>
            </w:r>
          </w:p>
        </w:tc>
        <w:tc>
          <w:tcPr>
            <w:tcW w:w="7520" w:type="dxa"/>
            <w:vAlign w:val="bottom"/>
          </w:tcPr>
          <w:p>
            <w:pPr>
              <w:ind w:left="160"/>
              <w:spacing w:after="0"/>
              <w:rPr>
                <w:sz w:val="20"/>
                <w:szCs w:val="20"/>
                <w:color w:val="auto"/>
              </w:rPr>
            </w:pPr>
            <w:r>
              <w:rPr>
                <w:rFonts w:ascii="Arial" w:cs="Arial" w:eastAsia="Arial" w:hAnsi="Arial"/>
                <w:sz w:val="18"/>
                <w:szCs w:val="18"/>
                <w:color w:val="auto"/>
              </w:rPr>
              <w:t>Voting by Ballot</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1.11</w:t>
            </w:r>
          </w:p>
        </w:tc>
        <w:tc>
          <w:tcPr>
            <w:tcW w:w="7520" w:type="dxa"/>
            <w:vAlign w:val="bottom"/>
          </w:tcPr>
          <w:p>
            <w:pPr>
              <w:ind w:left="160"/>
              <w:spacing w:after="0"/>
              <w:rPr>
                <w:sz w:val="20"/>
                <w:szCs w:val="20"/>
                <w:color w:val="auto"/>
              </w:rPr>
            </w:pPr>
            <w:r>
              <w:rPr>
                <w:rFonts w:ascii="Arial" w:cs="Arial" w:eastAsia="Arial" w:hAnsi="Arial"/>
                <w:sz w:val="18"/>
                <w:szCs w:val="18"/>
                <w:color w:val="auto"/>
              </w:rPr>
              <w:t>Proxies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1.12</w:t>
            </w:r>
          </w:p>
        </w:tc>
        <w:tc>
          <w:tcPr>
            <w:tcW w:w="7520" w:type="dxa"/>
            <w:vAlign w:val="bottom"/>
          </w:tcPr>
          <w:p>
            <w:pPr>
              <w:ind w:left="160"/>
              <w:spacing w:after="0"/>
              <w:rPr>
                <w:sz w:val="20"/>
                <w:szCs w:val="20"/>
                <w:color w:val="auto"/>
              </w:rPr>
            </w:pPr>
            <w:r>
              <w:rPr>
                <w:rFonts w:ascii="Arial" w:cs="Arial" w:eastAsia="Arial" w:hAnsi="Arial"/>
                <w:sz w:val="18"/>
                <w:szCs w:val="18"/>
                <w:color w:val="auto"/>
              </w:rPr>
              <w:t>No Action by Written Consent</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1.13</w:t>
            </w:r>
          </w:p>
        </w:tc>
        <w:tc>
          <w:tcPr>
            <w:tcW w:w="7520" w:type="dxa"/>
            <w:vAlign w:val="bottom"/>
          </w:tcPr>
          <w:p>
            <w:pPr>
              <w:ind w:left="160"/>
              <w:spacing w:after="0"/>
              <w:rPr>
                <w:sz w:val="20"/>
                <w:szCs w:val="20"/>
                <w:color w:val="auto"/>
              </w:rPr>
            </w:pPr>
            <w:r>
              <w:rPr>
                <w:rFonts w:ascii="Arial" w:cs="Arial" w:eastAsia="Arial" w:hAnsi="Arial"/>
                <w:sz w:val="18"/>
                <w:szCs w:val="18"/>
                <w:color w:val="auto"/>
              </w:rPr>
              <w:t>Organization; Procedure</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1.14</w:t>
            </w:r>
          </w:p>
        </w:tc>
        <w:tc>
          <w:tcPr>
            <w:tcW w:w="7520" w:type="dxa"/>
            <w:vAlign w:val="bottom"/>
          </w:tcPr>
          <w:p>
            <w:pPr>
              <w:ind w:left="160"/>
              <w:spacing w:after="0"/>
              <w:rPr>
                <w:sz w:val="20"/>
                <w:szCs w:val="20"/>
                <w:color w:val="auto"/>
              </w:rPr>
            </w:pPr>
            <w:r>
              <w:rPr>
                <w:rFonts w:ascii="Arial" w:cs="Arial" w:eastAsia="Arial" w:hAnsi="Arial"/>
                <w:sz w:val="18"/>
                <w:szCs w:val="18"/>
                <w:color w:val="auto"/>
              </w:rPr>
              <w:t>Inspectors of Election</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1.15</w:t>
            </w:r>
          </w:p>
        </w:tc>
        <w:tc>
          <w:tcPr>
            <w:tcW w:w="7520" w:type="dxa"/>
            <w:vAlign w:val="bottom"/>
          </w:tcPr>
          <w:p>
            <w:pPr>
              <w:ind w:left="160"/>
              <w:spacing w:after="0"/>
              <w:rPr>
                <w:sz w:val="20"/>
                <w:szCs w:val="20"/>
                <w:color w:val="auto"/>
              </w:rPr>
            </w:pPr>
            <w:r>
              <w:rPr>
                <w:rFonts w:ascii="Arial" w:cs="Arial" w:eastAsia="Arial" w:hAnsi="Arial"/>
                <w:sz w:val="18"/>
                <w:szCs w:val="18"/>
                <w:color w:val="auto"/>
              </w:rPr>
              <w:t>Conduct of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Article II Board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2.01</w:t>
            </w:r>
          </w:p>
        </w:tc>
        <w:tc>
          <w:tcPr>
            <w:tcW w:w="7520" w:type="dxa"/>
            <w:vAlign w:val="bottom"/>
          </w:tcPr>
          <w:p>
            <w:pPr>
              <w:ind w:left="160"/>
              <w:spacing w:after="0"/>
              <w:rPr>
                <w:sz w:val="20"/>
                <w:szCs w:val="20"/>
                <w:color w:val="auto"/>
              </w:rPr>
            </w:pPr>
            <w:r>
              <w:rPr>
                <w:rFonts w:ascii="Arial" w:cs="Arial" w:eastAsia="Arial" w:hAnsi="Arial"/>
                <w:sz w:val="18"/>
                <w:szCs w:val="18"/>
                <w:color w:val="auto"/>
              </w:rPr>
              <w:t>General Powers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2.02</w:t>
            </w:r>
          </w:p>
        </w:tc>
        <w:tc>
          <w:tcPr>
            <w:tcW w:w="7520" w:type="dxa"/>
            <w:vAlign w:val="bottom"/>
          </w:tcPr>
          <w:p>
            <w:pPr>
              <w:ind w:left="160"/>
              <w:spacing w:after="0"/>
              <w:rPr>
                <w:sz w:val="20"/>
                <w:szCs w:val="20"/>
                <w:color w:val="auto"/>
              </w:rPr>
            </w:pPr>
            <w:r>
              <w:rPr>
                <w:rFonts w:ascii="Arial" w:cs="Arial" w:eastAsia="Arial" w:hAnsi="Arial"/>
                <w:sz w:val="18"/>
                <w:szCs w:val="18"/>
                <w:color w:val="auto"/>
              </w:rPr>
              <w:t>Number, Election and Term of Office</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2.03</w:t>
            </w:r>
          </w:p>
        </w:tc>
        <w:tc>
          <w:tcPr>
            <w:tcW w:w="7520" w:type="dxa"/>
            <w:vAlign w:val="bottom"/>
          </w:tcPr>
          <w:p>
            <w:pPr>
              <w:ind w:left="160"/>
              <w:spacing w:after="0"/>
              <w:rPr>
                <w:sz w:val="20"/>
                <w:szCs w:val="20"/>
                <w:color w:val="auto"/>
              </w:rPr>
            </w:pPr>
            <w:r>
              <w:rPr>
                <w:rFonts w:ascii="Arial" w:cs="Arial" w:eastAsia="Arial" w:hAnsi="Arial"/>
                <w:sz w:val="18"/>
                <w:szCs w:val="18"/>
                <w:color w:val="auto"/>
              </w:rPr>
              <w:t>Resignations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2.04</w:t>
            </w:r>
          </w:p>
        </w:tc>
        <w:tc>
          <w:tcPr>
            <w:tcW w:w="7520" w:type="dxa"/>
            <w:vAlign w:val="bottom"/>
          </w:tcPr>
          <w:p>
            <w:pPr>
              <w:ind w:left="160"/>
              <w:spacing w:after="0"/>
              <w:rPr>
                <w:sz w:val="20"/>
                <w:szCs w:val="20"/>
                <w:color w:val="auto"/>
              </w:rPr>
            </w:pPr>
            <w:r>
              <w:rPr>
                <w:rFonts w:ascii="Arial" w:cs="Arial" w:eastAsia="Arial" w:hAnsi="Arial"/>
                <w:sz w:val="18"/>
                <w:szCs w:val="18"/>
                <w:color w:val="auto"/>
              </w:rPr>
              <w:t>Removal of Directors; Vacancies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2.05</w:t>
            </w:r>
          </w:p>
        </w:tc>
        <w:tc>
          <w:tcPr>
            <w:tcW w:w="7520" w:type="dxa"/>
            <w:vAlign w:val="bottom"/>
          </w:tcPr>
          <w:p>
            <w:pPr>
              <w:ind w:left="160"/>
              <w:spacing w:after="0"/>
              <w:rPr>
                <w:sz w:val="20"/>
                <w:szCs w:val="20"/>
                <w:color w:val="auto"/>
              </w:rPr>
            </w:pPr>
            <w:r>
              <w:rPr>
                <w:rFonts w:ascii="Arial" w:cs="Arial" w:eastAsia="Arial" w:hAnsi="Arial"/>
                <w:sz w:val="18"/>
                <w:szCs w:val="18"/>
                <w:color w:val="auto"/>
              </w:rPr>
              <w:t>Annual and Regular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2.06</w:t>
            </w:r>
          </w:p>
        </w:tc>
        <w:tc>
          <w:tcPr>
            <w:tcW w:w="7520" w:type="dxa"/>
            <w:vAlign w:val="bottom"/>
          </w:tcPr>
          <w:p>
            <w:pPr>
              <w:ind w:left="160"/>
              <w:spacing w:after="0"/>
              <w:rPr>
                <w:sz w:val="20"/>
                <w:szCs w:val="20"/>
                <w:color w:val="auto"/>
              </w:rPr>
            </w:pPr>
            <w:r>
              <w:rPr>
                <w:rFonts w:ascii="Arial" w:cs="Arial" w:eastAsia="Arial" w:hAnsi="Arial"/>
                <w:sz w:val="18"/>
                <w:szCs w:val="18"/>
                <w:color w:val="auto"/>
              </w:rPr>
              <w:t>Special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2.07</w:t>
            </w:r>
          </w:p>
        </w:tc>
        <w:tc>
          <w:tcPr>
            <w:tcW w:w="7520" w:type="dxa"/>
            <w:vAlign w:val="bottom"/>
          </w:tcPr>
          <w:p>
            <w:pPr>
              <w:ind w:left="160"/>
              <w:spacing w:after="0"/>
              <w:rPr>
                <w:sz w:val="20"/>
                <w:szCs w:val="20"/>
                <w:color w:val="auto"/>
              </w:rPr>
            </w:pPr>
            <w:r>
              <w:rPr>
                <w:rFonts w:ascii="Arial" w:cs="Arial" w:eastAsia="Arial" w:hAnsi="Arial"/>
                <w:sz w:val="18"/>
                <w:szCs w:val="18"/>
                <w:color w:val="auto"/>
              </w:rPr>
              <w:t>Quorum and Manner of Acting</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2.08</w:t>
            </w:r>
          </w:p>
        </w:tc>
        <w:tc>
          <w:tcPr>
            <w:tcW w:w="7520" w:type="dxa"/>
            <w:vAlign w:val="bottom"/>
          </w:tcPr>
          <w:p>
            <w:pPr>
              <w:ind w:left="160"/>
              <w:spacing w:after="0"/>
              <w:rPr>
                <w:sz w:val="20"/>
                <w:szCs w:val="20"/>
                <w:color w:val="auto"/>
              </w:rPr>
            </w:pPr>
            <w:r>
              <w:rPr>
                <w:rFonts w:ascii="Arial" w:cs="Arial" w:eastAsia="Arial" w:hAnsi="Arial"/>
                <w:sz w:val="18"/>
                <w:szCs w:val="18"/>
                <w:color w:val="auto"/>
              </w:rPr>
              <w:t>Action Without a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2.09</w:t>
            </w:r>
          </w:p>
        </w:tc>
        <w:tc>
          <w:tcPr>
            <w:tcW w:w="7520" w:type="dxa"/>
            <w:vAlign w:val="bottom"/>
          </w:tcPr>
          <w:p>
            <w:pPr>
              <w:ind w:left="160"/>
              <w:spacing w:after="0"/>
              <w:rPr>
                <w:sz w:val="20"/>
                <w:szCs w:val="20"/>
                <w:color w:val="auto"/>
              </w:rPr>
            </w:pPr>
            <w:r>
              <w:rPr>
                <w:rFonts w:ascii="Arial" w:cs="Arial" w:eastAsia="Arial" w:hAnsi="Arial"/>
                <w:sz w:val="18"/>
                <w:szCs w:val="18"/>
                <w:color w:val="auto"/>
              </w:rPr>
              <w:t>Action by Telephonic Communications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2.10</w:t>
            </w:r>
          </w:p>
        </w:tc>
        <w:tc>
          <w:tcPr>
            <w:tcW w:w="752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2.11</w:t>
            </w:r>
          </w:p>
        </w:tc>
        <w:tc>
          <w:tcPr>
            <w:tcW w:w="7520" w:type="dxa"/>
            <w:vAlign w:val="bottom"/>
          </w:tcPr>
          <w:p>
            <w:pPr>
              <w:ind w:left="160"/>
              <w:spacing w:after="0"/>
              <w:rPr>
                <w:sz w:val="20"/>
                <w:szCs w:val="20"/>
                <w:color w:val="auto"/>
              </w:rPr>
            </w:pPr>
            <w:r>
              <w:rPr>
                <w:rFonts w:ascii="Arial" w:cs="Arial" w:eastAsia="Arial" w:hAnsi="Arial"/>
                <w:sz w:val="18"/>
                <w:szCs w:val="18"/>
                <w:color w:val="auto"/>
              </w:rPr>
              <w:t>Interested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Article III Committees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3.01</w:t>
            </w:r>
          </w:p>
        </w:tc>
        <w:tc>
          <w:tcPr>
            <w:tcW w:w="7520" w:type="dxa"/>
            <w:vAlign w:val="bottom"/>
          </w:tcPr>
          <w:p>
            <w:pPr>
              <w:ind w:left="160"/>
              <w:spacing w:after="0"/>
              <w:rPr>
                <w:sz w:val="20"/>
                <w:szCs w:val="20"/>
                <w:color w:val="auto"/>
              </w:rPr>
            </w:pPr>
            <w:r>
              <w:rPr>
                <w:rFonts w:ascii="Arial" w:cs="Arial" w:eastAsia="Arial" w:hAnsi="Arial"/>
                <w:sz w:val="18"/>
                <w:szCs w:val="18"/>
                <w:color w:val="auto"/>
              </w:rPr>
              <w:t>Committees of the Board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3.02</w:t>
            </w:r>
          </w:p>
        </w:tc>
        <w:tc>
          <w:tcPr>
            <w:tcW w:w="7520" w:type="dxa"/>
            <w:vAlign w:val="bottom"/>
          </w:tcPr>
          <w:p>
            <w:pPr>
              <w:ind w:left="160"/>
              <w:spacing w:after="0"/>
              <w:rPr>
                <w:sz w:val="20"/>
                <w:szCs w:val="20"/>
                <w:color w:val="auto"/>
              </w:rPr>
            </w:pPr>
            <w:r>
              <w:rPr>
                <w:rFonts w:ascii="Arial" w:cs="Arial" w:eastAsia="Arial" w:hAnsi="Arial"/>
                <w:sz w:val="18"/>
                <w:szCs w:val="18"/>
                <w:color w:val="auto"/>
              </w:rPr>
              <w:t>Conduct of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3.03</w:t>
            </w:r>
          </w:p>
        </w:tc>
        <w:tc>
          <w:tcPr>
            <w:tcW w:w="7520" w:type="dxa"/>
            <w:vAlign w:val="bottom"/>
          </w:tcPr>
          <w:p>
            <w:pPr>
              <w:ind w:left="160"/>
              <w:spacing w:after="0"/>
              <w:rPr>
                <w:sz w:val="20"/>
                <w:szCs w:val="20"/>
                <w:color w:val="auto"/>
              </w:rPr>
            </w:pPr>
            <w:r>
              <w:rPr>
                <w:rFonts w:ascii="Arial" w:cs="Arial" w:eastAsia="Arial" w:hAnsi="Arial"/>
                <w:sz w:val="18"/>
                <w:szCs w:val="18"/>
                <w:color w:val="auto"/>
              </w:rPr>
              <w:t>Audit Committee</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3.04</w:t>
            </w:r>
          </w:p>
        </w:tc>
        <w:tc>
          <w:tcPr>
            <w:tcW w:w="7520" w:type="dxa"/>
            <w:vAlign w:val="bottom"/>
          </w:tcPr>
          <w:p>
            <w:pPr>
              <w:ind w:left="160"/>
              <w:spacing w:after="0"/>
              <w:rPr>
                <w:sz w:val="20"/>
                <w:szCs w:val="20"/>
                <w:color w:val="auto"/>
              </w:rPr>
            </w:pPr>
            <w:r>
              <w:rPr>
                <w:rFonts w:ascii="Arial" w:cs="Arial" w:eastAsia="Arial" w:hAnsi="Arial"/>
                <w:sz w:val="18"/>
                <w:szCs w:val="18"/>
                <w:color w:val="auto"/>
              </w:rPr>
              <w:t>Compensation Committee</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420" w:type="dxa"/>
            <w:vAlign w:val="bottom"/>
          </w:tcPr>
          <w:p>
            <w:pPr>
              <w:jc w:val="center"/>
              <w:ind w:left="110"/>
              <w:spacing w:after="0"/>
              <w:rPr>
                <w:sz w:val="20"/>
                <w:szCs w:val="20"/>
                <w:color w:val="auto"/>
              </w:rPr>
            </w:pPr>
            <w:r>
              <w:rPr>
                <w:rFonts w:ascii="Arial" w:cs="Arial" w:eastAsia="Arial" w:hAnsi="Arial"/>
                <w:sz w:val="18"/>
                <w:szCs w:val="18"/>
                <w:color w:val="auto"/>
                <w:w w:val="89"/>
              </w:rPr>
              <w:t>Section 3.05</w:t>
            </w:r>
          </w:p>
        </w:tc>
        <w:tc>
          <w:tcPr>
            <w:tcW w:w="7520" w:type="dxa"/>
            <w:vAlign w:val="bottom"/>
          </w:tcPr>
          <w:p>
            <w:pPr>
              <w:ind w:left="160"/>
              <w:spacing w:after="0"/>
              <w:rPr>
                <w:sz w:val="20"/>
                <w:szCs w:val="20"/>
                <w:color w:val="auto"/>
              </w:rPr>
            </w:pPr>
            <w:r>
              <w:rPr>
                <w:rFonts w:ascii="Arial" w:cs="Arial" w:eastAsia="Arial" w:hAnsi="Arial"/>
                <w:sz w:val="18"/>
                <w:szCs w:val="18"/>
                <w:color w:val="auto"/>
              </w:rPr>
              <w:t>Nominating and Corporate Governance Committee</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Article IV Officers</w:t>
            </w:r>
          </w:p>
        </w:tc>
        <w:tc>
          <w:tcPr>
            <w:tcW w:w="722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220" w:type="dxa"/>
            <w:vAlign w:val="bottom"/>
          </w:tcPr>
          <w:p>
            <w:pPr>
              <w:ind w:left="60"/>
              <w:spacing w:after="0"/>
              <w:rPr>
                <w:sz w:val="20"/>
                <w:szCs w:val="20"/>
                <w:color w:val="auto"/>
              </w:rPr>
            </w:pPr>
            <w:r>
              <w:rPr>
                <w:rFonts w:ascii="Arial" w:cs="Arial" w:eastAsia="Arial" w:hAnsi="Arial"/>
                <w:sz w:val="18"/>
                <w:szCs w:val="18"/>
                <w:color w:val="auto"/>
              </w:rPr>
              <w:t>Number</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220" w:type="dxa"/>
            <w:vAlign w:val="bottom"/>
          </w:tcPr>
          <w:p>
            <w:pPr>
              <w:ind w:left="60"/>
              <w:spacing w:after="0"/>
              <w:rPr>
                <w:sz w:val="20"/>
                <w:szCs w:val="20"/>
                <w:color w:val="auto"/>
              </w:rPr>
            </w:pPr>
            <w:r>
              <w:rPr>
                <w:rFonts w:ascii="Arial" w:cs="Arial" w:eastAsia="Arial" w:hAnsi="Arial"/>
                <w:sz w:val="18"/>
                <w:szCs w:val="18"/>
                <w:color w:val="auto"/>
              </w:rPr>
              <w:t>Appointment of 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7220" w:type="dxa"/>
            <w:vAlign w:val="bottom"/>
          </w:tcPr>
          <w:p>
            <w:pPr>
              <w:ind w:left="60"/>
              <w:spacing w:after="0"/>
              <w:rPr>
                <w:sz w:val="20"/>
                <w:szCs w:val="20"/>
                <w:color w:val="auto"/>
              </w:rPr>
            </w:pPr>
            <w:r>
              <w:rPr>
                <w:rFonts w:ascii="Arial" w:cs="Arial" w:eastAsia="Arial" w:hAnsi="Arial"/>
                <w:sz w:val="18"/>
                <w:szCs w:val="18"/>
                <w:color w:val="auto"/>
              </w:rPr>
              <w:t>Salaries</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7220" w:type="dxa"/>
            <w:vAlign w:val="bottom"/>
          </w:tcPr>
          <w:p>
            <w:pPr>
              <w:ind w:left="60"/>
              <w:spacing w:after="0"/>
              <w:rPr>
                <w:sz w:val="20"/>
                <w:szCs w:val="20"/>
                <w:color w:val="auto"/>
              </w:rPr>
            </w:pPr>
            <w:r>
              <w:rPr>
                <w:rFonts w:ascii="Arial" w:cs="Arial" w:eastAsia="Arial" w:hAnsi="Arial"/>
                <w:sz w:val="18"/>
                <w:szCs w:val="18"/>
                <w:color w:val="auto"/>
              </w:rPr>
              <w:t>Removal and Resignation; Vacancies</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7220" w:type="dxa"/>
            <w:vAlign w:val="bottom"/>
          </w:tcPr>
          <w:p>
            <w:pPr>
              <w:ind w:left="60"/>
              <w:spacing w:after="0"/>
              <w:rPr>
                <w:sz w:val="20"/>
                <w:szCs w:val="20"/>
                <w:color w:val="auto"/>
              </w:rPr>
            </w:pPr>
            <w:r>
              <w:rPr>
                <w:rFonts w:ascii="Arial" w:cs="Arial" w:eastAsia="Arial" w:hAnsi="Arial"/>
                <w:sz w:val="18"/>
                <w:szCs w:val="18"/>
                <w:color w:val="auto"/>
              </w:rPr>
              <w:t>Authority and Duties of 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4.06</w:t>
            </w:r>
          </w:p>
        </w:tc>
        <w:tc>
          <w:tcPr>
            <w:tcW w:w="7220" w:type="dxa"/>
            <w:vAlign w:val="bottom"/>
          </w:tcPr>
          <w:p>
            <w:pPr>
              <w:ind w:left="60"/>
              <w:spacing w:after="0"/>
              <w:rPr>
                <w:sz w:val="20"/>
                <w:szCs w:val="20"/>
                <w:color w:val="auto"/>
              </w:rPr>
            </w:pPr>
            <w:r>
              <w:rPr>
                <w:rFonts w:ascii="Arial" w:cs="Arial" w:eastAsia="Arial" w:hAnsi="Arial"/>
                <w:sz w:val="18"/>
                <w:szCs w:val="18"/>
                <w:color w:val="auto"/>
              </w:rPr>
              <w:t>Representation of Shares of Other Corporations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8740" w:type="dxa"/>
            <w:vAlign w:val="bottom"/>
            <w:gridSpan w:val="2"/>
          </w:tcPr>
          <w:p>
            <w:pPr>
              <w:spacing w:after="0"/>
              <w:rPr>
                <w:sz w:val="20"/>
                <w:szCs w:val="20"/>
                <w:color w:val="auto"/>
              </w:rPr>
            </w:pPr>
            <w:r>
              <w:rPr>
                <w:rFonts w:ascii="Arial" w:cs="Arial" w:eastAsia="Arial" w:hAnsi="Arial"/>
                <w:sz w:val="18"/>
                <w:szCs w:val="18"/>
                <w:color w:val="auto"/>
              </w:rPr>
              <w:t>Article V Capital Stock</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220" w:type="dxa"/>
            <w:vAlign w:val="bottom"/>
          </w:tcPr>
          <w:p>
            <w:pPr>
              <w:ind w:left="60"/>
              <w:spacing w:after="0"/>
              <w:rPr>
                <w:sz w:val="20"/>
                <w:szCs w:val="20"/>
                <w:color w:val="auto"/>
              </w:rPr>
            </w:pPr>
            <w:r>
              <w:rPr>
                <w:rFonts w:ascii="Arial" w:cs="Arial" w:eastAsia="Arial" w:hAnsi="Arial"/>
                <w:sz w:val="18"/>
                <w:szCs w:val="18"/>
                <w:color w:val="auto"/>
              </w:rPr>
              <w:t>Form of Certificates</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220" w:type="dxa"/>
            <w:vAlign w:val="bottom"/>
          </w:tcPr>
          <w:p>
            <w:pPr>
              <w:ind w:left="60"/>
              <w:spacing w:after="0"/>
              <w:rPr>
                <w:sz w:val="20"/>
                <w:szCs w:val="20"/>
                <w:color w:val="auto"/>
              </w:rPr>
            </w:pPr>
            <w:r>
              <w:rPr>
                <w:rFonts w:ascii="Arial" w:cs="Arial" w:eastAsia="Arial" w:hAnsi="Arial"/>
                <w:sz w:val="18"/>
                <w:szCs w:val="18"/>
                <w:color w:val="auto"/>
              </w:rPr>
              <w:t>Lost, Destroyed or Mutilated Certificates</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220" w:type="dxa"/>
            <w:vAlign w:val="bottom"/>
          </w:tcPr>
          <w:p>
            <w:pPr>
              <w:ind w:left="60"/>
              <w:spacing w:after="0"/>
              <w:rPr>
                <w:sz w:val="20"/>
                <w:szCs w:val="20"/>
                <w:color w:val="auto"/>
              </w:rPr>
            </w:pPr>
            <w:r>
              <w:rPr>
                <w:rFonts w:ascii="Arial" w:cs="Arial" w:eastAsia="Arial" w:hAnsi="Arial"/>
                <w:sz w:val="18"/>
                <w:szCs w:val="18"/>
                <w:color w:val="auto"/>
              </w:rPr>
              <w:t>Books of Account and Record of Stockholders</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220" w:type="dxa"/>
            <w:vAlign w:val="bottom"/>
          </w:tcPr>
          <w:p>
            <w:pPr>
              <w:ind w:left="60"/>
              <w:spacing w:after="0"/>
              <w:rPr>
                <w:sz w:val="20"/>
                <w:szCs w:val="20"/>
                <w:color w:val="auto"/>
              </w:rPr>
            </w:pPr>
            <w:r>
              <w:rPr>
                <w:rFonts w:ascii="Arial" w:cs="Arial" w:eastAsia="Arial" w:hAnsi="Arial"/>
                <w:sz w:val="18"/>
                <w:szCs w:val="18"/>
                <w:color w:val="auto"/>
              </w:rPr>
              <w:t>Transfer of Stock</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7220" w:type="dxa"/>
            <w:vAlign w:val="bottom"/>
          </w:tcPr>
          <w:p>
            <w:pPr>
              <w:ind w:left="60"/>
              <w:spacing w:after="0"/>
              <w:rPr>
                <w:sz w:val="20"/>
                <w:szCs w:val="20"/>
                <w:color w:val="auto"/>
              </w:rPr>
            </w:pPr>
            <w:r>
              <w:rPr>
                <w:rFonts w:ascii="Arial" w:cs="Arial" w:eastAsia="Arial" w:hAnsi="Arial"/>
                <w:sz w:val="18"/>
                <w:szCs w:val="18"/>
                <w:color w:val="auto"/>
              </w:rPr>
              <w:t>Record Date</w:t>
            </w:r>
          </w:p>
        </w:tc>
        <w:tc>
          <w:tcPr>
            <w:tcW w:w="2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7220" w:type="dxa"/>
            <w:vAlign w:val="bottom"/>
          </w:tcPr>
          <w:p>
            <w:pPr>
              <w:ind w:left="60"/>
              <w:spacing w:after="0"/>
              <w:rPr>
                <w:sz w:val="20"/>
                <w:szCs w:val="20"/>
                <w:color w:val="auto"/>
              </w:rPr>
            </w:pPr>
            <w:r>
              <w:rPr>
                <w:rFonts w:ascii="Arial" w:cs="Arial" w:eastAsia="Arial" w:hAnsi="Arial"/>
                <w:sz w:val="18"/>
                <w:szCs w:val="18"/>
                <w:color w:val="auto"/>
              </w:rPr>
              <w:t>Transfer Agent and Registrar</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7220" w:type="dxa"/>
            <w:vAlign w:val="bottom"/>
          </w:tcPr>
          <w:p>
            <w:pPr>
              <w:ind w:left="60"/>
              <w:spacing w:after="0"/>
              <w:rPr>
                <w:sz w:val="20"/>
                <w:szCs w:val="20"/>
                <w:color w:val="auto"/>
              </w:rPr>
            </w:pPr>
            <w:r>
              <w:rPr>
                <w:rFonts w:ascii="Arial" w:cs="Arial" w:eastAsia="Arial" w:hAnsi="Arial"/>
                <w:sz w:val="18"/>
                <w:szCs w:val="18"/>
                <w:color w:val="auto"/>
              </w:rPr>
              <w:t>Regulations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8740" w:type="dxa"/>
            <w:vAlign w:val="bottom"/>
            <w:gridSpan w:val="2"/>
          </w:tcPr>
          <w:p>
            <w:pPr>
              <w:spacing w:after="0"/>
              <w:rPr>
                <w:sz w:val="20"/>
                <w:szCs w:val="20"/>
                <w:color w:val="auto"/>
              </w:rPr>
            </w:pPr>
            <w:r>
              <w:rPr>
                <w:rFonts w:ascii="Arial" w:cs="Arial" w:eastAsia="Arial" w:hAnsi="Arial"/>
                <w:sz w:val="18"/>
                <w:szCs w:val="18"/>
                <w:color w:val="auto"/>
              </w:rPr>
              <w:t>Article VI Indemnification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220" w:type="dxa"/>
            <w:vAlign w:val="bottom"/>
          </w:tcPr>
          <w:p>
            <w:pPr>
              <w:ind w:left="60"/>
              <w:spacing w:after="0"/>
              <w:rPr>
                <w:sz w:val="20"/>
                <w:szCs w:val="20"/>
                <w:color w:val="auto"/>
              </w:rPr>
            </w:pPr>
            <w:r>
              <w:rPr>
                <w:rFonts w:ascii="Arial" w:cs="Arial" w:eastAsia="Arial" w:hAnsi="Arial"/>
                <w:sz w:val="18"/>
                <w:szCs w:val="18"/>
                <w:color w:val="auto"/>
              </w:rPr>
              <w:t>Indemnification of Directors and 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220" w:type="dxa"/>
            <w:vAlign w:val="bottom"/>
          </w:tcPr>
          <w:p>
            <w:pPr>
              <w:ind w:left="60"/>
              <w:spacing w:after="0"/>
              <w:rPr>
                <w:sz w:val="20"/>
                <w:szCs w:val="20"/>
                <w:color w:val="auto"/>
              </w:rPr>
            </w:pPr>
            <w:r>
              <w:rPr>
                <w:rFonts w:ascii="Arial" w:cs="Arial" w:eastAsia="Arial" w:hAnsi="Arial"/>
                <w:sz w:val="18"/>
                <w:szCs w:val="18"/>
                <w:color w:val="auto"/>
              </w:rPr>
              <w:t>Procedure for Indemnification of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220" w:type="dxa"/>
            <w:vAlign w:val="bottom"/>
          </w:tcPr>
          <w:p>
            <w:pPr>
              <w:ind w:left="60"/>
              <w:spacing w:after="0"/>
              <w:rPr>
                <w:sz w:val="20"/>
                <w:szCs w:val="20"/>
                <w:color w:val="auto"/>
              </w:rPr>
            </w:pPr>
            <w:r>
              <w:rPr>
                <w:rFonts w:ascii="Arial" w:cs="Arial" w:eastAsia="Arial" w:hAnsi="Arial"/>
                <w:sz w:val="18"/>
                <w:szCs w:val="18"/>
                <w:color w:val="auto"/>
              </w:rPr>
              <w:t>Expenses Payable in Advance</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220" w:type="dxa"/>
            <w:vAlign w:val="bottom"/>
          </w:tcPr>
          <w:p>
            <w:pPr>
              <w:ind w:left="60"/>
              <w:spacing w:after="0"/>
              <w:rPr>
                <w:sz w:val="20"/>
                <w:szCs w:val="20"/>
                <w:color w:val="auto"/>
              </w:rPr>
            </w:pPr>
            <w:r>
              <w:rPr>
                <w:rFonts w:ascii="Arial" w:cs="Arial" w:eastAsia="Arial" w:hAnsi="Arial"/>
                <w:sz w:val="18"/>
                <w:szCs w:val="18"/>
                <w:color w:val="auto"/>
              </w:rPr>
              <w:t>Nonexclusivity of Indemnification and Advancement of Expenses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22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220" w:type="dxa"/>
            <w:vAlign w:val="bottom"/>
          </w:tcPr>
          <w:p>
            <w:pPr>
              <w:ind w:left="60"/>
              <w:spacing w:after="0"/>
              <w:rPr>
                <w:sz w:val="20"/>
                <w:szCs w:val="20"/>
                <w:color w:val="auto"/>
              </w:rPr>
            </w:pPr>
            <w:r>
              <w:rPr>
                <w:rFonts w:ascii="Arial" w:cs="Arial" w:eastAsia="Arial" w:hAnsi="Arial"/>
                <w:sz w:val="18"/>
                <w:szCs w:val="18"/>
                <w:color w:val="auto"/>
              </w:rPr>
              <w:t>Certain Definitions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220" w:type="dxa"/>
            <w:vAlign w:val="bottom"/>
          </w:tcPr>
          <w:p>
            <w:pPr>
              <w:ind w:left="60"/>
              <w:spacing w:after="0"/>
              <w:rPr>
                <w:sz w:val="20"/>
                <w:szCs w:val="20"/>
                <w:color w:val="auto"/>
              </w:rPr>
            </w:pPr>
            <w:r>
              <w:rPr>
                <w:rFonts w:ascii="Arial" w:cs="Arial" w:eastAsia="Arial" w:hAnsi="Arial"/>
                <w:sz w:val="18"/>
                <w:szCs w:val="18"/>
                <w:color w:val="auto"/>
              </w:rPr>
              <w:t>Survival of Indemnification and Advancement of Expenses</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7220" w:type="dxa"/>
            <w:vAlign w:val="bottom"/>
          </w:tcPr>
          <w:p>
            <w:pPr>
              <w:ind w:left="60"/>
              <w:spacing w:after="0"/>
              <w:rPr>
                <w:sz w:val="20"/>
                <w:szCs w:val="20"/>
                <w:color w:val="auto"/>
              </w:rPr>
            </w:pPr>
            <w:r>
              <w:rPr>
                <w:rFonts w:ascii="Arial" w:cs="Arial" w:eastAsia="Arial" w:hAnsi="Arial"/>
                <w:sz w:val="18"/>
                <w:szCs w:val="18"/>
                <w:color w:val="auto"/>
              </w:rPr>
              <w:t>Other Indemnification and Advancement of Expenses</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7220" w:type="dxa"/>
            <w:vAlign w:val="bottom"/>
          </w:tcPr>
          <w:p>
            <w:pPr>
              <w:ind w:left="60"/>
              <w:spacing w:after="0"/>
              <w:rPr>
                <w:sz w:val="20"/>
                <w:szCs w:val="20"/>
                <w:color w:val="auto"/>
              </w:rPr>
            </w:pPr>
            <w:r>
              <w:rPr>
                <w:rFonts w:ascii="Arial" w:cs="Arial" w:eastAsia="Arial" w:hAnsi="Arial"/>
                <w:sz w:val="18"/>
                <w:szCs w:val="18"/>
                <w:color w:val="auto"/>
              </w:rPr>
              <w:t>Amendment or Repeal</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220" w:type="dxa"/>
            <w:vAlign w:val="bottom"/>
          </w:tcPr>
          <w:p>
            <w:pPr>
              <w:ind w:left="60"/>
              <w:spacing w:after="0"/>
              <w:rPr>
                <w:sz w:val="20"/>
                <w:szCs w:val="20"/>
                <w:color w:val="auto"/>
              </w:rPr>
            </w:pPr>
            <w:r>
              <w:rPr>
                <w:rFonts w:ascii="Arial" w:cs="Arial" w:eastAsia="Arial" w:hAnsi="Arial"/>
                <w:sz w:val="18"/>
                <w:szCs w:val="18"/>
                <w:color w:val="auto"/>
              </w:rPr>
              <w:t>Contract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220" w:type="dxa"/>
            <w:vAlign w:val="bottom"/>
          </w:tcPr>
          <w:p>
            <w:pPr>
              <w:ind w:left="60"/>
              <w:spacing w:after="0"/>
              <w:rPr>
                <w:sz w:val="20"/>
                <w:szCs w:val="20"/>
                <w:color w:val="auto"/>
              </w:rPr>
            </w:pPr>
            <w:r>
              <w:rPr>
                <w:rFonts w:ascii="Arial" w:cs="Arial" w:eastAsia="Arial" w:hAnsi="Arial"/>
                <w:sz w:val="18"/>
                <w:szCs w:val="18"/>
                <w:color w:val="auto"/>
              </w:rPr>
              <w:t>Other Sources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Article VII Offices</w:t>
            </w:r>
          </w:p>
        </w:tc>
        <w:tc>
          <w:tcPr>
            <w:tcW w:w="722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220" w:type="dxa"/>
            <w:vAlign w:val="bottom"/>
          </w:tcPr>
          <w:p>
            <w:pPr>
              <w:ind w:left="60"/>
              <w:spacing w:after="0"/>
              <w:rPr>
                <w:sz w:val="20"/>
                <w:szCs w:val="20"/>
                <w:color w:val="auto"/>
              </w:rPr>
            </w:pPr>
            <w:r>
              <w:rPr>
                <w:rFonts w:ascii="Arial" w:cs="Arial" w:eastAsia="Arial" w:hAnsi="Arial"/>
                <w:sz w:val="18"/>
                <w:szCs w:val="18"/>
                <w:color w:val="auto"/>
              </w:rPr>
              <w:t>Registered Office</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220" w:type="dxa"/>
            <w:vAlign w:val="bottom"/>
          </w:tcPr>
          <w:p>
            <w:pPr>
              <w:ind w:left="60"/>
              <w:spacing w:after="0"/>
              <w:rPr>
                <w:sz w:val="20"/>
                <w:szCs w:val="20"/>
                <w:color w:val="auto"/>
              </w:rPr>
            </w:pPr>
            <w:r>
              <w:rPr>
                <w:rFonts w:ascii="Arial" w:cs="Arial" w:eastAsia="Arial" w:hAnsi="Arial"/>
                <w:sz w:val="18"/>
                <w:szCs w:val="18"/>
                <w:color w:val="auto"/>
              </w:rPr>
              <w:t>Other Offices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Article VIII Notices</w:t>
            </w:r>
          </w:p>
        </w:tc>
        <w:tc>
          <w:tcPr>
            <w:tcW w:w="722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220" w:type="dxa"/>
            <w:vAlign w:val="bottom"/>
          </w:tcPr>
          <w:p>
            <w:pPr>
              <w:ind w:left="6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220" w:type="dxa"/>
            <w:vAlign w:val="bottom"/>
          </w:tcPr>
          <w:p>
            <w:pPr>
              <w:ind w:left="60"/>
              <w:spacing w:after="0"/>
              <w:rPr>
                <w:sz w:val="20"/>
                <w:szCs w:val="20"/>
                <w:color w:val="auto"/>
              </w:rPr>
            </w:pPr>
            <w:r>
              <w:rPr>
                <w:rFonts w:ascii="Arial" w:cs="Arial" w:eastAsia="Arial" w:hAnsi="Arial"/>
                <w:sz w:val="18"/>
                <w:szCs w:val="18"/>
                <w:color w:val="auto"/>
              </w:rPr>
              <w:t>Waivers of Notice</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3" w:right="33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Article IX General Provisions</w:t>
            </w:r>
          </w:p>
        </w:tc>
        <w:tc>
          <w:tcPr>
            <w:tcW w:w="3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608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3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6080" w:type="dxa"/>
            <w:vAlign w:val="bottom"/>
          </w:tcPr>
          <w:p>
            <w:pPr>
              <w:ind w:left="160"/>
              <w:spacing w:after="0"/>
              <w:rPr>
                <w:sz w:val="20"/>
                <w:szCs w:val="20"/>
                <w:color w:val="auto"/>
              </w:rPr>
            </w:pPr>
            <w:r>
              <w:rPr>
                <w:rFonts w:ascii="Arial" w:cs="Arial" w:eastAsia="Arial" w:hAnsi="Arial"/>
                <w:sz w:val="18"/>
                <w:szCs w:val="18"/>
                <w:color w:val="auto"/>
              </w:rPr>
              <w:t>Reserves</w:t>
            </w:r>
          </w:p>
        </w:tc>
        <w:tc>
          <w:tcPr>
            <w:tcW w:w="3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6080" w:type="dxa"/>
            <w:vAlign w:val="bottom"/>
          </w:tcPr>
          <w:p>
            <w:pPr>
              <w:ind w:left="160"/>
              <w:spacing w:after="0"/>
              <w:rPr>
                <w:sz w:val="20"/>
                <w:szCs w:val="20"/>
                <w:color w:val="auto"/>
              </w:rPr>
            </w:pPr>
            <w:r>
              <w:rPr>
                <w:rFonts w:ascii="Arial" w:cs="Arial" w:eastAsia="Arial" w:hAnsi="Arial"/>
                <w:sz w:val="18"/>
                <w:szCs w:val="18"/>
                <w:color w:val="auto"/>
              </w:rPr>
              <w:t>Execution of Instruments</w:t>
            </w:r>
          </w:p>
        </w:tc>
        <w:tc>
          <w:tcPr>
            <w:tcW w:w="3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6080" w:type="dxa"/>
            <w:vAlign w:val="bottom"/>
          </w:tcPr>
          <w:p>
            <w:pPr>
              <w:ind w:left="160"/>
              <w:spacing w:after="0"/>
              <w:rPr>
                <w:sz w:val="20"/>
                <w:szCs w:val="20"/>
                <w:color w:val="auto"/>
              </w:rPr>
            </w:pPr>
            <w:r>
              <w:rPr>
                <w:rFonts w:ascii="Arial" w:cs="Arial" w:eastAsia="Arial" w:hAnsi="Arial"/>
                <w:sz w:val="18"/>
                <w:szCs w:val="18"/>
                <w:color w:val="auto"/>
              </w:rPr>
              <w:t>Corporate Indebtedness</w:t>
            </w:r>
          </w:p>
        </w:tc>
        <w:tc>
          <w:tcPr>
            <w:tcW w:w="3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60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3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6080" w:type="dxa"/>
            <w:vAlign w:val="bottom"/>
          </w:tcPr>
          <w:p>
            <w:pPr>
              <w:ind w:left="160"/>
              <w:spacing w:after="0"/>
              <w:rPr>
                <w:sz w:val="20"/>
                <w:szCs w:val="20"/>
                <w:color w:val="auto"/>
              </w:rPr>
            </w:pPr>
            <w:r>
              <w:rPr>
                <w:rFonts w:ascii="Arial" w:cs="Arial" w:eastAsia="Arial" w:hAnsi="Arial"/>
                <w:sz w:val="18"/>
                <w:szCs w:val="18"/>
                <w:color w:val="auto"/>
              </w:rPr>
              <w:t>Checks</w:t>
            </w:r>
          </w:p>
        </w:tc>
        <w:tc>
          <w:tcPr>
            <w:tcW w:w="3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9.07</w:t>
            </w:r>
          </w:p>
        </w:tc>
        <w:tc>
          <w:tcPr>
            <w:tcW w:w="6080" w:type="dxa"/>
            <w:vAlign w:val="bottom"/>
          </w:tcPr>
          <w:p>
            <w:pPr>
              <w:ind w:left="160"/>
              <w:spacing w:after="0"/>
              <w:rPr>
                <w:sz w:val="20"/>
                <w:szCs w:val="20"/>
                <w:color w:val="auto"/>
              </w:rPr>
            </w:pPr>
            <w:r>
              <w:rPr>
                <w:rFonts w:ascii="Arial" w:cs="Arial" w:eastAsia="Arial" w:hAnsi="Arial"/>
                <w:sz w:val="18"/>
                <w:szCs w:val="18"/>
                <w:color w:val="auto"/>
              </w:rPr>
              <w:t>Sale, Transfer, etc. of Securities</w:t>
            </w:r>
          </w:p>
        </w:tc>
        <w:tc>
          <w:tcPr>
            <w:tcW w:w="3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9.08</w:t>
            </w:r>
          </w:p>
        </w:tc>
        <w:tc>
          <w:tcPr>
            <w:tcW w:w="6080" w:type="dxa"/>
            <w:vAlign w:val="bottom"/>
          </w:tcPr>
          <w:p>
            <w:pPr>
              <w:ind w:left="160"/>
              <w:spacing w:after="0"/>
              <w:rPr>
                <w:sz w:val="20"/>
                <w:szCs w:val="20"/>
                <w:color w:val="auto"/>
              </w:rPr>
            </w:pPr>
            <w:r>
              <w:rPr>
                <w:rFonts w:ascii="Arial" w:cs="Arial" w:eastAsia="Arial" w:hAnsi="Arial"/>
                <w:sz w:val="18"/>
                <w:szCs w:val="18"/>
                <w:color w:val="auto"/>
              </w:rPr>
              <w:t>Voting as Stockholder</w:t>
            </w:r>
          </w:p>
        </w:tc>
        <w:tc>
          <w:tcPr>
            <w:tcW w:w="3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9.09</w:t>
            </w:r>
          </w:p>
        </w:tc>
        <w:tc>
          <w:tcPr>
            <w:tcW w:w="608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3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9.10</w:t>
            </w:r>
          </w:p>
        </w:tc>
        <w:tc>
          <w:tcPr>
            <w:tcW w:w="6080" w:type="dxa"/>
            <w:vAlign w:val="bottom"/>
          </w:tcPr>
          <w:p>
            <w:pPr>
              <w:ind w:left="160"/>
              <w:spacing w:after="0"/>
              <w:rPr>
                <w:sz w:val="20"/>
                <w:szCs w:val="20"/>
                <w:color w:val="auto"/>
              </w:rPr>
            </w:pPr>
            <w:r>
              <w:rPr>
                <w:rFonts w:ascii="Arial" w:cs="Arial" w:eastAsia="Arial" w:hAnsi="Arial"/>
                <w:sz w:val="18"/>
                <w:szCs w:val="18"/>
                <w:color w:val="auto"/>
              </w:rPr>
              <w:t>Seal</w:t>
            </w:r>
          </w:p>
        </w:tc>
        <w:tc>
          <w:tcPr>
            <w:tcW w:w="3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9.11</w:t>
            </w:r>
          </w:p>
        </w:tc>
        <w:tc>
          <w:tcPr>
            <w:tcW w:w="6080" w:type="dxa"/>
            <w:vAlign w:val="bottom"/>
          </w:tcPr>
          <w:p>
            <w:pPr>
              <w:ind w:left="160"/>
              <w:spacing w:after="0"/>
              <w:rPr>
                <w:sz w:val="20"/>
                <w:szCs w:val="20"/>
                <w:color w:val="auto"/>
              </w:rPr>
            </w:pPr>
            <w:r>
              <w:rPr>
                <w:rFonts w:ascii="Arial" w:cs="Arial" w:eastAsia="Arial" w:hAnsi="Arial"/>
                <w:sz w:val="18"/>
                <w:szCs w:val="18"/>
                <w:color w:val="auto"/>
              </w:rPr>
              <w:t>Books and Records; Inspection</w:t>
            </w:r>
          </w:p>
        </w:tc>
        <w:tc>
          <w:tcPr>
            <w:tcW w:w="3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9.12</w:t>
            </w:r>
          </w:p>
        </w:tc>
        <w:tc>
          <w:tcPr>
            <w:tcW w:w="6080" w:type="dxa"/>
            <w:vAlign w:val="bottom"/>
          </w:tcPr>
          <w:p>
            <w:pPr>
              <w:ind w:left="160"/>
              <w:spacing w:after="0"/>
              <w:rPr>
                <w:sz w:val="20"/>
                <w:szCs w:val="20"/>
                <w:color w:val="auto"/>
              </w:rPr>
            </w:pPr>
            <w:r>
              <w:rPr>
                <w:rFonts w:ascii="Arial" w:cs="Arial" w:eastAsia="Arial" w:hAnsi="Arial"/>
                <w:sz w:val="18"/>
                <w:szCs w:val="18"/>
                <w:color w:val="auto"/>
              </w:rPr>
              <w:t>Choice of Forum</w:t>
            </w:r>
          </w:p>
        </w:tc>
        <w:tc>
          <w:tcPr>
            <w:tcW w:w="382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Article X Force and Effect of Bylaws</w:t>
            </w:r>
          </w:p>
        </w:tc>
        <w:tc>
          <w:tcPr>
            <w:tcW w:w="7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Article XI Amendments</w:t>
            </w:r>
          </w:p>
        </w:tc>
        <w:tc>
          <w:tcPr>
            <w:tcW w:w="7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65"/>
        </w:trPr>
        <w:tc>
          <w:tcPr>
            <w:tcW w:w="4180" w:type="dxa"/>
            <w:vAlign w:val="bottom"/>
          </w:tcPr>
          <w:p>
            <w:pPr>
              <w:spacing w:after="0"/>
              <w:rPr>
                <w:sz w:val="24"/>
                <w:szCs w:val="24"/>
                <w:color w:val="auto"/>
              </w:rPr>
            </w:pPr>
          </w:p>
        </w:tc>
        <w:tc>
          <w:tcPr>
            <w:tcW w:w="7140" w:type="dxa"/>
            <w:vAlign w:val="bottom"/>
          </w:tcPr>
          <w:p>
            <w:pPr>
              <w:jc w:val="right"/>
              <w:ind w:right="545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320"/>
          </w:cols>
          <w:pgMar w:left="240" w:top="274" w:right="339" w:bottom="1440" w:gutter="0" w:footer="0" w:header="0"/>
        </w:sectPr>
      </w:pPr>
    </w:p>
    <w:bookmarkStart w:id="422" w:name="page423"/>
    <w:bookmarkEnd w:id="4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5" w:lineRule="exact"/>
        <w:rPr>
          <w:sz w:val="20"/>
          <w:szCs w:val="20"/>
          <w:color w:val="auto"/>
        </w:rPr>
      </w:pPr>
    </w:p>
    <w:p>
      <w:pPr>
        <w:ind w:right="60" w:firstLine="456"/>
        <w:spacing w:after="0" w:line="314"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Annual Meetings</w:t>
      </w:r>
      <w:r>
        <w:rPr>
          <w:rFonts w:ascii="Arial" w:cs="Arial" w:eastAsia="Arial" w:hAnsi="Arial"/>
          <w:sz w:val="16"/>
          <w:szCs w:val="16"/>
          <w:color w:val="auto"/>
        </w:rPr>
        <w:t>. An annual meeting of the stockholders of Solid Biosciences Inc. (the “</w:t>
      </w:r>
      <w:r>
        <w:rPr>
          <w:rFonts w:ascii="Arial" w:cs="Arial" w:eastAsia="Arial" w:hAnsi="Arial"/>
          <w:sz w:val="16"/>
          <w:szCs w:val="16"/>
          <w:b w:val="1"/>
          <w:bCs w:val="1"/>
          <w:color w:val="auto"/>
        </w:rPr>
        <w:t>Corporation</w:t>
      </w:r>
      <w:r>
        <w:rPr>
          <w:rFonts w:ascii="Arial" w:cs="Arial" w:eastAsia="Arial" w:hAnsi="Arial"/>
          <w:sz w:val="16"/>
          <w:szCs w:val="16"/>
          <w:color w:val="auto"/>
        </w:rPr>
        <w:t>”) for the election of directors and for the transaction of such other business as properly may come before such meeting shall be held at such date and time as may be fixed from time to time by resolution of the board of directors of the Corporation (the “</w:t>
      </w:r>
      <w:r>
        <w:rPr>
          <w:rFonts w:ascii="Arial" w:cs="Arial" w:eastAsia="Arial" w:hAnsi="Arial"/>
          <w:sz w:val="16"/>
          <w:szCs w:val="16"/>
          <w:b w:val="1"/>
          <w:bCs w:val="1"/>
          <w:color w:val="auto"/>
        </w:rPr>
        <w:t>Board of Directors</w:t>
      </w:r>
      <w:r>
        <w:rPr>
          <w:rFonts w:ascii="Arial" w:cs="Arial" w:eastAsia="Arial" w:hAnsi="Arial"/>
          <w:sz w:val="16"/>
          <w:szCs w:val="16"/>
          <w:color w:val="auto"/>
        </w:rPr>
        <w:t>”) and set forth in the notice, or waiver of notice, of such meeting.</w:t>
      </w:r>
    </w:p>
    <w:p>
      <w:pPr>
        <w:spacing w:after="0" w:line="146"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of the Corporation may be called only by a majority of the Board of Directors, the Chairman of the Board of Directors or the Chief Executive Officer of the Corporation. Only such business shall be considered at a special meeting of stockholders as shall have been stated in the notice for such meeting.</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Annual Meetings of Stockholders</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76" w:lineRule="auto"/>
        <w:tabs>
          <w:tab w:leader="none" w:pos="671" w:val="left"/>
        </w:tabs>
        <w:numPr>
          <w:ilvl w:val="0"/>
          <w:numId w:val="318"/>
        </w:numPr>
        <w:rPr>
          <w:rFonts w:ascii="Arial" w:cs="Arial" w:eastAsia="Arial" w:hAnsi="Arial"/>
          <w:sz w:val="17"/>
          <w:szCs w:val="17"/>
          <w:color w:val="auto"/>
        </w:rPr>
      </w:pPr>
      <w:r>
        <w:rPr>
          <w:rFonts w:ascii="Arial" w:cs="Arial" w:eastAsia="Arial" w:hAnsi="Arial"/>
          <w:sz w:val="17"/>
          <w:szCs w:val="17"/>
          <w:color w:val="auto"/>
        </w:rPr>
        <w:t>Subject to the provisions of ARTICLE II of these Bylaws, nominations of persons for election to the Board of Directors and the proposal of business to be considered by the stockholders may be made at an annual meeting of stockholders only (A) pursuant to the Corporation’s notice of meeting (or any supplement thereto), (B) by or at the direction of the Board of Directors or any committee thereof or (C) by any stockholder of the Corporation who was a stockholder of record of the Corporation at the time the notice provided for in this Section 1.03 is delivered to the Secretary of the Corporation, who is entitled to vote at the meeting and who complies with the notice procedures set forth in this Section 1.03.</w:t>
      </w:r>
    </w:p>
    <w:p>
      <w:pPr>
        <w:spacing w:after="0" w:line="172" w:lineRule="exact"/>
        <w:rPr>
          <w:rFonts w:ascii="Arial" w:cs="Arial" w:eastAsia="Arial" w:hAnsi="Arial"/>
          <w:sz w:val="17"/>
          <w:szCs w:val="17"/>
          <w:color w:val="auto"/>
        </w:rPr>
      </w:pPr>
    </w:p>
    <w:p>
      <w:pPr>
        <w:ind w:firstLine="464"/>
        <w:spacing w:after="0" w:line="287" w:lineRule="auto"/>
        <w:tabs>
          <w:tab w:leader="none" w:pos="721" w:val="left"/>
        </w:tabs>
        <w:numPr>
          <w:ilvl w:val="0"/>
          <w:numId w:val="318"/>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(C) of paragraph (a)(i) of this Section 1.03, the stockholder must have given timely notice thereof in writing to the Secretary of the Corporation and any such proposed business other than the nominations of persons for election to the Board of Directors must constitute a proper matter for stockholder action. To be timely, a stockholder’s notice shall be delivered to the Secretary of the Corporation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more than thirty (30) days before or more than seventy (70) days after such anniversary date, notice by the stockholder must be so delivered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annual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w:t>
      </w:r>
    </w:p>
    <w:p>
      <w:pPr>
        <w:sectPr>
          <w:pgSz w:w="11900" w:h="16838" w:orient="portrait"/>
          <w:cols w:equalWidth="0" w:num="1">
            <w:col w:w="11400"/>
          </w:cols>
          <w:pgMar w:left="240" w:top="269" w:right="259" w:bottom="1440" w:gutter="0" w:footer="0" w:header="0"/>
        </w:sectPr>
      </w:pPr>
    </w:p>
    <w:bookmarkStart w:id="423" w:name="page424"/>
    <w:bookmarkEnd w:id="423"/>
    <w:p>
      <w:pPr>
        <w:ind w:left="-8" w:firstLine="8"/>
        <w:spacing w:after="0" w:line="285" w:lineRule="auto"/>
        <w:tabs>
          <w:tab w:leader="none" w:pos="247" w:val="left"/>
        </w:tabs>
        <w:numPr>
          <w:ilvl w:val="0"/>
          <w:numId w:val="3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and (2) such person’s written consent to being named in the proxy statement as a nominee and to serving as a director if elected; (B) as to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(1) the name and address of such stockholder, as they appear on the Corporation’s books, and of such beneficial owner, (2) the class and number of shares of capital stock of the Corporation that are owned beneficially and of record by such stockholder and such beneficial owner, (3) a representation that the stockholder is a holder of record of stock of the Corporation entitled to vote at such meeting and intends to appear in person or by proxy at the meeting to propose such business or nomination and (4) a representation whether the stockholder or the beneficial owner, if any, intends or is part of a group that intends (x) to deliver a proxy statement and/or form of proxy to holders of at least the percentage of the Corporation’s outstanding capital stock required to approve or adopt the proposal or elect the nominee and/or (y) otherwise to solicit proxies from stockholders in support of such proposal or nomination. The foregoing notice requirements of this Section 1.03 shall be deemed satisfied by a stockholder if the stockholder has notified the Corporation of his, her or its intention to present a proposal or nomination at an annual meeting in compliance with applicable rules and regulations promulgated under the Exchange Act and such stockholder’s proposal or nomination has been included in a proxy statement that has been prepared by the Corporation to solicit proxies for such annual meeting. The Corporation may require any proposed nominee to furnish such other information as it may reasonably require to determine the eligibility of such proposed nominee to serve as a director of the Corporation.</w:t>
      </w:r>
    </w:p>
    <w:p>
      <w:pPr>
        <w:spacing w:after="0" w:line="172" w:lineRule="exact"/>
        <w:rPr>
          <w:rFonts w:ascii="Arial" w:cs="Arial" w:eastAsia="Arial" w:hAnsi="Arial"/>
          <w:sz w:val="16"/>
          <w:szCs w:val="16"/>
          <w:color w:val="auto"/>
        </w:rPr>
      </w:pPr>
    </w:p>
    <w:p>
      <w:pPr>
        <w:ind w:left="-8" w:right="20" w:firstLine="464"/>
        <w:spacing w:after="0" w:line="255" w:lineRule="auto"/>
        <w:tabs>
          <w:tab w:leader="none" w:pos="763" w:val="left"/>
        </w:tabs>
        <w:numPr>
          <w:ilvl w:val="1"/>
          <w:numId w:val="319"/>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paragraph (a)(ii) of this Section 1.03 to the contrary, in the event that the number of directors to be elected to the Board of Directors at an annual meeting is increased and there is no public announcement by the Corporation naming the nominees for the additional directorships at least one hundred (100) days prior to the first anniversary of the preceding year’s annual meeting, a stockholder’s notice required by this Section 1.03 shall also be considered timely, but only with respect to nominees for the additional directorships, if it shall be delivered to the Secretary of the Corporation at the principal executive offices of the Corporation not later than the close of business on the tenth (10th) day following the day on which such public announcement is first made by the Corporation.</w:t>
      </w:r>
    </w:p>
    <w:p>
      <w:pPr>
        <w:spacing w:after="0" w:line="193" w:lineRule="exact"/>
        <w:rPr>
          <w:sz w:val="20"/>
          <w:szCs w:val="20"/>
          <w:color w:val="auto"/>
        </w:rPr>
      </w:pPr>
    </w:p>
    <w:p>
      <w:pPr>
        <w:ind w:left="-8" w:right="20" w:firstLine="464"/>
        <w:spacing w:after="0" w:line="312" w:lineRule="auto"/>
        <w:tabs>
          <w:tab w:leader="none" w:pos="703" w:val="left"/>
        </w:tabs>
        <w:numPr>
          <w:ilvl w:val="0"/>
          <w:numId w:val="320"/>
        </w:numPr>
        <w:rPr>
          <w:rFonts w:ascii="Arial" w:cs="Arial" w:eastAsia="Arial" w:hAnsi="Arial"/>
          <w:sz w:val="16"/>
          <w:szCs w:val="16"/>
          <w:color w:val="auto"/>
        </w:rPr>
      </w:pPr>
      <w:r>
        <w:rPr>
          <w:rFonts w:ascii="Arial" w:cs="Arial" w:eastAsia="Arial" w:hAnsi="Arial"/>
          <w:sz w:val="16"/>
          <w:szCs w:val="16"/>
          <w:i w:val="1"/>
          <w:iCs w:val="1"/>
          <w:color w:val="auto"/>
        </w:rPr>
        <w:t xml:space="preserve">Special Meetings of Stockholders. </w:t>
      </w:r>
      <w:r>
        <w:rPr>
          <w:rFonts w:ascii="Arial" w:cs="Arial" w:eastAsia="Arial" w:hAnsi="Arial"/>
          <w:sz w:val="16"/>
          <w:szCs w:val="16"/>
          <w:color w:val="auto"/>
        </w:rPr>
        <w:t>Subject to the provisions of Article II of these Bylaws, nominations of persons for election to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may be made at a special meeting of stockholders at which directors are to be elected pursuant to the Corporation’s notice of meeting (i) by or at the direction of the Board of Directors or any committee thereof or (ii) provided that the Board of Directors has determined that directors shall be elected at such</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424" w:name="page425"/>
    <w:bookmarkEnd w:id="424"/>
    <w:p>
      <w:pPr>
        <w:ind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by any stockholder of the Corporation who is a stockholder of record at the time the notice provided for in this Section 1.03 is delivered to the Secretary of the Corporation, who is entitled to vote at the meeting and upon such election and who complies with the notice procedures set forth in this Section 1.03. Subject to the provisions of Article II of these Bylaws,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(a)</w:t>
      </w:r>
    </w:p>
    <w:p>
      <w:pPr>
        <w:spacing w:after="0" w:line="2" w:lineRule="exact"/>
        <w:rPr>
          <w:sz w:val="20"/>
          <w:szCs w:val="20"/>
          <w:color w:val="auto"/>
        </w:rPr>
      </w:pPr>
    </w:p>
    <w:p>
      <w:pPr>
        <w:ind w:right="60" w:firstLine="8"/>
        <w:spacing w:after="0" w:line="292" w:lineRule="auto"/>
        <w:tabs>
          <w:tab w:leader="none" w:pos="265" w:val="left"/>
        </w:tabs>
        <w:numPr>
          <w:ilvl w:val="0"/>
          <w:numId w:val="321"/>
        </w:numPr>
        <w:rPr>
          <w:rFonts w:ascii="Arial" w:cs="Arial" w:eastAsia="Arial" w:hAnsi="Arial"/>
          <w:sz w:val="16"/>
          <w:szCs w:val="16"/>
          <w:color w:val="auto"/>
        </w:rPr>
      </w:pPr>
      <w:r>
        <w:rPr>
          <w:rFonts w:ascii="Arial" w:cs="Arial" w:eastAsia="Arial" w:hAnsi="Arial"/>
          <w:sz w:val="16"/>
          <w:szCs w:val="16"/>
          <w:color w:val="auto"/>
        </w:rPr>
        <w:t>of this Section 1.03 shall be delivered to the Secretary of the Corporation at the principal executive offices of the Corporation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special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special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63" w:lineRule="exact"/>
        <w:rPr>
          <w:sz w:val="20"/>
          <w:szCs w:val="20"/>
          <w:color w:val="auto"/>
        </w:rPr>
      </w:pPr>
    </w:p>
    <w:p>
      <w:pPr>
        <w:ind w:left="700" w:hanging="236"/>
        <w:spacing w:after="0"/>
        <w:tabs>
          <w:tab w:leader="none" w:pos="700" w:val="left"/>
        </w:tabs>
        <w:numPr>
          <w:ilvl w:val="0"/>
          <w:numId w:val="322"/>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5" w:lineRule="auto"/>
        <w:tabs>
          <w:tab w:leader="none" w:pos="671" w:val="left"/>
        </w:tabs>
        <w:numPr>
          <w:ilvl w:val="0"/>
          <w:numId w:val="323"/>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procedures set forth in this Section 1.03 or Article II of these Bylaws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1.03.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Section 1.03 or Article II (including whether the stockholder or beneficial owner, if any, on whose behalf the nomination or proposal is made or solicited (or is part of a group which solicited) or did not so solicit, as the case may be, proxies in support of such stockholder’s nominee or proposal in compliance with such stockholder’s representation as required by clause (a)(ii)(C)(4) of this Section 1.03) and (b) if any proposed nomination or business was not made or proposed in compliance with this Section 1.03, to declare that such nomination shall be disregarded or that such proposed business shall not be transacted. Notwithstanding the foregoing provisions of this Section 1.03,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1.03,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25" w:name="page426"/>
    <w:bookmarkEnd w:id="425"/>
    <w:p>
      <w:pPr>
        <w:jc w:val="both"/>
        <w:ind w:right="360" w:firstLine="464"/>
        <w:spacing w:after="0" w:line="264" w:lineRule="auto"/>
        <w:tabs>
          <w:tab w:leader="none" w:pos="721"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1.03, “public announcement”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1" w:lineRule="exact"/>
        <w:rPr>
          <w:rFonts w:ascii="Arial" w:cs="Arial" w:eastAsia="Arial" w:hAnsi="Arial"/>
          <w:sz w:val="18"/>
          <w:szCs w:val="18"/>
          <w:color w:val="auto"/>
        </w:rPr>
      </w:pPr>
    </w:p>
    <w:p>
      <w:pPr>
        <w:ind w:right="160" w:firstLine="464"/>
        <w:spacing w:after="0" w:line="297" w:lineRule="auto"/>
        <w:tabs>
          <w:tab w:leader="none" w:pos="771" w:val="left"/>
        </w:tabs>
        <w:numPr>
          <w:ilvl w:val="0"/>
          <w:numId w:val="324"/>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1.03, a stockholder shall also comply with all applicable requirements of the Exchange Act and the rules and regulations thereunder with respect to the matters set forth in this Section 1.03. Nothing in this Section 1.03 shall be deemed to affect any rights (A) of stockholders to request inclusion of proposals or nominations in the Corporation’s proxy statement pursuant to applicable rules and regulations promulgated under the Exchange Act or (B) of the holders of any series of preferred stock of the Corporation to elect directors pursuant to any applicable provisions of the certificate of incorporation of the Corporation, as may be amended from time to time (the “</w:t>
      </w:r>
      <w:r>
        <w:rPr>
          <w:rFonts w:ascii="Arial" w:cs="Arial" w:eastAsia="Arial" w:hAnsi="Arial"/>
          <w:sz w:val="16"/>
          <w:szCs w:val="16"/>
          <w:b w:val="1"/>
          <w:bCs w:val="1"/>
          <w:color w:val="auto"/>
        </w:rPr>
        <w:t>Charter</w:t>
      </w:r>
      <w:r>
        <w:rPr>
          <w:rFonts w:ascii="Arial" w:cs="Arial" w:eastAsia="Arial" w:hAnsi="Arial"/>
          <w:sz w:val="16"/>
          <w:szCs w:val="16"/>
          <w:color w:val="auto"/>
        </w:rPr>
        <w:t>”).</w:t>
      </w:r>
    </w:p>
    <w:p>
      <w:pPr>
        <w:spacing w:after="0" w:line="158"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Place of Meetings</w:t>
      </w:r>
      <w:r>
        <w:rPr>
          <w:rFonts w:ascii="Arial" w:cs="Arial" w:eastAsia="Arial" w:hAnsi="Arial"/>
          <w:sz w:val="17"/>
          <w:szCs w:val="17"/>
          <w:color w:val="auto"/>
        </w:rPr>
        <w:t>. Meetings of the stockholders shall be held at such places, within or without the State of Delaware, or, within the sole discretion of the Board of Directors, by remote electronic communication technologies, as shall be specified in the respective notice, or waiver of notice, of such meeting. If no designation is made, the place of meeting shall be the principal executive office of the Corporation.</w:t>
      </w:r>
    </w:p>
    <w:p>
      <w:pPr>
        <w:spacing w:after="0" w:line="166"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Notice of Meetings</w:t>
      </w:r>
      <w:r>
        <w:rPr>
          <w:rFonts w:ascii="Arial" w:cs="Arial" w:eastAsia="Arial" w:hAnsi="Arial"/>
          <w:sz w:val="16"/>
          <w:szCs w:val="16"/>
          <w:color w:val="auto"/>
        </w:rPr>
        <w:t>. Whenever stockholders are required or permitted to take action at a meeting, written notice (which can be electronic) stating the place, if any, date, time and, in the case of special meetings, the purpose or purposes of such meeting shall be given to each stockholder entitled to vote at such meeting. Unless otherwise provided by law, the Charter or these Bylaws, the written notice of any meeting shall be given not less than ten</w:t>
      </w:r>
    </w:p>
    <w:p>
      <w:pPr>
        <w:jc w:val="both"/>
        <w:ind w:firstLine="8"/>
        <w:spacing w:after="0" w:line="255" w:lineRule="auto"/>
        <w:tabs>
          <w:tab w:leader="none" w:pos="34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nor more than sixty (60) days before the date of the meeting to each stockholder entitled to vote at such meeting. If mailed, such notice shall be deemed to be given when deposited in the United States mail, postage prepaid, directed to the stockholder at such stockholder’s address as it appears in the records of the Corporation.</w:t>
      </w:r>
    </w:p>
    <w:p>
      <w:pPr>
        <w:spacing w:after="0" w:line="19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Stockholders List</w:t>
      </w:r>
      <w:r>
        <w:rPr>
          <w:rFonts w:ascii="Arial" w:cs="Arial" w:eastAsia="Arial" w:hAnsi="Arial"/>
          <w:sz w:val="17"/>
          <w:szCs w:val="17"/>
          <w:color w:val="auto"/>
        </w:rPr>
        <w:t>. The officer having charge of the stock ledger of the Corporation shall make, at least ten (10) days before every meeting of the stockholders, a complete list of the stockholders entitled to vote at such meeting arranged in alphabetical order,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(i) on a reasonably accessible electronic network, provided that the information required to gain access to such list is provided with the notice of meeting, or (ii) during ordinary business hours at the principal place of business of the Corporation. The list of stockholders must also be open to examination at the meeting as required by applicable law. Except as otherwise provided by law, the stock ledger shall be the only evidence as to who are the stockholders entitled to examine the list of stockholders required by this Section 1.06 or to vote in person or by proxy at any meeting of stockholders.</w:t>
      </w:r>
    </w:p>
    <w:p>
      <w:pPr>
        <w:spacing w:after="0" w:line="17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required by law or by the Charter, the presence in person or by proxy of the holders of record representing a majority of the voting power entitled to vote at a meeting of stockholders shall constitute a quorum for the transaction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3" w:right="319" w:bottom="1440" w:gutter="0" w:footer="0" w:header="0"/>
        </w:sectPr>
      </w:pPr>
    </w:p>
    <w:bookmarkStart w:id="426" w:name="page427"/>
    <w:bookmarkEnd w:id="426"/>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business at such meeting. If a quorum is not present, the chairman of the meeting may adjourn the meeting to another time and/or place in the manner provided by Section 1.08 until a quorum shall be so present or represented.</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Adjournment</w:t>
      </w:r>
      <w:r>
        <w:rPr>
          <w:rFonts w:ascii="Arial" w:cs="Arial" w:eastAsia="Arial" w:hAnsi="Arial"/>
          <w:sz w:val="18"/>
          <w:szCs w:val="18"/>
          <w:color w:val="auto"/>
        </w:rPr>
        <w:t xml:space="preserve">. Notice of any adjourned meeting of the stockholders of the Corporation need not be given if the place, if any, date and hour thereof, and the means of remote communications, if any, by which stockholders and proxy holders may be deemed to be present in person and vote at such meeting, are announced at the meeting at which the adjournment is taken;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adjournment is for more than thirty (30) days, or if after the adjournment a new record date for the adjourned meeting is fixed, a notice of the adjourned meeting shall be given to each stockholder of record entitled to vote at such meeting. At any adjourned meeting at which a quorum is present, any business may be transacted that might have been transacted on the original date of the meeting.</w:t>
      </w:r>
    </w:p>
    <w:p>
      <w:pPr>
        <w:spacing w:after="0" w:line="1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Voting</w:t>
      </w:r>
      <w:r>
        <w:rPr>
          <w:rFonts w:ascii="Arial" w:cs="Arial" w:eastAsia="Arial" w:hAnsi="Arial"/>
          <w:sz w:val="18"/>
          <w:szCs w:val="18"/>
          <w:color w:val="auto"/>
        </w:rPr>
        <w:t>. If, pursuant to Section 5.05 of these Bylaws, a record date has been fixed, every holder of record of shares entitled to vote at a meeting of stockholders shall be entitled to that number of votes as set forth in the Charter for each share outstanding in his or her name on the books of the Corporation at the close of business on such record date. If no record date has been fixed, then every holder of record of shares entitled to vote at a meeting of stockholders shall be entitled to that number of votes as set forth in the Charter for each share of stock standing in his or her name on the books of the Corporation at the close of business on the day next preceding the day on which notice of the meeting is given, or, if notice is waived, at the close of business on the day next preceding the day on which the meeting is held. Except as otherwise required by law or by the Charter or by these Bylaws, the vote of a majority of the shares represented in person or by proxy at any meeting at which a quorum is present shall be sufficient for the transaction of any business at such meeting.</w:t>
      </w:r>
    </w:p>
    <w:p>
      <w:pPr>
        <w:spacing w:after="0" w:line="19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Voting by Ballot</w:t>
      </w:r>
      <w:r>
        <w:rPr>
          <w:rFonts w:ascii="Arial" w:cs="Arial" w:eastAsia="Arial" w:hAnsi="Arial"/>
          <w:sz w:val="18"/>
          <w:szCs w:val="18"/>
          <w:color w:val="auto"/>
        </w:rPr>
        <w:t>. No vote of the stockholders need be taken by written ballot, or by a ballot submitted by electronic transmission, unless otherwise required by law. Any vote that need not be taken by written ballot, or by a ballot submitted by electronic transmission, may be conducted in any manner approved by the meeting.</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Proxies</w:t>
      </w:r>
      <w:r>
        <w:rPr>
          <w:rFonts w:ascii="Arial" w:cs="Arial" w:eastAsia="Arial" w:hAnsi="Arial"/>
          <w:sz w:val="16"/>
          <w:szCs w:val="16"/>
          <w:color w:val="auto"/>
        </w:rPr>
        <w:t>. Any stockholder entitled to vote at any meeting of the stockholders or to express consent to or dissent from corporate action in writing without a meeting may authorize another person or persons to vote at any such meeting and express such consent or dissent for him or her by proxy. A stockholder may authorize a valid proxy by executing a written instrument signed by such stockholder, or by causing his or her signature to be affixed to such writing by any reasonable means including, but not limited to, by facsimile signature, or by transmitting or authorizing the transmission of a telegram, cablegram or other means of electronic transmission to the person designated as the holder of the proxy, a proxy solicitation firm or a like authorized agent. No such proxy shall be voted or acted upon after the expiration of three years from the date of such proxy, unless such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filing an instrument in writing revoking the proxy or by filing another duly executed proxy bearing a later date with the Secretary. Proxies by electronic transmission must either set forth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27" w:name="page428"/>
    <w:bookmarkEnd w:id="427"/>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submitted with information from which it can be determined that the electronic transmission was authorized by the stockholder. Any copy, facsimile telecommunication or other reliable reproduction of a writing or transmission created pursuant to this section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7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No Action by Written Consent.</w:t>
      </w:r>
      <w:r>
        <w:rPr>
          <w:rFonts w:ascii="Arial" w:cs="Arial" w:eastAsia="Arial" w:hAnsi="Arial"/>
          <w:sz w:val="18"/>
          <w:szCs w:val="18"/>
          <w:color w:val="auto"/>
        </w:rPr>
        <w:t xml:space="preserve"> Any action required or permitted to be taken by stockholders of the Corporation must be effected at a meeting of the stockholders of the Corporation and may not be effected by written consent in lieu of a meeting.</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u w:val="single" w:color="auto"/>
          <w:color w:val="auto"/>
        </w:rPr>
        <w:t>Organization; Procedure</w:t>
      </w:r>
      <w:r>
        <w:rPr>
          <w:rFonts w:ascii="Arial" w:cs="Arial" w:eastAsia="Arial" w:hAnsi="Arial"/>
          <w:sz w:val="17"/>
          <w:szCs w:val="17"/>
          <w:color w:val="auto"/>
        </w:rPr>
        <w:t>. At every meeting of stockholders, the Chairman (or, in the event of his or her absence or disability, the person whom the Board of Director designates, or, in the event of his or her absence or disability or the inability of the Board of Directors to designate a person, a presiding officer chosen by a majority of the stockholders present in person or by proxy) shall act as chairman of the meeting. The Secretary, or in the event of his or her absence or disability, an appointee of the chairman of the meeting, shall act as Secretary of the meeting. The order of business and all other matters of procedure at every meeting of stockholders may be determined by the chairman of the meeting.</w:t>
      </w:r>
    </w:p>
    <w:p>
      <w:pPr>
        <w:spacing w:after="0" w:line="173"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Conduct of Meetings</w:t>
      </w:r>
      <w:r>
        <w:rPr>
          <w:rFonts w:ascii="Arial" w:cs="Arial" w:eastAsia="Arial" w:hAnsi="Arial"/>
          <w:sz w:val="17"/>
          <w:szCs w:val="17"/>
          <w:color w:val="auto"/>
        </w:rPr>
        <w:t>.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to adjourn the meeting, to prescribe such rules, regulations and procedures and to do all such acts as, in the judgment of such presiding person, are appropriate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428" w:name="page429"/>
    <w:bookmarkEnd w:id="42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the determination of when the polls shall open and close for any given matter to be voted on at the meeting, (c) rules and procedures for maintaining order at the meeting and the safety of those present; (d) limitations on attendance at or participation in the meeting to stockholders of record of the Corporation, their duly authorized and constituted proxies or such other persons as the presiding person of the meeting shall determine; (e) restrictions on entry to the meeting after the time fixed for the commencement thereof; and (f)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under the direction of the Board of Directors. The Board of Directors may exercise all such authority and powers of the Corporation and do all such lawful acts and things as are not by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or the Charter directed or required to be exercised or done by the stockholders. All matters shall be determined by the vote of a majority of the directors present at a duly convened meeting of the Board of Directors, except as otherwise provided by these Bylaws or required by the Charter or the DGCL.</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Number, Election and Term of Office</w:t>
      </w:r>
      <w:r>
        <w:rPr>
          <w:rFonts w:ascii="Arial" w:cs="Arial" w:eastAsia="Arial" w:hAnsi="Arial"/>
          <w:sz w:val="18"/>
          <w:szCs w:val="18"/>
          <w:color w:val="auto"/>
        </w:rPr>
        <w:t>. The number of directors which shall constitute the Board of Directors shall be fixed from time to time by resolution adopted by the affirmative vote of a majority of the total number of directors then in office. The directors shall be elected by a plurality of the votes of the shares present in person or represented by proxy at the meeting and entitled to vote in the election of directors; provided that, whenever the holders of any class or series of capital stock of the Corporation are entitled to elect one or more directors pursuant to the provisions of the Charter (including, but not limited to, any duly authorized certificate of designation), such directors shall be elected by a plurality of the votes of such class or series present in person or represented by proxy at the meeting and entitled to vote in the election of such directors. Directors need not be stockholders to be qualified for election or service as a director of the Corporation.</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may resign at any time by submitting an electronic transmission or by delivering a written notice of resignation, signed by such director, to the Chairman or the Secretary. Unless otherwise specified therein, such resignation shall take effect at the time therein specified or, if no time is specified, immediately; and, unless otherwise specified in such notice, the acceptance of such resignation shall not be necessary to make it effective.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429" w:name="page430"/>
    <w:bookmarkEnd w:id="429"/>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2.04 </w:t>
      </w:r>
      <w:r>
        <w:rPr>
          <w:rFonts w:ascii="Arial" w:cs="Arial" w:eastAsia="Arial" w:hAnsi="Arial"/>
          <w:sz w:val="18"/>
          <w:szCs w:val="18"/>
          <w:u w:val="single" w:color="auto"/>
          <w:color w:val="auto"/>
        </w:rPr>
        <w:t>Removal of Directors; Vacancies</w:t>
      </w:r>
      <w:r>
        <w:rPr>
          <w:rFonts w:ascii="Arial" w:cs="Arial" w:eastAsia="Arial" w:hAnsi="Arial"/>
          <w:sz w:val="18"/>
          <w:szCs w:val="18"/>
          <w:color w:val="auto"/>
        </w:rPr>
        <w:t>. Directors may be removed from office only for cause and, in addition to any vote required by law, the affirmative vote of the holders of at least two-thirds of the voting power of all then outstanding shares of capital stock of the Corporation entitled to vote generally in an election of directors, voting together as a single class, shall be required to effect such removal. Director vacancies may be filled as set forth in the Charter.</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The annual meeting of the Board of Directors for the purpose of electing officers and for the transaction of such other business as may come before the meeting shall be held as soon as possible following adjournment of the annual meeting of the stockholders at the place of such annual meeting of the stockholders. Notice of such annual meeting of the Board of Directors need not be given. The Board of Directors from time to time may by resolution provide for the holding of regular meetings and fix the place (which may be within or without the State of Delaware) and the date and hour of such meetings. Notice of regular meetings need not be given.</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shall be held whenever called by the Chairman of the Board of Directors, majority of the Board of Directors or the Chief Executive Officer of the Corporation, at such place (within or without the State of Delaware), date and hour as may be specified in the respective notices or waivers of notice of such meetings. Special meetings of the Board of Directors may be called on twenty-four</w:t>
      </w:r>
    </w:p>
    <w:p>
      <w:pPr>
        <w:ind w:right="60" w:firstLine="8"/>
        <w:spacing w:after="0" w:line="271" w:lineRule="auto"/>
        <w:tabs>
          <w:tab w:leader="none" w:pos="345" w:val="left"/>
        </w:tabs>
        <w:numPr>
          <w:ilvl w:val="0"/>
          <w:numId w:val="326"/>
        </w:numPr>
        <w:rPr>
          <w:rFonts w:ascii="Arial" w:cs="Arial" w:eastAsia="Arial" w:hAnsi="Arial"/>
          <w:sz w:val="17"/>
          <w:szCs w:val="17"/>
          <w:color w:val="auto"/>
        </w:rPr>
      </w:pPr>
      <w:r>
        <w:rPr>
          <w:rFonts w:ascii="Arial" w:cs="Arial" w:eastAsia="Arial" w:hAnsi="Arial"/>
          <w:sz w:val="17"/>
          <w:szCs w:val="17"/>
          <w:color w:val="auto"/>
        </w:rPr>
        <w:t>hours’ notice, if notice is given to each director personally or by telephone or electronic transmission, or on five (5) days’ notice, if notice is mailed to each director, addressed to him or her at his or her usual place of business. Neither the business to be transacted at, nor the purpose of, any special meeting of the Board of Directors need be specified in the notice or waiver of notice of such meeting. Notice of any special meeting need not be given to any director who attends such meeting without protesting the lack of notice to him or her, prior to or at the commencement of such meeting, or to any director who submits a signed waiver of notice, whether before or after such meeting, and any business may be transacted thereat.</w:t>
      </w:r>
    </w:p>
    <w:p>
      <w:pPr>
        <w:spacing w:after="0" w:line="17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Quorum and Manner of Acting</w:t>
      </w:r>
      <w:r>
        <w:rPr>
          <w:rFonts w:ascii="Arial" w:cs="Arial" w:eastAsia="Arial" w:hAnsi="Arial"/>
          <w:sz w:val="16"/>
          <w:szCs w:val="16"/>
          <w:color w:val="auto"/>
        </w:rPr>
        <w:t>. A majority of the entire Board of Directors shall constitute a quorum for the transaction of business at any meeting of the Board of Directors and, except as otherwise expressly required by the DGCL or the Charter or these Bylaws, the act of a majority of the directors present at any meeting at which a quorum is present shall be the act of the Board of Directors. In the absence of a quorum at any meeting of the Board of Directors, a majority of the directors present thereat may adjourn such meeting to another time and place. Notice of the time and place of any such adjourned meeting shall be given to the directors unless such time and place were announced at the meeting at which the adjournment was taken, to the other directors. At any adjourned meeting at which a quorum is present, any business may be transacted that might have been transacted at the meeting as originally called. The directors shall act only as a Board of Directors and the individual directors shall have no power as such.</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430" w:name="page431"/>
    <w:bookmarkEnd w:id="430"/>
    <w:p>
      <w:pPr>
        <w:ind w:right="2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2.08 </w:t>
      </w:r>
      <w:r>
        <w:rPr>
          <w:rFonts w:ascii="Arial" w:cs="Arial" w:eastAsia="Arial" w:hAnsi="Arial"/>
          <w:sz w:val="17"/>
          <w:szCs w:val="17"/>
          <w:u w:val="single" w:color="auto"/>
          <w:color w:val="auto"/>
        </w:rPr>
        <w:t>Action Without a Meeting</w:t>
      </w:r>
      <w:r>
        <w:rPr>
          <w:rFonts w:ascii="Arial" w:cs="Arial" w:eastAsia="Arial" w:hAnsi="Arial"/>
          <w:sz w:val="17"/>
          <w:szCs w:val="17"/>
          <w:color w:val="auto"/>
        </w:rPr>
        <w:t>. Any action required or permitted to be taken at any meeting of the Board of Directors or of any committee thereof may be taken without a meeting if a written consent, setting forth the action so taken, is signed by all the members of the Board of Directors or the committee, as the case may be, and such written consent shall have the same force and effect as a unanimous vote at a meeting of the Board of Directors. An electronic transmission by a director consenting to an action to be taken and transmitted by a director is considered written, signed and dated for the purposes of this article if the transmission sets forth or is delivered with information from which the Corporation can determine that the transmission was transmitted by the director and the date on which the director transmitted the transmission.</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Action by Telephonic Communications</w:t>
      </w:r>
      <w:r>
        <w:rPr>
          <w:rFonts w:ascii="Arial" w:cs="Arial" w:eastAsia="Arial" w:hAnsi="Arial"/>
          <w:sz w:val="18"/>
          <w:szCs w:val="18"/>
          <w:color w:val="auto"/>
        </w:rPr>
        <w:t>. Members of the Board of Directors may participate in a meeting of the Board of Directors by means of conference telephone or similar communications equipment by means of which all persons participating in the meeting can hear one another, and participation in a meeting pursuant to this provision shall constitute presence in person at such meeting.</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Compensation</w:t>
      </w:r>
      <w:r>
        <w:rPr>
          <w:rFonts w:ascii="Arial" w:cs="Arial" w:eastAsia="Arial" w:hAnsi="Arial"/>
          <w:sz w:val="16"/>
          <w:szCs w:val="16"/>
          <w:color w:val="auto"/>
        </w:rPr>
        <w:t>. The amount, if any, which each director shall be entitled to receive as compensation for his or her services as such shall be fixed from time to time by resolution of the Board of Directors. The directors may be paid their expenses, if any, of attendance at each meeting of the Board of Directors and may be paid a fixed sum for attendance at each meeting of the Board of Directors or a stated salary for service as director, payable in cash or securities of the Company. No such payment shall preclude any director from serving the Corporation in any other capacity and receiving compensation therefor. Members of special or standing committees may be allowed like compensation for service as committee members.</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Interested Directors</w:t>
      </w:r>
      <w:r>
        <w:rPr>
          <w:rFonts w:ascii="Arial" w:cs="Arial" w:eastAsia="Arial" w:hAnsi="Arial"/>
          <w:sz w:val="16"/>
          <w:szCs w:val="16"/>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any such director’s or officer’s vote is counted for such purpose if: (a)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that authorizes the contract or transaction.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3" w:right="299" w:bottom="1440" w:gutter="0" w:footer="0" w:header="0"/>
        </w:sectPr>
      </w:pPr>
    </w:p>
    <w:bookmarkStart w:id="431" w:name="page432"/>
    <w:bookmarkEnd w:id="4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COMMITTEES</w:t>
      </w:r>
    </w:p>
    <w:p>
      <w:pPr>
        <w:spacing w:after="0" w:line="2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Committees of the Board of Directors</w:t>
      </w:r>
      <w:r>
        <w:rPr>
          <w:rFonts w:ascii="Arial" w:cs="Arial" w:eastAsia="Arial" w:hAnsi="Arial"/>
          <w:sz w:val="17"/>
          <w:szCs w:val="17"/>
          <w:color w:val="auto"/>
        </w:rPr>
        <w:t>. The Board of Directors may designate from among its members one or more committees, each of which shall be composed of one or more of its members, and may designate one or more of its members as alternate members of any committee, who may, subject to any limitations imposed by the Board of Directors, replace absent or disqualified members at any meeting of that committee. Any such committee, to the extent provided in the resolution of the Board of Directors designating the committee or in the Charter or these Bylaws, shall have and may exercise all of the authority of the Board of Directors, except where action of the Board of Directors is required by the DGCL or by the Charter. Any member of a committee of the Board of Directors may be removed, for or without cause, by the affirmative vote of a majority of the whole Board of Directors. If any vacancy or vacancies occur in a committee of the Board of Directors caused by death, resignation, retirement, disqualification, removal from office or otherwise, the vacancy or vacancies shall be filled by the affirmative vote of a majority of the whole Board of Directors. Such committee or committees shall have such name or names as may be designated by the Board of Directors and shall keep regular minutes of their proceedings and report the same to the Board of Directors when required.</w:t>
      </w:r>
    </w:p>
    <w:p>
      <w:pPr>
        <w:spacing w:after="0" w:line="17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Each committee may determine the procedural rules for meeting and conducting its business and shall act in accordance therewith, except as otherwise provided herein or required by the DGCL. Except as otherwise provided by these Bylaws, in the absence of such rules each committee shall conduct its business in the same manner as the Board of Directors conducts its business pursuant to Article II of these Bylaws. Adequate provision shall be made for notice to members of all meetings; one third (1/3) of the members shall constitute a quorum unless the committee shall consist of one (1) or two (2) members, in which event one (1) member shall constitute a quorum; and all matters shall be determined by a majority vote of the members present. Action may be taken by any committee without a meeting if all members thereof consent thereto in writing or by electronic transmission, and the writing or writings or transmission or transmissions are filed with the minutes of the proceedings of the committee. Such filing shall be in paper form if the minutes are maintained in paper form and shall be in electronic form if the minutes are maintained in electronic form.</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Audit Committee</w:t>
      </w:r>
      <w:r>
        <w:rPr>
          <w:rFonts w:ascii="Arial" w:cs="Arial" w:eastAsia="Arial" w:hAnsi="Arial"/>
          <w:sz w:val="18"/>
          <w:szCs w:val="18"/>
          <w:color w:val="auto"/>
        </w:rPr>
        <w:t>. The Board of Directors shall have an Audit Committee composed of three or more directors, each of whom shall satisfy any securities exchange independence requirements then in effect and applicable to the Corporation. The responsibilities of the Audit Committee shall be stated in the Audit Committee’s charter, as approved by the Board of Directors.</w:t>
      </w:r>
    </w:p>
    <w:p>
      <w:pPr>
        <w:spacing w:after="0" w:line="181"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The Board of Directors shall have a Compensation Committee composed of two or more directors, each of whom shall satisfy any securities exchange independence requirements then in effect and applicable to the Corporation. The responsibilities of the Compensation Committee shall be stated in the Compensation Committee’s charter, as approved by the Board of Directors.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432" w:name="page433"/>
    <w:bookmarkEnd w:id="432"/>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8"/>
          <w:szCs w:val="18"/>
          <w:u w:val="single" w:color="auto"/>
          <w:color w:val="auto"/>
        </w:rPr>
        <w:t>Nominating and Corporate Governance Committee</w:t>
      </w:r>
      <w:r>
        <w:rPr>
          <w:rFonts w:ascii="Arial" w:cs="Arial" w:eastAsia="Arial" w:hAnsi="Arial"/>
          <w:sz w:val="18"/>
          <w:szCs w:val="18"/>
          <w:color w:val="auto"/>
        </w:rPr>
        <w:t>. The Board of Directors shall have a Nominating and Corporate Governance Committee composed of two or more directors, each of whom shall satisfy any securities exchange independence requirements then in effect and applicable to the Corporation. The responsibilities of the Nominating and Corporate Governance Committee shall be stated in the Nominating and Corporate Governance Committee’s charter, as approved by the Board of Directors.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OFFICERS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Number</w:t>
      </w:r>
      <w:r>
        <w:rPr>
          <w:rFonts w:ascii="Arial" w:cs="Arial" w:eastAsia="Arial" w:hAnsi="Arial"/>
          <w:sz w:val="18"/>
          <w:szCs w:val="18"/>
          <w:color w:val="auto"/>
        </w:rPr>
        <w:t>. The officers of the Corporation shall be chosen by the Board of Directors and shall initially be a Chief Executive Officer, a Secretary and a Treasurer. The Board of Directors also may elect a President, one or more Vice Presidents, Assistant Secretaries and Assistant Treasurers in such numbers as the Board of Directors may determine. Any number of offices may be held by the same person. No officer need be a director of the Corporation.</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Appointment of Officers</w:t>
      </w:r>
      <w:r>
        <w:rPr>
          <w:rFonts w:ascii="Arial" w:cs="Arial" w:eastAsia="Arial" w:hAnsi="Arial"/>
          <w:sz w:val="17"/>
          <w:szCs w:val="17"/>
          <w:color w:val="auto"/>
        </w:rPr>
        <w:t>. The Board shall appoint the officers of the Corporation, subject to the rights, if any, of an officer under any contract of employment. The Board of Directors may appoint, or empower the Chief Executive Officer to appoint, such other subordinate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Salaries</w:t>
      </w:r>
      <w:r>
        <w:rPr>
          <w:rFonts w:ascii="Arial" w:cs="Arial" w:eastAsia="Arial" w:hAnsi="Arial"/>
          <w:sz w:val="18"/>
          <w:szCs w:val="18"/>
          <w:color w:val="auto"/>
        </w:rPr>
        <w:t>. The salaries of all officers and agents of the Corporation shall be fixed by the Board of Directors.</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Removal and Resignation; Vacancies</w:t>
      </w:r>
      <w:r>
        <w:rPr>
          <w:rFonts w:ascii="Arial" w:cs="Arial" w:eastAsia="Arial" w:hAnsi="Arial"/>
          <w:sz w:val="16"/>
          <w:szCs w:val="16"/>
          <w:color w:val="auto"/>
        </w:rPr>
        <w:t>. Any officer may be removed for or without cause at any time by the Board of Directors. Any officer may resign at any time by delivering notice of resignation, either in writing signed by such officer or by electronic transmission, to the Board of Directors or the Chief Executive Officer. Unless otherwise specified therein, such resignation shall take effect upon delivery. Any vacancy occurring in any office of the Corporation by death, resignation, removal or otherwise, shall be filled by the Board of Directors in accordance with Section 4.02 hereof.</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Authority and Duties of Officers</w:t>
      </w:r>
      <w:r>
        <w:rPr>
          <w:rFonts w:ascii="Arial" w:cs="Arial" w:eastAsia="Arial" w:hAnsi="Arial"/>
          <w:sz w:val="18"/>
          <w:szCs w:val="18"/>
          <w:color w:val="auto"/>
        </w:rPr>
        <w:t>. 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Representation of Shares of Other Corporations</w:t>
      </w:r>
      <w:r>
        <w:rPr>
          <w:rFonts w:ascii="Arial" w:cs="Arial" w:eastAsia="Arial" w:hAnsi="Arial"/>
          <w:sz w:val="16"/>
          <w:szCs w:val="16"/>
          <w:color w:val="auto"/>
        </w:rPr>
        <w:t>. The Chairman of the Board of Directors, the Chief Executive Officer, any Vice President, the Treasurer, the Secretary of this Corporation, or any other person authorized by the Board of Directors or the Chief Executive Officer, is authorized to vote, represent and exercise on behalf of this Corporation all rights incident to any and all shares of any other corporation or corporations standing in the name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433" w:name="page434"/>
    <w:bookmarkEnd w:id="433"/>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this Corporation. The authority granted herein may be exercised either by such person directly or by any other person authorized to do so by proxy or power of attorney duly executed by such person having the authority.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Form of Certificates</w:t>
      </w:r>
      <w:r>
        <w:rPr>
          <w:rFonts w:ascii="Arial" w:cs="Arial" w:eastAsia="Arial" w:hAnsi="Arial"/>
          <w:sz w:val="16"/>
          <w:szCs w:val="16"/>
          <w:color w:val="auto"/>
        </w:rPr>
        <w:t xml:space="preserve">. The stock of the Corporation may be either certificated, uncertificated or a combination thereof. The Board of Directors may provide by resolution or resolutions that some or all of any or all classes or series of the Corporation’s stock may be uncertificated shares. Any such resolution shall not apply to shares represented by a certificate until such certificate is surrendered to the Corporation (or the Corporation’s transfer agent or registrar, as the case may be). Notwithstanding the adoption of such resolution by the Board of Directors, every holder of stock represented by certificates and, upon request to the Corporation or the Corporation’s transfer agent or registrar, any holder of uncertificated shares, shall be entitled to have a certificate, in such form as shall be approved by the Board of Directors, certifying the number of shares of the Corporation owned by him, her or it. The certificates representing shares shall be signed in the name of the Corporation by the Chairman or Vice Chairman of the Board of Directors, or the Chief Executive Officer, President or a Vice President, and by the Treasurer or an Assistant Treasurer, or the Secretary or an Assistant Secretary, and sealed with the seal of the Corporation (which seal may be a facsimile, engraved or printed);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where any such certificate is countersigned by a transfer agent, or is registered by a registrar (other than the Corporation or one of its employees), the signatures of the Chairman, Vice Chairman, Chief Executive Officer, President, Vice President, Treasurer, Assistant Treasurer, Secretary or Assistant Secretary, as the case may be, upon such certificates may be facsimiles, engraved or printed. In case any officer who shall have signed any such certificate shall have ceased to be such officer before such certificate shall be issued, it may nevertheless be issued by the Corporation with the same effect as if such officer were still in office at the date of their issue. When the Corporation is authorized to issue shares of more than one class, there shall be set forth upon the face or back of the certificate (or the certificate shall have a statement that the Corporation will furnish to any stockholder upon request and without charge) a full statement of the designation, relative rights, preferences and limitations of the shares of each separate class, or of the different shares within each class, authorized to be issued and, if the Corporation is authorized to issue any class of preferred shares in series, the designation, relative rights, preferences and limitations of each such series so far as the same have been fixed and the authority of the Board of Directors to designate and fix the relative rights, preferences and limitations of other series.</w:t>
      </w:r>
    </w:p>
    <w:p>
      <w:pPr>
        <w:spacing w:after="0" w:line="17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Lost, Destroyed or Mutilated Certificates</w:t>
      </w:r>
      <w:r>
        <w:rPr>
          <w:rFonts w:ascii="Arial" w:cs="Arial" w:eastAsia="Arial" w:hAnsi="Arial"/>
          <w:sz w:val="16"/>
          <w:szCs w:val="16"/>
          <w:color w:val="auto"/>
        </w:rPr>
        <w:t>. The holder of any certificate representing shares of the Corporation shall immediately notify the Corporation of any loss, destruction or mutilation of such certificate, and the Corporation may issue a new certificate (or uncertificated shares if the shares represented by such certificate have been designated as uncertificated shares in accordance with Section 5.01) in the place of any certificate theretofore issued by it which the owner thereof shall allege to have been lost or destroyed or which shall have been mutilated. The Board of Directors may, in its discretion, require such owner or his legal representatives to provide reasonable evidence of such loss, destruction or mutilation and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434" w:name="page435"/>
    <w:bookmarkEnd w:id="434"/>
    <w:p>
      <w:pPr>
        <w:jc w:val="both"/>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 to the Corporation a bond in such sum, limited or unlimited, and in such form and with such surety or sureties as the Board of Directors in its absolute discretion shall determine, to indemnify the Corporation and any transfer agent or registrar against any claim that may be made against it on account of the alleged loss or destruction of any such certificate, or the issuance of such new certificate (or uncertificated shares).</w:t>
      </w:r>
    </w:p>
    <w:p>
      <w:pPr>
        <w:spacing w:after="0" w:line="166"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Books of Account and Record of Stockholders</w:t>
      </w:r>
      <w:r>
        <w:rPr>
          <w:rFonts w:ascii="Arial" w:cs="Arial" w:eastAsia="Arial" w:hAnsi="Arial"/>
          <w:sz w:val="16"/>
          <w:szCs w:val="16"/>
          <w:color w:val="auto"/>
        </w:rPr>
        <w:t>. There shall be kept correct and complete books and records of account of all the business and transactions of the Corporation. There shall also be kept, at the office of the Corporation, or at the office of its transfer agent, a record containing the names and addresses of all stockholders of the Corporation, the number of shares held by each, and the dates when they became the holders of record thereof.</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Transfer of Stock</w:t>
      </w:r>
      <w:r>
        <w:rPr>
          <w:rFonts w:ascii="Arial" w:cs="Arial" w:eastAsia="Arial" w:hAnsi="Arial"/>
          <w:sz w:val="16"/>
          <w:szCs w:val="16"/>
          <w:color w:val="auto"/>
        </w:rPr>
        <w:t>. Except as otherwise established by rules and regulations adopted by the Board of Directors, and subject to applicable law, transfers of shares of the Corporation shall be made on the records of the Corporation: (a) in the case of shares represented by a certificate, by the surrender to the Corporation or its transfer agent of the certificate representing such shares properly endorsed or accompanied by a written assignment or power of attorney properly executed, and with such proof of authority or authenticity of signature as the Corporation or its transfer agent may reasonably require; and (b) in the case of uncertificated shares, upon the receipt of proper transfer instructions from the registered owner thereof and, in each case, after payment of all taxes thereon. The person in whose name shares shall stand on the record of stockholders of the Corporation shall be deemed the owner thereof for all purposes as regards the Corporation. Whenever any transfer of shares shall be made for collateral security and not absolutely and written notice thereof shall be given to the Secretary or to a transfer agent, such fact shall be noted on the records of the Corporation.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Record Date</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76" w:lineRule="auto"/>
        <w:tabs>
          <w:tab w:leader="none" w:pos="701"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Board of Directors may fix, in advance, a date not more than sixty (60) nor less than ten (10) days before the date when fixed for the holding of any meeting of the stockholders or before the last day on which the consent or dissent of the stockholders may be effectively expressed for any purpose without a meeting, as the time as of which the stockholders entitled to notice of and to vote at such meeting or whose consent or dissent is required or may be expressed for any purpose, as the case may be, shall be determined, and all persons who were stockholders of record of voting shares at such time, and no others, shall be entitled to notice of and to vote at such meeting or to express their consent or dissent, as the case may be.</w:t>
      </w:r>
    </w:p>
    <w:p>
      <w:pPr>
        <w:spacing w:after="0" w:line="172" w:lineRule="exact"/>
        <w:rPr>
          <w:rFonts w:ascii="Arial" w:cs="Arial" w:eastAsia="Arial" w:hAnsi="Arial"/>
          <w:sz w:val="17"/>
          <w:szCs w:val="17"/>
          <w:color w:val="auto"/>
        </w:rPr>
      </w:pPr>
    </w:p>
    <w:p>
      <w:pPr>
        <w:ind w:right="120" w:firstLine="464"/>
        <w:spacing w:after="0" w:line="293" w:lineRule="auto"/>
        <w:tabs>
          <w:tab w:leader="none" w:pos="711"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Board of Directors may fix, in advance, a date not more than sixty (60) nor less than ten (10) days preceding the date fixed for the payment of any dividend or the making of any distribution or the allotment of rights to subscribe for securities of the Corporation, or for the delivery of evidences of rights or evidences of interests arising out of any change, conversion or exchange of shares or other securities, as the record date for the determination of the stockholders entitled to receive any such dividend, distribution, allotment, rights or interests, and in such case only the stockholders of record at the time so fixed shall be entitled to receive such dividend, distribution, allotment, rights or interests. If no such record date is fixed, the record date for determining stockholders for any such purpose shall be at the close of business on the day on which the Board of Directors adopts the applicable resolution.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435" w:name="page436"/>
    <w:bookmarkEnd w:id="435"/>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5.06 </w:t>
      </w:r>
      <w:r>
        <w:rPr>
          <w:rFonts w:ascii="Arial" w:cs="Arial" w:eastAsia="Arial" w:hAnsi="Arial"/>
          <w:sz w:val="18"/>
          <w:szCs w:val="18"/>
          <w:u w:val="single" w:color="auto"/>
          <w:color w:val="auto"/>
        </w:rPr>
        <w:t>Transfer Agent and Registrar</w:t>
      </w:r>
      <w:r>
        <w:rPr>
          <w:rFonts w:ascii="Arial" w:cs="Arial" w:eastAsia="Arial" w:hAnsi="Arial"/>
          <w:sz w:val="18"/>
          <w:szCs w:val="18"/>
          <w:color w:val="auto"/>
        </w:rPr>
        <w:t>. The Board of Directors may appoint one or more transfer agents and one or more registrars, and may require all certificates representing shares to bear the signature of any such transfer agents or registrars.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Regulations</w:t>
      </w:r>
      <w:r>
        <w:rPr>
          <w:rFonts w:ascii="Arial" w:cs="Arial" w:eastAsia="Arial" w:hAnsi="Arial"/>
          <w:sz w:val="18"/>
          <w:szCs w:val="18"/>
          <w:color w:val="auto"/>
        </w:rPr>
        <w:t>. The Board of Directors may make such additional rules and regulations, not inconsistent with these Bylaws, as it may deem expedient concerning the issue, transfer and registration of certificates for shares of the Corporation.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Indemnification of Directors and Officers</w:t>
      </w:r>
      <w:r>
        <w:rPr>
          <w:rFonts w:ascii="Arial" w:cs="Arial" w:eastAsia="Arial" w:hAnsi="Arial"/>
          <w:sz w:val="17"/>
          <w:szCs w:val="17"/>
          <w:color w:val="auto"/>
        </w:rPr>
        <w:t>. In the event a person (a “</w:t>
      </w:r>
      <w:r>
        <w:rPr>
          <w:rFonts w:ascii="Arial" w:cs="Arial" w:eastAsia="Arial" w:hAnsi="Arial"/>
          <w:sz w:val="17"/>
          <w:szCs w:val="17"/>
          <w:b w:val="1"/>
          <w:bCs w:val="1"/>
          <w:color w:val="auto"/>
        </w:rPr>
        <w:t>Covered Person</w:t>
      </w:r>
      <w:r>
        <w:rPr>
          <w:rFonts w:ascii="Arial" w:cs="Arial" w:eastAsia="Arial" w:hAnsi="Arial"/>
          <w:sz w:val="17"/>
          <w:szCs w:val="17"/>
          <w:color w:val="auto"/>
        </w:rPr>
        <w:t>”) was, is or becomes a party to or witness or other participant in, or is threatened to be made a party to or witness or other participant in any threatened, pending or completed action, suit or proceeding, whether civil, criminal, administrative or investigative,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enterprise or nonprofit entity, including service with respect to employee benefit plans, the Corporation shall indemnify such person to the fullest extent permitted by law against any and all expenses (including attorneys’ fees), judgments, fines and amounts paid in settlement actually and reasonably incurred by such Covered Person in connection with such action, suit or proceeding. The termination of any action, suit or proceeding by judgment, order, settlement, conviction, or upon a plea of nolo contendere or its equivalent, shall not, of itself, create a presumption that the Covered Person did not act in good faith and in a manner which such Covered Person reasonably believed to be in or not opposed to the best interests of the Corporation, and, with respect to any criminal action or proceeding, had reasonable cause to believe that such person’s conduct was unlawful. Notwithstanding the preceding sentence, except as otherwise provided in Section 6.02,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Procedure for Indemnification of Directors</w:t>
      </w:r>
      <w:r>
        <w:rPr>
          <w:rFonts w:ascii="Arial" w:cs="Arial" w:eastAsia="Arial" w:hAnsi="Arial"/>
          <w:sz w:val="18"/>
          <w:szCs w:val="18"/>
          <w:color w:val="auto"/>
        </w:rPr>
        <w:t>. Any indemnification of a Covered Person of the Corporation under Section 6.01 or advancement of expenses under Section 6.03 shall be made promptly, and in any event within thirty (30) days, upon the written request of the Covered Person. If a determination by the Corporation that the Covered Person is entitled to indemnification or advancement pursuant to this Article VI is required, and the Corporation fails to respond within sixty (60) days to a written request for indemnity or advancement, the Corporation shall be deemed to have approved the request. If the Corporation denies a written request for indemnification or advancing of expenses, in whole or in part, or if payment in full pursuant to such request is not made within thirty (30) days, the right to indemnification or advances as granted by this Article VI shall be enforceable by the Covered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436" w:name="page437"/>
    <w:bookmarkEnd w:id="436"/>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in any court of competent jurisdiction. Such Covered Person’s costs and expenses incurred in connection with successfully establishing his or her right to indemnification or advancement of expenses, in whole or in part, in any such action shall also be indemnified by the Corporation. It shall be a defense to any such action (other than an action brought to enforce a claim for expenses incurred in defending any proceeding in advance of its final disposition where the required undertaking, if any, has been tendered to the Corporation) that the claimant has not met the standards of conduct which make it permissible under the DGCL for the Corporation to indemnify the claimant for the amount claimed, but the burden of such defense shall be on the Corporation. Neither the failure of the Corporation (including the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the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Expenses Payable in Advance</w:t>
      </w:r>
      <w:r>
        <w:rPr>
          <w:rFonts w:ascii="Arial" w:cs="Arial" w:eastAsia="Arial" w:hAnsi="Arial"/>
          <w:sz w:val="18"/>
          <w:szCs w:val="18"/>
          <w:color w:val="auto"/>
        </w:rPr>
        <w:t>. Expenses (including attorneys’ fees) incurred by a Covered Person in defending any civil, criminal, administrative or investigative action, suit or proceeding shall, to the extent permitted by law, be paid by the Corporation in advance of the final disposition of such action, suit or proceeding upon receipt of an undertaking by or on behalf of such Covered Person to repay such amount if it shall ultimately be determined that such person is not entitled to be indemnified by the Corporation as authorized in this Article VI. Such expenses (including attorneys’ fees) incurred by Covered Persons who are former directors or officers may be so paid upon such terms and conditions, if any, as the Corporation deems appropriate.</w:t>
      </w:r>
    </w:p>
    <w:p>
      <w:pPr>
        <w:spacing w:after="0" w:line="19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Nonexclusivity of Indemnification and Advancement of Expenses</w:t>
      </w:r>
      <w:r>
        <w:rPr>
          <w:rFonts w:ascii="Arial" w:cs="Arial" w:eastAsia="Arial" w:hAnsi="Arial"/>
          <w:sz w:val="16"/>
          <w:szCs w:val="16"/>
          <w:color w:val="auto"/>
        </w:rPr>
        <w:t>. The indemnification and advancement of expenses provided by, or granted pursuant to, this Article VI shall not be deemed exclusive of any other rights to which those seeking indemnification or advancement of expenses may be entitled under the Charter, these Bylaws, agreement, vote of stockholders or disinterested directors or otherwise, both as to action in such Covered Person’s official capacity and as to action in another capacity while holding such office, it being the policy of the Corporation that indemnification of Covered Persons shall be made to the fullest extent permitted by law. The provisions of this Article VI shall not be deemed to preclude the indemnification of any person who is not specified in Section 6.01 but whom the Corporation has the power or obligation to indemnify under the provisions of the DGCL, or otherwise.</w:t>
      </w:r>
    </w:p>
    <w:p>
      <w:pPr>
        <w:spacing w:after="0" w:line="16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Corporation may purchase or maintain insurance on behalf of any Covered Person against any liability asserted against him or her and incurred by him or her in such a capacity or arising out of his or her status as a Covered Person, whether or not the Corporation would have the power to indemnify him or her against the liability under the DGCL or these Bylaws;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insurance or other arrangement is with a person or entity that is not regularly engaged in the business of providing insurance coverage, the insurance or arrangement may provide for payment of a liability with respect to which the Corporation would not have the power to indemnify the person only if including coverage for the additional liability has been approved by the stockholders of the Corporation. Without limiting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3" w:right="239" w:bottom="1440" w:gutter="0" w:footer="0" w:header="0"/>
        </w:sectPr>
      </w:pPr>
    </w:p>
    <w:bookmarkStart w:id="437" w:name="page438"/>
    <w:bookmarkEnd w:id="43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power of the Corporation to procure or maintain any kind of insurance or arrangement, the Corporation may, for the benefit of persons indemnified by the Corporation, (a) create a trust fund, (b) establish any form of self-insurance, (c) secure its indemnification obligation by grant of any security interest or other lien on the assets of the Corporation or (d) establish a letter of credit, guaranty or surety arrangement. Any such insurance or other arrangement may be procured, maintained or established within the Corporation or its affiliates or with any insurer or other person deemed appropriate by the Board of Directors regardless of whether all or part of the stock or other securities thereof are owned in whole or in part by the Corporation. In the absence of fraud, the judgment of the Board of Directors as to the terms and conditions of such insurance or other arrangement and the identity of the insurer or other person participating in an arrangement shall be conclusive, and the insurance or arrangement shall not be voidable and shall not subject the directors approving the insurance or arrangement to liability, on any ground, regardless of whether directors participating in approving such insurance or other arrangement shall be beneficiaries thereof.</w:t>
      </w:r>
    </w:p>
    <w:p>
      <w:pPr>
        <w:spacing w:after="0" w:line="1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Article VI, references to the “</w:t>
      </w:r>
      <w:r>
        <w:rPr>
          <w:rFonts w:ascii="Arial" w:cs="Arial" w:eastAsia="Arial" w:hAnsi="Arial"/>
          <w:sz w:val="16"/>
          <w:szCs w:val="16"/>
          <w:b w:val="1"/>
          <w:bCs w:val="1"/>
          <w:color w:val="auto"/>
        </w:rPr>
        <w:t>Corporation</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and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VI with respect to the resulting or surviving corporation as such person would have with respect to such constituent corporation if its separate existence had continued. For purposes of this Article VI, references to “</w:t>
      </w:r>
      <w:r>
        <w:rPr>
          <w:rFonts w:ascii="Arial" w:cs="Arial" w:eastAsia="Arial" w:hAnsi="Arial"/>
          <w:sz w:val="16"/>
          <w:szCs w:val="16"/>
          <w:b w:val="1"/>
          <w:bCs w:val="1"/>
          <w:color w:val="auto"/>
        </w:rPr>
        <w:t>fines</w:t>
      </w:r>
      <w:r>
        <w:rPr>
          <w:rFonts w:ascii="Arial" w:cs="Arial" w:eastAsia="Arial" w:hAnsi="Arial"/>
          <w:sz w:val="16"/>
          <w:szCs w:val="16"/>
          <w:color w:val="auto"/>
        </w:rPr>
        <w:t>” shall include any excise taxes assessed on a person with respect to an employee benefit plan; and references to “</w:t>
      </w:r>
      <w:r>
        <w:rPr>
          <w:rFonts w:ascii="Arial" w:cs="Arial" w:eastAsia="Arial" w:hAnsi="Arial"/>
          <w:sz w:val="16"/>
          <w:szCs w:val="16"/>
          <w:b w:val="1"/>
          <w:bCs w:val="1"/>
          <w:color w:val="auto"/>
        </w:rPr>
        <w:t>serving at the request of the Corporation</w:t>
      </w:r>
      <w:r>
        <w:rPr>
          <w:rFonts w:ascii="Arial" w:cs="Arial" w:eastAsia="Arial" w:hAnsi="Arial"/>
          <w:sz w:val="16"/>
          <w:szCs w:val="16"/>
          <w:color w:val="auto"/>
        </w:rPr>
        <w:t>”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w:t>
      </w:r>
    </w:p>
    <w:p>
      <w:pPr>
        <w:spacing w:after="0" w:line="16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The indemnification and advancement of expenses provided by, or granted pursuant to, this Article VI shall, unless otherwise provided when authorized or ratified, continue as to a person who has ceased to be a director or officer and shall inure to the benefit of the heirs, executors and administrators of such a person.</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The Corporation may, to the extent authorized from time to time by the Board of Directors, provide rights to indemnification and to the advancement of expenses to employees and agents of the Corporation similar to those conferred in this Article VI to Covered Persons. This Article VI shall not limit the right of the Corporation, to the extent and in the manner permitted by law, to indemnify and advance expenses to persons other than Covered Persons and employees and agents of the Corporation when and as authorized by appropriate corporate action.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438" w:name="page439"/>
    <w:bookmarkEnd w:id="438"/>
    <w:p>
      <w:pPr>
        <w:ind w:right="8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6.09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right to indemnification or to advancement of expenses of any Covered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16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Contract Rights</w:t>
      </w:r>
      <w:r>
        <w:rPr>
          <w:rFonts w:ascii="Arial" w:cs="Arial" w:eastAsia="Arial" w:hAnsi="Arial"/>
          <w:sz w:val="18"/>
          <w:szCs w:val="18"/>
          <w:color w:val="auto"/>
        </w:rPr>
        <w:t>. The provisions of this Article VI shall be deemed to be a contract right between the Corporation and each Covered Person who serves in any such capacity at any time while this Article VI and the relevant provisions of the DGCL or other applicable law are in effect, and any repeal or modification of this Article VI or any such law shall not affect any rights or obligations then existing with respect to any state of facts or proceeding then existing.</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advance expenses to any Covered Person, or any officer, employee or agent of the Corporation pursuant to Section 6.08 who was or is serving at its request as a director, officer, employee or agent of another corporation, partnership, joint venture, trust, enterprise or nonprofit entity shall be reduced by any such amount such Covered Person or such officer, employee or agent of the Corporation may collect as indemnification or advancement of expenses from such other corporation, partnership, joint venture, trust, enterprise or nonprofit enterprise.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OFFICES</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in the State of Delaware shall be located at The Corporation Trust Company, Corporation Trust Center, 1209 Orange Street, Wilmington, Delaware 19801.</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maintain offices or places of business at such other locations within or without the State of Delaware as the Board of Directors may from time to time determine or as the business of the Corporation may require.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Notices</w:t>
      </w:r>
      <w:r>
        <w:rPr>
          <w:rFonts w:ascii="Arial" w:cs="Arial" w:eastAsia="Arial" w:hAnsi="Arial"/>
          <w:sz w:val="16"/>
          <w:szCs w:val="16"/>
          <w:color w:val="auto"/>
        </w:rPr>
        <w:t>. Whenever written notice is required by the DGCL, the Charter or these Bylaws, to be given to any director, member of a committee or stockholder, such notice may be given by mail, addressed to such director, member of a committee or stockholder, at such person’s address as it appears on the records of the Corporation, with postage thereon prepaid, and such notice shall be deemed to be given at the time when the same shall be deposited in the United States mail. Without limiting the manner by which notice otherwise may be given effectively to stockholders, and except as prohibited by applicable law, any notice to stockholders given by the Corporation under any provision of applicable law, the Charter or these Bylaws shall be effective if given by a single written notice to stockholders who share an address if consented to by the stockholders at that address to whom such notice is given. Any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439" w:name="page440"/>
    <w:bookmarkEnd w:id="43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Section 8.01, shall be deemed to have consented to receiving such single written notice. Subject to the requirements of applicable law, written notice may also be given personally or by e-mail, facsimile or other means of electronic transmission.</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Waivers of Notice</w:t>
      </w:r>
      <w:r>
        <w:rPr>
          <w:rFonts w:ascii="Arial" w:cs="Arial" w:eastAsia="Arial" w:hAnsi="Arial"/>
          <w:sz w:val="16"/>
          <w:szCs w:val="16"/>
          <w:color w:val="auto"/>
        </w:rPr>
        <w:t>. Whenever any notice is required by applicable law, the Charter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the DGCL, the Charter or these Bylaws.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DGCL and the Charter, dividends upon the shares of the Corporation may be declared by the Board of Directors at any regular or special meeting. Dividends may be paid in cash, in property or in shares of the Corporation’s capital stock, unless otherwise provided by the DGCL or the Charter.</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Reserves</w:t>
      </w:r>
      <w:r>
        <w:rPr>
          <w:rFonts w:ascii="Arial" w:cs="Arial" w:eastAsia="Arial" w:hAnsi="Arial"/>
          <w:sz w:val="18"/>
          <w:szCs w:val="18"/>
          <w:color w:val="auto"/>
        </w:rPr>
        <w:t>. There may be set aside out of any funds of the Corporation available for dividends such sum or sums as the Board of Directors from time to time, in its absolute discretion, thinks proper as a reserve or reserves to meet contingencies, or for equalizing dividends, or for repairing or maintaining any property of the Corporation or for such other purpose as the Board of Directors shall think conducive to the interest of the Corporation, and the Board of Directors may similarly modify or abolish any such reserve.</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The Chief Executive Officer, any Vice President, the Secretary or the Treasurer may enter into any contract or execute and deliver any instrument in the name and on behalf of the Corporation. The Board of Directors may authorize any other officer or agent to enter into any contract or execute and deliver any instrument in the name and on behalf of the Corporation. Any such authorization must be in writing or by electronic transmission and may be general or limited to specific contracts or instruments.</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Corporate Indebtedness</w:t>
      </w:r>
      <w:r>
        <w:rPr>
          <w:rFonts w:ascii="Arial" w:cs="Arial" w:eastAsia="Arial" w:hAnsi="Arial"/>
          <w:sz w:val="18"/>
          <w:szCs w:val="18"/>
          <w:color w:val="auto"/>
        </w:rPr>
        <w:t>. No loan shall be contracted on behalf of the Corporation, and no evidence of indebtedness shall be issued in its name, unless authorized by the Board of Directors or such officers as may be authorized by the Board of Directors. Such authorization may be general or confined to specific instances. Loans so authorized may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440" w:name="page441"/>
    <w:bookmarkEnd w:id="440"/>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effected at any time for the Corporation from any bank, trust company or other institution, or from any firm, corporation or individual. All bonds, debentures, notes and other obligations or evidences of indebtedness of the Corporation issued for such loans shall be made, executed and delivered as the Board of Directors or the Chief Executive Officer shall authorize. When so authorized by the Board of Directors or the Chief Executive Officer, any part of or all the properties, including contract rights, assets, business or good will of the Corporation, whether then owned or thereafter acquired, may be mortgaged, pledged, hypothecated or conveyed or assigned in trust as security for the payment of such bonds, debentures, notes and other obligations or evidences of indebtedness of the Corporation, and of the interest thereon, by instruments executed and delivered in the name of the Corporation.</w:t>
      </w:r>
    </w:p>
    <w:p>
      <w:pPr>
        <w:spacing w:after="0" w:line="16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Deposits</w:t>
      </w:r>
      <w:r>
        <w:rPr>
          <w:rFonts w:ascii="Arial" w:cs="Arial" w:eastAsia="Arial" w:hAnsi="Arial"/>
          <w:sz w:val="18"/>
          <w:szCs w:val="18"/>
          <w:color w:val="auto"/>
        </w:rPr>
        <w:t>. Any funds of the Corporation may be deposited from time to time in such banks, trust companies or other depositaries as may be determined by the Board of Directors or the Chief Executive Officer, or by such officers or agents as may be authorized by the Board of Directors or the Chief Executive Officer to make such determination.</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Checks</w:t>
      </w:r>
      <w:r>
        <w:rPr>
          <w:rFonts w:ascii="Arial" w:cs="Arial" w:eastAsia="Arial" w:hAnsi="Arial"/>
          <w:sz w:val="17"/>
          <w:szCs w:val="17"/>
          <w:color w:val="auto"/>
        </w:rPr>
        <w:t>. All checks or demands for money and notes of the Corporation shall be signed by such officer or officers or such agent or agents of the Corporation, and in such manner, as the Board of Directors or the Chief Executive Officer from time to time may determine.</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Sale, Transfer, etc. of Securities</w:t>
      </w:r>
      <w:r>
        <w:rPr>
          <w:rFonts w:ascii="Arial" w:cs="Arial" w:eastAsia="Arial" w:hAnsi="Arial"/>
          <w:sz w:val="16"/>
          <w:szCs w:val="16"/>
          <w:color w:val="auto"/>
        </w:rPr>
        <w:t>. To the extent authorized by the Board of Directors or by the Chief Executive Officer, any Vice President, the Secretary or the Treasurer or any other officers designated by the Board of Directors or the Chief Executive Officer may sell, transfer, endorse, and assign any shares of stock, bonds or other securities owned by or held in the name of the Corporation, and may make, execute and deliver in the name of the Corporation, under its corporate seal, any instruments that may be appropriate to effect any such sale, transfer, endorsement or assignment.</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Voting as Stockholder</w:t>
      </w:r>
      <w:r>
        <w:rPr>
          <w:rFonts w:ascii="Arial" w:cs="Arial" w:eastAsia="Arial" w:hAnsi="Arial"/>
          <w:sz w:val="18"/>
          <w:szCs w:val="18"/>
          <w:color w:val="auto"/>
        </w:rPr>
        <w:t>. Unless otherwise determined by resolution of the Board of Directors, the Chairman, the Chief Executive Officer or any Vice President shall have full power and authority on behalf of the Corporation to attend any meeting of stockholders of any corporation in which the Corporation may hold stock, and to act, vote (or execute proxies to vote) and exercise in person or by proxy all other rights, powers and privileges incident to the ownership of such stock. Such officers acting on behalf of the Corporation shall have full power and authority to execute any instrument expressing consent to or dissent from any action of any such corporation without a meeting. The Board of Directors may by resolution from time to time confer such power and authority upon any other person or persons.</w:t>
      </w:r>
    </w:p>
    <w:p>
      <w:pPr>
        <w:spacing w:after="0" w:line="19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and once fixed, may thereafter be changed, by resolution of the Board of Directors.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Seal</w:t>
      </w:r>
      <w:r>
        <w:rPr>
          <w:rFonts w:ascii="Arial" w:cs="Arial" w:eastAsia="Arial" w:hAnsi="Arial"/>
          <w:sz w:val="18"/>
          <w:szCs w:val="18"/>
          <w:color w:val="auto"/>
        </w:rPr>
        <w:t>. The seal of the Corporation shall be circular in form and shall contain the name of the Corporation, the year of its incorporation and the words “Corporate Seal” and “Delaware”. The form of such seal shall be subject to alteration by the Board of Directors. The seal may be used by causing it or a facsimile thereof to be impressed, affixed or reproduced, or may be used in any other lawful manner.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3" w:right="239" w:bottom="1440" w:gutter="0" w:footer="0" w:header="0"/>
        </w:sectPr>
      </w:pPr>
    </w:p>
    <w:bookmarkStart w:id="441" w:name="page442"/>
    <w:bookmarkEnd w:id="441"/>
    <w:p>
      <w:pPr>
        <w:ind w:right="16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9.11 </w:t>
      </w:r>
      <w:r>
        <w:rPr>
          <w:rFonts w:ascii="Arial" w:cs="Arial" w:eastAsia="Arial" w:hAnsi="Arial"/>
          <w:sz w:val="17"/>
          <w:szCs w:val="17"/>
          <w:u w:val="single" w:color="auto"/>
          <w:color w:val="auto"/>
        </w:rPr>
        <w:t>Books and Records; Inspection</w:t>
      </w:r>
      <w:r>
        <w:rPr>
          <w:rFonts w:ascii="Arial" w:cs="Arial" w:eastAsia="Arial" w:hAnsi="Arial"/>
          <w:sz w:val="17"/>
          <w:szCs w:val="17"/>
          <w:color w:val="auto"/>
        </w:rPr>
        <w:t>. Except to the extent otherwise required by law, the books and records of the Corporation shall be kept at such place or places within or without the State of Delaware as may be determined from time to time by the Board of Directors.</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Choice of Forum</w:t>
      </w:r>
      <w:r>
        <w:rPr>
          <w:rFonts w:ascii="Arial" w:cs="Arial" w:eastAsia="Arial" w:hAnsi="Arial"/>
          <w:sz w:val="16"/>
          <w:szCs w:val="16"/>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for breach of a fiduciary duty owed by any director, officer, employee or agent of the Corporation to the Corporation or the Corporation’s stockholders,</w:t>
      </w:r>
    </w:p>
    <w:p>
      <w:pPr>
        <w:ind w:right="200" w:firstLine="8"/>
        <w:spacing w:after="0" w:line="255" w:lineRule="auto"/>
        <w:tabs>
          <w:tab w:leader="none" w:pos="31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the Certificate of Incorporation or the Bylaws or (iv) any action asserting a claim governed by the internal affairs doctrine, in each case subject to said Court of Chancery having personal jurisdiction over the indispensable parties named as defendants therein.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FORCE AND EFFECT OF BYLAWS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Bylaws are subject to the provisions of the DGCL and the Charter. If any provision in these Bylaws is inconsistent with a provision in the DGCL or the Charter, the provision of the DGCL or the Charter shall govern.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These Bylaws may be amended, altered or repealed and new Bylaws adopted by resolution of the Board of Directors. The affirmative vote of at least a majority of the entire Board of Directors or the affirmative vote of the holders of at least two-thirds of the votes that all the Corporation’s stockholders would be entitled to cast in the election of Directors shall be required to adopt, amend or repeal the Bylaws.</w:t>
      </w:r>
    </w:p>
    <w:p>
      <w:pPr>
        <w:spacing w:after="0" w:line="181"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w:t>
      </w:r>
      <w:r>
        <w:rPr>
          <w:rFonts w:ascii="Arial" w:cs="Arial" w:eastAsia="Arial" w:hAnsi="Arial"/>
          <w:sz w:val="18"/>
          <w:szCs w:val="18"/>
          <w:color w:val="auto"/>
        </w:rPr>
        <w:t>●</w:t>
      </w:r>
      <w:r>
        <w:rPr>
          <w:rFonts w:ascii="Arial" w:cs="Arial" w:eastAsia="Arial" w:hAnsi="Arial"/>
          <w:sz w:val="18"/>
          <w:szCs w:val="18"/>
          <w:i w:val="1"/>
          <w:iCs w:val="1"/>
          <w:color w:val="auto"/>
        </w:rPr>
        <w:t>], 2018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3" w:right="259" w:bottom="1440" w:gutter="0" w:footer="0" w:header="0"/>
        </w:sectPr>
      </w:pPr>
    </w:p>
    <w:bookmarkStart w:id="442" w:name="page443"/>
    <w:bookmarkEnd w:id="442"/>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w w:val="91"/>
              </w:rPr>
              <w:t>Exhibit 4.1</w:t>
            </w:r>
          </w:p>
        </w:tc>
      </w:tr>
      <w:tr>
        <w:trPr>
          <w:trHeight w:val="445"/>
        </w:trPr>
        <w:tc>
          <w:tcPr>
            <w:tcW w:w="8440" w:type="dxa"/>
            <w:vAlign w:val="bottom"/>
          </w:tcPr>
          <w:p>
            <w:pPr>
              <w:jc w:val="center"/>
              <w:ind w:left="3370"/>
              <w:spacing w:after="0"/>
              <w:rPr>
                <w:sz w:val="20"/>
                <w:szCs w:val="20"/>
                <w:color w:val="auto"/>
              </w:rPr>
            </w:pPr>
            <w:r>
              <w:rPr>
                <w:rFonts w:ascii="Arial" w:cs="Arial" w:eastAsia="Arial" w:hAnsi="Arial"/>
                <w:sz w:val="18"/>
                <w:szCs w:val="18"/>
                <w:color w:val="auto"/>
                <w:w w:val="95"/>
              </w:rPr>
              <w:t>[SOLID BIOSCIENCES</w:t>
            </w:r>
          </w:p>
        </w:tc>
        <w:tc>
          <w:tcPr>
            <w:tcW w:w="2980" w:type="dxa"/>
            <w:vAlign w:val="bottom"/>
          </w:tcPr>
          <w:p>
            <w:pPr>
              <w:spacing w:after="0"/>
              <w:rPr>
                <w:sz w:val="24"/>
                <w:szCs w:val="24"/>
                <w:color w:val="auto"/>
              </w:rPr>
            </w:pPr>
          </w:p>
        </w:tc>
      </w:tr>
      <w:tr>
        <w:trPr>
          <w:trHeight w:val="244"/>
        </w:trPr>
        <w:tc>
          <w:tcPr>
            <w:tcW w:w="8440" w:type="dxa"/>
            <w:vAlign w:val="bottom"/>
          </w:tcPr>
          <w:p>
            <w:pPr>
              <w:jc w:val="center"/>
              <w:ind w:left="3390"/>
              <w:spacing w:after="0"/>
              <w:rPr>
                <w:sz w:val="20"/>
                <w:szCs w:val="20"/>
                <w:color w:val="auto"/>
              </w:rPr>
            </w:pPr>
            <w:r>
              <w:rPr>
                <w:rFonts w:ascii="Arial" w:cs="Arial" w:eastAsia="Arial" w:hAnsi="Arial"/>
                <w:sz w:val="18"/>
                <w:szCs w:val="18"/>
                <w:color w:val="auto"/>
                <w:w w:val="97"/>
              </w:rPr>
              <w:t>INC. LOGO]</w:t>
            </w:r>
          </w:p>
        </w:tc>
        <w:tc>
          <w:tcPr>
            <w:tcW w:w="2980" w:type="dxa"/>
            <w:vAlign w:val="bottom"/>
          </w:tcPr>
          <w:p>
            <w:pPr>
              <w:jc w:val="center"/>
              <w:ind w:right="10"/>
              <w:spacing w:after="0"/>
              <w:rPr>
                <w:sz w:val="20"/>
                <w:szCs w:val="20"/>
                <w:color w:val="auto"/>
              </w:rPr>
            </w:pPr>
            <w:r>
              <w:rPr>
                <w:rFonts w:ascii="Arial" w:cs="Arial" w:eastAsia="Arial" w:hAnsi="Arial"/>
                <w:sz w:val="18"/>
                <w:szCs w:val="18"/>
                <w:b w:val="1"/>
                <w:bCs w:val="1"/>
                <w:color w:val="auto"/>
              </w:rPr>
              <w:t>COMMON STOCK</w:t>
            </w:r>
          </w:p>
        </w:tc>
      </w:tr>
      <w:tr>
        <w:trPr>
          <w:trHeight w:val="432"/>
        </w:trPr>
        <w:tc>
          <w:tcPr>
            <w:tcW w:w="84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9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Shares</w:t>
            </w:r>
          </w:p>
        </w:tc>
      </w:tr>
      <w:tr>
        <w:trPr>
          <w:trHeight w:val="418"/>
        </w:trPr>
        <w:tc>
          <w:tcPr>
            <w:tcW w:w="8440" w:type="dxa"/>
            <w:vAlign w:val="bottom"/>
          </w:tcPr>
          <w:p>
            <w:pPr>
              <w:jc w:val="center"/>
              <w:ind w:left="3370"/>
              <w:spacing w:after="0"/>
              <w:rPr>
                <w:sz w:val="20"/>
                <w:szCs w:val="20"/>
                <w:color w:val="auto"/>
              </w:rPr>
            </w:pPr>
            <w:r>
              <w:rPr>
                <w:rFonts w:ascii="Arial" w:cs="Arial" w:eastAsia="Arial" w:hAnsi="Arial"/>
                <w:sz w:val="18"/>
                <w:szCs w:val="18"/>
                <w:color w:val="auto"/>
                <w:w w:val="94"/>
              </w:rPr>
              <w:t>INCORPORATED UNDER THE LAWS OF THE</w:t>
            </w:r>
          </w:p>
        </w:tc>
        <w:tc>
          <w:tcPr>
            <w:tcW w:w="2980" w:type="dxa"/>
            <w:vAlign w:val="bottom"/>
          </w:tcPr>
          <w:p>
            <w:pPr>
              <w:jc w:val="center"/>
              <w:ind w:right="10"/>
              <w:spacing w:after="0"/>
              <w:rPr>
                <w:sz w:val="20"/>
                <w:szCs w:val="20"/>
                <w:color w:val="auto"/>
              </w:rPr>
            </w:pPr>
            <w:r>
              <w:rPr>
                <w:rFonts w:ascii="Arial" w:cs="Arial" w:eastAsia="Arial" w:hAnsi="Arial"/>
                <w:sz w:val="18"/>
                <w:szCs w:val="18"/>
                <w:color w:val="auto"/>
                <w:w w:val="94"/>
              </w:rPr>
              <w:t>CUSIP</w:t>
            </w:r>
          </w:p>
        </w:tc>
      </w:tr>
      <w:tr>
        <w:trPr>
          <w:trHeight w:val="230"/>
        </w:trPr>
        <w:tc>
          <w:tcPr>
            <w:tcW w:w="8440" w:type="dxa"/>
            <w:vAlign w:val="bottom"/>
          </w:tcPr>
          <w:p>
            <w:pPr>
              <w:jc w:val="center"/>
              <w:ind w:left="3370"/>
              <w:spacing w:after="0"/>
              <w:rPr>
                <w:sz w:val="20"/>
                <w:szCs w:val="20"/>
                <w:color w:val="auto"/>
              </w:rPr>
            </w:pPr>
            <w:r>
              <w:rPr>
                <w:rFonts w:ascii="Arial" w:cs="Arial" w:eastAsia="Arial" w:hAnsi="Arial"/>
                <w:sz w:val="18"/>
                <w:szCs w:val="18"/>
                <w:color w:val="auto"/>
                <w:w w:val="93"/>
              </w:rPr>
              <w:t>STATE OF DELAWARE</w:t>
            </w:r>
          </w:p>
        </w:tc>
        <w:tc>
          <w:tcPr>
            <w:tcW w:w="2980" w:type="dxa"/>
            <w:vAlign w:val="bottom"/>
          </w:tcPr>
          <w:p>
            <w:pPr>
              <w:spacing w:after="0"/>
              <w:rPr>
                <w:sz w:val="20"/>
                <w:szCs w:val="20"/>
                <w:color w:val="auto"/>
              </w:rPr>
            </w:pPr>
          </w:p>
        </w:tc>
      </w:tr>
    </w:tbl>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Certifies That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Is the Owner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FULLY PAID AND NON-ASSESSABLE COMMON SHARES, PAR VALUE $0.001 PER SHARE,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INC.</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transferable on the books of the Corporation in person or by duly authorized attorney, on surrender of this certificate properly endorsed. This certificate and the shares represented hereby are issued and shall be held subject to all the provisions of the Certificate of Incorporation of the Corporation and the Bylaws of the Corporation, as now or hereafter amended, to all of which the holder hereof by the acceptance hereof assents. This certificate is not valid unless countersigned and registered by the Transfer Agent and Registrar.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Witness the facsimile seal of the Corporation and the facsimile signatures of its duly authorized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4200"/>
        <w:spacing w:after="0"/>
        <w:tabs>
          <w:tab w:leader="none" w:pos="6300" w:val="left"/>
        </w:tabs>
        <w:rPr>
          <w:sz w:val="20"/>
          <w:szCs w:val="20"/>
          <w:color w:val="auto"/>
        </w:rPr>
      </w:pPr>
      <w:r>
        <w:rPr>
          <w:rFonts w:ascii="Arial" w:cs="Arial" w:eastAsia="Arial" w:hAnsi="Arial"/>
          <w:sz w:val="18"/>
          <w:szCs w:val="18"/>
          <w:color w:val="auto"/>
        </w:rPr>
        <w:t>[CORPORATE SEAL]</w:t>
      </w:r>
      <w:r>
        <w:rPr>
          <w:sz w:val="20"/>
          <w:szCs w:val="20"/>
          <w:color w:val="auto"/>
        </w:rPr>
        <w:tab/>
      </w:r>
      <w:r>
        <w:rPr>
          <w:rFonts w:ascii="Arial" w:cs="Arial" w:eastAsia="Arial" w:hAnsi="Arial"/>
          <w:sz w:val="17"/>
          <w:szCs w:val="17"/>
          <w:color w:val="auto"/>
        </w:rPr>
        <w:t>COUNTERSIGNED AND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1521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TRANSFER AGENT AND REGISTRAR</w:t>
      </w:r>
    </w:p>
    <w:p>
      <w:pPr>
        <w:spacing w:after="0" w:line="22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1521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-10160</wp:posOffset>
            </wp:positionV>
            <wp:extent cx="220027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SECRETARY</w:t>
      </w:r>
      <w:r>
        <w:rPr>
          <w:sz w:val="20"/>
          <w:szCs w:val="20"/>
          <w:color w:val="auto"/>
        </w:rPr>
        <w:tab/>
      </w:r>
      <w:r>
        <w:rPr>
          <w:rFonts w:ascii="Arial" w:cs="Arial" w:eastAsia="Arial" w:hAnsi="Arial"/>
          <w:sz w:val="18"/>
          <w:szCs w:val="18"/>
          <w:color w:val="auto"/>
        </w:rPr>
        <w:t>AUTHORIZED SIGNATURE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1" w:right="239" w:bottom="1440" w:gutter="0" w:footer="0" w:header="0"/>
        </w:sectPr>
      </w:pPr>
    </w:p>
    <w:bookmarkStart w:id="443" w:name="page444"/>
    <w:bookmarkEnd w:id="44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SOLID BIOSCIENCES INC.</w:t>
      </w:r>
    </w:p>
    <w:p>
      <w:pPr>
        <w:spacing w:after="0" w:line="22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7180" w:type="dxa"/>
            <w:vAlign w:val="bottom"/>
          </w:tcPr>
          <w:p>
            <w:pPr>
              <w:ind w:left="3760"/>
              <w:spacing w:after="0"/>
              <w:rPr>
                <w:sz w:val="20"/>
                <w:szCs w:val="20"/>
                <w:color w:val="auto"/>
              </w:rPr>
            </w:pPr>
            <w:r>
              <w:rPr>
                <w:rFonts w:ascii="Arial" w:cs="Arial" w:eastAsia="Arial" w:hAnsi="Arial"/>
                <w:sz w:val="18"/>
                <w:szCs w:val="18"/>
                <w:color w:val="auto"/>
              </w:rPr>
              <w:t>UNIF GIFT MIN ACT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5"/>
          </w:tcPr>
          <w:p>
            <w:pPr>
              <w:ind w:left="40"/>
              <w:spacing w:after="0"/>
              <w:rPr>
                <w:sz w:val="20"/>
                <w:szCs w:val="20"/>
                <w:color w:val="auto"/>
              </w:rPr>
            </w:pPr>
            <w:r>
              <w:rPr>
                <w:rFonts w:ascii="Arial" w:cs="Arial" w:eastAsia="Arial" w:hAnsi="Arial"/>
                <w:sz w:val="18"/>
                <w:szCs w:val="18"/>
                <w:color w:val="auto"/>
              </w:rPr>
              <w:t>Custodian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TEN COM</w:t>
            </w:r>
          </w:p>
        </w:tc>
        <w:tc>
          <w:tcPr>
            <w:tcW w:w="7180" w:type="dxa"/>
            <w:vAlign w:val="bottom"/>
          </w:tcPr>
          <w:p>
            <w:pPr>
              <w:ind w:left="100"/>
              <w:spacing w:after="0"/>
              <w:rPr>
                <w:sz w:val="20"/>
                <w:szCs w:val="20"/>
                <w:color w:val="auto"/>
              </w:rPr>
            </w:pPr>
            <w:r>
              <w:rPr>
                <w:rFonts w:ascii="Arial" w:cs="Arial" w:eastAsia="Arial" w:hAnsi="Arial"/>
                <w:sz w:val="18"/>
                <w:szCs w:val="18"/>
                <w:color w:val="auto"/>
              </w:rPr>
              <w:t>- as tenants in common</w:t>
            </w:r>
          </w:p>
        </w:tc>
        <w:tc>
          <w:tcPr>
            <w:tcW w:w="100" w:type="dxa"/>
            <w:vAlign w:val="bottom"/>
          </w:tcPr>
          <w:p>
            <w:pPr>
              <w:spacing w:after="0"/>
              <w:rPr>
                <w:sz w:val="21"/>
                <w:szCs w:val="21"/>
                <w:color w:val="auto"/>
              </w:rPr>
            </w:pPr>
          </w:p>
        </w:tc>
        <w:tc>
          <w:tcPr>
            <w:tcW w:w="54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89"/>
              </w:rPr>
              <w:t>(Cust)</w:t>
            </w:r>
          </w:p>
        </w:tc>
        <w:tc>
          <w:tcPr>
            <w:tcW w:w="1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(Minor)</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9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580" w:type="dxa"/>
            <w:vAlign w:val="bottom"/>
            <w:gridSpan w:val="9"/>
          </w:tcPr>
          <w:p>
            <w:pPr>
              <w:spacing w:after="0"/>
              <w:rPr>
                <w:sz w:val="20"/>
                <w:szCs w:val="20"/>
                <w:color w:val="auto"/>
              </w:rPr>
            </w:pPr>
            <w:r>
              <w:rPr>
                <w:rFonts w:ascii="Arial" w:cs="Arial" w:eastAsia="Arial" w:hAnsi="Arial"/>
                <w:sz w:val="18"/>
                <w:szCs w:val="18"/>
                <w:color w:val="auto"/>
              </w:rPr>
              <w:t>under Uniform Gifts to Minors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640" w:type="dxa"/>
            <w:vAlign w:val="bottom"/>
            <w:gridSpan w:val="3"/>
          </w:tcPr>
          <w:p>
            <w:pPr>
              <w:spacing w:after="0" w:line="190" w:lineRule="exact"/>
              <w:rPr>
                <w:sz w:val="20"/>
                <w:szCs w:val="20"/>
                <w:color w:val="auto"/>
              </w:rPr>
            </w:pPr>
            <w:r>
              <w:rPr>
                <w:rFonts w:ascii="Arial" w:cs="Arial" w:eastAsia="Arial" w:hAnsi="Arial"/>
                <w:sz w:val="18"/>
                <w:szCs w:val="18"/>
                <w:color w:val="auto"/>
              </w:rPr>
              <w:t>Act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TEN ENT</w:t>
            </w:r>
          </w:p>
        </w:tc>
        <w:tc>
          <w:tcPr>
            <w:tcW w:w="7180" w:type="dxa"/>
            <w:vAlign w:val="bottom"/>
          </w:tcPr>
          <w:p>
            <w:pPr>
              <w:ind w:left="100"/>
              <w:spacing w:after="0"/>
              <w:rPr>
                <w:sz w:val="20"/>
                <w:szCs w:val="20"/>
                <w:color w:val="auto"/>
              </w:rPr>
            </w:pPr>
            <w:r>
              <w:rPr>
                <w:rFonts w:ascii="Arial" w:cs="Arial" w:eastAsia="Arial" w:hAnsi="Arial"/>
                <w:sz w:val="18"/>
                <w:szCs w:val="18"/>
                <w:color w:val="auto"/>
              </w:rPr>
              <w:t>- as tenants by the entireties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(State)</w:t>
            </w:r>
          </w:p>
        </w:tc>
        <w:tc>
          <w:tcPr>
            <w:tcW w:w="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JT TEN</w:t>
            </w:r>
          </w:p>
        </w:tc>
        <w:tc>
          <w:tcPr>
            <w:tcW w:w="7180" w:type="dxa"/>
            <w:vAlign w:val="bottom"/>
          </w:tcPr>
          <w:p>
            <w:pPr>
              <w:ind w:left="100"/>
              <w:spacing w:after="0"/>
              <w:rPr>
                <w:sz w:val="20"/>
                <w:szCs w:val="20"/>
                <w:color w:val="auto"/>
              </w:rPr>
            </w:pPr>
            <w:r>
              <w:rPr>
                <w:rFonts w:ascii="Arial" w:cs="Arial" w:eastAsia="Arial" w:hAnsi="Arial"/>
                <w:sz w:val="18"/>
                <w:szCs w:val="18"/>
                <w:color w:val="auto"/>
              </w:rPr>
              <w:t>- as joint tenants with right of survivorship and   UNIF TRF MIN ACT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gridSpan w:val="5"/>
          </w:tcPr>
          <w:p>
            <w:pPr>
              <w:ind w:left="40"/>
              <w:spacing w:after="0"/>
              <w:rPr>
                <w:sz w:val="20"/>
                <w:szCs w:val="20"/>
                <w:color w:val="auto"/>
              </w:rPr>
            </w:pPr>
            <w:r>
              <w:rPr>
                <w:rFonts w:ascii="Arial" w:cs="Arial" w:eastAsia="Arial" w:hAnsi="Arial"/>
                <w:sz w:val="18"/>
                <w:szCs w:val="18"/>
                <w:color w:val="auto"/>
                <w:w w:val="92"/>
              </w:rPr>
              <w:t>Custodian (until age</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gridSpan w:val="3"/>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not as tenants in common</w:t>
            </w:r>
          </w:p>
        </w:tc>
        <w:tc>
          <w:tcPr>
            <w:tcW w:w="10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w w:val="89"/>
              </w:rPr>
              <w:t>(Cust)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gridSpan w:val="8"/>
            <w:vMerge w:val="restart"/>
          </w:tcPr>
          <w:p>
            <w:pPr>
              <w:jc w:val="right"/>
              <w:spacing w:after="0"/>
              <w:rPr>
                <w:sz w:val="20"/>
                <w:szCs w:val="20"/>
                <w:color w:val="auto"/>
              </w:rPr>
            </w:pPr>
            <w:r>
              <w:rPr>
                <w:rFonts w:ascii="Arial" w:cs="Arial" w:eastAsia="Arial" w:hAnsi="Arial"/>
                <w:sz w:val="18"/>
                <w:szCs w:val="18"/>
                <w:color w:val="auto"/>
                <w:w w:val="92"/>
              </w:rPr>
              <w:t>under Uniform Transfers</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8"/>
          </w:tcPr>
          <w:p>
            <w:pPr>
              <w:ind w:left="160"/>
              <w:spacing w:after="0"/>
              <w:rPr>
                <w:sz w:val="20"/>
                <w:szCs w:val="20"/>
                <w:color w:val="auto"/>
              </w:rPr>
            </w:pPr>
            <w:r>
              <w:rPr>
                <w:rFonts w:ascii="Arial" w:cs="Arial" w:eastAsia="Arial" w:hAnsi="Arial"/>
                <w:sz w:val="18"/>
                <w:szCs w:val="18"/>
                <w:color w:val="auto"/>
              </w:rPr>
              <w:t>(Minor)</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2580" w:type="dxa"/>
            <w:vAlign w:val="bottom"/>
            <w:gridSpan w:val="9"/>
          </w:tcPr>
          <w:p>
            <w:pPr>
              <w:spacing w:after="0" w:line="190" w:lineRule="exact"/>
              <w:rPr>
                <w:sz w:val="20"/>
                <w:szCs w:val="20"/>
                <w:color w:val="auto"/>
              </w:rPr>
            </w:pPr>
            <w:r>
              <w:rPr>
                <w:rFonts w:ascii="Arial" w:cs="Arial" w:eastAsia="Arial" w:hAnsi="Arial"/>
                <w:sz w:val="18"/>
                <w:szCs w:val="18"/>
                <w:color w:val="auto"/>
              </w:rPr>
              <w:t>to Minors Act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Borders>
              <w:top w:val="single" w:sz="8" w:color="auto"/>
            </w:tcBorders>
            <w:gridSpan w:val="3"/>
          </w:tcPr>
          <w:p>
            <w:pPr>
              <w:ind w:left="360"/>
              <w:spacing w:after="0"/>
              <w:rPr>
                <w:sz w:val="20"/>
                <w:szCs w:val="20"/>
                <w:color w:val="auto"/>
              </w:rPr>
            </w:pPr>
            <w:r>
              <w:rPr>
                <w:rFonts w:ascii="Arial" w:cs="Arial" w:eastAsia="Arial" w:hAnsi="Arial"/>
                <w:sz w:val="18"/>
                <w:szCs w:val="18"/>
                <w:color w:val="auto"/>
              </w:rPr>
              <w:t>(State)</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-10160</wp:posOffset>
            </wp:positionV>
            <wp:extent cx="1028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Number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493141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493141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931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93141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Shares of the capital stock represented by the within Certificate, and do(es) hereby irrevocably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-10160</wp:posOffset>
            </wp:positionV>
            <wp:extent cx="357187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571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165735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the said shares on the books of the within named Corporation with full power of substitution in the premises.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-10160</wp:posOffset>
            </wp:positionV>
            <wp:extent cx="615823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158230" cy="8890"/>
                    </a:xfrm>
                    <a:prstGeom prst="rect">
                      <a:avLst/>
                    </a:prstGeom>
                    <a:noFill/>
                  </pic:spPr>
                </pic:pic>
              </a:graphicData>
            </a:graphic>
          </wp:anchor>
        </w:drawing>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NOTICE: THE SIGNATURE TO THIS ASSIGNMENT MUST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CORRESPOND WITH THE NAME AS WRITTEN UPON THE FACE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 THE CERTIFICATE IN EVERY PARTICULAR WITHOUT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ALTERATION OR ENLARGEMENT, OR ANY CHANGE WHATEVER.</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70" w:right="279" w:bottom="1440" w:gutter="0" w:footer="0" w:header="0"/>
        </w:sectPr>
      </w:pPr>
    </w:p>
    <w:bookmarkStart w:id="444" w:name="page445"/>
    <w:bookmarkEnd w:id="4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52578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257800" cy="8890"/>
                    </a:xfrm>
                    <a:prstGeom prst="rect">
                      <a:avLst/>
                    </a:prstGeom>
                    <a:noFill/>
                  </pic:spPr>
                </pic:pic>
              </a:graphicData>
            </a:graphic>
          </wp:anchor>
        </w:drawing>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18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within named Corporation will furnish without charge to each stockholder who so requests a statement of the powers, designations, preferences and relative, participating, optional or other special rights of each class of stock or series thereof of the Corporation and the qualifications, limitations or restrictions of such preferences and/or rights. Such requests may be made to the Corporation’s Secretary at the principal office of the Corporation.</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240"/>
          </w:cols>
          <w:pgMar w:left="240" w:top="274" w:right="419" w:bottom="1440" w:gutter="0" w:footer="0" w:header="0"/>
        </w:sectPr>
      </w:pPr>
    </w:p>
    <w:bookmarkStart w:id="445" w:name="page446"/>
    <w:bookmarkEnd w:id="44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269365" cy="2660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69365" cy="266065"/>
                    </a:xfrm>
                    <a:prstGeom prst="rect">
                      <a:avLst/>
                    </a:prstGeom>
                    <a:noFill/>
                  </pic:spPr>
                </pic:pic>
              </a:graphicData>
            </a:graphic>
          </wp:anchor>
        </w:drawing>
      </w:r>
    </w:p>
    <w:p>
      <w:pPr>
        <w:spacing w:after="0" w:line="33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Proskauer Rose LLP Eleven Times Square, New York, New York 10036-8299</w:t>
      </w:r>
    </w:p>
    <w:p>
      <w:pPr>
        <w:spacing w:after="0" w:line="3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Solid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161 First Street,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80" w:firstLine="456"/>
        <w:spacing w:after="0" w:line="288" w:lineRule="auto"/>
        <w:rPr>
          <w:sz w:val="20"/>
          <w:szCs w:val="20"/>
          <w:color w:val="auto"/>
        </w:rPr>
      </w:pPr>
      <w:r>
        <w:rPr>
          <w:rFonts w:ascii="Arial" w:cs="Arial" w:eastAsia="Arial" w:hAnsi="Arial"/>
          <w:sz w:val="16"/>
          <w:szCs w:val="16"/>
          <w:color w:val="auto"/>
        </w:rPr>
        <w:t>We are acting as counsel to Solid Biosciences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to be formed upon the statutory conversion of Solid Biosciences, LLC (“</w:t>
      </w:r>
      <w:r>
        <w:rPr>
          <w:rFonts w:ascii="Arial" w:cs="Arial" w:eastAsia="Arial" w:hAnsi="Arial"/>
          <w:sz w:val="16"/>
          <w:szCs w:val="16"/>
          <w:u w:val="single" w:color="auto"/>
          <w:color w:val="auto"/>
        </w:rPr>
        <w:t>Solid LLC</w:t>
      </w:r>
      <w:r>
        <w:rPr>
          <w:rFonts w:ascii="Arial" w:cs="Arial" w:eastAsia="Arial" w:hAnsi="Arial"/>
          <w:sz w:val="16"/>
          <w:szCs w:val="16"/>
          <w:color w:val="auto"/>
        </w:rPr>
        <w:t>”) from a Delaware limited liability company into a Delaware corporation (the “</w:t>
      </w:r>
      <w:r>
        <w:rPr>
          <w:rFonts w:ascii="Arial" w:cs="Arial" w:eastAsia="Arial" w:hAnsi="Arial"/>
          <w:sz w:val="16"/>
          <w:szCs w:val="16"/>
          <w:u w:val="single" w:color="auto"/>
          <w:color w:val="auto"/>
        </w:rPr>
        <w:t>Conversion</w:t>
      </w:r>
      <w:r>
        <w:rPr>
          <w:rFonts w:ascii="Arial" w:cs="Arial" w:eastAsia="Arial" w:hAnsi="Arial"/>
          <w:sz w:val="16"/>
          <w:szCs w:val="16"/>
          <w:color w:val="auto"/>
        </w:rPr>
        <w:t>”), in connection with the preparation and filing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w:t>
      </w:r>
    </w:p>
    <w:tbl>
      <w:tblPr>
        <w:tblLayout w:type="fixed"/>
        <w:tblInd w:w="0" w:type="dxa"/>
        <w:tblCellMar>
          <w:top w:w="0" w:type="dxa"/>
          <w:left w:w="0" w:type="dxa"/>
          <w:bottom w:w="0" w:type="dxa"/>
          <w:right w:w="0" w:type="dxa"/>
        </w:tblCellMar>
      </w:tblPr>
      <w:tr>
        <w:trPr>
          <w:trHeight w:val="176"/>
        </w:trPr>
        <w:tc>
          <w:tcPr>
            <w:tcW w:w="9060" w:type="dxa"/>
            <w:vAlign w:val="bottom"/>
            <w:gridSpan w:val="5"/>
          </w:tcPr>
          <w:p>
            <w:pPr>
              <w:spacing w:after="0" w:line="176" w:lineRule="exact"/>
              <w:rPr>
                <w:sz w:val="20"/>
                <w:szCs w:val="20"/>
                <w:color w:val="auto"/>
              </w:rPr>
            </w:pPr>
            <w:r>
              <w:rPr>
                <w:rFonts w:ascii="Arial" w:cs="Arial" w:eastAsia="Arial" w:hAnsi="Arial"/>
                <w:sz w:val="18"/>
                <w:szCs w:val="18"/>
                <w:color w:val="auto"/>
                <w:w w:val="94"/>
              </w:rPr>
              <w:t>Act”), of a registration statement (the “Registration Statement”) on Form S-1 relating to the sale by the Company of up to</w:t>
            </w:r>
          </w:p>
        </w:tc>
        <w:tc>
          <w:tcPr>
            <w:tcW w:w="480" w:type="dxa"/>
            <w:vAlign w:val="bottom"/>
          </w:tcPr>
          <w:p>
            <w:pPr>
              <w:spacing w:after="0"/>
              <w:rPr>
                <w:sz w:val="15"/>
                <w:szCs w:val="15"/>
                <w:color w:val="auto"/>
              </w:rPr>
            </w:pPr>
          </w:p>
        </w:tc>
        <w:tc>
          <w:tcPr>
            <w:tcW w:w="1780" w:type="dxa"/>
            <w:vAlign w:val="bottom"/>
          </w:tcPr>
          <w:p>
            <w:pPr>
              <w:ind w:left="40"/>
              <w:spacing w:after="0" w:line="176" w:lineRule="exact"/>
              <w:rPr>
                <w:sz w:val="20"/>
                <w:szCs w:val="20"/>
                <w:color w:val="auto"/>
              </w:rPr>
            </w:pPr>
            <w:r>
              <w:rPr>
                <w:rFonts w:ascii="Arial" w:cs="Arial" w:eastAsia="Arial" w:hAnsi="Arial"/>
                <w:sz w:val="18"/>
                <w:szCs w:val="18"/>
                <w:color w:val="auto"/>
                <w:w w:val="86"/>
              </w:rPr>
              <w:t>shares, par value $0.001</w:t>
            </w:r>
          </w:p>
        </w:tc>
      </w:tr>
      <w:tr>
        <w:trPr>
          <w:trHeight w:val="20"/>
        </w:trPr>
        <w:tc>
          <w:tcPr>
            <w:tcW w:w="2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1860" w:type="dxa"/>
            <w:vAlign w:val="bottom"/>
            <w:gridSpan w:val="2"/>
          </w:tcPr>
          <w:p>
            <w:pPr>
              <w:spacing w:after="0" w:line="196" w:lineRule="exact"/>
              <w:rPr>
                <w:sz w:val="20"/>
                <w:szCs w:val="20"/>
                <w:color w:val="auto"/>
              </w:rPr>
            </w:pPr>
            <w:r>
              <w:rPr>
                <w:rFonts w:ascii="Arial" w:cs="Arial" w:eastAsia="Arial" w:hAnsi="Arial"/>
                <w:sz w:val="18"/>
                <w:szCs w:val="18"/>
                <w:color w:val="auto"/>
              </w:rPr>
              <w:t>per share (including</w:t>
            </w:r>
          </w:p>
        </w:tc>
        <w:tc>
          <w:tcPr>
            <w:tcW w:w="9460" w:type="dxa"/>
            <w:vAlign w:val="bottom"/>
            <w:gridSpan w:val="5"/>
          </w:tcPr>
          <w:p>
            <w:pPr>
              <w:ind w:left="400"/>
              <w:spacing w:after="0" w:line="196" w:lineRule="exact"/>
              <w:rPr>
                <w:sz w:val="20"/>
                <w:szCs w:val="20"/>
                <w:color w:val="auto"/>
              </w:rPr>
            </w:pPr>
            <w:r>
              <w:rPr>
                <w:rFonts w:ascii="Arial" w:cs="Arial" w:eastAsia="Arial" w:hAnsi="Arial"/>
                <w:sz w:val="18"/>
                <w:szCs w:val="18"/>
                <w:color w:val="auto"/>
              </w:rPr>
              <w:t>shares being offered pursuant to the exercise of the underwriters’ over-allotment option) (the “Shares”).</w:t>
            </w:r>
          </w:p>
        </w:tc>
      </w:tr>
      <w:tr>
        <w:trPr>
          <w:trHeight w:val="20"/>
        </w:trPr>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As such counsel, we have participated in the preparation of the Registration Statement and have examined originals or copies of such documents, corporate records and other instruments as we have deemed relevant, including, without limitation:</w:t>
      </w:r>
    </w:p>
    <w:p>
      <w:pPr>
        <w:spacing w:after="0" w:line="76" w:lineRule="exact"/>
        <w:rPr>
          <w:sz w:val="20"/>
          <w:szCs w:val="20"/>
          <w:color w:val="auto"/>
        </w:rPr>
      </w:pPr>
    </w:p>
    <w:p>
      <w:pPr>
        <w:ind w:left="900" w:right="280" w:hanging="446"/>
        <w:spacing w:after="0" w:line="277" w:lineRule="auto"/>
        <w:tabs>
          <w:tab w:leader="none" w:pos="9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Third Amended and Restated Limited Liability Company Agreement of Solid LLC, dated March 29, 2017 and as amended on October 26, 2017;</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Plan of Conversion of Solid LLC in the form filed as Exhibit 2.2 to the Company’s Registration Statement on Form S-1 as filed with the</w:t>
      </w:r>
    </w:p>
    <w:p>
      <w:pPr>
        <w:spacing w:after="0" w:line="35" w:lineRule="exact"/>
        <w:rPr>
          <w:sz w:val="20"/>
          <w:szCs w:val="20"/>
          <w:color w:val="auto"/>
        </w:rPr>
      </w:pPr>
    </w:p>
    <w:p>
      <w:pPr>
        <w:ind w:left="900"/>
        <w:spacing w:after="0"/>
        <w:tabs>
          <w:tab w:leader="none" w:pos="5080" w:val="left"/>
        </w:tabs>
        <w:rPr>
          <w:sz w:val="20"/>
          <w:szCs w:val="20"/>
          <w:color w:val="auto"/>
        </w:rPr>
      </w:pPr>
      <w:r>
        <w:rPr>
          <w:rFonts w:ascii="Arial" w:cs="Arial" w:eastAsia="Arial" w:hAnsi="Arial"/>
          <w:sz w:val="18"/>
          <w:szCs w:val="18"/>
          <w:color w:val="auto"/>
        </w:rPr>
        <w:t>Commission on December 29, 2017 (File No. 333-</w:t>
      </w:r>
      <w:r>
        <w:rPr>
          <w:sz w:val="20"/>
          <w:szCs w:val="20"/>
          <w:color w:val="auto"/>
        </w:rPr>
        <w:tab/>
      </w:r>
      <w:r>
        <w:rPr>
          <w:rFonts w:ascii="Arial" w:cs="Arial" w:eastAsia="Arial" w:hAnsi="Arial"/>
          <w:sz w:val="16"/>
          <w:szCs w:val="16"/>
          <w:color w:val="auto"/>
        </w:rPr>
        <w:t>)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w:t>
      </w:r>
    </w:p>
    <w:p>
      <w:pPr>
        <w:spacing w:after="0" w:line="116" w:lineRule="exact"/>
        <w:rPr>
          <w:sz w:val="20"/>
          <w:szCs w:val="20"/>
          <w:color w:val="auto"/>
        </w:rPr>
      </w:pPr>
    </w:p>
    <w:p>
      <w:pPr>
        <w:ind w:left="900" w:hanging="446"/>
        <w:spacing w:after="0"/>
        <w:tabs>
          <w:tab w:leader="none" w:pos="9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Agreement and Plan of Merger of the Company in the form filed as Exhibit 2.3 to 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Form of Certificate of Conversion of Solid LLC in the form filed as Exhibit 2.4 to 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Certificate of Incorporation of the Company in the form filed as Exhibit 3.3 to 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Bylaws of the Company in the form filed as Exhibit 3.4 to 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certain of the resolutions of the Board of Managers and of the Members of Solid LLC;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 Registration Statement, together with the exhibits filed as a part thereof and including any documents incorporated by reference therein.</w:t>
      </w:r>
    </w:p>
    <w:p>
      <w:pPr>
        <w:spacing w:after="0" w:line="2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made such examination of law as we have deemed necessary to express the opinion contained herein. As to matters of fact relevant to this opinion, we have relied upon, and assumed without independent verification, the accuracy of certificates of public officials and officers of the Company. We have assumed the genuineness of all signatures, the legal capacity of natural persons, the authenticity of documents submitted to us as originals, the conformity to the original documents of all documents submitted to us as certified, facsimile or photostatic copies, and the authenticity of the originals of such copies.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Boca Raton | Boston | Chicago | Hong Kong | London | Los Angeles | New Orleans | New York | Newark | Paris | São Paulo | Washington, D.C.</w:t>
      </w:r>
    </w:p>
    <w:p>
      <w:pPr>
        <w:sectPr>
          <w:pgSz w:w="11900" w:h="16838" w:orient="portrait"/>
          <w:cols w:equalWidth="0" w:num="1">
            <w:col w:w="11420"/>
          </w:cols>
          <w:pgMar w:left="240" w:top="121" w:right="239" w:bottom="1440" w:gutter="0" w:footer="0" w:header="0"/>
        </w:sectPr>
      </w:pPr>
    </w:p>
    <w:bookmarkStart w:id="446" w:name="page447"/>
    <w:bookmarkEnd w:id="446"/>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80770" cy="2489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Based upon the foregoing, and subject to the limitations, qualifications, exceptions and assumptions expressed herein, we are of the opinion, assuming no change in the applicable law or pertinent facts, that, upon effectiveness of the Conversion, the Shares will be duly authorized by the Company and, when issued pursuant to, and as described in, the Registration Statement and the related prospectus (as amended and supplemented through the date of issuance), will be legally issued, fully paid and non-assessable.</w:t>
      </w:r>
    </w:p>
    <w:p>
      <w:pPr>
        <w:spacing w:after="0" w:line="18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This opinion is limited in all respects to the General Corporation Law of the State of Delaware and to the Delaware Limited Liability Company Act, and we express no opinion as to the laws, statutes, rules or regulations of any other jurisdiction. The references and limitations to the “General Corporation Law of the State of Delaware” and the “Delaware Limited Liability Company Act” include all applicable Delaware statutory provisions of law and reported judicial decisions interpreting these laws.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reference to our firm under the caption “Legal Matters” in the prospectus contained in the Registration Statement, and we further consent to the incorporation of this opinion by reference in any registration statement filed pursuant to Rule 462(b) in connection with the offering covered by the Registration Statement. In giving the foregoing consent, we do not admit that we are in the category of persons whose consent is required under Section 7 of the Securities Act or the rules and regulations of the Commission promulgated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882" w:right="239" w:bottom="1440" w:gutter="0" w:footer="0" w:header="0"/>
        </w:sectPr>
      </w:pPr>
    </w:p>
    <w:bookmarkStart w:id="447" w:name="page448"/>
    <w:bookmarkEnd w:id="44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consideration and as a condition of my employment and/or continued employment by Solid Ventures, LLC, a Delaware limited liability company (the “Company”), I hereby agree with the Company as follows:</w:t>
      </w:r>
    </w:p>
    <w:p>
      <w:pPr>
        <w:spacing w:after="0" w:line="170" w:lineRule="exact"/>
        <w:rPr>
          <w:sz w:val="20"/>
          <w:szCs w:val="20"/>
          <w:color w:val="auto"/>
        </w:rPr>
      </w:pPr>
    </w:p>
    <w:p>
      <w:pPr>
        <w:ind w:right="100" w:firstLine="464"/>
        <w:spacing w:after="0" w:line="255" w:lineRule="auto"/>
        <w:tabs>
          <w:tab w:leader="none" w:pos="771"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Best Efforts</w:t>
      </w:r>
      <w:r>
        <w:rPr>
          <w:rFonts w:ascii="Arial" w:cs="Arial" w:eastAsia="Arial" w:hAnsi="Arial"/>
          <w:sz w:val="18"/>
          <w:szCs w:val="18"/>
          <w:color w:val="auto"/>
        </w:rPr>
        <w:t>. During the period of my employment with the Company, I shall devote my full time and best efforts to the Company’s business and I shall neither pursue any business opportunity outside the Company nor take any position with any organization other than the Company; provided, however, that I may participate in professional, civic, social and/or charitable activities that do not adversely affect my ability to carry out my responsibilities to the Company. I shall carry out my duties at the offices of the Company and shall be required to travel within the United States and elsewhere as part of those duties when necessary. My initial position with the Company shall be as Chief Executive Officer, which may be changed by the Company upon notice to me at any time.</w:t>
      </w:r>
    </w:p>
    <w:p>
      <w:pPr>
        <w:spacing w:after="0" w:line="193" w:lineRule="exact"/>
        <w:rPr>
          <w:rFonts w:ascii="Arial" w:cs="Arial" w:eastAsia="Arial" w:hAnsi="Arial"/>
          <w:sz w:val="18"/>
          <w:szCs w:val="18"/>
          <w:color w:val="auto"/>
        </w:rPr>
      </w:pPr>
    </w:p>
    <w:p>
      <w:pPr>
        <w:ind w:firstLine="464"/>
        <w:spacing w:after="0" w:line="273" w:lineRule="auto"/>
        <w:tabs>
          <w:tab w:leader="none" w:pos="771"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Compensation and Benefits</w:t>
      </w:r>
      <w:r>
        <w:rPr>
          <w:rFonts w:ascii="Arial" w:cs="Arial" w:eastAsia="Arial" w:hAnsi="Arial"/>
          <w:sz w:val="17"/>
          <w:szCs w:val="17"/>
          <w:color w:val="auto"/>
        </w:rPr>
        <w:t>. I understand that during the period of my employment, I shall receive a salary at the initial rate of $300,000 per annum and shall be eligible to receive an annual incentive bonus. The amount of such bonus, if any, shall be in the sole discretion of the Board of Managers of the Company. I also understand that I shall be entitled to participate in any benefit programs that the Company establishes and makes available to other employees, to the extent that my position, tenure, salary, age, health and other qualifications make me eligible to participate. Such participation shall be subject to (a) the terms of the applicable plan documents, (b) generally applicable Company policies and (c) the discretion of the Board of Managers or any administrative or other committee provided for in or contemplated by such plan.</w:t>
      </w:r>
    </w:p>
    <w:p>
      <w:pPr>
        <w:spacing w:after="0" w:line="286" w:lineRule="exact"/>
        <w:rPr>
          <w:rFonts w:ascii="Arial" w:cs="Arial" w:eastAsia="Arial" w:hAnsi="Arial"/>
          <w:sz w:val="17"/>
          <w:szCs w:val="17"/>
          <w:color w:val="auto"/>
        </w:rPr>
      </w:pPr>
    </w:p>
    <w:p>
      <w:pPr>
        <w:ind w:left="780" w:hanging="316"/>
        <w:spacing w:after="0"/>
        <w:tabs>
          <w:tab w:leader="none" w:pos="78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Work-Made-for Hire</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70" w:lineRule="auto"/>
        <w:tabs>
          <w:tab w:leader="none" w:pos="826" w:val="left"/>
        </w:tabs>
        <w:numPr>
          <w:ilvl w:val="0"/>
          <w:numId w:val="332"/>
        </w:numPr>
        <w:rPr>
          <w:rFonts w:ascii="Arial" w:cs="Arial" w:eastAsia="Arial" w:hAnsi="Arial"/>
          <w:sz w:val="17"/>
          <w:szCs w:val="17"/>
          <w:color w:val="auto"/>
        </w:rPr>
      </w:pPr>
      <w:r>
        <w:rPr>
          <w:rFonts w:ascii="Arial" w:cs="Arial" w:eastAsia="Arial" w:hAnsi="Arial"/>
          <w:sz w:val="17"/>
          <w:szCs w:val="17"/>
          <w:color w:val="auto"/>
        </w:rPr>
        <w:t>All right, title and interest in any and all writings, ideas, inventions, know-how, designs, improvements or other property created during my employment relating in any way to the assets, business or operations of the Company, constituting copyrights, patents, trademarks, service marks and related rights or other forms of proprietary rights or information (regardless of whether any such copyrights, patents, trademarks and service marks or other rights have or may be registered) that are created, adapted or improved by me (whether alone or in conjunction with any other person or employee) or which I disclose to the Company, or which are based upon material facts, ideas or other property gathered from, for or about any personnel, contractors or clients of the Company, and all material, whether created during or after my employment, that includes any of the foregoing (collectively, “Covered Material”), shall be owned by the Company and to the extent that it includes copyrightable subject matter, shall be deemed a work made for hire for the Company within the meaning of the United States Copyright Act of 1976 and for all other purposes. If any Covered Material is deemed not to be work made for hire, such Covered Material is hereby assigned by me to the Company and I shall not have or claim to have, under this Agreement or otherwise, any right, title or interest of any kind or nature whatsoever in such Covered Material.</w:t>
      </w:r>
    </w:p>
    <w:p>
      <w:pPr>
        <w:sectPr>
          <w:pgSz w:w="11900" w:h="16838" w:orient="portrait"/>
          <w:cols w:equalWidth="0" w:num="1">
            <w:col w:w="11420"/>
          </w:cols>
          <w:pgMar w:left="240" w:top="121" w:right="239" w:bottom="1440" w:gutter="0" w:footer="0" w:header="0"/>
        </w:sectPr>
      </w:pPr>
    </w:p>
    <w:bookmarkStart w:id="448" w:name="page449"/>
    <w:bookmarkEnd w:id="448"/>
    <w:p>
      <w:pPr>
        <w:ind w:left="-464" w:firstLine="464"/>
        <w:spacing w:after="0" w:line="259" w:lineRule="auto"/>
        <w:tabs>
          <w:tab w:leader="none" w:pos="379" w:val="left"/>
        </w:tabs>
        <w:numPr>
          <w:ilvl w:val="0"/>
          <w:numId w:val="3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the right to apply for and obtain registrations in the United States Copyright Office and the United States Patent and Trademark Office, in its own or its designee’s name, of its rights in any or all of the Covered Material. If for any reason the rights in any Covered Material are registered, or applied to be registered, in my name, I shall assign in writing such application or registration to the Company and hereby authorize and appoint the Company its agent for the purpose of recording such assignment.</w:t>
      </w:r>
    </w:p>
    <w:p>
      <w:pPr>
        <w:spacing w:after="0" w:line="186" w:lineRule="exact"/>
        <w:rPr>
          <w:rFonts w:ascii="Arial" w:cs="Arial" w:eastAsia="Arial" w:hAnsi="Arial"/>
          <w:sz w:val="18"/>
          <w:szCs w:val="18"/>
          <w:color w:val="auto"/>
        </w:rPr>
      </w:pPr>
    </w:p>
    <w:p>
      <w:pPr>
        <w:ind w:left="-464" w:right="220" w:firstLine="464"/>
        <w:spacing w:after="0" w:line="273" w:lineRule="auto"/>
        <w:tabs>
          <w:tab w:leader="none" w:pos="369" w:val="left"/>
        </w:tabs>
        <w:numPr>
          <w:ilvl w:val="0"/>
          <w:numId w:val="333"/>
        </w:numPr>
        <w:rPr>
          <w:rFonts w:ascii="Arial" w:cs="Arial" w:eastAsia="Arial" w:hAnsi="Arial"/>
          <w:sz w:val="17"/>
          <w:szCs w:val="17"/>
          <w:color w:val="auto"/>
        </w:rPr>
      </w:pPr>
      <w:r>
        <w:rPr>
          <w:rFonts w:ascii="Arial" w:cs="Arial" w:eastAsia="Arial" w:hAnsi="Arial"/>
          <w:sz w:val="17"/>
          <w:szCs w:val="17"/>
          <w:color w:val="auto"/>
        </w:rPr>
        <w:t>Whenever the Company shall so request, whether during or after my employment, I shall execute, acknowledge and deliver all applications, assignments or other instruments; make or cause to be made all rightful oaths; testify in all legal proceedings; communicate all known facts which relate to such works, copyrights, inventions, ideas, discoveries, designs and improvements; perform all lawful acts and otherwise render all such assistance as the Company may deem necessary to protect the Company’s interest therein including any assistance which the Company shall deem necessary in connection with any proceeding or litigation involving the same. The Company shall reimburse me for all reasonable out-of-pocket costs, incurred by me in rendering any such assistance requested by the Company pursuant to this Section.</w:t>
      </w:r>
    </w:p>
    <w:p>
      <w:pPr>
        <w:spacing w:after="0" w:line="178" w:lineRule="exact"/>
        <w:rPr>
          <w:sz w:val="20"/>
          <w:szCs w:val="20"/>
          <w:color w:val="auto"/>
        </w:rPr>
      </w:pPr>
    </w:p>
    <w:p>
      <w:pPr>
        <w:ind w:left="-464" w:firstLine="464"/>
        <w:spacing w:after="0" w:line="268" w:lineRule="auto"/>
        <w:tabs>
          <w:tab w:leader="none" w:pos="307"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t>Nondisclosure</w:t>
      </w:r>
      <w:r>
        <w:rPr>
          <w:rFonts w:ascii="Arial" w:cs="Arial" w:eastAsia="Arial" w:hAnsi="Arial"/>
          <w:sz w:val="17"/>
          <w:szCs w:val="17"/>
          <w:color w:val="auto"/>
        </w:rPr>
        <w:t>. I shall not at any time, whether during or after my employment, regardless of the reason for my termination, reveal to any person or entity any Confidential Information except to employees of the Company who need to know such Confidential Information for the purposes of their employment, or as otherwise authorized by the Company in writing. The term “Confidential Information” shall include, without limitation, any information and derivative information, in whatever form or medium, including oral information, concerning the organization, business, finances or personnel of the Company or of any third party which the Company is under an obligation to keep confidential or that is maintained by the Company as confidential. Such Confidential Information includes, but is not limited to, research and development activities performed by or on behalf of the Company, financial information about the Company or of any third party, personnel information, information regarding the business activities or personnel actions of the Company, and any confidential information or documents of third parties, including, but not limited to, business plans, projects, and proposals. Notwithstanding the foregoing, Confidential Information does not include information that: (a) is, at the time of determination, publicly known and generally available in the public domain other than in consequence of improper action by any person; or (b) was acquired by me free and clear of any duty of confidentiality or restricted use and without improper action by the transferor of such information or any other person. I shall keep confidential all matters entrusted to me and shall not use or attempt to use any Confidential Information except as may be required in the ordinary course of performing my duties as an employee of the Company, and I shall not use any Confidential Information in any manner that may injure or cause loss or may be calculated to injure or cause loss to the Company, whether directly or indirectly.</w:t>
      </w:r>
    </w:p>
    <w:p>
      <w:pPr>
        <w:spacing w:after="0" w:line="185" w:lineRule="exact"/>
        <w:rPr>
          <w:rFonts w:ascii="Arial" w:cs="Arial" w:eastAsia="Arial" w:hAnsi="Arial"/>
          <w:sz w:val="17"/>
          <w:szCs w:val="17"/>
          <w:color w:val="auto"/>
        </w:rPr>
      </w:pPr>
    </w:p>
    <w:p>
      <w:pPr>
        <w:ind w:left="-464" w:right="20" w:firstLine="464"/>
        <w:spacing w:after="0" w:line="255" w:lineRule="auto"/>
        <w:tabs>
          <w:tab w:leader="none" w:pos="30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Non-hire of Employees and Consultants</w:t>
      </w:r>
      <w:r>
        <w:rPr>
          <w:rFonts w:ascii="Arial" w:cs="Arial" w:eastAsia="Arial" w:hAnsi="Arial"/>
          <w:sz w:val="18"/>
          <w:szCs w:val="18"/>
          <w:color w:val="auto"/>
        </w:rPr>
        <w:t>. During my employment and the one year period following the termination of my employment, regardless of the reason for my termination, I will not (except on the Company’s behalf), directly or indirectly, alone or as a consultant, partner, officer, director, employee, joint venturer, lender or stockholder of any entity, employ, hire, retain, attempt to employ, hire or retain, or knowingly permit any company or business organization by which I am employed or which is directly or indirectly controlled by me to employ, hire or retain, any Company employee or consultant, or any such person whose employment or consultancy with the Company has terminated within six months prior to or after my departure from the Company.</w:t>
      </w:r>
    </w:p>
    <w:p>
      <w:pPr>
        <w:spacing w:after="0" w:line="125" w:lineRule="exact"/>
        <w:rPr>
          <w:rFonts w:ascii="Arial" w:cs="Arial" w:eastAsia="Arial" w:hAnsi="Arial"/>
          <w:sz w:val="18"/>
          <w:szCs w:val="18"/>
          <w:color w:val="auto"/>
        </w:rPr>
      </w:pPr>
    </w:p>
    <w:p>
      <w:pPr>
        <w:ind w:left="5196" w:hanging="96"/>
        <w:spacing w:after="0"/>
        <w:tabs>
          <w:tab w:leader="none" w:pos="5196" w:val="left"/>
        </w:tabs>
        <w:numPr>
          <w:ilvl w:val="1"/>
          <w:numId w:val="33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16"/>
          </w:cols>
          <w:pgMar w:left="704" w:top="274" w:right="279" w:bottom="1440" w:gutter="0" w:footer="0" w:header="0"/>
        </w:sectPr>
      </w:pPr>
    </w:p>
    <w:bookmarkStart w:id="449" w:name="page450"/>
    <w:bookmarkEnd w:id="449"/>
    <w:p>
      <w:pPr>
        <w:ind w:left="-464" w:firstLine="464"/>
        <w:spacing w:after="0" w:line="276" w:lineRule="auto"/>
        <w:tabs>
          <w:tab w:leader="none" w:pos="307"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Nonsolicitation of Employees and Consultants</w:t>
      </w:r>
      <w:r>
        <w:rPr>
          <w:rFonts w:ascii="Arial" w:cs="Arial" w:eastAsia="Arial" w:hAnsi="Arial"/>
          <w:sz w:val="17"/>
          <w:szCs w:val="17"/>
          <w:color w:val="auto"/>
        </w:rPr>
        <w:t>. During my employment and the one year period following the termination of my employment, regardless of the reason for my termination, I will not (except on the Company’s behalf), directly or indirectly, alone or as a consultant, partner, officer, director, employee, joint venturer, lender or stockholder of any entity, in any manner seek to solicit or induce any Company employee or consultant, or any such person whose employment or consultancy with the Company has terminated within six months prior to or after my departure from the Company, to leave his or her employment or consultancy with the Company, or assist in the recruitment or hiring of any such person.</w:t>
      </w:r>
    </w:p>
    <w:p>
      <w:pPr>
        <w:spacing w:after="0" w:line="172" w:lineRule="exact"/>
        <w:rPr>
          <w:rFonts w:ascii="Arial" w:cs="Arial" w:eastAsia="Arial" w:hAnsi="Arial"/>
          <w:sz w:val="17"/>
          <w:szCs w:val="17"/>
          <w:color w:val="auto"/>
        </w:rPr>
      </w:pPr>
    </w:p>
    <w:p>
      <w:pPr>
        <w:ind w:left="-464" w:right="280" w:firstLine="464"/>
        <w:spacing w:after="0" w:line="257" w:lineRule="auto"/>
        <w:tabs>
          <w:tab w:leader="none" w:pos="307"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During my employment and the one year period following the termination of my employment, regardless of the reason for my termination, I will not engage in any business or enterprise which is in any way competitive or conflicting with the interests or business of the Company including, without limitation, (A) any business or activity currently conducted by the Company, and (B) any business that the Company intends to conduct and of which I am aware; provided that nothing in this Section 6 shall in any way restrict me from promoting treatments for, or endeavoring to cure, Duchenne Muscular Dystrophy.</w:t>
      </w:r>
    </w:p>
    <w:p>
      <w:pPr>
        <w:spacing w:after="0" w:line="188" w:lineRule="exact"/>
        <w:rPr>
          <w:rFonts w:ascii="Arial" w:cs="Arial" w:eastAsia="Arial" w:hAnsi="Arial"/>
          <w:sz w:val="18"/>
          <w:szCs w:val="18"/>
          <w:color w:val="auto"/>
        </w:rPr>
      </w:pPr>
    </w:p>
    <w:p>
      <w:pPr>
        <w:ind w:left="-464" w:right="80" w:firstLine="464"/>
        <w:spacing w:after="0" w:line="264" w:lineRule="auto"/>
        <w:tabs>
          <w:tab w:leader="none" w:pos="307"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I shall not at any time, whether during or after the termination of my employment, regardless of the reason for my termination, make to any person or entity disparaging, critical or otherwise detrimental comments of a business or personal nature relating to the Company or its personnel.</w:t>
      </w:r>
    </w:p>
    <w:p>
      <w:pPr>
        <w:spacing w:after="0" w:line="181" w:lineRule="exact"/>
        <w:rPr>
          <w:rFonts w:ascii="Arial" w:cs="Arial" w:eastAsia="Arial" w:hAnsi="Arial"/>
          <w:sz w:val="18"/>
          <w:szCs w:val="18"/>
          <w:color w:val="auto"/>
        </w:rPr>
      </w:pPr>
    </w:p>
    <w:p>
      <w:pPr>
        <w:ind w:left="-464" w:firstLine="464"/>
        <w:spacing w:after="0" w:line="290" w:lineRule="auto"/>
        <w:tabs>
          <w:tab w:leader="none" w:pos="307"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I agree that during my employment I shall not make, use or permit to be used any Company Property otherwise than for the benefit of the Company. The term “Company Property” shall include all Confidential Information; the Company’s records, files and data; all Company computers, cellular telephones, personal digital assistants, credit and/or calling cards, keys, access cards and the like; and all other documentation or materials of any nature and in any form, whether written, printed, electronic or in digital format or otherwise, relating to any matter within the scope of the business of the Company or concerning any of its dealings or affairs and any other Company property in my possession, custody or control. I further agree that I shall not, after the termination of my employment, regardless of the reason for my termination, use or permit others to use any such Company Property. I acknowledge and agree that all Company Property shall be and remain the sole and exclusive property of the Company. Immediately upon the termination of my employment I shall deliver all Company Property in my possession, and all copies thereof, to the Company.</w:t>
      </w:r>
    </w:p>
    <w:p>
      <w:pPr>
        <w:spacing w:after="0" w:line="166" w:lineRule="exact"/>
        <w:rPr>
          <w:rFonts w:ascii="Arial" w:cs="Arial" w:eastAsia="Arial" w:hAnsi="Arial"/>
          <w:sz w:val="16"/>
          <w:szCs w:val="16"/>
          <w:color w:val="auto"/>
        </w:rPr>
      </w:pPr>
    </w:p>
    <w:p>
      <w:pPr>
        <w:ind w:left="-464" w:right="120" w:firstLine="464"/>
        <w:spacing w:after="0" w:line="259" w:lineRule="auto"/>
        <w:tabs>
          <w:tab w:leader="none" w:pos="397"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 I understand and agree that my employment with the Company is for an indefinite period and that either the Company or I may terminate my employment at any time, for any or no reason, on at least six months’ prior notice. Notwithstanding the foregoing, the Company may terminate my employment for “Cause” immediately upon notice. For purposes of this Agreement, a termination shall be for Cause if, inter alia, any one or more of the following has occurred:</w:t>
      </w:r>
    </w:p>
    <w:p>
      <w:pPr>
        <w:spacing w:after="0" w:line="78" w:lineRule="exact"/>
        <w:rPr>
          <w:rFonts w:ascii="Arial" w:cs="Arial" w:eastAsia="Arial" w:hAnsi="Arial"/>
          <w:sz w:val="18"/>
          <w:szCs w:val="18"/>
          <w:color w:val="auto"/>
        </w:rPr>
      </w:pPr>
    </w:p>
    <w:p>
      <w:pPr>
        <w:ind w:left="-4" w:right="140" w:firstLine="443"/>
        <w:spacing w:after="0" w:line="277" w:lineRule="auto"/>
        <w:tabs>
          <w:tab w:leader="none" w:pos="784" w:val="left"/>
        </w:tabs>
        <w:numPr>
          <w:ilvl w:val="1"/>
          <w:numId w:val="335"/>
        </w:numPr>
        <w:rPr>
          <w:rFonts w:ascii="Arial" w:cs="Arial" w:eastAsia="Arial" w:hAnsi="Arial"/>
          <w:sz w:val="18"/>
          <w:szCs w:val="18"/>
          <w:color w:val="auto"/>
        </w:rPr>
      </w:pPr>
      <w:r>
        <w:rPr>
          <w:rFonts w:ascii="Arial" w:cs="Arial" w:eastAsia="Arial" w:hAnsi="Arial"/>
          <w:sz w:val="18"/>
          <w:szCs w:val="18"/>
          <w:color w:val="auto"/>
        </w:rPr>
        <w:t>I have committed an act of fraud, embezzlement, misappropriation or breach of fiduciary duty against the Company or any of its customers or vendors; or</w:t>
      </w:r>
    </w:p>
    <w:p>
      <w:pPr>
        <w:spacing w:after="0" w:line="102" w:lineRule="exact"/>
        <w:rPr>
          <w:rFonts w:ascii="Arial" w:cs="Arial" w:eastAsia="Arial" w:hAnsi="Arial"/>
          <w:sz w:val="18"/>
          <w:szCs w:val="18"/>
          <w:color w:val="auto"/>
        </w:rPr>
      </w:pPr>
    </w:p>
    <w:p>
      <w:pPr>
        <w:ind w:left="5196" w:hanging="96"/>
        <w:spacing w:after="0"/>
        <w:tabs>
          <w:tab w:leader="none" w:pos="5196" w:val="left"/>
        </w:tabs>
        <w:numPr>
          <w:ilvl w:val="2"/>
          <w:numId w:val="33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56"/>
          </w:cols>
          <w:pgMar w:left="704" w:top="274" w:right="239" w:bottom="1440" w:gutter="0" w:footer="0" w:header="0"/>
        </w:sectPr>
      </w:pPr>
    </w:p>
    <w:bookmarkStart w:id="450" w:name="page451"/>
    <w:bookmarkEnd w:id="450"/>
    <w:p>
      <w:pPr>
        <w:ind w:left="836" w:hanging="397"/>
        <w:spacing w:after="0"/>
        <w:tabs>
          <w:tab w:leader="none" w:pos="836" w:val="left"/>
        </w:tabs>
        <w:numPr>
          <w:ilvl w:val="1"/>
          <w:numId w:val="3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have been convicted of, or pleaded guilty or nolo contendere to, any crime triable upon indictment or involving moral turpitude; or</w:t>
      </w:r>
    </w:p>
    <w:p>
      <w:pPr>
        <w:spacing w:after="0" w:line="128" w:lineRule="exact"/>
        <w:rPr>
          <w:rFonts w:ascii="Arial" w:cs="Arial" w:eastAsia="Arial" w:hAnsi="Arial"/>
          <w:sz w:val="17"/>
          <w:szCs w:val="17"/>
          <w:color w:val="auto"/>
        </w:rPr>
      </w:pPr>
    </w:p>
    <w:p>
      <w:pPr>
        <w:ind w:left="896" w:hanging="457"/>
        <w:spacing w:after="0"/>
        <w:tabs>
          <w:tab w:leader="none" w:pos="89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I have been chronically absent from work, (excluding vacations, illnesses or leaves of absence approved by the Company); or</w:t>
      </w:r>
    </w:p>
    <w:p>
      <w:pPr>
        <w:spacing w:after="0" w:line="117" w:lineRule="exact"/>
        <w:rPr>
          <w:rFonts w:ascii="Arial" w:cs="Arial" w:eastAsia="Arial" w:hAnsi="Arial"/>
          <w:sz w:val="18"/>
          <w:szCs w:val="18"/>
          <w:color w:val="auto"/>
        </w:rPr>
      </w:pPr>
    </w:p>
    <w:p>
      <w:pPr>
        <w:ind w:left="-4" w:right="440" w:firstLine="443"/>
        <w:spacing w:after="0" w:line="277" w:lineRule="auto"/>
        <w:tabs>
          <w:tab w:leader="none" w:pos="874" w:val="left"/>
        </w:tabs>
        <w:numPr>
          <w:ilvl w:val="1"/>
          <w:numId w:val="336"/>
        </w:numPr>
        <w:rPr>
          <w:rFonts w:ascii="Arial" w:cs="Arial" w:eastAsia="Arial" w:hAnsi="Arial"/>
          <w:sz w:val="18"/>
          <w:szCs w:val="18"/>
          <w:color w:val="auto"/>
        </w:rPr>
      </w:pPr>
      <w:r>
        <w:rPr>
          <w:rFonts w:ascii="Arial" w:cs="Arial" w:eastAsia="Arial" w:hAnsi="Arial"/>
          <w:sz w:val="18"/>
          <w:szCs w:val="18"/>
          <w:color w:val="auto"/>
        </w:rPr>
        <w:t>I have refused, after explicit written notice, to obey any lawful direction by the Board of Managers which is consistent with my duties hereunder; or</w:t>
      </w:r>
    </w:p>
    <w:p>
      <w:pPr>
        <w:spacing w:after="0" w:line="62" w:lineRule="exact"/>
        <w:rPr>
          <w:rFonts w:ascii="Arial" w:cs="Arial" w:eastAsia="Arial" w:hAnsi="Arial"/>
          <w:sz w:val="18"/>
          <w:szCs w:val="18"/>
          <w:color w:val="auto"/>
        </w:rPr>
      </w:pPr>
    </w:p>
    <w:p>
      <w:pPr>
        <w:ind w:left="836" w:hanging="397"/>
        <w:spacing w:after="0"/>
        <w:tabs>
          <w:tab w:leader="none" w:pos="836" w:val="left"/>
        </w:tabs>
        <w:numPr>
          <w:ilvl w:val="1"/>
          <w:numId w:val="336"/>
        </w:numPr>
        <w:rPr>
          <w:rFonts w:ascii="Arial" w:cs="Arial" w:eastAsia="Arial" w:hAnsi="Arial"/>
          <w:sz w:val="17"/>
          <w:szCs w:val="17"/>
          <w:color w:val="auto"/>
        </w:rPr>
      </w:pPr>
      <w:r>
        <w:rPr>
          <w:rFonts w:ascii="Arial" w:cs="Arial" w:eastAsia="Arial" w:hAnsi="Arial"/>
          <w:sz w:val="17"/>
          <w:szCs w:val="17"/>
          <w:color w:val="auto"/>
        </w:rPr>
        <w:t>I have engaged in the unlawful use (including being under the influence) or possession of illegal drugs on the Company’s premises; or</w:t>
      </w:r>
    </w:p>
    <w:p>
      <w:pPr>
        <w:spacing w:after="0" w:line="128" w:lineRule="exact"/>
        <w:rPr>
          <w:rFonts w:ascii="Arial" w:cs="Arial" w:eastAsia="Arial" w:hAnsi="Arial"/>
          <w:sz w:val="17"/>
          <w:szCs w:val="17"/>
          <w:color w:val="auto"/>
        </w:rPr>
      </w:pPr>
    </w:p>
    <w:p>
      <w:pPr>
        <w:ind w:left="-4" w:right="40" w:firstLine="443"/>
        <w:spacing w:after="0" w:line="277" w:lineRule="auto"/>
        <w:tabs>
          <w:tab w:leader="none" w:pos="874" w:val="left"/>
        </w:tabs>
        <w:numPr>
          <w:ilvl w:val="1"/>
          <w:numId w:val="336"/>
        </w:numPr>
        <w:rPr>
          <w:rFonts w:ascii="Arial" w:cs="Arial" w:eastAsia="Arial" w:hAnsi="Arial"/>
          <w:sz w:val="18"/>
          <w:szCs w:val="18"/>
          <w:color w:val="auto"/>
        </w:rPr>
      </w:pPr>
      <w:r>
        <w:rPr>
          <w:rFonts w:ascii="Arial" w:cs="Arial" w:eastAsia="Arial" w:hAnsi="Arial"/>
          <w:sz w:val="18"/>
          <w:szCs w:val="18"/>
          <w:color w:val="auto"/>
        </w:rPr>
        <w:t>I have breached any of the provisions or representations of this Agreement, which such breach has, in the good faith judgment of the Board of Managers, resulted in a material detrimental effect to the Company.</w:t>
      </w:r>
    </w:p>
    <w:p>
      <w:pPr>
        <w:spacing w:after="0" w:line="278" w:lineRule="exact"/>
        <w:rPr>
          <w:rFonts w:ascii="Arial" w:cs="Arial" w:eastAsia="Arial" w:hAnsi="Arial"/>
          <w:sz w:val="18"/>
          <w:szCs w:val="18"/>
          <w:color w:val="auto"/>
        </w:rPr>
      </w:pPr>
    </w:p>
    <w:p>
      <w:pPr>
        <w:ind w:left="396" w:hanging="396"/>
        <w:spacing w:after="0"/>
        <w:tabs>
          <w:tab w:leader="none" w:pos="396"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4" w:firstLine="921"/>
        <w:spacing w:after="0" w:line="259" w:lineRule="auto"/>
        <w:tabs>
          <w:tab w:leader="none" w:pos="828" w:val="left"/>
        </w:tabs>
        <w:numPr>
          <w:ilvl w:val="2"/>
          <w:numId w:val="337"/>
        </w:numPr>
        <w:rPr>
          <w:rFonts w:ascii="Arial" w:cs="Arial" w:eastAsia="Arial" w:hAnsi="Arial"/>
          <w:sz w:val="18"/>
          <w:szCs w:val="18"/>
          <w:color w:val="auto"/>
        </w:rPr>
      </w:pPr>
      <w:r>
        <w:rPr>
          <w:rFonts w:ascii="Arial" w:cs="Arial" w:eastAsia="Arial" w:hAnsi="Arial"/>
          <w:sz w:val="18"/>
          <w:szCs w:val="18"/>
          <w:color w:val="auto"/>
        </w:rPr>
        <w:t>I represent that my employment with the Company and my performance of all of the terms of this Agreement do not and will not breach any agreement to keep in confidence proprietary information acquired by me in confidence or in trust prior to my Company employment, nor will it violate any nonsolicitation and/or noncompetition agreements entered into prior to my Company employment. I have not entered into, and I shall not enter into, any agreement either written or oral in conflict herewith.</w:t>
      </w:r>
    </w:p>
    <w:p>
      <w:pPr>
        <w:spacing w:after="0" w:line="186" w:lineRule="exact"/>
        <w:rPr>
          <w:rFonts w:ascii="Arial" w:cs="Arial" w:eastAsia="Arial" w:hAnsi="Arial"/>
          <w:sz w:val="18"/>
          <w:szCs w:val="18"/>
          <w:color w:val="auto"/>
        </w:rPr>
      </w:pPr>
    </w:p>
    <w:p>
      <w:pPr>
        <w:ind w:left="-464" w:right="100" w:firstLine="921"/>
        <w:spacing w:after="0" w:line="264" w:lineRule="auto"/>
        <w:tabs>
          <w:tab w:leader="none" w:pos="838" w:val="left"/>
        </w:tabs>
        <w:numPr>
          <w:ilvl w:val="2"/>
          <w:numId w:val="337"/>
        </w:numPr>
        <w:rPr>
          <w:rFonts w:ascii="Arial" w:cs="Arial" w:eastAsia="Arial" w:hAnsi="Arial"/>
          <w:sz w:val="18"/>
          <w:szCs w:val="18"/>
          <w:color w:val="auto"/>
        </w:rPr>
      </w:pPr>
      <w:r>
        <w:rPr>
          <w:rFonts w:ascii="Arial" w:cs="Arial" w:eastAsia="Arial" w:hAnsi="Arial"/>
          <w:sz w:val="18"/>
          <w:szCs w:val="18"/>
          <w:color w:val="auto"/>
        </w:rPr>
        <w:t>I further agree that any breach of this Agreement by me will cause irreparable damage to the Company and that in the event of such breach the Company shall have, in addition to any and all remedies of law, the right to an injunction, specific performance or other equitable relief to prevent the violation of my obligations hereunder.</w:t>
      </w:r>
    </w:p>
    <w:p>
      <w:pPr>
        <w:spacing w:after="0" w:line="181" w:lineRule="exact"/>
        <w:rPr>
          <w:rFonts w:ascii="Arial" w:cs="Arial" w:eastAsia="Arial" w:hAnsi="Arial"/>
          <w:sz w:val="18"/>
          <w:szCs w:val="18"/>
          <w:color w:val="auto"/>
        </w:rPr>
      </w:pPr>
    </w:p>
    <w:p>
      <w:pPr>
        <w:jc w:val="both"/>
        <w:ind w:left="-464" w:right="120" w:firstLine="464"/>
        <w:spacing w:after="0" w:line="264" w:lineRule="auto"/>
        <w:tabs>
          <w:tab w:leader="none" w:pos="397"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Waiver; Amendments</w:t>
      </w:r>
      <w:r>
        <w:rPr>
          <w:rFonts w:ascii="Arial" w:cs="Arial" w:eastAsia="Arial" w:hAnsi="Arial"/>
          <w:sz w:val="18"/>
          <w:szCs w:val="18"/>
          <w:color w:val="auto"/>
        </w:rPr>
        <w:t>. Any waiver by the Company of a breach of any provision of this Agreement shall not operate or be construed as a waiver of any subsequent breach of such provision or any other provision hereof. In addition, any amendment to or modification of this Agreement or any waiver of any provision hereof must be in writing.</w:t>
      </w:r>
    </w:p>
    <w:p>
      <w:pPr>
        <w:spacing w:after="0" w:line="181" w:lineRule="exact"/>
        <w:rPr>
          <w:rFonts w:ascii="Arial" w:cs="Arial" w:eastAsia="Arial" w:hAnsi="Arial"/>
          <w:sz w:val="18"/>
          <w:szCs w:val="18"/>
          <w:color w:val="auto"/>
        </w:rPr>
      </w:pPr>
    </w:p>
    <w:p>
      <w:pPr>
        <w:ind w:left="-464" w:right="300" w:firstLine="464"/>
        <w:spacing w:after="0" w:line="293" w:lineRule="auto"/>
        <w:tabs>
          <w:tab w:leader="none" w:pos="397"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 agree that each provision and the subparts of each provision herein shall be treated as separate and independent clauses, and the unenforceability of any one clause shall in no way impair the enforceability of any of the other clauses of the Agreement. Moreover, if one or more of the provisions contained in this Agreement shall for any reason be held to be excessively broad as to scope, activity, subject or otherwise so as to be unenforceable at law, such provision or provisions shall be construed by the appropriate judicial body by limiting or reducing it or them, so as to be enforceable to the maximum extent compatible with the applicable law as it shall then appear. I hereby further agree that the language of all parts of this Agreement shall in all cases be construed as a whole according to its fair meaning and not strictly for or against either of the parties.</w:t>
      </w:r>
    </w:p>
    <w:p>
      <w:pPr>
        <w:spacing w:after="0" w:line="97" w:lineRule="exact"/>
        <w:rPr>
          <w:rFonts w:ascii="Arial" w:cs="Arial" w:eastAsia="Arial" w:hAnsi="Arial"/>
          <w:sz w:val="16"/>
          <w:szCs w:val="16"/>
          <w:color w:val="auto"/>
        </w:rPr>
      </w:pPr>
    </w:p>
    <w:p>
      <w:pPr>
        <w:ind w:left="5196" w:hanging="96"/>
        <w:spacing w:after="0"/>
        <w:tabs>
          <w:tab w:leader="none" w:pos="5196" w:val="left"/>
        </w:tabs>
        <w:numPr>
          <w:ilvl w:val="3"/>
          <w:numId w:val="33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56"/>
          </w:cols>
          <w:pgMar w:left="704" w:top="273" w:right="239" w:bottom="1440" w:gutter="0" w:footer="0" w:header="0"/>
        </w:sectPr>
      </w:pPr>
    </w:p>
    <w:bookmarkStart w:id="451" w:name="page452"/>
    <w:bookmarkEnd w:id="451"/>
    <w:p>
      <w:pPr>
        <w:ind w:left="-20" w:firstLine="464"/>
        <w:spacing w:after="0" w:line="264" w:lineRule="auto"/>
        <w:tabs>
          <w:tab w:leader="none" w:pos="841"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Survival</w:t>
      </w:r>
      <w:r>
        <w:rPr>
          <w:rFonts w:ascii="Arial" w:cs="Arial" w:eastAsia="Arial" w:hAnsi="Arial"/>
          <w:sz w:val="18"/>
          <w:szCs w:val="18"/>
          <w:color w:val="auto"/>
        </w:rPr>
        <w:t>. This Agreement shall be effective as of the date entered below. My obligations under this Agreement shall survive the termination of my employment regardless of the reason for or manner of such termination and shall be binding upon my heirs, executors, administrators and legal representatives.</w:t>
      </w:r>
    </w:p>
    <w:p>
      <w:pPr>
        <w:spacing w:after="0" w:line="181" w:lineRule="exact"/>
        <w:rPr>
          <w:rFonts w:ascii="Arial" w:cs="Arial" w:eastAsia="Arial" w:hAnsi="Arial"/>
          <w:sz w:val="18"/>
          <w:szCs w:val="18"/>
          <w:color w:val="auto"/>
        </w:rPr>
      </w:pPr>
    </w:p>
    <w:p>
      <w:pPr>
        <w:ind w:left="-20" w:right="740" w:firstLine="464"/>
        <w:spacing w:after="0" w:line="308" w:lineRule="auto"/>
        <w:tabs>
          <w:tab w:leader="none" w:pos="841"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The Company shall have the right to assign this Agreement to its successors and assigns, and all covenants and agreements hereunder shall inure to the benefit of and be enforceable by said successors or assigns. I may not assign this Agreement.</w:t>
      </w:r>
    </w:p>
    <w:p>
      <w:pPr>
        <w:spacing w:after="0" w:line="146" w:lineRule="exact"/>
        <w:rPr>
          <w:rFonts w:ascii="Arial" w:cs="Arial" w:eastAsia="Arial" w:hAnsi="Arial"/>
          <w:sz w:val="17"/>
          <w:szCs w:val="17"/>
          <w:color w:val="auto"/>
        </w:rPr>
      </w:pPr>
    </w:p>
    <w:p>
      <w:pPr>
        <w:ind w:left="-20" w:firstLine="464"/>
        <w:spacing w:after="0" w:line="259" w:lineRule="auto"/>
        <w:tabs>
          <w:tab w:leader="none" w:pos="841"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and shall in all respects be interpreted, enforced and governed under the internal and domestic laws of Delaware, without giving effect to the principles of conflicts of laws of such state. The laws of the State of Delaware shall govern any claims or legal actions by one party against the other arising out of the relationship between the parties contemplated herein (whether or not arising under this Agreement).</w:t>
      </w:r>
    </w:p>
    <w:p>
      <w:pPr>
        <w:spacing w:after="0" w:line="186" w:lineRule="exact"/>
        <w:rPr>
          <w:rFonts w:ascii="Arial" w:cs="Arial" w:eastAsia="Arial" w:hAnsi="Arial"/>
          <w:sz w:val="18"/>
          <w:szCs w:val="18"/>
          <w:color w:val="auto"/>
        </w:rPr>
      </w:pPr>
    </w:p>
    <w:p>
      <w:pPr>
        <w:ind w:left="-20" w:right="40" w:firstLine="464"/>
        <w:spacing w:after="0" w:line="264" w:lineRule="auto"/>
        <w:tabs>
          <w:tab w:leader="none" w:pos="841"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complete, sole and entire agreement between the parties with respect to the subject matter herein and supersedes any and all other agreements, negotiations, discussions, proposals, or understandings, whether oral or written, previously entered into, discussed or considered by the parties.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HEREOF, I have executed this Agreement as of the date first written below.</w:t>
      </w:r>
    </w:p>
    <w:p>
      <w:pPr>
        <w:spacing w:after="0" w:line="252" w:lineRule="exact"/>
        <w:rPr>
          <w:sz w:val="20"/>
          <w:szCs w:val="20"/>
          <w:color w:val="auto"/>
        </w:rPr>
      </w:pPr>
    </w:p>
    <w:p>
      <w:pPr>
        <w:ind w:left="6840"/>
        <w:spacing w:after="0"/>
        <w:tabs>
          <w:tab w:leader="none" w:pos="77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14605</wp:posOffset>
            </wp:positionV>
            <wp:extent cx="231521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Ilan Ganot</w:t>
      </w:r>
    </w:p>
    <w:p>
      <w:pPr>
        <w:spacing w:after="0" w:line="225" w:lineRule="exact"/>
        <w:rPr>
          <w:sz w:val="20"/>
          <w:szCs w:val="20"/>
          <w:color w:val="auto"/>
        </w:rPr>
      </w:pPr>
    </w:p>
    <w:p>
      <w:pPr>
        <w:ind w:left="6840"/>
        <w:spacing w:after="0"/>
        <w:tabs>
          <w:tab w:leader="none" w:pos="7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20, 2013</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Address: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60" w:top="274" w:right="239" w:bottom="1440" w:gutter="0" w:footer="0" w:header="0"/>
        </w:sectPr>
      </w:pPr>
    </w:p>
    <w:bookmarkStart w:id="452" w:name="page453"/>
    <w:bookmarkEnd w:id="4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date set forth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Solid Ventures, LLC</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219"/>
          </w:cols>
          <w:pgMar w:left="240" w:top="273" w:right="1440" w:bottom="1440" w:gutter="0" w:footer="0" w:header="0"/>
        </w:sectPr>
      </w:pPr>
    </w:p>
    <w:bookmarkStart w:id="453" w:name="page454"/>
    <w:bookmarkEnd w:id="453"/>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17145</wp:posOffset>
            </wp:positionV>
            <wp:extent cx="2015490" cy="53149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0154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Broadway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Cambridge, MA 02142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Jorge A. Quiroz, M.D.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Dear Jorge: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am pleased to extend to you an offer to join Solid GT, LLC (the “Company”) on the terms and conditions described in this letter.</w:t>
      </w:r>
    </w:p>
    <w:p>
      <w:pPr>
        <w:spacing w:after="0" w:line="225" w:lineRule="exact"/>
        <w:rPr>
          <w:sz w:val="20"/>
          <w:szCs w:val="20"/>
          <w:color w:val="auto"/>
        </w:rPr>
      </w:pPr>
    </w:p>
    <w:p>
      <w:pPr>
        <w:ind w:right="420" w:firstLine="464"/>
        <w:spacing w:after="0" w:line="264" w:lineRule="auto"/>
        <w:tabs>
          <w:tab w:leader="none" w:pos="636"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Your position will be Chief Medical Officer, reporting to the Company’s Chief Executive Officer. In addition to performing duties and responsibilities associated with the position of Chief Medical Officer, from time to time the Company may assign you other duties and responsibilities consistent with such position.</w:t>
      </w:r>
    </w:p>
    <w:p>
      <w:pPr>
        <w:spacing w:after="0" w:line="181" w:lineRule="exact"/>
        <w:rPr>
          <w:rFonts w:ascii="Arial" w:cs="Arial" w:eastAsia="Arial" w:hAnsi="Arial"/>
          <w:sz w:val="18"/>
          <w:szCs w:val="18"/>
          <w:color w:val="auto"/>
        </w:rPr>
      </w:pPr>
    </w:p>
    <w:p>
      <w:pPr>
        <w:ind w:right="180" w:firstLine="464"/>
        <w:spacing w:after="0" w:line="277" w:lineRule="auto"/>
        <w:tabs>
          <w:tab w:leader="none" w:pos="636"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Start Date</w:t>
      </w:r>
      <w:r>
        <w:rPr>
          <w:rFonts w:ascii="Arial" w:cs="Arial" w:eastAsia="Arial" w:hAnsi="Arial"/>
          <w:sz w:val="18"/>
          <w:szCs w:val="18"/>
          <w:color w:val="auto"/>
        </w:rPr>
        <w:t>. It is expected that your employment will start on or about December 14, 2015, or such later date as you and the Company may mutually agree, but no later than January 12, 2016 (the “Start Date”).</w:t>
      </w:r>
    </w:p>
    <w:p>
      <w:pPr>
        <w:spacing w:after="0" w:line="278" w:lineRule="exact"/>
        <w:rPr>
          <w:rFonts w:ascii="Arial" w:cs="Arial" w:eastAsia="Arial" w:hAnsi="Arial"/>
          <w:sz w:val="18"/>
          <w:szCs w:val="18"/>
          <w:color w:val="auto"/>
        </w:rPr>
      </w:pPr>
    </w:p>
    <w:p>
      <w:pPr>
        <w:ind w:left="640" w:hanging="176"/>
        <w:spacing w:after="0"/>
        <w:tabs>
          <w:tab w:leader="none" w:pos="64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Nature of Relationship; Status</w:t>
      </w:r>
      <w:r>
        <w:rPr>
          <w:rFonts w:ascii="Arial" w:cs="Arial" w:eastAsia="Arial" w:hAnsi="Arial"/>
          <w:sz w:val="18"/>
          <w:szCs w:val="18"/>
          <w:color w:val="auto"/>
        </w:rPr>
        <w:t>.</w:t>
      </w:r>
    </w:p>
    <w:p>
      <w:pPr>
        <w:spacing w:after="0" w:line="117" w:lineRule="exact"/>
        <w:rPr>
          <w:sz w:val="20"/>
          <w:szCs w:val="20"/>
          <w:color w:val="auto"/>
        </w:rPr>
      </w:pPr>
    </w:p>
    <w:p>
      <w:pPr>
        <w:ind w:right="400" w:firstLine="464"/>
        <w:spacing w:after="0" w:line="277" w:lineRule="auto"/>
        <w:tabs>
          <w:tab w:leader="none" w:pos="70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No provision of this letter will be construed to create an express or implied employment contract for a specific period of time. Either you or the Company may terminate the employment relationship for any reason as set forth in Section 6.</w:t>
      </w:r>
    </w:p>
    <w:p>
      <w:pPr>
        <w:spacing w:after="0" w:line="170" w:lineRule="exact"/>
        <w:rPr>
          <w:rFonts w:ascii="Arial" w:cs="Arial" w:eastAsia="Arial" w:hAnsi="Arial"/>
          <w:sz w:val="18"/>
          <w:szCs w:val="18"/>
          <w:color w:val="auto"/>
        </w:rPr>
      </w:pPr>
    </w:p>
    <w:p>
      <w:pPr>
        <w:ind w:right="120" w:firstLine="464"/>
        <w:spacing w:after="0" w:line="302" w:lineRule="auto"/>
        <w:tabs>
          <w:tab w:leader="none" w:pos="711"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You will be expected to devote your full business time and energies to the business and affairs of the Company in order to perform your duties. Notwithstanding the foregoing, you may devote reasonable business time and efforts to not-for-profit services and civic activities that do not contravene the terms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(which terms are incorporated herein by reference), so long as such time and efforts do not interfere with your obligations to the Company. You will perform the foregoing services at the principal office of the Company, initially at One Broadway in Cambridge, MA.</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54" w:name="page455"/>
    <w:bookmarkEnd w:id="454"/>
    <w:p>
      <w:pPr>
        <w:ind w:left="632" w:hanging="176"/>
        <w:spacing w:after="0"/>
        <w:tabs>
          <w:tab w:leader="none" w:pos="632"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w:t>
      </w:r>
      <w:r>
        <w:rPr>
          <w:rFonts w:ascii="Arial" w:cs="Arial" w:eastAsia="Arial" w:hAnsi="Arial"/>
          <w:sz w:val="18"/>
          <w:szCs w:val="18"/>
          <w:color w:val="auto"/>
        </w:rPr>
        <w:t>.</w:t>
      </w:r>
    </w:p>
    <w:p>
      <w:pPr>
        <w:spacing w:after="0" w:line="117" w:lineRule="exact"/>
        <w:rPr>
          <w:sz w:val="20"/>
          <w:szCs w:val="20"/>
          <w:color w:val="auto"/>
        </w:rPr>
      </w:pPr>
    </w:p>
    <w:p>
      <w:pPr>
        <w:ind w:left="-8" w:right="280" w:firstLine="464"/>
        <w:spacing w:after="0" w:line="277" w:lineRule="auto"/>
        <w:tabs>
          <w:tab w:leader="none" w:pos="693" w:val="left"/>
        </w:tabs>
        <w:numPr>
          <w:ilvl w:val="1"/>
          <w:numId w:val="34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Your initial salary (the “Base Salary”) will be at the rate of $29,166.66 per month, annualized at $350,000.00, and pro-rated for any partial year or month. You will be paid on a semi-monthly basis at the rate of $14,583.33.</w:t>
      </w:r>
    </w:p>
    <w:p>
      <w:pPr>
        <w:spacing w:after="0" w:line="170" w:lineRule="exact"/>
        <w:rPr>
          <w:rFonts w:ascii="Arial" w:cs="Arial" w:eastAsia="Arial" w:hAnsi="Arial"/>
          <w:sz w:val="18"/>
          <w:szCs w:val="18"/>
          <w:color w:val="auto"/>
        </w:rPr>
      </w:pPr>
    </w:p>
    <w:p>
      <w:pPr>
        <w:ind w:left="-8" w:right="20" w:firstLine="464"/>
        <w:spacing w:after="0" w:line="257" w:lineRule="auto"/>
        <w:tabs>
          <w:tab w:leader="none" w:pos="703" w:val="left"/>
        </w:tabs>
        <w:numPr>
          <w:ilvl w:val="1"/>
          <w:numId w:val="342"/>
        </w:numPr>
        <w:rPr>
          <w:rFonts w:ascii="Arial" w:cs="Arial" w:eastAsia="Arial" w:hAnsi="Arial"/>
          <w:sz w:val="18"/>
          <w:szCs w:val="18"/>
          <w:color w:val="auto"/>
        </w:rPr>
      </w:pPr>
      <w:r>
        <w:rPr>
          <w:rFonts w:ascii="Arial" w:cs="Arial" w:eastAsia="Arial" w:hAnsi="Arial"/>
          <w:sz w:val="18"/>
          <w:szCs w:val="18"/>
          <w:u w:val="single" w:color="auto"/>
          <w:color w:val="auto"/>
        </w:rPr>
        <w:t>Bonus Opportunity</w:t>
      </w:r>
      <w:r>
        <w:rPr>
          <w:rFonts w:ascii="Arial" w:cs="Arial" w:eastAsia="Arial" w:hAnsi="Arial"/>
          <w:sz w:val="18"/>
          <w:szCs w:val="18"/>
          <w:color w:val="auto"/>
        </w:rPr>
        <w:t>. You will have the opportunity to earn a bonus of up to forty percent (40%) of your Base Salary (commencing with 2016), based on the achievement of or progress toward individual and corporate objectives and goals, as determined by the Board of Managers of the Company (the “Board”) in its sole discretion (any such bonus, an “Annual Bonus”); provided that to be eligible for any such Annual Bonus, you must be employed by the Company in good standing at the time such bonus is awarded. Your performance will be reviewed formally after six months of employment and annually thereafter.</w:t>
      </w:r>
    </w:p>
    <w:p>
      <w:pPr>
        <w:spacing w:after="0" w:line="188" w:lineRule="exact"/>
        <w:rPr>
          <w:rFonts w:ascii="Arial" w:cs="Arial" w:eastAsia="Arial" w:hAnsi="Arial"/>
          <w:sz w:val="18"/>
          <w:szCs w:val="18"/>
          <w:color w:val="auto"/>
        </w:rPr>
      </w:pPr>
    </w:p>
    <w:p>
      <w:pPr>
        <w:jc w:val="both"/>
        <w:ind w:left="-8" w:right="40" w:firstLine="464"/>
        <w:spacing w:after="0" w:line="291" w:lineRule="auto"/>
        <w:tabs>
          <w:tab w:leader="none" w:pos="693" w:val="left"/>
        </w:tabs>
        <w:numPr>
          <w:ilvl w:val="1"/>
          <w:numId w:val="342"/>
        </w:numPr>
        <w:rPr>
          <w:rFonts w:ascii="Arial" w:cs="Arial" w:eastAsia="Arial" w:hAnsi="Arial"/>
          <w:sz w:val="16"/>
          <w:szCs w:val="16"/>
          <w:color w:val="auto"/>
        </w:rPr>
      </w:pPr>
      <w:r>
        <w:rPr>
          <w:rFonts w:ascii="Arial" w:cs="Arial" w:eastAsia="Arial" w:hAnsi="Arial"/>
          <w:sz w:val="16"/>
          <w:szCs w:val="16"/>
          <w:u w:val="single" w:color="auto"/>
          <w:color w:val="auto"/>
        </w:rPr>
        <w:t>Equit</w:t>
      </w:r>
      <w:r>
        <w:rPr>
          <w:rFonts w:ascii="Arial" w:cs="Arial" w:eastAsia="Arial" w:hAnsi="Arial"/>
          <w:sz w:val="16"/>
          <w:szCs w:val="16"/>
          <w:color w:val="auto"/>
        </w:rPr>
        <w:t xml:space="preserve">y. As an important hire of the Company, you will be awarded at no cost to you, promptly following your Start Date, 6,904 Class C Non-Voting Units of the Company pursuant to the form of Class C Non-Voting Unit Restriction Agreement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 addition, you will be awarded</w:t>
      </w:r>
    </w:p>
    <w:p>
      <w:pPr>
        <w:ind w:left="-8" w:right="100" w:firstLine="8"/>
        <w:spacing w:after="0" w:line="270" w:lineRule="auto"/>
        <w:tabs>
          <w:tab w:leader="none" w:pos="207"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1,381 Class C Non-Voting Units of the Company upon the successful acceptance by the Food and Drug Administration (or its European equivalent) of an IND filing (or its European equivalent) by the Company and (ii) 1,381 Class C Non-Voting Units upon the first dosing of a patient in a clinical trial by the Company, provided, in each case, you continue to be employed by the Company at the time. Such awards are intended to be “profits interests” within the meaning of IRS Revenue Procedures 93-27 and 2001-43, that allow you to participate in distributions by the Company, but only to the extent such distributions exceed the fair market value of the Company as of the award date, as determined by the Board. The two additional awards will be subject to the same vesting schedule as described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commencing from the date of achievement of the applicable milestone.</w:t>
      </w:r>
    </w:p>
    <w:p>
      <w:pPr>
        <w:spacing w:after="0" w:line="178" w:lineRule="exact"/>
        <w:rPr>
          <w:rFonts w:ascii="Arial" w:cs="Arial" w:eastAsia="Arial" w:hAnsi="Arial"/>
          <w:sz w:val="17"/>
          <w:szCs w:val="17"/>
          <w:color w:val="auto"/>
        </w:rPr>
      </w:pPr>
    </w:p>
    <w:p>
      <w:pPr>
        <w:ind w:left="-8" w:firstLine="464"/>
        <w:spacing w:after="0" w:line="254" w:lineRule="auto"/>
        <w:tabs>
          <w:tab w:leader="none" w:pos="703" w:val="left"/>
        </w:tabs>
        <w:numPr>
          <w:ilvl w:val="1"/>
          <w:numId w:val="343"/>
        </w:numPr>
        <w:rPr>
          <w:rFonts w:ascii="Arial" w:cs="Arial" w:eastAsia="Arial" w:hAnsi="Arial"/>
          <w:sz w:val="18"/>
          <w:szCs w:val="18"/>
          <w:color w:val="auto"/>
        </w:rPr>
      </w:pPr>
      <w:r>
        <w:rPr>
          <w:rFonts w:ascii="Arial" w:cs="Arial" w:eastAsia="Arial" w:hAnsi="Arial"/>
          <w:sz w:val="18"/>
          <w:szCs w:val="18"/>
          <w:u w:val="single" w:color="auto"/>
          <w:color w:val="auto"/>
        </w:rPr>
        <w:t>Sign-On Bonus.</w:t>
      </w:r>
      <w:r>
        <w:rPr>
          <w:rFonts w:ascii="Arial" w:cs="Arial" w:eastAsia="Arial" w:hAnsi="Arial"/>
          <w:sz w:val="18"/>
          <w:szCs w:val="18"/>
          <w:color w:val="auto"/>
        </w:rPr>
        <w:t xml:space="preserve"> You will receive a one-time sign-on bonus of $100,000.00 promptly following your Start Date. If you resign from the Company without Good Reason (as defined below) during the first (1</w:t>
      </w:r>
      <w:r>
        <w:rPr>
          <w:rFonts w:ascii="Arial" w:cs="Arial" w:eastAsia="Arial" w:hAnsi="Arial"/>
          <w:sz w:val="15"/>
          <w:szCs w:val="15"/>
          <w:color w:val="auto"/>
        </w:rPr>
        <w:t>st</w:t>
      </w:r>
      <w:r>
        <w:rPr>
          <w:rFonts w:ascii="Arial" w:cs="Arial" w:eastAsia="Arial" w:hAnsi="Arial"/>
          <w:sz w:val="18"/>
          <w:szCs w:val="18"/>
          <w:color w:val="auto"/>
        </w:rPr>
        <w:t>) year following your Start Date, you will be obligated to repay the Company the total amount of such sign-on bonus within one (1) week of your termination date. If you resign from the Company without Good Reason during the second (2</w:t>
      </w:r>
      <w:r>
        <w:rPr>
          <w:rFonts w:ascii="Arial" w:cs="Arial" w:eastAsia="Arial" w:hAnsi="Arial"/>
          <w:sz w:val="15"/>
          <w:szCs w:val="15"/>
          <w:color w:val="auto"/>
        </w:rPr>
        <w:t>nd</w:t>
      </w:r>
      <w:r>
        <w:rPr>
          <w:rFonts w:ascii="Arial" w:cs="Arial" w:eastAsia="Arial" w:hAnsi="Arial"/>
          <w:sz w:val="18"/>
          <w:szCs w:val="18"/>
          <w:color w:val="auto"/>
        </w:rPr>
        <w:t>) year following your Start Date, you will be obligated to repay the Company an amount equal to fifty percent (50%) of such sign-on bonus within one (1) week of your termination date. To the maximum extent permitted by applicable law, you authorize the Company to deduct as a valid set-off, any unpaid compensation, accrued and unused vacation pay, unpaid performance bonus/incentive compensation, outstanding business expenses, and/or any other payments or compensation otherwise owed to you by the Company, against the amount of the sign-on bonus (if any) that you are obligated to repay to the Company pursuant to this Section 4(d).</w:t>
      </w:r>
    </w:p>
    <w:p>
      <w:pPr>
        <w:spacing w:after="0" w:line="192" w:lineRule="exact"/>
        <w:rPr>
          <w:rFonts w:ascii="Arial" w:cs="Arial" w:eastAsia="Arial" w:hAnsi="Arial"/>
          <w:sz w:val="18"/>
          <w:szCs w:val="18"/>
          <w:color w:val="auto"/>
        </w:rPr>
      </w:pPr>
    </w:p>
    <w:p>
      <w:pPr>
        <w:ind w:left="-8" w:right="100" w:firstLine="464"/>
        <w:spacing w:after="0" w:line="264" w:lineRule="auto"/>
        <w:tabs>
          <w:tab w:leader="none" w:pos="693" w:val="left"/>
        </w:tabs>
        <w:numPr>
          <w:ilvl w:val="1"/>
          <w:numId w:val="343"/>
        </w:numPr>
        <w:rPr>
          <w:rFonts w:ascii="Arial" w:cs="Arial" w:eastAsia="Arial" w:hAnsi="Arial"/>
          <w:sz w:val="18"/>
          <w:szCs w:val="18"/>
          <w:color w:val="auto"/>
        </w:rPr>
      </w:pPr>
      <w:r>
        <w:rPr>
          <w:rFonts w:ascii="Arial" w:cs="Arial" w:eastAsia="Arial" w:hAnsi="Arial"/>
          <w:sz w:val="18"/>
          <w:szCs w:val="18"/>
          <w:u w:val="single" w:color="auto"/>
          <w:color w:val="auto"/>
        </w:rPr>
        <w:t>Roche Obligations</w:t>
      </w:r>
      <w:r>
        <w:rPr>
          <w:rFonts w:ascii="Arial" w:cs="Arial" w:eastAsia="Arial" w:hAnsi="Arial"/>
          <w:sz w:val="18"/>
          <w:szCs w:val="18"/>
          <w:color w:val="auto"/>
        </w:rPr>
        <w:t>. The Company will assume, promptly following your Start Date, any contractual liabilities owed by you to Roche in connection with your business school education, your leased apartment and your leased automobile that are incurred by you in connection with your resignation from Roche, up to a maximum of $250,000. In addition, the</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455" w:name="page456"/>
    <w:bookmarkEnd w:id="455"/>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will gross you up for all federal, state, local and foreign income tax liability you incur as a result of such assumption by the Company. The aggregate amount of any payments by the Company pursuant to this Section 4(e) will also be subject to the repayment terms pursuant to Section 4(d) should you resign from the Company within two (2) years.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Relocation Expenses</w:t>
      </w:r>
      <w:r>
        <w:rPr>
          <w:rFonts w:ascii="Arial" w:cs="Arial" w:eastAsia="Arial" w:hAnsi="Arial"/>
          <w:sz w:val="18"/>
          <w:szCs w:val="18"/>
          <w:color w:val="auto"/>
        </w:rPr>
        <w:t>. The Company will reimburse you for reasonable out-of-pocket relocation expenses, up to a maximum of $[ ], incurred by you in connection with your relocation to the Cambridge, MA area, following submission of reasonably detailed receipts. In addition, the Company will provide you with (and pay for) a third-party relocation consultant to assist you with the move. The Company will gross you up for all federal, state, local and foreign income tax liability you incur as a result of such reimbursement by the Company.</w:t>
      </w:r>
    </w:p>
    <w:p>
      <w:pPr>
        <w:spacing w:after="0" w:line="187" w:lineRule="exact"/>
        <w:rPr>
          <w:sz w:val="20"/>
          <w:szCs w:val="20"/>
          <w:color w:val="auto"/>
        </w:rPr>
      </w:pPr>
    </w:p>
    <w:p>
      <w:pPr>
        <w:ind w:right="140" w:firstLine="464"/>
        <w:spacing w:after="0" w:line="277" w:lineRule="auto"/>
        <w:tabs>
          <w:tab w:leader="none" w:pos="711"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You will be entitled to reimbursement for all ordinary and necessary out-of-pocket business expenses that are reasonably incurred by you in furtherance of the Company’s business, following submission of reasonably detailed receipts.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r>
        <w:rPr>
          <w:rFonts w:ascii="Arial" w:cs="Arial" w:eastAsia="Arial" w:hAnsi="Arial"/>
          <w:sz w:val="18"/>
          <w:szCs w:val="18"/>
          <w:color w:val="auto"/>
        </w:rPr>
        <w:t>. All payments to you under this letter will be reduced by all applicable payroll deductions and withholdings.</w:t>
      </w:r>
    </w:p>
    <w:p>
      <w:pPr>
        <w:spacing w:after="0" w:line="225" w:lineRule="exact"/>
        <w:rPr>
          <w:sz w:val="20"/>
          <w:szCs w:val="20"/>
          <w:color w:val="auto"/>
        </w:rPr>
      </w:pPr>
    </w:p>
    <w:p>
      <w:pPr>
        <w:ind w:right="140" w:firstLine="464"/>
        <w:spacing w:after="0" w:line="264" w:lineRule="auto"/>
        <w:tabs>
          <w:tab w:leader="none" w:pos="636"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You will be entitled as an employee of the Company to receive such benefits as are generally provided to its employees and for which you are eligible in accordance with Company policy as in effect from time to time. The Company retains the right to change, add or terminate any particular benefit. You will be eligible for eleven (11) paid holidays and three (3) weeks of paid vacation per year.</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Termination and Severance</w:t>
      </w:r>
      <w:r>
        <w:rPr>
          <w:rFonts w:ascii="Arial" w:cs="Arial" w:eastAsia="Arial" w:hAnsi="Arial"/>
          <w:sz w:val="18"/>
          <w:szCs w:val="18"/>
          <w:color w:val="auto"/>
        </w:rPr>
        <w:t>. Your employment may be terminated by you or the Company as follows:</w:t>
      </w:r>
    </w:p>
    <w:p>
      <w:pPr>
        <w:spacing w:after="0" w:line="225" w:lineRule="exact"/>
        <w:rPr>
          <w:sz w:val="20"/>
          <w:szCs w:val="20"/>
          <w:color w:val="auto"/>
        </w:rPr>
      </w:pPr>
    </w:p>
    <w:p>
      <w:pPr>
        <w:ind w:right="300" w:firstLine="464"/>
        <w:spacing w:after="0" w:line="264" w:lineRule="auto"/>
        <w:tabs>
          <w:tab w:leader="none" w:pos="70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Company may terminate your employment for “Cause” (as defined below) effectively immediately upon written notice to you, in which case you will not be entitled to receive any payment other than your unpaid earned compensation and accrued and unused vacation time through your date of separation;</w:t>
      </w:r>
    </w:p>
    <w:p>
      <w:pPr>
        <w:spacing w:after="0" w:line="181" w:lineRule="exact"/>
        <w:rPr>
          <w:rFonts w:ascii="Arial" w:cs="Arial" w:eastAsia="Arial" w:hAnsi="Arial"/>
          <w:sz w:val="18"/>
          <w:szCs w:val="18"/>
          <w:color w:val="auto"/>
        </w:rPr>
      </w:pPr>
    </w:p>
    <w:p>
      <w:pPr>
        <w:ind w:firstLine="464"/>
        <w:spacing w:after="0" w:line="264" w:lineRule="auto"/>
        <w:tabs>
          <w:tab w:leader="none" w:pos="71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you may terminate your employment voluntarily other than for “Good Reason” (as defined below) upon at least thirty (30) days’ prior written notice to the Company, in which case you will not be entitled to receive any payment other than your unpaid earned compensation and accrued and unused vacation time through your date of separation; and</w:t>
      </w:r>
    </w:p>
    <w:p>
      <w:pPr>
        <w:spacing w:after="0" w:line="181" w:lineRule="exact"/>
        <w:rPr>
          <w:rFonts w:ascii="Arial" w:cs="Arial" w:eastAsia="Arial" w:hAnsi="Arial"/>
          <w:sz w:val="18"/>
          <w:szCs w:val="18"/>
          <w:color w:val="auto"/>
        </w:rPr>
      </w:pPr>
    </w:p>
    <w:p>
      <w:pPr>
        <w:ind w:right="120" w:firstLine="464"/>
        <w:spacing w:after="0" w:line="257" w:lineRule="auto"/>
        <w:tabs>
          <w:tab w:leader="none" w:pos="70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 the Company may terminate your employment other than for “Cause” upon at least thirty (30) days’ prior written notice to you and (ii) you may you terminate your employment voluntarily for “Good Reason” upon at least thirty (30) days’ prior written notice to the Company, in which case you will be entitled to receive as severance, subject to the succeeding sentence and Section 6(g), continued payment of your then-current Base Salary, payable in accordance with the Company’s regular payroll cycle, until the earlier of (A) the end of six (6) months following your termination and (B) the date you become employed full time.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456" w:name="page457"/>
    <w:bookmarkEnd w:id="456"/>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addition, if the Company terminates your employment other than for “Cause”, or you terminate your employment for “Good Reason”, in either case within twelve (12) months following a “Change of Control” (as that term is defined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then the Company will pay you a bonus of twenty percent (20%) of your then-current base salary. Notwithstanding the foregoing, but subject to Section 6(g), the Company’s obligations to make payments under this Section 6(c) are conditioned upon your execution and delivery of a fully effective and irrevocable separation agreement and general release of claims against the Company and its subsidiaries and affiliates in a form satisfactory to the Company within sixty (60) days after your termination of employment. If you fail to comply with the requirements of the preceding sentence, the Company will not have any obligation to provide the payments contemplated under this Section 6(c). Notwithstanding anything herein to the contrary, no payments under this Section 6(c) will be made until the first regular Company payroll date that occurs following the expiration of the sixty (60) day period described above (the “Release Payment Date”), with all payments delayed pursuant to this sentence being paid on the Release Payment Date to you in a lump sum, and any remaining payments due under this Section 6(c) being paid in accordance with the normal payment dates specified for them.</w:t>
      </w:r>
    </w:p>
    <w:p>
      <w:pPr>
        <w:spacing w:after="0" w:line="178" w:lineRule="exact"/>
        <w:rPr>
          <w:sz w:val="20"/>
          <w:szCs w:val="20"/>
          <w:color w:val="auto"/>
        </w:rPr>
      </w:pPr>
    </w:p>
    <w:p>
      <w:pPr>
        <w:ind w:firstLine="464"/>
        <w:spacing w:after="0" w:line="290" w:lineRule="auto"/>
        <w:tabs>
          <w:tab w:leader="none" w:pos="711" w:val="left"/>
        </w:tabs>
        <w:numPr>
          <w:ilvl w:val="1"/>
          <w:numId w:val="347"/>
        </w:numPr>
        <w:rPr>
          <w:rFonts w:ascii="Arial" w:cs="Arial" w:eastAsia="Arial" w:hAnsi="Arial"/>
          <w:sz w:val="16"/>
          <w:szCs w:val="16"/>
          <w:color w:val="auto"/>
        </w:rPr>
      </w:pPr>
      <w:r>
        <w:rPr>
          <w:rFonts w:ascii="Arial" w:cs="Arial" w:eastAsia="Arial" w:hAnsi="Arial"/>
          <w:sz w:val="16"/>
          <w:szCs w:val="16"/>
          <w:color w:val="auto"/>
        </w:rPr>
        <w:t xml:space="preserve">For purposes of this letter, “Cause” means (i) your conviction of a felony, your plea of guilty or “no contest” to a felony, or your confession of guilt to a felony, in each case whether or not in connection with the performance of your duties to the Company, (ii) any act or omission by you which constitutes willful misconduct or negligence that results in loss, damage or injury to the Company or its prospects, including, but not limited to (A) disloyalty, dishonesty or a breach of fiduciary duty to the Company or its equity holders, (B) theft, fraud, embezzlement or other illegal conduct, or (C) disregard of a rule or policy of the Company, (iii) your failure, refusal or unwillingness to perform, to the reasonable satisfaction of the Board determined in good faith, any duty or responsibility assigned to you in connection with the performance of your duties hereunder, which failure of performance continues for a period of more than seven (7) days after written notice thereof has been provided to you by the Board, such notice to set forth in reasonable detail the nature of such failure of performance, or (iv) the material breach by you of any of the provisions of this letter, including specifically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t>
      </w:r>
    </w:p>
    <w:p>
      <w:pPr>
        <w:spacing w:after="0" w:line="166" w:lineRule="exact"/>
        <w:rPr>
          <w:rFonts w:ascii="Arial" w:cs="Arial" w:eastAsia="Arial" w:hAnsi="Arial"/>
          <w:sz w:val="16"/>
          <w:szCs w:val="16"/>
          <w:color w:val="auto"/>
        </w:rPr>
      </w:pPr>
    </w:p>
    <w:p>
      <w:pPr>
        <w:ind w:right="320" w:firstLine="464"/>
        <w:spacing w:after="0" w:line="291" w:lineRule="auto"/>
        <w:tabs>
          <w:tab w:leader="none" w:pos="701" w:val="left"/>
        </w:tabs>
        <w:numPr>
          <w:ilvl w:val="1"/>
          <w:numId w:val="347"/>
        </w:numPr>
        <w:rPr>
          <w:rFonts w:ascii="Arial" w:cs="Arial" w:eastAsia="Arial" w:hAnsi="Arial"/>
          <w:sz w:val="16"/>
          <w:szCs w:val="16"/>
          <w:color w:val="auto"/>
        </w:rPr>
      </w:pPr>
      <w:r>
        <w:rPr>
          <w:rFonts w:ascii="Arial" w:cs="Arial" w:eastAsia="Arial" w:hAnsi="Arial"/>
          <w:sz w:val="16"/>
          <w:szCs w:val="16"/>
          <w:color w:val="auto"/>
        </w:rPr>
        <w:t>For purposes of this letter, “Good Reason” means, in the context of your resignation from your employment position with the Company, a resignation that occurs within thirty (30) days following: (i) a change in the principal location at which you provide services to the Company beyond fifty</w:t>
      </w:r>
    </w:p>
    <w:p>
      <w:pPr>
        <w:ind w:right="80" w:firstLine="8"/>
        <w:spacing w:after="0" w:line="254" w:lineRule="auto"/>
        <w:tabs>
          <w:tab w:leader="none" w:pos="34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miles from Cambridge, MA; (ii) a reduction in your compensation or a material reduction in other benefits, except a reduction in connection with a general reduction in compensation or other benefits of all senior executives of the Company; (iii) a failure by the Company to continue you as Chief Medical Officer; or (iv) a material breach of this letter by the Company that has not been cured within ten (10) days after written notice thereof by you to the Company, such notice to set forth in reasonable detail the nature of such breach.</w:t>
      </w:r>
    </w:p>
    <w:p>
      <w:pPr>
        <w:spacing w:after="0" w:line="189" w:lineRule="exact"/>
        <w:rPr>
          <w:rFonts w:ascii="Arial" w:cs="Arial" w:eastAsia="Arial" w:hAnsi="Arial"/>
          <w:sz w:val="18"/>
          <w:szCs w:val="18"/>
          <w:color w:val="auto"/>
        </w:rPr>
      </w:pPr>
    </w:p>
    <w:p>
      <w:pPr>
        <w:ind w:right="80" w:firstLine="464"/>
        <w:spacing w:after="0" w:line="264" w:lineRule="auto"/>
        <w:tabs>
          <w:tab w:leader="none" w:pos="681" w:val="left"/>
        </w:tabs>
        <w:numPr>
          <w:ilvl w:val="1"/>
          <w:numId w:val="348"/>
        </w:numPr>
        <w:rPr>
          <w:rFonts w:ascii="Arial" w:cs="Arial" w:eastAsia="Arial" w:hAnsi="Arial"/>
          <w:sz w:val="18"/>
          <w:szCs w:val="18"/>
          <w:color w:val="auto"/>
        </w:rPr>
      </w:pPr>
      <w:r>
        <w:rPr>
          <w:rFonts w:ascii="Arial" w:cs="Arial" w:eastAsia="Arial" w:hAnsi="Arial"/>
          <w:sz w:val="18"/>
          <w:szCs w:val="18"/>
          <w:color w:val="auto"/>
        </w:rPr>
        <w:t>In the event of your death or permanent disability (as defined below) while you are employed by the Company, your employment hereunder will immediately and automatically terminate and the Company will pay to you or your personal representative or designated beneficiary or, if no beneficiary has been designated by you, to your estate, any unpaid earned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457" w:name="page458"/>
    <w:bookmarkEnd w:id="457"/>
    <w:p>
      <w:pPr>
        <w:ind w:right="3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pro-rated through the date of your death or permanent disability, together with any accrued and unused vacation time. For purposes of this letter, “permanent disability” means your inability, due to physical or mental illness or disease, to perform the functions then performed by you for ninety</w:t>
      </w:r>
    </w:p>
    <w:p>
      <w:pPr>
        <w:ind w:right="400" w:firstLine="8"/>
        <w:spacing w:after="0" w:line="261" w:lineRule="auto"/>
        <w:tabs>
          <w:tab w:leader="none" w:pos="34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days during any twelve (12) month period; provided that the foregoing definition does not include a disability for which the Company is required to provide reasonable accommodation pursuant to the Americans with Disabilities Act or other similar statute or regulation.</w:t>
      </w:r>
    </w:p>
    <w:p>
      <w:pPr>
        <w:spacing w:after="0" w:line="183" w:lineRule="exact"/>
        <w:rPr>
          <w:rFonts w:ascii="Arial" w:cs="Arial" w:eastAsia="Arial" w:hAnsi="Arial"/>
          <w:sz w:val="18"/>
          <w:szCs w:val="18"/>
          <w:color w:val="auto"/>
        </w:rPr>
      </w:pPr>
    </w:p>
    <w:p>
      <w:pPr>
        <w:ind w:left="720" w:hanging="256"/>
        <w:spacing w:after="0"/>
        <w:tabs>
          <w:tab w:leader="none" w:pos="720" w:val="left"/>
        </w:tabs>
        <w:numPr>
          <w:ilvl w:val="2"/>
          <w:numId w:val="349"/>
        </w:numPr>
        <w:rPr>
          <w:rFonts w:ascii="Arial" w:cs="Arial" w:eastAsia="Arial" w:hAnsi="Arial"/>
          <w:sz w:val="18"/>
          <w:szCs w:val="18"/>
          <w:color w:val="auto"/>
        </w:rPr>
      </w:pPr>
      <w:r>
        <w:rPr>
          <w:rFonts w:ascii="Arial" w:cs="Arial" w:eastAsia="Arial" w:hAnsi="Arial"/>
          <w:sz w:val="18"/>
          <w:szCs w:val="18"/>
          <w:color w:val="auto"/>
        </w:rPr>
        <w:t>Notwithstanding anything in this letter to the contrary:</w:t>
      </w:r>
    </w:p>
    <w:p>
      <w:pPr>
        <w:spacing w:after="0" w:line="130" w:lineRule="exact"/>
        <w:rPr>
          <w:rFonts w:ascii="Arial" w:cs="Arial" w:eastAsia="Arial" w:hAnsi="Arial"/>
          <w:sz w:val="18"/>
          <w:szCs w:val="18"/>
          <w:color w:val="auto"/>
        </w:rPr>
      </w:pPr>
    </w:p>
    <w:p>
      <w:pPr>
        <w:ind w:left="900" w:right="100" w:hanging="446"/>
        <w:spacing w:after="0" w:line="257" w:lineRule="auto"/>
        <w:tabs>
          <w:tab w:leader="none" w:pos="9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parties agree that this letter will be interpreted to comply with or be exempt from Section 409A of the Internal Revenue Code of 1986, as amended (the “Code”), and the regulations and guidance promulgated thereunder to the extent applicable (collectively “Section 409A”), and all provisions of this letter will be construed in a manner consistent with the requirements for avoiding taxes or penalties under Section 409A. In no event whatsoever will the Company be liable for any additional tax, interest or penalties that may be imposed on you under Section 409A or any damages for failing to comply with Section 409A.</w:t>
      </w:r>
    </w:p>
    <w:p>
      <w:pPr>
        <w:spacing w:after="0" w:line="93" w:lineRule="exact"/>
        <w:rPr>
          <w:rFonts w:ascii="Arial" w:cs="Arial" w:eastAsia="Arial" w:hAnsi="Arial"/>
          <w:sz w:val="18"/>
          <w:szCs w:val="18"/>
          <w:color w:val="auto"/>
        </w:rPr>
      </w:pPr>
    </w:p>
    <w:p>
      <w:pPr>
        <w:ind w:left="900" w:hanging="446"/>
        <w:spacing w:after="0" w:line="269" w:lineRule="auto"/>
        <w:tabs>
          <w:tab w:leader="none" w:pos="90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A termination of employment will not be deemed to have occurred for purposes of any provision of this letter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letter, references to a “termination”, “termination of employment”, or like terms will mean “separation from service”. If you are deemed on the date of termination to be a “specified employee” within the meaning of that term under Code Section 409A(a)(2)(B), then with regard to any payment that is considered nonqualified deferred compensation under Code Section 409A payable on account of a “separation from service,” such payment or benefit will be made or provided at the date which is the earlier of (A) the expiration of the six (6)-month period measured from the date of your “separation from service”, and (B) the date of your death (as applicable, the “Delayed Payment Date”), and all payments and benefits delayed pursuant to this sentence (whether they would have otherwise been payable in a single sum or in installments in the absence of such delay) will be paid or reimbursed on the Delayed Payment Date to you (or your estate) in a lump sum, and any remaining payments and benefits due under Section 6(c) of this letter will be paid or provided in accordance with the normal payment dates specified for them.</w:t>
      </w:r>
    </w:p>
    <w:p>
      <w:pPr>
        <w:spacing w:after="0" w:line="85" w:lineRule="exact"/>
        <w:rPr>
          <w:rFonts w:ascii="Arial" w:cs="Arial" w:eastAsia="Arial" w:hAnsi="Arial"/>
          <w:sz w:val="17"/>
          <w:szCs w:val="17"/>
          <w:color w:val="auto"/>
        </w:rPr>
      </w:pPr>
    </w:p>
    <w:p>
      <w:pPr>
        <w:ind w:left="900" w:right="60" w:hanging="446"/>
        <w:spacing w:after="0" w:line="259" w:lineRule="auto"/>
        <w:tabs>
          <w:tab w:leader="none" w:pos="9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With regard to any provision in this letter that provides for reimbursement of costs and expenses or in-kind benefits, except as permitted by Code Section 409A, (i) the right to reimbursement or in-kind benefits will not be subject to liquidation or exchange for another benefit, (ii) the amount of expenses eligible for reimbursement, or in-kind benefits, provided during any taxable year will not affect the expenses eligible for reimbursement, or in-kind benefits to be provided,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3" w:right="259" w:bottom="1440" w:gutter="0" w:footer="0" w:header="0"/>
        </w:sectPr>
      </w:pPr>
    </w:p>
    <w:bookmarkStart w:id="458" w:name="page459"/>
    <w:bookmarkEnd w:id="458"/>
    <w:p>
      <w:pPr>
        <w:ind w:left="9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any other taxable year, provided that the foregoing clause (ii) will not be violated with regard to expenses reimbursed under any arrangement covered by Code Section 105(b) solely because such expenses are subject to a limit related to the period the arrangement is in effect and (iii) such payments will be made on or before the last day of your taxable year following the taxable year in which the expense occurred.</w:t>
      </w:r>
    </w:p>
    <w:p>
      <w:pPr>
        <w:spacing w:after="0" w:line="52" w:lineRule="exact"/>
        <w:rPr>
          <w:sz w:val="20"/>
          <w:szCs w:val="20"/>
          <w:color w:val="auto"/>
        </w:rPr>
      </w:pPr>
    </w:p>
    <w:p>
      <w:pPr>
        <w:ind w:left="880" w:right="140" w:hanging="446"/>
        <w:spacing w:after="0" w:line="302" w:lineRule="auto"/>
        <w:tabs>
          <w:tab w:leader="none" w:pos="88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For purposes of Code Section 409A, your right to receive any installment payments pursuant to this letter will be treated as a right to receive a series of separate and distinct payments. Whenever a payment under this letter may be paid within a specified period, the actual date of payment within the specified period will be within the sole discretion of the Company. You will not have any right to designate, directly or indirectly, the calendar year of any payment under this letter and any payment that may be made in two different calendar years shall be paid in the later year.</w:t>
      </w:r>
    </w:p>
    <w:p>
      <w:pPr>
        <w:spacing w:after="0" w:line="262" w:lineRule="exact"/>
        <w:rPr>
          <w:sz w:val="20"/>
          <w:szCs w:val="20"/>
          <w:color w:val="auto"/>
        </w:rPr>
      </w:pPr>
    </w:p>
    <w:p>
      <w:pPr>
        <w:ind w:left="620" w:hanging="176"/>
        <w:spacing w:after="0"/>
        <w:tabs>
          <w:tab w:leader="none" w:pos="62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sz w:val="20"/>
          <w:szCs w:val="20"/>
          <w:color w:val="auto"/>
        </w:rPr>
      </w:pPr>
    </w:p>
    <w:p>
      <w:pPr>
        <w:ind w:left="-20" w:right="380" w:firstLine="464"/>
        <w:spacing w:after="0" w:line="277" w:lineRule="auto"/>
        <w:tabs>
          <w:tab w:leader="none" w:pos="68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This letter, together with </w:t>
      </w:r>
      <w:r>
        <w:rPr>
          <w:rFonts w:ascii="Arial" w:cs="Arial" w:eastAsia="Arial" w:hAnsi="Arial"/>
          <w:sz w:val="18"/>
          <w:szCs w:val="18"/>
          <w:u w:val="single" w:color="auto"/>
          <w:color w:val="auto"/>
        </w:rPr>
        <w:t>Exhibits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will constitute our entire agreement as to your employment by the Company and will supersede any prior agreements or understandings, whether in writing or oral.</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This letter will be governed by the law of the Commonwealth of Massachusetts.</w:t>
      </w:r>
    </w:p>
    <w:p>
      <w:pPr>
        <w:spacing w:after="0" w:line="225" w:lineRule="exact"/>
        <w:rPr>
          <w:rFonts w:ascii="Arial" w:cs="Arial" w:eastAsia="Arial" w:hAnsi="Arial"/>
          <w:sz w:val="18"/>
          <w:szCs w:val="18"/>
          <w:color w:val="auto"/>
        </w:rPr>
      </w:pPr>
    </w:p>
    <w:p>
      <w:pPr>
        <w:ind w:left="-20" w:right="20" w:firstLine="464"/>
        <w:spacing w:after="0" w:line="257" w:lineRule="auto"/>
        <w:tabs>
          <w:tab w:leader="none" w:pos="68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Company’s obligations under this letter are contingent upon approval of its terms by the Board. No provision in this letter may be amended unless such amendment is set forth in a writing that expressly refers to the provision of this letter that is being amended and that is signed by you and the Company. No waiver by any person of any breach of any condition or provision contained in this letter shall be deemed a waiver of any similar or dissimilar condition or provision at the same or any prior or subsequent time. To be effective, any waiver must be set forth in a writing signed by the waiving person and must specifically refer to the condition(s) or provision(s) of this letter being waived.</w:t>
      </w:r>
    </w:p>
    <w:p>
      <w:pPr>
        <w:spacing w:after="0" w:line="188" w:lineRule="exact"/>
        <w:rPr>
          <w:rFonts w:ascii="Arial" w:cs="Arial" w:eastAsia="Arial" w:hAnsi="Arial"/>
          <w:sz w:val="18"/>
          <w:szCs w:val="18"/>
          <w:color w:val="auto"/>
        </w:rPr>
      </w:pPr>
    </w:p>
    <w:p>
      <w:pPr>
        <w:ind w:left="-20" w:right="180" w:firstLine="464"/>
        <w:spacing w:after="0" w:line="277" w:lineRule="auto"/>
        <w:tabs>
          <w:tab w:leader="none" w:pos="69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This letter may be executed in counterparts, each of which shall be deemed an original, but all of which together shall constitute one and the same letter. Signatures delivered by facsimile (including, without limitation, by “pdf”) shall be deemed effective for all purposes.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4" w:right="239" w:bottom="1440" w:gutter="0" w:footer="0" w:header="0"/>
        </w:sectPr>
      </w:pPr>
    </w:p>
    <w:bookmarkStart w:id="459" w:name="page460"/>
    <w:bookmarkEnd w:id="45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may accept this offer of employment and the terms and conditions thereof by signing the enclosed additional copy of this letter, which execution will evidence your agreement with the terms and conditions set forth herein, and returning it to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offer of employment will expire on November 20, 2015, unless accepted by you prior to such date.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Solid GT, LLC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Ilan Ganot</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CEO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Approved: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Jorge A. Quiroz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663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32"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Print Name: Jorge A. Quiroz, M.D.</w:t>
      </w:r>
      <w:r>
        <w:rPr>
          <w:sz w:val="20"/>
          <w:szCs w:val="20"/>
          <w:color w:val="auto"/>
        </w:rPr>
        <w:tab/>
      </w:r>
      <w:r>
        <w:rPr>
          <w:rFonts w:ascii="Arial" w:cs="Arial" w:eastAsia="Arial" w:hAnsi="Arial"/>
          <w:sz w:val="16"/>
          <w:szCs w:val="16"/>
          <w:color w:val="auto"/>
        </w:rPr>
        <w:t>Date: November 18, 2015</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274" w:right="459" w:bottom="1440" w:gutter="0" w:footer="0" w:header="0"/>
        </w:sectPr>
      </w:pPr>
    </w:p>
    <w:bookmarkStart w:id="460" w:name="page461"/>
    <w:bookmarkEnd w:id="46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EMPLOYEE TERMS AND CONDITIONS</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 consideration and as a condition of my employment and/or continued employment by Solid GT, LLC, a Delaware limited liability company (the “Company”), I hereby agree as follows:</w:t>
      </w:r>
    </w:p>
    <w:p>
      <w:pPr>
        <w:spacing w:after="0" w:line="76" w:lineRule="exact"/>
        <w:rPr>
          <w:sz w:val="20"/>
          <w:szCs w:val="20"/>
          <w:color w:val="auto"/>
        </w:rPr>
      </w:pPr>
    </w:p>
    <w:p>
      <w:pPr>
        <w:ind w:left="460" w:hanging="452"/>
        <w:spacing w:after="0" w:line="268" w:lineRule="auto"/>
        <w:tabs>
          <w:tab w:leader="none" w:pos="460"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Nondisclosure</w:t>
      </w:r>
      <w:r>
        <w:rPr>
          <w:rFonts w:ascii="Arial" w:cs="Arial" w:eastAsia="Arial" w:hAnsi="Arial"/>
          <w:sz w:val="17"/>
          <w:szCs w:val="17"/>
          <w:color w:val="auto"/>
        </w:rPr>
        <w:t>. I shall not at any time, whether during or after my employment, regardless of the reason for my termination, reveal to any person or entity any Confidential Information except to employees of the Company who need to know such Confidential Information for the purposes of their employment, or as otherwise authorized by the Company in writing. The term “Confidential Information” shall include, without limitation, any information and derivative information, in whatever form or medium, including oral information, concerning the organization, business, finances or personnel of the Company or of any third party which the Company is under an obligation to keep confidential or that is maintained by the Company as confidential. Such Confidential Information includes, but is not limited to, research and development activities performed by or on behalf of the Company, financial information about the Company or of any third party, personnel information, information regarding the business activities or personnel actions of the Company, and any confidential information or documents of third parties, including, but not limited to, business plans, projects, and proposals. Notwithstanding the foregoing, Confidential Information does not include information that: (a) is publicly known and generally available in the public domain other than in consequence of improper action by any person; or (b) was acquired by me free and clear of any duty of confidentiality or restricted use and without improper action by the transferor of such information or any other person. I shall not use or attempt to use any Confidential Information except as may be required in the ordinary course of performing my duties as an employee of the Company, and I shall not use any Confidential Information in any manner that may injure or cause loss or may be calculated to injure or cause loss to the Company, whether directly or indirectly.</w:t>
      </w:r>
    </w:p>
    <w:p>
      <w:pPr>
        <w:spacing w:after="0" w:line="333" w:lineRule="exact"/>
        <w:rPr>
          <w:rFonts w:ascii="Arial" w:cs="Arial" w:eastAsia="Arial" w:hAnsi="Arial"/>
          <w:sz w:val="17"/>
          <w:szCs w:val="17"/>
          <w:color w:val="auto"/>
        </w:rPr>
      </w:pPr>
    </w:p>
    <w:p>
      <w:pPr>
        <w:ind w:left="460" w:hanging="452"/>
        <w:spacing w:after="0"/>
        <w:tabs>
          <w:tab w:leader="none" w:pos="46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Work-Made-for Hire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line="272" w:lineRule="auto"/>
        <w:tabs>
          <w:tab w:leader="none" w:pos="900" w:val="left"/>
        </w:tabs>
        <w:numPr>
          <w:ilvl w:val="1"/>
          <w:numId w:val="353"/>
        </w:numPr>
        <w:rPr>
          <w:rFonts w:ascii="Arial" w:cs="Arial" w:eastAsia="Arial" w:hAnsi="Arial"/>
          <w:sz w:val="17"/>
          <w:szCs w:val="17"/>
          <w:color w:val="auto"/>
        </w:rPr>
      </w:pPr>
      <w:r>
        <w:rPr>
          <w:rFonts w:ascii="Arial" w:cs="Arial" w:eastAsia="Arial" w:hAnsi="Arial"/>
          <w:sz w:val="17"/>
          <w:szCs w:val="17"/>
          <w:color w:val="auto"/>
        </w:rPr>
        <w:t>All right, title and interest in any and all writings, ideas, inventions, know-how, designs, improvements or other property created, adapted or improved by me (whether alone or in conjunction with any other person) during my employment which relate in any way to the assets, business or operations of the Company, constituting copyrights, patents, trademarks, service marks and related rights or other forms of proprietary rights or information (regardless of whether any such copyrights, patents, trademarks and service marks or other rights have or may be registered), and all material created during my employment that includes any of the foregoing (collectively, “Covered Material”), are hereby assigned to, and shall be owned by, the Company, and to the extent that they include copyrightable subject matter, shall be deemed works made for hire for the Company within the meaning of the United States Copyright Act of 1976 and for all other purposes.</w:t>
      </w:r>
    </w:p>
    <w:p>
      <w:pPr>
        <w:sectPr>
          <w:pgSz w:w="11900" w:h="16838" w:orient="portrait"/>
          <w:cols w:equalWidth="0" w:num="1">
            <w:col w:w="11420"/>
          </w:cols>
          <w:pgMar w:left="240" w:top="270" w:right="239" w:bottom="1440" w:gutter="0" w:footer="0" w:header="0"/>
        </w:sectPr>
      </w:pPr>
    </w:p>
    <w:bookmarkStart w:id="461" w:name="page462"/>
    <w:bookmarkEnd w:id="461"/>
    <w:p>
      <w:pPr>
        <w:ind w:left="892" w:right="40" w:hanging="446"/>
        <w:spacing w:after="0" w:line="279" w:lineRule="auto"/>
        <w:tabs>
          <w:tab w:leader="none" w:pos="892" w:val="left"/>
        </w:tabs>
        <w:numPr>
          <w:ilvl w:val="1"/>
          <w:numId w:val="3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the right to apply for and obtain registrations in the United States Copyright Office and the United States Patent and Trademark Office, in its own or its designee’s name, of its rights in any or all of the Covered Material. If for any reason the rights in any Covered Material are registered, or applied to be registered, in my name, I shall assign in writing such application or registration to the Company and hereby authorize and appoint the Company its agent for the purpose of recording such assignment.</w:t>
      </w:r>
    </w:p>
    <w:p>
      <w:pPr>
        <w:spacing w:after="0" w:line="76" w:lineRule="exact"/>
        <w:rPr>
          <w:rFonts w:ascii="Arial" w:cs="Arial" w:eastAsia="Arial" w:hAnsi="Arial"/>
          <w:sz w:val="17"/>
          <w:szCs w:val="17"/>
          <w:color w:val="auto"/>
        </w:rPr>
      </w:pPr>
    </w:p>
    <w:p>
      <w:pPr>
        <w:ind w:left="892" w:hanging="446"/>
        <w:spacing w:after="0" w:line="273" w:lineRule="auto"/>
        <w:tabs>
          <w:tab w:leader="none" w:pos="892" w:val="left"/>
        </w:tabs>
        <w:numPr>
          <w:ilvl w:val="1"/>
          <w:numId w:val="354"/>
        </w:numPr>
        <w:rPr>
          <w:rFonts w:ascii="Arial" w:cs="Arial" w:eastAsia="Arial" w:hAnsi="Arial"/>
          <w:sz w:val="17"/>
          <w:szCs w:val="17"/>
          <w:color w:val="auto"/>
        </w:rPr>
      </w:pPr>
      <w:r>
        <w:rPr>
          <w:rFonts w:ascii="Arial" w:cs="Arial" w:eastAsia="Arial" w:hAnsi="Arial"/>
          <w:sz w:val="17"/>
          <w:szCs w:val="17"/>
          <w:color w:val="auto"/>
        </w:rPr>
        <w:t>Whenever the Company shall so request, whether during or after my employment, I shall execute, acknowledge and deliver all applications, assignments or other instruments; make or cause to be made all rightful oaths; testify in all legal proceedings; communicate all known facts which relate to such works, copyrights, inventions, ideas, discoveries, designs and improvements; perform all lawful acts and otherwise render all such assistance as the Company may deem necessary to protect the Company’s interest therein including any assistance which the Company shall deem necessary in connection with any proceeding or litigation involving the same. The Company shall reimburse me for all reasonable out-of-pocket costs, incurred by me in rendering any such assistance requested by the Company pursuant to this Section.</w:t>
      </w:r>
    </w:p>
    <w:p>
      <w:pPr>
        <w:spacing w:after="0" w:line="83" w:lineRule="exact"/>
        <w:rPr>
          <w:rFonts w:ascii="Arial" w:cs="Arial" w:eastAsia="Arial" w:hAnsi="Arial"/>
          <w:sz w:val="17"/>
          <w:szCs w:val="17"/>
          <w:color w:val="auto"/>
        </w:rPr>
      </w:pPr>
    </w:p>
    <w:p>
      <w:pPr>
        <w:ind w:left="452" w:right="60" w:hanging="452"/>
        <w:spacing w:after="0" w:line="255" w:lineRule="auto"/>
        <w:tabs>
          <w:tab w:leader="none" w:pos="452"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Non-hire of Employees and Consultants</w:t>
      </w:r>
      <w:r>
        <w:rPr>
          <w:rFonts w:ascii="Arial" w:cs="Arial" w:eastAsia="Arial" w:hAnsi="Arial"/>
          <w:sz w:val="18"/>
          <w:szCs w:val="18"/>
          <w:color w:val="auto"/>
        </w:rPr>
        <w:t>. During my employment and the one year period following the termination of my employment, regardless of the reason for my termination, I will not (except on the Company’s behalf), directly or indirectly, alone or as a consultant, partner, officer, director, employee, joint venturer, lender or stockholder of any entity, employ, hire, retain, attempt to employ, hire or retain, or knowingly permit any company or business organization by which I am employed or which is directly or indirectly controlled by me to employ, hire or retain, any Company employee or consultant, or any such person whose employment or consultancy with the Company has terminated within six months prior to or after my departure from the Company.</w:t>
      </w:r>
    </w:p>
    <w:p>
      <w:pPr>
        <w:spacing w:after="0" w:line="98" w:lineRule="exact"/>
        <w:rPr>
          <w:rFonts w:ascii="Arial" w:cs="Arial" w:eastAsia="Arial" w:hAnsi="Arial"/>
          <w:sz w:val="18"/>
          <w:szCs w:val="18"/>
          <w:color w:val="auto"/>
        </w:rPr>
      </w:pPr>
    </w:p>
    <w:p>
      <w:pPr>
        <w:ind w:left="452" w:right="60" w:hanging="452"/>
        <w:spacing w:after="0" w:line="297" w:lineRule="auto"/>
        <w:tabs>
          <w:tab w:leader="none" w:pos="452" w:val="left"/>
        </w:tabs>
        <w:numPr>
          <w:ilvl w:val="0"/>
          <w:numId w:val="355"/>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 and Consultants</w:t>
      </w:r>
      <w:r>
        <w:rPr>
          <w:rFonts w:ascii="Arial" w:cs="Arial" w:eastAsia="Arial" w:hAnsi="Arial"/>
          <w:sz w:val="16"/>
          <w:szCs w:val="16"/>
          <w:color w:val="auto"/>
        </w:rPr>
        <w:t>. During my employment and the one year period following the termination of my employment, regardless of the reason for my termination, I will not (except on the Company’s behalf), directly or indirectly, alone or as a consultant, partner, officer, director, employee, joint venturer, lender or stockholder of any entity, in any manner seek to solicit or induce any Company employee or consultant, or any such person whose employment or consultancy with the Company has terminated within six months prior to or after my departure from the Company, to leave his or her employment or consultancy with the Company, or assist in the recruitment or hiring of any such person.</w:t>
      </w:r>
    </w:p>
    <w:p>
      <w:pPr>
        <w:spacing w:after="0" w:line="63" w:lineRule="exact"/>
        <w:rPr>
          <w:rFonts w:ascii="Arial" w:cs="Arial" w:eastAsia="Arial" w:hAnsi="Arial"/>
          <w:sz w:val="16"/>
          <w:szCs w:val="16"/>
          <w:color w:val="auto"/>
        </w:rPr>
      </w:pPr>
    </w:p>
    <w:p>
      <w:pPr>
        <w:ind w:left="452" w:right="100" w:hanging="452"/>
        <w:spacing w:after="0" w:line="257" w:lineRule="auto"/>
        <w:tabs>
          <w:tab w:leader="none" w:pos="452"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I shall not at any time, whether during or after the termination of my employment, regardless of the reason for my termination, make to any person or entity disparaging or otherwise detrimental comments of a business or personal nature relating to the Company or its personnel. The Company agrees that it shall not, and that it shall instruct its senior executives not to, at any time, whether during or after the termination of your employment, regardless of the reason for such termination, make to any person or entity disparaging or otherwise detrimental comments of a business or personal nature relating to me.</w:t>
      </w:r>
    </w:p>
    <w:p>
      <w:pPr>
        <w:sectPr>
          <w:pgSz w:w="11900" w:h="16838" w:orient="portrait"/>
          <w:cols w:equalWidth="0" w:num="1">
            <w:col w:w="11392"/>
          </w:cols>
          <w:pgMar w:left="248" w:top="274" w:right="259" w:bottom="1440" w:gutter="0" w:footer="0" w:header="0"/>
        </w:sectPr>
      </w:pPr>
    </w:p>
    <w:bookmarkStart w:id="462" w:name="page463"/>
    <w:bookmarkEnd w:id="462"/>
    <w:p>
      <w:pPr>
        <w:ind w:left="452" w:hanging="452"/>
        <w:spacing w:after="0" w:line="290" w:lineRule="auto"/>
        <w:tabs>
          <w:tab w:leader="none" w:pos="452"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Property</w:t>
      </w:r>
      <w:r>
        <w:rPr>
          <w:rFonts w:ascii="Arial" w:cs="Arial" w:eastAsia="Arial" w:hAnsi="Arial"/>
          <w:sz w:val="16"/>
          <w:szCs w:val="16"/>
          <w:color w:val="auto"/>
        </w:rPr>
        <w:t>. I agree that during my employment I shall not make, use or permit to be used any Company Property otherwise than for the benefit of the Company. The term “Company Property” shall include all Confidential Information; the Company’s records, files and data; all Company computers, cellular telephones, personal digital assistants, credit and/or calling cards, keys, access cards and the like; and all other documentation or materials of any nature and in any form, whether written, printed, electronic or in digital format or otherwise, relating to any matter within the scope of the business of the Company or concerning any of its dealings or affairs and any other Company property in my possession, custody or control. I further agree that I shall not, after the termination of my employment, regardless of the reason for my termination, use or permit others to use any such Company Property. I acknowledge and agree that all Company Property shall be and remain the sole and exclusive property of the Company. Immediately upon the termination of my employment I shall deliver all Company Property in my possession, and all copies thereof, to the Company.</w:t>
      </w:r>
    </w:p>
    <w:p>
      <w:pPr>
        <w:spacing w:after="0" w:line="71" w:lineRule="exact"/>
        <w:rPr>
          <w:rFonts w:ascii="Arial" w:cs="Arial" w:eastAsia="Arial" w:hAnsi="Arial"/>
          <w:sz w:val="16"/>
          <w:szCs w:val="16"/>
          <w:color w:val="auto"/>
        </w:rPr>
      </w:pPr>
    </w:p>
    <w:p>
      <w:pPr>
        <w:ind w:left="452" w:right="380" w:hanging="452"/>
        <w:spacing w:after="0" w:line="277" w:lineRule="auto"/>
        <w:tabs>
          <w:tab w:leader="none" w:pos="452"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 I understand and agree that my employment with the Company is on an “at will” basis and that either the Company or I may terminate my employment at any time, for any or no reason, on notice to the other party.</w:t>
      </w:r>
    </w:p>
    <w:p>
      <w:pPr>
        <w:spacing w:after="0" w:line="319" w:lineRule="exact"/>
        <w:rPr>
          <w:rFonts w:ascii="Arial" w:cs="Arial" w:eastAsia="Arial" w:hAnsi="Arial"/>
          <w:sz w:val="18"/>
          <w:szCs w:val="18"/>
          <w:color w:val="auto"/>
        </w:rPr>
      </w:pPr>
    </w:p>
    <w:p>
      <w:pPr>
        <w:ind w:left="452" w:hanging="452"/>
        <w:spacing w:after="0"/>
        <w:tabs>
          <w:tab w:leader="none" w:pos="452"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80" w:hanging="446"/>
        <w:spacing w:after="0" w:line="259" w:lineRule="auto"/>
        <w:tabs>
          <w:tab w:leader="none" w:pos="892"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 represent that my employment with the Company and my performance of all of these terms and conditions do not and will not breach any agreement to keep in confidence proprietary information acquired by me in confidence or in trust prior to my Company employment, nor will it violate any nonsolicitation and/or noncompetition agreements entered into prior to my Company employment. I have not entered into, and I shall not enter into, any agreement either written or oral in conflict herewith.</w:t>
      </w:r>
    </w:p>
    <w:p>
      <w:pPr>
        <w:spacing w:after="0" w:line="92" w:lineRule="exact"/>
        <w:rPr>
          <w:rFonts w:ascii="Arial" w:cs="Arial" w:eastAsia="Arial" w:hAnsi="Arial"/>
          <w:sz w:val="18"/>
          <w:szCs w:val="18"/>
          <w:color w:val="auto"/>
        </w:rPr>
      </w:pPr>
    </w:p>
    <w:p>
      <w:pPr>
        <w:ind w:left="892" w:right="240" w:hanging="446"/>
        <w:spacing w:after="0" w:line="264" w:lineRule="auto"/>
        <w:tabs>
          <w:tab w:leader="none" w:pos="892"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 further agree that any breach of these terms and conditions by me will cause irreparable damage to the Company and that in the event of such breach the Company shall have, in addition to any and all remedies of law, the right to an injunction, specific performance or other equitable relief to prevent the violation of my obligations hereunder.</w:t>
      </w:r>
    </w:p>
    <w:p>
      <w:pPr>
        <w:spacing w:after="0" w:line="86" w:lineRule="exact"/>
        <w:rPr>
          <w:rFonts w:ascii="Arial" w:cs="Arial" w:eastAsia="Arial" w:hAnsi="Arial"/>
          <w:sz w:val="18"/>
          <w:szCs w:val="18"/>
          <w:color w:val="auto"/>
        </w:rPr>
      </w:pPr>
    </w:p>
    <w:p>
      <w:pPr>
        <w:jc w:val="both"/>
        <w:ind w:left="452" w:right="300" w:hanging="452"/>
        <w:spacing w:after="0" w:line="264" w:lineRule="auto"/>
        <w:tabs>
          <w:tab w:leader="none" w:pos="452"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Waiver; Amendments</w:t>
      </w:r>
      <w:r>
        <w:rPr>
          <w:rFonts w:ascii="Arial" w:cs="Arial" w:eastAsia="Arial" w:hAnsi="Arial"/>
          <w:sz w:val="18"/>
          <w:szCs w:val="18"/>
          <w:color w:val="auto"/>
        </w:rPr>
        <w:t>. Any waiver by the Company of a breach of any provision of these terms and conditions shall not operate or be construed as a waiver of any subsequent breach of such provision or any other provision hereof. In addition, any amendment to or modification of these terms and conditions or any waiver of any provision hereof must be in writing.</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3" w:right="239" w:bottom="1440" w:gutter="0" w:footer="0" w:header="0"/>
        </w:sectPr>
      </w:pPr>
    </w:p>
    <w:bookmarkStart w:id="463" w:name="page464"/>
    <w:bookmarkEnd w:id="463"/>
    <w:p>
      <w:pPr>
        <w:ind w:left="460" w:hanging="452"/>
        <w:spacing w:after="0" w:line="255" w:lineRule="auto"/>
        <w:tabs>
          <w:tab w:leader="none" w:pos="46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8"/>
          <w:szCs w:val="18"/>
          <w:color w:val="auto"/>
        </w:rPr>
        <w:t>. I agree that each provision and the subparts of each provision herein shall be treated as separate and independent clauses, and the unenforceability of any one clause shall in no way impair the enforceability of any of the other clauses of these terms and conditions. Moreover, if one or more of the provisions contained in these terms and conditions shall for any reason be held to be excessively broad as to scope, activity, term, subject or otherwise so as to be unenforceable at law, such provision or provisions shall be construed by the appropriate judicial body by limiting or reducing it or them, so as to be enforceable to the maximum extent compatible with the applicable law as it shall then appear. I hereby further agree that the language of all parts of these terms and conditions shall in all cases be construed as a whole according to its fair meaning and not strictly for or against either of the parties.</w:t>
      </w:r>
    </w:p>
    <w:p>
      <w:pPr>
        <w:spacing w:after="0" w:line="94"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These terms and conditions shall be effective as of the date entered below. My obligations under these terms and conditions shall survive the termination of my employment regardless of the reason for or manner of such termination and shall be binding upon my heirs, executors, administrators and legal representatives.</w:t>
      </w:r>
    </w:p>
    <w:p>
      <w:pPr>
        <w:spacing w:after="0" w:line="86" w:lineRule="exact"/>
        <w:rPr>
          <w:rFonts w:ascii="Arial" w:cs="Arial" w:eastAsia="Arial" w:hAnsi="Arial"/>
          <w:sz w:val="18"/>
          <w:szCs w:val="18"/>
          <w:color w:val="auto"/>
        </w:rPr>
      </w:pPr>
    </w:p>
    <w:p>
      <w:pPr>
        <w:ind w:left="460" w:right="320" w:hanging="452"/>
        <w:spacing w:after="0" w:line="342" w:lineRule="auto"/>
        <w:tabs>
          <w:tab w:leader="none" w:pos="460"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The Company shall have the right to assign these terms and conditions to its successors and assigns, and all covenants and agreements hereunder shall inure to the benefit of and be enforceable by said successors or assigns. I may not assign these terms and conditions.</w:t>
      </w:r>
    </w:p>
    <w:p>
      <w:pPr>
        <w:spacing w:after="0" w:line="29" w:lineRule="exact"/>
        <w:rPr>
          <w:rFonts w:ascii="Arial" w:cs="Arial" w:eastAsia="Arial" w:hAnsi="Arial"/>
          <w:sz w:val="16"/>
          <w:szCs w:val="16"/>
          <w:color w:val="auto"/>
        </w:rPr>
      </w:pPr>
    </w:p>
    <w:p>
      <w:pPr>
        <w:ind w:left="460" w:right="180" w:hanging="452"/>
        <w:spacing w:after="0" w:line="302" w:lineRule="auto"/>
        <w:tabs>
          <w:tab w:leader="none" w:pos="460"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These terms and conditions shall be governed by and construed in accordance with the laws of the Commonwealth of Massachusetts and shall in all respects be interpreted, enforced and governed under the internal and domestic laws of Massachusetts, without giving effect to the principles of conflicts of laws of such state. The laws of the Commonwealth of Massachusetts shall govern any claims or legal actions by one party against the other arising out of the relationship between the parties contemplated herein (whether or not arising under these terms and conditions).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I have executed these terms and conditions as of the date first written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/s/ Jorge A. Quiroz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-10160</wp:posOffset>
            </wp:positionV>
            <wp:extent cx="166751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6675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Jorge A. Quiroz,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-19050</wp:posOffset>
            </wp:positionV>
            <wp:extent cx="188277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88277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set forth above: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SOLID GT,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00"/>
          </w:cols>
          <w:pgMar w:left="240" w:top="273" w:right="259" w:bottom="1440" w:gutter="0" w:footer="0" w:header="0"/>
        </w:sectPr>
      </w:pPr>
    </w:p>
    <w:bookmarkStart w:id="464" w:name="page465"/>
    <w:bookmarkEnd w:id="464"/>
    <w:tbl>
      <w:tblPr>
        <w:tblLayout w:type="fixed"/>
        <w:tblInd w:w="46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40" w:type="dxa"/>
            <w:vAlign w:val="bottom"/>
            <w:gridSpan w:val="3"/>
          </w:tcPr>
          <w:p>
            <w:pPr>
              <w:jc w:val="center"/>
              <w:ind w:right="4500"/>
              <w:spacing w:after="0"/>
              <w:rPr>
                <w:sz w:val="20"/>
                <w:szCs w:val="20"/>
                <w:color w:val="auto"/>
              </w:rPr>
            </w:pPr>
            <w:r>
              <w:rPr>
                <w:rFonts w:ascii="Arial" w:cs="Arial" w:eastAsia="Arial" w:hAnsi="Arial"/>
                <w:sz w:val="18"/>
                <w:szCs w:val="18"/>
                <w:b w:val="1"/>
                <w:bCs w:val="1"/>
                <w:color w:val="auto"/>
              </w:rPr>
              <w:t>EXHIBIT B</w:t>
            </w:r>
          </w:p>
        </w:tc>
      </w:tr>
      <w:tr>
        <w:trPr>
          <w:trHeight w:val="20"/>
        </w:trPr>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12"/>
        </w:trPr>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CLASS C NON-VOTING UNIT RESTRICTION AGREEMENT</w:t>
            </w:r>
          </w:p>
        </w:tc>
        <w:tc>
          <w:tcPr>
            <w:tcW w:w="2580" w:type="dxa"/>
            <w:vAlign w:val="bottom"/>
          </w:tcPr>
          <w:p>
            <w:pPr>
              <w:spacing w:after="0"/>
              <w:rPr>
                <w:sz w:val="24"/>
                <w:szCs w:val="24"/>
                <w:color w:val="auto"/>
              </w:rPr>
            </w:pPr>
          </w:p>
        </w:tc>
      </w:tr>
      <w:tr>
        <w:trPr>
          <w:trHeight w:val="453"/>
        </w:trPr>
        <w:tc>
          <w:tcPr>
            <w:tcW w:w="2520" w:type="dxa"/>
            <w:vAlign w:val="bottom"/>
          </w:tcPr>
          <w:p>
            <w:pPr>
              <w:spacing w:after="0"/>
              <w:rPr>
                <w:sz w:val="20"/>
                <w:szCs w:val="20"/>
                <w:color w:val="auto"/>
              </w:rPr>
            </w:pPr>
            <w:r>
              <w:rPr>
                <w:rFonts w:ascii="Arial" w:cs="Arial" w:eastAsia="Arial" w:hAnsi="Arial"/>
                <w:sz w:val="18"/>
                <w:szCs w:val="18"/>
                <w:color w:val="auto"/>
                <w:w w:val="98"/>
              </w:rPr>
              <w:t xml:space="preserve">AGREEMENT, made as of the </w:t>
            </w:r>
            <w:r>
              <w:rPr>
                <w:rFonts w:ascii="Arial" w:cs="Arial" w:eastAsia="Arial" w:hAnsi="Arial"/>
                <w:sz w:val="18"/>
                <w:szCs w:val="18"/>
                <w:b w:val="1"/>
                <w:bCs w:val="1"/>
                <w:color w:val="auto"/>
                <w:w w:val="98"/>
              </w:rPr>
              <w:t>[</w:t>
            </w: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p>
        </w:tc>
        <w:tc>
          <w:tcPr>
            <w:tcW w:w="6400" w:type="dxa"/>
            <w:vAlign w:val="bottom"/>
            <w:gridSpan w:val="4"/>
          </w:tcPr>
          <w:p>
            <w:pPr>
              <w:ind w:left="440"/>
              <w:spacing w:after="0"/>
              <w:rPr>
                <w:sz w:val="20"/>
                <w:szCs w:val="20"/>
                <w:color w:val="auto"/>
              </w:rPr>
            </w:pPr>
            <w:r>
              <w:rPr>
                <w:rFonts w:ascii="Arial" w:cs="Arial" w:eastAsia="Arial" w:hAnsi="Arial"/>
                <w:sz w:val="18"/>
                <w:szCs w:val="18"/>
                <w:b w:val="1"/>
                <w:bCs w:val="1"/>
                <w:color w:val="auto"/>
                <w:w w:val="92"/>
              </w:rPr>
              <w:t>]</w:t>
            </w:r>
            <w:r>
              <w:rPr>
                <w:rFonts w:ascii="Arial" w:cs="Arial" w:eastAsia="Arial" w:hAnsi="Arial"/>
                <w:sz w:val="18"/>
                <w:szCs w:val="18"/>
                <w:color w:val="auto"/>
                <w:w w:val="92"/>
              </w:rPr>
              <w:t>, 2015, by and between Solid GT, LLC, a Delaware limited liability company (the</w:t>
            </w: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Jorge A. Quiroz, M.D. (the “Unitholder”).</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WHEREAS, the Unitholder is being issued an aggregate of 6,904 Class C Non-Voting Units of the Company (the “Units”), and all of such Units are designated as “profits interests” for purposes of the Second Amended and Restated Limited Liability Company Agreement of the Company, as the same may be amended from time to time (the “LLC Agreement”), and, accordingly, distributions in respect of the Units may be subject to limitations as provided in Section 8.1(c) of the LLC Agreement, as determined by its Board of Managers; and</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WHEREAS, it is a condition to the issuance of the Units that this Agreement be executed by the parties hereto, and the parties are willing to execute this Agreement and to be bound by the provisions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in consideration of the foregoing and the agreements set forth below, the parties hereby agree with each other as follows:</w:t>
      </w:r>
    </w:p>
    <w:p>
      <w:pPr>
        <w:spacing w:after="0" w:line="2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u w:val="single" w:color="auto"/>
          <w:color w:val="auto"/>
        </w:rPr>
        <w:t>Forfeiture of Units</w:t>
      </w:r>
      <w:r>
        <w:rPr>
          <w:rFonts w:ascii="Arial" w:cs="Arial" w:eastAsia="Arial" w:hAnsi="Arial"/>
          <w:sz w:val="16"/>
          <w:szCs w:val="16"/>
          <w:color w:val="auto"/>
        </w:rPr>
        <w:t>. If the Unitholder shall for any reason, including, without limitation, death, disability or involuntary termination with or without cause, cease to be employed by the Company, the Unitholder shall forfeit all of his Units, other than any of such Units which become Vested Units, as defined</w:t>
      </w:r>
    </w:p>
    <w:p>
      <w:pPr>
        <w:spacing w:after="0" w:line="287" w:lineRule="auto"/>
        <w:rPr>
          <w:sz w:val="20"/>
          <w:szCs w:val="20"/>
          <w:color w:val="auto"/>
        </w:rPr>
      </w:pPr>
      <w:r>
        <w:rPr>
          <w:rFonts w:ascii="Arial" w:cs="Arial" w:eastAsia="Arial" w:hAnsi="Arial"/>
          <w:sz w:val="16"/>
          <w:szCs w:val="16"/>
          <w:color w:val="auto"/>
        </w:rPr>
        <w:t xml:space="preserve">below. “Vested Units” shall mean 1,726 Units on </w:t>
      </w:r>
      <w:r>
        <w:rPr>
          <w:rFonts w:ascii="Arial" w:cs="Arial" w:eastAsia="Arial" w:hAnsi="Arial"/>
          <w:sz w:val="16"/>
          <w:szCs w:val="16"/>
          <w:b w:val="1"/>
          <w:bCs w:val="1"/>
          <w:color w:val="auto"/>
        </w:rPr>
        <w:t>[ ]</w:t>
      </w:r>
      <w:r>
        <w:rPr>
          <w:rFonts w:ascii="Arial" w:cs="Arial" w:eastAsia="Arial" w:hAnsi="Arial"/>
          <w:sz w:val="16"/>
          <w:szCs w:val="16"/>
          <w:color w:val="auto"/>
        </w:rPr>
        <w:t xml:space="preserve">, 2016 </w:t>
      </w:r>
      <w:r>
        <w:rPr>
          <w:rFonts w:ascii="Arial" w:cs="Arial" w:eastAsia="Arial" w:hAnsi="Arial"/>
          <w:sz w:val="16"/>
          <w:szCs w:val="16"/>
          <w:b w:val="1"/>
          <w:bCs w:val="1"/>
          <w:color w:val="auto"/>
        </w:rPr>
        <w:t>[insert one year anniversary date]</w:t>
      </w:r>
      <w:r>
        <w:rPr>
          <w:rFonts w:ascii="Arial" w:cs="Arial" w:eastAsia="Arial" w:hAnsi="Arial"/>
          <w:sz w:val="16"/>
          <w:szCs w:val="16"/>
          <w:color w:val="auto"/>
        </w:rPr>
        <w:t>, and an additional 1,726 Units on each anniversary thereafter, provided that no additional Units shall become Vested Units after the date upon which the Unitholder ceases to be employed by the Company and in no event shall more than 6,904 Units become Vested Units. Notwithstanding the foregoing, if, within twelve (12) months following a Change of Control (as defined below), the Unitholder’s employment is terminated by the Company without Cause (as defined in Section 6(a) of your employment letter), all of your Units shall become Vested Units. “Change in Control” shall mean the sale of all or substantially all of the outstanding equity, assets or business of the Company, by merger, consolidation, sale of assets or otherwise (other than a transaction in which all or substantially all of the individuals and entities who were beneficial owners of the equity of the Company immediately prior to such transaction beneficially own, directly or indirectly, more than fifty percent (50%) of the outstanding equity entitled to vote generally in the election of managers (or their equivalent) of the (i) resulting, surviving or acquiring company in such transaction in the case of a merger, consolidation or sale of outstanding equity, or (ii) acquiring company in the case of a sale of assets).</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u w:val="single" w:color="auto"/>
          <w:color w:val="auto"/>
        </w:rPr>
        <w:t>Entire Agreement and Amendments</w:t>
      </w:r>
      <w:r>
        <w:rPr>
          <w:rFonts w:ascii="Arial" w:cs="Arial" w:eastAsia="Arial" w:hAnsi="Arial"/>
          <w:sz w:val="18"/>
          <w:szCs w:val="18"/>
          <w:color w:val="auto"/>
        </w:rPr>
        <w:t>. This Agreement supersedes and replaces all prior agreements and understandings between the Company and the Unitholder with respect to the grant of equity in the Company to the Unitholder. This Agreement constitutes the entire agreement of the parties with respect to the subject matter hereof and neither this Agreement nor any provision hereof may be waived, modified, amended or terminated except by a written agreement signed by the parties hereto.</w:t>
      </w:r>
    </w:p>
    <w:p>
      <w:pPr>
        <w:sectPr>
          <w:pgSz w:w="11900" w:h="16838" w:orient="portrait"/>
          <w:cols w:equalWidth="0" w:num="1">
            <w:col w:w="11420"/>
          </w:cols>
          <w:pgMar w:left="240" w:top="257" w:right="239" w:bottom="1440" w:gutter="0" w:footer="0" w:header="0"/>
        </w:sectPr>
      </w:pPr>
    </w:p>
    <w:bookmarkStart w:id="465" w:name="page466"/>
    <w:bookmarkEnd w:id="465"/>
    <w:p>
      <w:pPr>
        <w:ind w:right="14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Successors and Assigns</w:t>
      </w:r>
      <w:r>
        <w:rPr>
          <w:rFonts w:ascii="Arial" w:cs="Arial" w:eastAsia="Arial" w:hAnsi="Arial"/>
          <w:sz w:val="18"/>
          <w:szCs w:val="18"/>
          <w:color w:val="auto"/>
        </w:rPr>
        <w:t>. This Agreement shall be governed by the laws of the State of Delaware and shall be binding upon the heirs, personal representatives, executors, administrators and permitted assigns of the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are for convenience only and are not deemed to be part of this Agreement.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u w:val="single" w:color="auto"/>
          <w:color w:val="auto"/>
        </w:rPr>
        <w:t>Continuation of Service</w:t>
      </w:r>
      <w:r>
        <w:rPr>
          <w:rFonts w:ascii="Arial" w:cs="Arial" w:eastAsia="Arial" w:hAnsi="Arial"/>
          <w:sz w:val="18"/>
          <w:szCs w:val="18"/>
          <w:color w:val="auto"/>
        </w:rPr>
        <w:t>. Nothing in this Agreement shall create an obligation on the Company to continue to have the Unitholder serve as an employee to the Company.</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u w:val="single" w:color="auto"/>
          <w:color w:val="auto"/>
        </w:rPr>
        <w:t>LLC Agreement</w:t>
      </w:r>
      <w:r>
        <w:rPr>
          <w:rFonts w:ascii="Arial" w:cs="Arial" w:eastAsia="Arial" w:hAnsi="Arial"/>
          <w:sz w:val="18"/>
          <w:szCs w:val="18"/>
          <w:color w:val="auto"/>
        </w:rPr>
        <w:t>. Upon the execution of this Agreement, the Unitholder shall be deemed to have executed, and become a party to, the LLC Agreement and to have been admitted to the Company as a Class C Member.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has been executed as of the date and year first 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SOLID GT, LLC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Jorge A. Quiroz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Jorge A. Quiroz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466" w:name="page467"/>
    <w:bookmarkEnd w:id="466"/>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172085</wp:posOffset>
            </wp:positionV>
            <wp:extent cx="1998345" cy="6515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99834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Broadway, Cambridge, 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Alvaro Amorrortu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Alvaro,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am pleased to provide you with the terms and conditions of your anticipated employment by Solid Biosciences, LLC (the “Company”).</w:t>
      </w:r>
    </w:p>
    <w:p>
      <w:pPr>
        <w:spacing w:after="0" w:line="225" w:lineRule="exact"/>
        <w:rPr>
          <w:sz w:val="20"/>
          <w:szCs w:val="20"/>
          <w:color w:val="auto"/>
        </w:rPr>
      </w:pPr>
    </w:p>
    <w:p>
      <w:pPr>
        <w:ind w:right="40" w:firstLine="8"/>
        <w:spacing w:after="0" w:line="257" w:lineRule="auto"/>
        <w:tabs>
          <w:tab w:leader="none" w:pos="315"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Your initial position will be Senior VP of Operations of the Company, reporting to the Company’s CEO, and you will be located initially in the Company’s office at One Broadway, Cambridge, MA. In addition to performing duties and responsibilities associated with the position of Senior VP of Operations, from time to time the Company may assign you other duties and responsibilities consistent with such position. As a full-time employee of the Company, you will be expected to devote your full business time and energies to the business and affairs of the Company. Your performance will be reviewed formally after six months of employment and annually thereafter.</w:t>
      </w:r>
    </w:p>
    <w:p>
      <w:pPr>
        <w:spacing w:after="0" w:line="188" w:lineRule="exact"/>
        <w:rPr>
          <w:rFonts w:ascii="Arial" w:cs="Arial" w:eastAsia="Arial" w:hAnsi="Arial"/>
          <w:sz w:val="18"/>
          <w:szCs w:val="18"/>
          <w:color w:val="auto"/>
        </w:rPr>
      </w:pPr>
    </w:p>
    <w:p>
      <w:pPr>
        <w:ind w:right="20" w:firstLine="8"/>
        <w:spacing w:after="0" w:line="277" w:lineRule="auto"/>
        <w:tabs>
          <w:tab w:leader="none" w:pos="315"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Starting Date</w:t>
      </w:r>
      <w:r>
        <w:rPr>
          <w:rFonts w:ascii="Arial" w:cs="Arial" w:eastAsia="Arial" w:hAnsi="Arial"/>
          <w:sz w:val="18"/>
          <w:szCs w:val="18"/>
          <w:color w:val="auto"/>
        </w:rPr>
        <w:t>. It is expected that your employment will start on November 30, 2015 (the date on which your employment starts being referred to herein as the “Start Date”).</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Your initial salary will be at the rate of $25,000 per month, annualized at $300,000, and you will be paid on a semi-monthly basis at the rate of $12,500.</w:t>
      </w:r>
    </w:p>
    <w:p>
      <w:pPr>
        <w:spacing w:after="0" w:line="75" w:lineRule="exact"/>
        <w:rPr>
          <w:rFonts w:ascii="Arial" w:cs="Arial" w:eastAsia="Arial" w:hAnsi="Arial"/>
          <w:sz w:val="18"/>
          <w:szCs w:val="18"/>
          <w:color w:val="auto"/>
        </w:rPr>
      </w:pPr>
    </w:p>
    <w:p>
      <w:pPr>
        <w:ind w:left="900" w:right="160" w:hanging="446"/>
        <w:spacing w:after="0" w:line="255" w:lineRule="auto"/>
        <w:tabs>
          <w:tab w:leader="none" w:pos="90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The Company will pay you a signing bonus of $100,000 on your Start Date. If your employment with the Company ends for any reason prior to the first anniversary of the Start Date, you will be required to promptly repay to the Company the full amount of the signing bonus. To the maximum extent permitted by applicable law, you authorize the Company to deduct as a valid set-off, any unpaid compensation, accrued and unused vacation pay, unpaid performance bonus/incentive compensation, outstanding business expenses, and/or any other payments or compensation otherwise owed to you by the Company, against the amount of the signing bonus (if any) that you are obligated to repay to the Company pursuant to this Section 3(b).</w:t>
      </w:r>
    </w:p>
    <w:p>
      <w:pPr>
        <w:sectPr>
          <w:pgSz w:w="11900" w:h="16838" w:orient="portrait"/>
          <w:cols w:equalWidth="0" w:num="1">
            <w:col w:w="11420"/>
          </w:cols>
          <w:pgMar w:left="240" w:top="121" w:right="239" w:bottom="1440" w:gutter="0" w:footer="0" w:header="0"/>
        </w:sectPr>
      </w:pPr>
    </w:p>
    <w:bookmarkStart w:id="467" w:name="page468"/>
    <w:bookmarkEnd w:id="467"/>
    <w:p>
      <w:pPr>
        <w:ind w:left="892" w:hanging="446"/>
        <w:spacing w:after="0" w:line="269" w:lineRule="auto"/>
        <w:tabs>
          <w:tab w:leader="none" w:pos="892" w:val="left"/>
        </w:tabs>
        <w:numPr>
          <w:ilvl w:val="1"/>
          <w:numId w:val="3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an important hire of the Company, promptly following your Start Date you will be awarded at no cost to you, 171,000 Series A Common Units of the Company and 1,388 Class C Non-Voting Units of Solid GT, LLC (“Solid GT”). 25% of each award will vest on the first anniversary of the Start Date and an additional 2.084% of each award will vest on each monthly anniversary thereafter, provided you continue to be employed by the Company. In addition, you will be awarded 694 Class C Non-Voting Units of Solid GT upon filing by Solid GT of a valid IND with the US Food and Drug Administration, and an additional 694 Class C Non-Voting Units of Solid GT upon a qualified IPO or sale of the Company or Solid GT, provided, in each case, you continue to be employed by the Company at the time. These additional awards will be subject to the same vesting schedule as described above, commencing from the date of achievement of the applicable milestone. These awards are intended to be “profits interests” within the meaning of IRS Revenue Procedures 93-27 and 2001-43, that allow you to participate in distributions by the Company or Solid GT, as applicable, above a certain threshold amount determined by the board of managers of the relevant entity. Distributions in respect of your Units in the Company and Solid GT may be subject to limitations as provided in the limited liability company agreements of the Company and Solid GT. You will be required to execute and become a party to such limited liability company agreements at the time Units are awarded to you.</w:t>
      </w:r>
    </w:p>
    <w:p>
      <w:pPr>
        <w:spacing w:after="0" w:line="85" w:lineRule="exact"/>
        <w:rPr>
          <w:rFonts w:ascii="Arial" w:cs="Arial" w:eastAsia="Arial" w:hAnsi="Arial"/>
          <w:sz w:val="17"/>
          <w:szCs w:val="17"/>
          <w:color w:val="auto"/>
        </w:rPr>
      </w:pPr>
    </w:p>
    <w:p>
      <w:pPr>
        <w:ind w:left="892" w:right="100" w:hanging="446"/>
        <w:spacing w:after="0" w:line="259" w:lineRule="auto"/>
        <w:tabs>
          <w:tab w:leader="none" w:pos="892" w:val="left"/>
        </w:tabs>
        <w:numPr>
          <w:ilvl w:val="1"/>
          <w:numId w:val="359"/>
        </w:numPr>
        <w:rPr>
          <w:rFonts w:ascii="Arial" w:cs="Arial" w:eastAsia="Arial" w:hAnsi="Arial"/>
          <w:sz w:val="18"/>
          <w:szCs w:val="18"/>
          <w:color w:val="auto"/>
        </w:rPr>
      </w:pPr>
      <w:r>
        <w:rPr>
          <w:rFonts w:ascii="Arial" w:cs="Arial" w:eastAsia="Arial" w:hAnsi="Arial"/>
          <w:sz w:val="18"/>
          <w:szCs w:val="18"/>
          <w:color w:val="auto"/>
        </w:rPr>
        <w:t>You will have the opportunity to earn a bonus of up to twenty percent (20%) of your annual base salary per year, based on the achievement of or progress toward individual departmental and/or corporate objectives and goals, as determined by the Board of Managers of the Company (the “Board”) in its sole discretion, provided that to be eligible for any such bonus, you must be employed by the Company in good standing at the time such bonus is awarded.</w:t>
      </w:r>
    </w:p>
    <w:p>
      <w:pPr>
        <w:spacing w:after="0" w:line="186" w:lineRule="exact"/>
        <w:rPr>
          <w:rFonts w:ascii="Arial" w:cs="Arial" w:eastAsia="Arial" w:hAnsi="Arial"/>
          <w:sz w:val="18"/>
          <w:szCs w:val="18"/>
          <w:color w:val="auto"/>
        </w:rPr>
      </w:pPr>
    </w:p>
    <w:p>
      <w:pPr>
        <w:jc w:val="both"/>
        <w:ind w:left="-8" w:right="140" w:firstLine="8"/>
        <w:spacing w:after="0" w:line="264" w:lineRule="auto"/>
        <w:tabs>
          <w:tab w:leader="none" w:pos="307"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You will be entitled as an employee of the Company to receive such benefits as are generally provided to its employees and for which you are eligible in accordance with Company policy as in effect from time to time. The Company retains the right to change, add or terminate any particular benefit. You will be eligible for 11 paid holidays and 3 weeks of paid vacation per year.</w:t>
      </w:r>
    </w:p>
    <w:p>
      <w:pPr>
        <w:spacing w:after="0" w:line="181" w:lineRule="exact"/>
        <w:rPr>
          <w:rFonts w:ascii="Arial" w:cs="Arial" w:eastAsia="Arial" w:hAnsi="Arial"/>
          <w:sz w:val="18"/>
          <w:szCs w:val="18"/>
          <w:color w:val="auto"/>
        </w:rPr>
      </w:pPr>
    </w:p>
    <w:p>
      <w:pPr>
        <w:ind w:left="312" w:hanging="312"/>
        <w:spacing w:after="0"/>
        <w:tabs>
          <w:tab w:leader="none" w:pos="312"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Termination and Severance</w:t>
      </w:r>
      <w:r>
        <w:rPr>
          <w:rFonts w:ascii="Arial" w:cs="Arial" w:eastAsia="Arial" w:hAnsi="Arial"/>
          <w:sz w:val="18"/>
          <w:szCs w:val="18"/>
          <w:color w:val="auto"/>
        </w:rPr>
        <w:t>.   Your employment may be terminated by you or the Company as follows:</w:t>
      </w:r>
    </w:p>
    <w:p>
      <w:pPr>
        <w:spacing w:after="0" w:line="130" w:lineRule="exact"/>
        <w:rPr>
          <w:rFonts w:ascii="Arial" w:cs="Arial" w:eastAsia="Arial" w:hAnsi="Arial"/>
          <w:sz w:val="18"/>
          <w:szCs w:val="18"/>
          <w:color w:val="auto"/>
        </w:rPr>
      </w:pPr>
    </w:p>
    <w:p>
      <w:pPr>
        <w:jc w:val="both"/>
        <w:ind w:left="892" w:right="80" w:hanging="446"/>
        <w:spacing w:after="0" w:line="264" w:lineRule="auto"/>
        <w:tabs>
          <w:tab w:leader="none" w:pos="892"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Company may terminate your employment for “Cause” (as defined below) upon written notice to you effectively immediately, in which case you will not be entitled to receive any payment other than your earned compensation and accrued and unused vacation time through your date of separation;</w:t>
      </w:r>
    </w:p>
    <w:p>
      <w:pPr>
        <w:spacing w:after="0" w:line="86" w:lineRule="exact"/>
        <w:rPr>
          <w:rFonts w:ascii="Arial" w:cs="Arial" w:eastAsia="Arial" w:hAnsi="Arial"/>
          <w:sz w:val="18"/>
          <w:szCs w:val="18"/>
          <w:color w:val="auto"/>
        </w:rPr>
      </w:pPr>
    </w:p>
    <w:p>
      <w:pPr>
        <w:ind w:left="892" w:right="280" w:hanging="446"/>
        <w:spacing w:after="0" w:line="264" w:lineRule="auto"/>
        <w:tabs>
          <w:tab w:leader="none" w:pos="892" w:val="left"/>
        </w:tabs>
        <w:numPr>
          <w:ilvl w:val="1"/>
          <w:numId w:val="360"/>
        </w:numPr>
        <w:rPr>
          <w:rFonts w:ascii="Arial" w:cs="Arial" w:eastAsia="Arial" w:hAnsi="Arial"/>
          <w:sz w:val="18"/>
          <w:szCs w:val="18"/>
          <w:color w:val="auto"/>
        </w:rPr>
      </w:pPr>
      <w:r>
        <w:rPr>
          <w:rFonts w:ascii="Arial" w:cs="Arial" w:eastAsia="Arial" w:hAnsi="Arial"/>
          <w:sz w:val="18"/>
          <w:szCs w:val="18"/>
          <w:color w:val="auto"/>
        </w:rPr>
        <w:t>you may terminate your employment voluntarily other than for “Good Reason” (as defined below) upon at least thirty (30) days’ prior written notice to the Company, in which case you will not be entitled to receive any payment other than your earned compensation and accrued and unused vacation time through your date of separation; and</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3" w:right="259" w:bottom="1440" w:gutter="0" w:footer="0" w:header="0"/>
        </w:sectPr>
      </w:pPr>
    </w:p>
    <w:bookmarkStart w:id="468" w:name="page469"/>
    <w:bookmarkEnd w:id="468"/>
    <w:p>
      <w:pPr>
        <w:ind w:left="446" w:hanging="446"/>
        <w:spacing w:after="0" w:line="283" w:lineRule="auto"/>
        <w:tabs>
          <w:tab w:leader="none" w:pos="446" w:val="left"/>
        </w:tabs>
        <w:numPr>
          <w:ilvl w:val="0"/>
          <w:numId w:val="3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the Company may terminate your employment other than for “Cause” upon at least thirty (30) days’ prior written notice to you and (ii) you may you terminate your employment voluntarily for “Good Reason” upon at least thirty (30) days’ prior written notice to the Company, in which case you will be entitled to receive as severance, subject to the succeeding sentence and Section 6(g), continued payment of your then-current base salary, payable in accordance with the Company’s regular payroll cycle, until the earlier of (A) the end of three (3) months following your termination and (B) the date you become employed full time. Notwithstanding the foregoing, but subject to Section 6(g), the Company’s obligations to make payments under this Section 6(c) are conditioned upon your execution and delivery of a fully effective and irrevocable separation agreement and general release of claims against the Company and its subsidiaries and affiliates in a form satisfactory to the Company within sixty (60) days after your termination of employment. If you fail to comply with the requirements of the preceding sentence, the Company will not have any obligation to provide the payments contemplated under this Section 6(c). Notwithstanding anything herein to the contrary, no payments under this Section 6(c) will be made until the first regular Company payroll date that occurs following the expiration of the sixty</w:t>
      </w:r>
    </w:p>
    <w:p>
      <w:pPr>
        <w:spacing w:after="0" w:line="5" w:lineRule="exact"/>
        <w:rPr>
          <w:rFonts w:ascii="Arial" w:cs="Arial" w:eastAsia="Arial" w:hAnsi="Arial"/>
          <w:sz w:val="16"/>
          <w:szCs w:val="16"/>
          <w:color w:val="auto"/>
        </w:rPr>
      </w:pPr>
    </w:p>
    <w:p>
      <w:pPr>
        <w:ind w:left="446" w:right="40"/>
        <w:spacing w:after="0" w:line="255" w:lineRule="auto"/>
        <w:rPr>
          <w:rFonts w:ascii="Arial" w:cs="Arial" w:eastAsia="Arial" w:hAnsi="Arial"/>
          <w:sz w:val="16"/>
          <w:szCs w:val="16"/>
          <w:color w:val="auto"/>
        </w:rPr>
      </w:pPr>
      <w:r>
        <w:rPr>
          <w:rFonts w:ascii="Arial" w:cs="Arial" w:eastAsia="Arial" w:hAnsi="Arial"/>
          <w:sz w:val="18"/>
          <w:szCs w:val="18"/>
          <w:color w:val="auto"/>
        </w:rPr>
        <w:t>(60) day period described above (the “Release Payment Date”), with all payments delayed pursuant to this sentence being paid on the Release Payment Date to you in a lump sum, and any remaining payments due under this Section 6(c) being paid in accordance with the normal payment dates specified for them.</w:t>
      </w:r>
    </w:p>
    <w:p>
      <w:pPr>
        <w:spacing w:after="0" w:line="95" w:lineRule="exact"/>
        <w:rPr>
          <w:rFonts w:ascii="Arial" w:cs="Arial" w:eastAsia="Arial" w:hAnsi="Arial"/>
          <w:sz w:val="16"/>
          <w:szCs w:val="16"/>
          <w:color w:val="auto"/>
        </w:rPr>
      </w:pPr>
    </w:p>
    <w:p>
      <w:pPr>
        <w:ind w:left="446" w:right="60" w:hanging="446"/>
        <w:spacing w:after="0" w:line="270" w:lineRule="auto"/>
        <w:tabs>
          <w:tab w:leader="none" w:pos="446"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For purposes of this letter, “Cause” means (i) your conviction of a felony, your plea of guilty or “no contest” to a felony, or your confession of guilt to a felony, in each case whether or not in connection with the performance of your duties to the Company, (ii) any act or omission by you which constitutes willful misconduct or negligence that results in loss, damage or injury to the Company or its prospects, including, but not limited to (A) disloyalty, dishonesty or a breach of fiduciary duty to the Company or its shareholders, (B) theft, fraud, embezzlement or other illegal conduct, or (C) disregard of a rule or policy of the Company, (iii) your failure, refusal or unwillingness to perform, to the reasonable satisfaction of the Board determined in good faith, any duty or responsibility assigned to you in connection with the performance of your duties hereunder, which failure of performance continues for a period of more than seven (7) days after written notice thereof has been provided to you by the Board, such notice to set forth in reasonable detail the nature of such failure of performance, or (iv) the material breach by you of any of the provisions of this letter, including specifically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87" w:lineRule="exact"/>
        <w:rPr>
          <w:rFonts w:ascii="Arial" w:cs="Arial" w:eastAsia="Arial" w:hAnsi="Arial"/>
          <w:sz w:val="17"/>
          <w:szCs w:val="17"/>
          <w:color w:val="auto"/>
        </w:rPr>
      </w:pPr>
    </w:p>
    <w:p>
      <w:pPr>
        <w:ind w:left="446" w:right="340" w:hanging="446"/>
        <w:spacing w:after="0" w:line="302" w:lineRule="auto"/>
        <w:tabs>
          <w:tab w:leader="none" w:pos="446" w:val="left"/>
        </w:tabs>
        <w:numPr>
          <w:ilvl w:val="0"/>
          <w:numId w:val="361"/>
        </w:numPr>
        <w:rPr>
          <w:rFonts w:ascii="Arial" w:cs="Arial" w:eastAsia="Arial" w:hAnsi="Arial"/>
          <w:sz w:val="16"/>
          <w:szCs w:val="16"/>
          <w:color w:val="auto"/>
        </w:rPr>
      </w:pPr>
      <w:r>
        <w:rPr>
          <w:rFonts w:ascii="Arial" w:cs="Arial" w:eastAsia="Arial" w:hAnsi="Arial"/>
          <w:sz w:val="16"/>
          <w:szCs w:val="16"/>
          <w:color w:val="auto"/>
        </w:rPr>
        <w:t>For purposes of this letter, “Good Reason” means, in the context of your resignation from your employment position with the Company, a resignation that occurs within thirty (30) days following: (i) a change in the principal location at which you provide services to the Company beyond fifty (50) miles from Cambridge, MA; (ii) a reduction in your compensation or a material reduction in other benefits, except such a reduction in connection with a general reduction in compensation or other benefits of all senior executives of the Company; or (iii) a</w:t>
      </w:r>
    </w:p>
    <w:p>
      <w:pPr>
        <w:spacing w:after="0" w:line="87"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6"/>
          </w:cols>
          <w:pgMar w:left="694" w:top="273" w:right="299" w:bottom="1440" w:gutter="0" w:footer="0" w:header="0"/>
        </w:sectPr>
      </w:pPr>
    </w:p>
    <w:bookmarkStart w:id="469" w:name="page470"/>
    <w:bookmarkEnd w:id="469"/>
    <w:p>
      <w:pPr>
        <w:ind w:left="466"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breach of this letter by the Company that has not been cured within ten (10) days after written notice thereof by you to the Company, which notice sets forth in reasonable detail the nature of such breach.</w:t>
      </w:r>
    </w:p>
    <w:p>
      <w:pPr>
        <w:spacing w:after="0" w:line="76" w:lineRule="exact"/>
        <w:rPr>
          <w:sz w:val="20"/>
          <w:szCs w:val="20"/>
          <w:color w:val="auto"/>
        </w:rPr>
      </w:pPr>
    </w:p>
    <w:p>
      <w:pPr>
        <w:ind w:left="446" w:right="60" w:hanging="446"/>
        <w:spacing w:after="0" w:line="255" w:lineRule="auto"/>
        <w:tabs>
          <w:tab w:leader="none" w:pos="446"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 the event of your death or permanent disability (as defined below) while you are employed by the Company, your employment hereunder shall immediately and automatically terminate and the Company shall pay to you or your personal representative or designated beneficiary or, if no beneficiary has been designated by you, to your estate, any earned and unpaid base salary, pro-rated through the date of your death or permanent disability. For purposes of this letter, “permanent disability” shall mean your inability, due to physical or mental illness or disease, to perform the functions then performed by you for ninety (90) days during any twelve (12) month period; provided that the foregoing definition shall not include a disability for which the Company is required to provide reasonable accommodation pursuant to the Americans with Disabilities Act or other similar statute or regulation.</w:t>
      </w:r>
    </w:p>
    <w:p>
      <w:pPr>
        <w:spacing w:after="0" w:line="94" w:lineRule="exact"/>
        <w:rPr>
          <w:rFonts w:ascii="Arial" w:cs="Arial" w:eastAsia="Arial" w:hAnsi="Arial"/>
          <w:sz w:val="18"/>
          <w:szCs w:val="18"/>
          <w:color w:val="auto"/>
        </w:rPr>
      </w:pPr>
    </w:p>
    <w:p>
      <w:pPr>
        <w:ind w:left="446" w:hanging="446"/>
        <w:spacing w:after="0"/>
        <w:tabs>
          <w:tab w:leader="none" w:pos="446" w:val="left"/>
        </w:tabs>
        <w:numPr>
          <w:ilvl w:val="0"/>
          <w:numId w:val="362"/>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w:t>
      </w:r>
    </w:p>
    <w:p>
      <w:pPr>
        <w:spacing w:after="0" w:line="130" w:lineRule="exact"/>
        <w:rPr>
          <w:rFonts w:ascii="Arial" w:cs="Arial" w:eastAsia="Arial" w:hAnsi="Arial"/>
          <w:sz w:val="18"/>
          <w:szCs w:val="18"/>
          <w:color w:val="auto"/>
        </w:rPr>
      </w:pPr>
    </w:p>
    <w:p>
      <w:pPr>
        <w:ind w:left="1026" w:right="100" w:hanging="567"/>
        <w:spacing w:after="0" w:line="276" w:lineRule="auto"/>
        <w:tabs>
          <w:tab w:leader="none" w:pos="1026" w:val="left"/>
        </w:tabs>
        <w:numPr>
          <w:ilvl w:val="1"/>
          <w:numId w:val="362"/>
        </w:numPr>
        <w:rPr>
          <w:rFonts w:ascii="Arial" w:cs="Arial" w:eastAsia="Arial" w:hAnsi="Arial"/>
          <w:sz w:val="17"/>
          <w:szCs w:val="17"/>
          <w:color w:val="auto"/>
        </w:rPr>
      </w:pPr>
      <w:r>
        <w:rPr>
          <w:rFonts w:ascii="Arial" w:cs="Arial" w:eastAsia="Arial" w:hAnsi="Arial"/>
          <w:sz w:val="17"/>
          <w:szCs w:val="17"/>
          <w:color w:val="auto"/>
        </w:rPr>
        <w:t>The parties agree that this Agreement will be interpreted to comply with or be exempt from Section 409A of the Internal Revenue Code of 1986, as amended (the “Code”), and the regulations and guidance promulgated thereunder to the extent applicable (collectively “Section 409A”), and all provisions of this Agreement will be construed in a manner consistent with the requirements for avoiding taxes or penalties under Section 409A. In no event whatsoever will the Company be liable for any additional tax, interest or penalties that may be imposed on you under Section 409A or any damages for failing to comply with Section 409A.</w:t>
      </w:r>
    </w:p>
    <w:p>
      <w:pPr>
        <w:spacing w:after="0" w:line="77" w:lineRule="exact"/>
        <w:rPr>
          <w:rFonts w:ascii="Arial" w:cs="Arial" w:eastAsia="Arial" w:hAnsi="Arial"/>
          <w:sz w:val="17"/>
          <w:szCs w:val="17"/>
          <w:color w:val="auto"/>
        </w:rPr>
      </w:pPr>
    </w:p>
    <w:p>
      <w:pPr>
        <w:ind w:left="1026" w:hanging="567"/>
        <w:spacing w:after="0" w:line="270" w:lineRule="auto"/>
        <w:tabs>
          <w:tab w:leader="none" w:pos="1026" w:val="left"/>
        </w:tabs>
        <w:numPr>
          <w:ilvl w:val="1"/>
          <w:numId w:val="362"/>
        </w:numPr>
        <w:rPr>
          <w:rFonts w:ascii="Arial" w:cs="Arial" w:eastAsia="Arial" w:hAnsi="Arial"/>
          <w:sz w:val="17"/>
          <w:szCs w:val="17"/>
          <w:color w:val="auto"/>
        </w:rPr>
      </w:pPr>
      <w:r>
        <w:rPr>
          <w:rFonts w:ascii="Arial" w:cs="Arial" w:eastAsia="Arial" w:hAnsi="Arial"/>
          <w:sz w:val="17"/>
          <w:szCs w:val="17"/>
          <w:color w:val="auto"/>
        </w:rPr>
        <w:t>A termination of employment will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will mean “separation from service”. If you are deemed on the date of termination to be a “specified employee” within the meaning of that term under Code Section 409A(a)(2)(B), then with regard to any payment that is considered nonqualified deferred compensation under Code Section 409A payable on account of a “separation from service,” such payment or benefit will be made or provided at the date which is the earlier of (A) the expiration of the six (6)-month period measured from the date of your “separation from service”, and (B) the date of your death (as applicable, the “Delayed Payment Date”), and all payments and benefits delayed pursuant to this sentence (whether they would have otherwise been payable in a single</w:t>
      </w:r>
    </w:p>
    <w:p>
      <w:pPr>
        <w:spacing w:after="0" w:line="11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74" w:right="239" w:bottom="1440" w:gutter="0" w:footer="0" w:header="0"/>
        </w:sectPr>
      </w:pPr>
    </w:p>
    <w:bookmarkStart w:id="470" w:name="page471"/>
    <w:bookmarkEnd w:id="470"/>
    <w:p>
      <w:pPr>
        <w:ind w:left="1480"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 or in installments in the absence of such delay) will be paid or reimbursed on the Delayed Payment Date to you (or your estate) in a lump sum, and any remaining payments and benefits due under Section 6(c) of this Agreement will be paid or provided in accordance with the normal payment dates specified for them.</w:t>
      </w:r>
    </w:p>
    <w:p>
      <w:pPr>
        <w:spacing w:after="0" w:line="87" w:lineRule="exact"/>
        <w:rPr>
          <w:sz w:val="20"/>
          <w:szCs w:val="20"/>
          <w:color w:val="auto"/>
        </w:rPr>
      </w:pPr>
    </w:p>
    <w:p>
      <w:pPr>
        <w:ind w:left="1480" w:hanging="567"/>
        <w:spacing w:after="0" w:line="272" w:lineRule="auto"/>
        <w:tabs>
          <w:tab w:leader="none" w:pos="1480" w:val="left"/>
        </w:tabs>
        <w:numPr>
          <w:ilvl w:val="2"/>
          <w:numId w:val="363"/>
        </w:numPr>
        <w:rPr>
          <w:rFonts w:ascii="Arial" w:cs="Arial" w:eastAsia="Arial" w:hAnsi="Arial"/>
          <w:sz w:val="17"/>
          <w:szCs w:val="17"/>
          <w:color w:val="auto"/>
        </w:rPr>
      </w:pPr>
      <w:r>
        <w:rPr>
          <w:rFonts w:ascii="Arial" w:cs="Arial" w:eastAsia="Arial" w:hAnsi="Arial"/>
          <w:sz w:val="17"/>
          <w:szCs w:val="17"/>
          <w:color w:val="auto"/>
        </w:rPr>
        <w:t>With regard to any provision in this Agreement that provides for reimbursement of costs and expenses or in-kind benefits, except as permitted by Code Section 409A, (i) the right to reimbursement or in-kind benefits will not be subject to liquidation or exchange for another benefit, (ii) the amount of expenses eligible for reimbursement, or in-kind benefits, provided during any taxable year will not affect the expenses eligible for reimbursement, or in-kind benefits to be provided, in any other taxable year, provided that the foregoing clause (ii) will not be violated with regard to expenses reimbursed under any arrangement covered by Code Section 105(b) solely because such expenses are subject to a limit related to the period the arrangement is in effect and (iii) such payments will be made on or before the last day of your taxable year following the taxable year in which the expense occurred.</w:t>
      </w:r>
    </w:p>
    <w:p>
      <w:pPr>
        <w:spacing w:after="0" w:line="83" w:lineRule="exact"/>
        <w:rPr>
          <w:rFonts w:ascii="Arial" w:cs="Arial" w:eastAsia="Arial" w:hAnsi="Arial"/>
          <w:sz w:val="17"/>
          <w:szCs w:val="17"/>
          <w:color w:val="auto"/>
        </w:rPr>
      </w:pPr>
    </w:p>
    <w:p>
      <w:pPr>
        <w:jc w:val="both"/>
        <w:ind w:left="1480" w:right="140" w:hanging="567"/>
        <w:spacing w:after="0" w:line="286" w:lineRule="auto"/>
        <w:tabs>
          <w:tab w:leader="none" w:pos="1480" w:val="left"/>
        </w:tabs>
        <w:numPr>
          <w:ilvl w:val="2"/>
          <w:numId w:val="363"/>
        </w:numPr>
        <w:rPr>
          <w:rFonts w:ascii="Arial" w:cs="Arial" w:eastAsia="Arial" w:hAnsi="Arial"/>
          <w:sz w:val="17"/>
          <w:szCs w:val="17"/>
          <w:color w:val="auto"/>
        </w:rPr>
      </w:pPr>
      <w:r>
        <w:rPr>
          <w:rFonts w:ascii="Arial" w:cs="Arial" w:eastAsia="Arial" w:hAnsi="Arial"/>
          <w:sz w:val="17"/>
          <w:szCs w:val="17"/>
          <w:color w:val="auto"/>
        </w:rPr>
        <w:t>For purposes of Code Section 409A, your right to receive any installment payments pursuant to this Agreement will be treated as a right to receive a series of separate and distinct payments. Whenever a payment under this Agreement may be paid within a specified period, the actual date of payment within the specified period will be within the sole discretion of the Company.</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1"/>
          <w:numId w:val="364"/>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r>
        <w:rPr>
          <w:rFonts w:ascii="Arial" w:cs="Arial" w:eastAsia="Arial" w:hAnsi="Arial"/>
          <w:sz w:val="18"/>
          <w:szCs w:val="18"/>
          <w:color w:val="auto"/>
        </w:rPr>
        <w:t>. All payments to you under this Agreement will be reduced by all applicable payroll deductions and withholdings.</w:t>
      </w:r>
    </w:p>
    <w:p>
      <w:pPr>
        <w:spacing w:after="0" w:line="333" w:lineRule="exact"/>
        <w:rPr>
          <w:rFonts w:ascii="Arial" w:cs="Arial" w:eastAsia="Arial" w:hAnsi="Arial"/>
          <w:sz w:val="18"/>
          <w:szCs w:val="18"/>
          <w:color w:val="auto"/>
        </w:rPr>
      </w:pPr>
    </w:p>
    <w:p>
      <w:pPr>
        <w:ind w:left="320" w:hanging="312"/>
        <w:spacing w:after="0"/>
        <w:tabs>
          <w:tab w:leader="none" w:pos="32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 xml:space="preserve">This letter, together with </w:t>
      </w:r>
      <w:r>
        <w:rPr>
          <w:rFonts w:ascii="Arial" w:cs="Arial" w:eastAsia="Arial" w:hAnsi="Arial"/>
          <w:sz w:val="18"/>
          <w:szCs w:val="18"/>
          <w:u w:val="single" w:color="auto"/>
          <w:color w:val="auto"/>
        </w:rPr>
        <w:t>Exhibits A</w:t>
      </w:r>
      <w:r>
        <w:rPr>
          <w:rFonts w:ascii="Arial" w:cs="Arial" w:eastAsia="Arial" w:hAnsi="Arial"/>
          <w:sz w:val="18"/>
          <w:szCs w:val="18"/>
          <w:color w:val="auto"/>
        </w:rPr>
        <w:t>, will constitute our entire agreement as to your employment by the Company and will supersede any prior agreements or understandings, whether in writing or oral.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This letter shall be governed by the law of the Commonwealth of Massachusetts.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65"/>
        </w:numPr>
        <w:rPr>
          <w:rFonts w:ascii="Arial" w:cs="Arial" w:eastAsia="Arial" w:hAnsi="Arial"/>
          <w:sz w:val="17"/>
          <w:szCs w:val="17"/>
          <w:color w:val="auto"/>
        </w:rPr>
      </w:pPr>
      <w:r>
        <w:rPr>
          <w:rFonts w:ascii="Arial" w:cs="Arial" w:eastAsia="Arial" w:hAnsi="Arial"/>
          <w:sz w:val="17"/>
          <w:szCs w:val="17"/>
          <w:color w:val="auto"/>
        </w:rPr>
        <w:t>The Company’s obligations under this letter are contingent upon approval of its terms by the Board and the board of managers of Solid GT.</w:t>
      </w:r>
    </w:p>
    <w:p>
      <w:pPr>
        <w:spacing w:after="0" w:line="23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You may accept this offer of employment and the terms and conditions thereof by signing the enclosed additional copy of this letter, which execution will evidence your agreement with the terms and conditions set forth herein and therein, and returning them to the Company.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71" w:name="page472"/>
    <w:bookmarkEnd w:id="47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offer of employment will expire on November 6, 2015, unless accepted by you prior to such date.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Solid Biosciences,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Ilan Ganot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Ilan Ganot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Accepted and Approved:</w:t>
            </w: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/s/ Alvaro Amorrortu</w:t>
            </w:r>
          </w:p>
        </w:tc>
        <w:tc>
          <w:tcPr>
            <w:tcW w:w="2080" w:type="dxa"/>
            <w:vAlign w:val="bottom"/>
            <w:gridSpan w:val="2"/>
          </w:tcPr>
          <w:p>
            <w:pPr>
              <w:ind w:left="480"/>
              <w:spacing w:after="0"/>
              <w:rPr>
                <w:sz w:val="20"/>
                <w:szCs w:val="20"/>
                <w:color w:val="auto"/>
              </w:rPr>
            </w:pPr>
            <w:r>
              <w:rPr>
                <w:rFonts w:ascii="Arial" w:cs="Arial" w:eastAsia="Arial" w:hAnsi="Arial"/>
                <w:sz w:val="18"/>
                <w:szCs w:val="18"/>
                <w:color w:val="auto"/>
              </w:rPr>
              <w:t>11/8/15</w:t>
            </w:r>
          </w:p>
        </w:tc>
      </w:tr>
      <w:tr>
        <w:trPr>
          <w:trHeight w:val="224"/>
        </w:trPr>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 Alvaro Amorrortu</w:t>
            </w:r>
          </w:p>
        </w:tc>
        <w:tc>
          <w:tcPr>
            <w:tcW w:w="480" w:type="dxa"/>
            <w:vAlign w:val="bottom"/>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72" w:name="page473"/>
    <w:bookmarkEnd w:id="47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EMPLOYEE TERMS AND CONDITIONS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consideration and as a condition of my employment and/or continued employment by Solid Biosciences, LLC, a Delaware limited liability company (the “Company”), I hereby agree as follows:</w:t>
      </w:r>
    </w:p>
    <w:p>
      <w:pPr>
        <w:spacing w:after="0" w:line="76" w:lineRule="exact"/>
        <w:rPr>
          <w:sz w:val="20"/>
          <w:szCs w:val="20"/>
          <w:color w:val="auto"/>
        </w:rPr>
      </w:pPr>
    </w:p>
    <w:p>
      <w:pPr>
        <w:ind w:left="460" w:hanging="452"/>
        <w:spacing w:after="0" w:line="268" w:lineRule="auto"/>
        <w:tabs>
          <w:tab w:leader="none" w:pos="460"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Nondisclosure</w:t>
      </w:r>
      <w:r>
        <w:rPr>
          <w:rFonts w:ascii="Arial" w:cs="Arial" w:eastAsia="Arial" w:hAnsi="Arial"/>
          <w:sz w:val="17"/>
          <w:szCs w:val="17"/>
          <w:color w:val="auto"/>
        </w:rPr>
        <w:t>. I shall not at any time, whether during or after my employment, regardless of the reason for my termination, reveal to any person or entity any Confidential Information except to employees of the Company who need to know such Confidential Information for the purposes of their employment, or as otherwise authorized by the Company in writing. The term “Confidential Information” shall include, without limitation, any information and derivative information, in whatever form or medium, including oral information, concerning the organization, business, finances or personnel of the Company or of any third party which the Company is under an obligation to keep confidential or that is maintained by the Company as confidential. Such Confidential Information includes, but is not limited to, research and development activities performed by or on behalf of the Company, financial information about the Company or of any third party, personnel information, information regarding the business activities or personnel actions of the Company, and any confidential information or documents of third parties, including, but not limited to, business plans, projects, and proposals. Notwithstanding the foregoing, Confidential Information does not include information that: (a) is publicly known and generally available in the public domain other than in consequence of improper action by any person; or (b) was acquired by me free and clear of any duty of confidentiality or restricted use and without improper action by the transferor of such information or any other person. I shall not use or attempt to use any Confidential Information except as may be required in the ordinary course of performing my duties as an employee of the Company, and I shall not use any Confidential Information in any manner that may injure or cause loss or may be calculated to injure or cause loss to the Company, whether directly or indirectly.</w:t>
      </w:r>
    </w:p>
    <w:p>
      <w:pPr>
        <w:spacing w:after="0" w:line="293" w:lineRule="exact"/>
        <w:rPr>
          <w:rFonts w:ascii="Arial" w:cs="Arial" w:eastAsia="Arial" w:hAnsi="Arial"/>
          <w:sz w:val="17"/>
          <w:szCs w:val="17"/>
          <w:color w:val="auto"/>
        </w:rPr>
      </w:pPr>
    </w:p>
    <w:p>
      <w:pPr>
        <w:ind w:left="320" w:hanging="312"/>
        <w:spacing w:after="0"/>
        <w:tabs>
          <w:tab w:leader="none" w:pos="320"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Work-Made-for Hire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line="272" w:lineRule="auto"/>
        <w:tabs>
          <w:tab w:leader="none" w:pos="90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All right, title and interest in any and all writings, ideas, inventions, know-how, designs, improvements or other property created, adapted or improved by me (whether alone or in conjunction with any other person) during my employment which relate in any way to the assets, business or operations of the Company, constituting copyrights, patents, trademarks, service marks and related rights or other forms of proprietary rights or information (regardless of whether any such copyrights, patents, trademarks and service marks or other rights have or may be registered), and all material created during my employment that includes any of the foregoing (collectively, “Covered Material”), are hereby assigned to, and shall be owned by, the Company, and to the extent that they include copyrightable subject matter, shall be deemed works made for hire for the Company within the meaning of the United States Copyright Act of 1976 and for all other purposes.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9" w:right="239" w:bottom="1440" w:gutter="0" w:footer="0" w:header="0"/>
        </w:sectPr>
      </w:pPr>
    </w:p>
    <w:bookmarkStart w:id="473" w:name="page474"/>
    <w:bookmarkEnd w:id="473"/>
    <w:p>
      <w:pPr>
        <w:ind w:left="892" w:right="40" w:hanging="446"/>
        <w:spacing w:after="0" w:line="279" w:lineRule="auto"/>
        <w:tabs>
          <w:tab w:leader="none" w:pos="892" w:val="left"/>
        </w:tabs>
        <w:numPr>
          <w:ilvl w:val="1"/>
          <w:numId w:val="3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the right to apply for and obtain registrations in the United States Copyright Office and the United States Patent and Trademark Office, in its own or its designee’s name, of its rights in any or all of the Covered Material. If for any reason the rights in any Covered Material are registered, or applied to be registered, in my name, I shall assign in writing such application or registration to the Company and hereby authorize and appoint the Company its agent for the purpose of recording such assignment.</w:t>
      </w:r>
    </w:p>
    <w:p>
      <w:pPr>
        <w:spacing w:after="0" w:line="76" w:lineRule="exact"/>
        <w:rPr>
          <w:rFonts w:ascii="Arial" w:cs="Arial" w:eastAsia="Arial" w:hAnsi="Arial"/>
          <w:sz w:val="17"/>
          <w:szCs w:val="17"/>
          <w:color w:val="auto"/>
        </w:rPr>
      </w:pPr>
    </w:p>
    <w:p>
      <w:pPr>
        <w:ind w:left="892" w:hanging="446"/>
        <w:spacing w:after="0" w:line="273" w:lineRule="auto"/>
        <w:tabs>
          <w:tab w:leader="none" w:pos="892" w:val="left"/>
        </w:tabs>
        <w:numPr>
          <w:ilvl w:val="1"/>
          <w:numId w:val="367"/>
        </w:numPr>
        <w:rPr>
          <w:rFonts w:ascii="Arial" w:cs="Arial" w:eastAsia="Arial" w:hAnsi="Arial"/>
          <w:sz w:val="17"/>
          <w:szCs w:val="17"/>
          <w:color w:val="auto"/>
        </w:rPr>
      </w:pPr>
      <w:r>
        <w:rPr>
          <w:rFonts w:ascii="Arial" w:cs="Arial" w:eastAsia="Arial" w:hAnsi="Arial"/>
          <w:sz w:val="17"/>
          <w:szCs w:val="17"/>
          <w:color w:val="auto"/>
        </w:rPr>
        <w:t>Whenever the Company shall so request, whether during or after my employment, I shall execute, acknowledge and deliver all applications, assignments or other instruments; make or cause to be made all rightful oaths; testify in all legal proceedings; communicate all known facts which relate to such works, copyrights, inventions, ideas, discoveries, designs and improvements; perform all lawful acts and otherwise render all such assistance as the Company may deem necessary to protect the Company’s interest therein including any assistance which the Company shall deem necessary in connection with any proceeding or litigation involving the same. The Company shall reimburse me for all reasonable out-of-pocket costs, incurred by me in rendering any such assistance requested by the Company pursuant to this Section.</w:t>
      </w:r>
    </w:p>
    <w:p>
      <w:pPr>
        <w:spacing w:after="0" w:line="83" w:lineRule="exact"/>
        <w:rPr>
          <w:rFonts w:ascii="Arial" w:cs="Arial" w:eastAsia="Arial" w:hAnsi="Arial"/>
          <w:sz w:val="17"/>
          <w:szCs w:val="17"/>
          <w:color w:val="auto"/>
        </w:rPr>
      </w:pPr>
    </w:p>
    <w:p>
      <w:pPr>
        <w:ind w:left="452" w:right="60" w:hanging="452"/>
        <w:spacing w:after="0" w:line="255" w:lineRule="auto"/>
        <w:tabs>
          <w:tab w:leader="none" w:pos="452"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Non-hire of Employees and Consultants</w:t>
      </w:r>
      <w:r>
        <w:rPr>
          <w:rFonts w:ascii="Arial" w:cs="Arial" w:eastAsia="Arial" w:hAnsi="Arial"/>
          <w:sz w:val="18"/>
          <w:szCs w:val="18"/>
          <w:color w:val="auto"/>
        </w:rPr>
        <w:t>. During my employment and the one year period following the termination of my employment, regardless of the reason for my termination, I will not (except on the Company’s behalf), directly or indirectly, alone or as a consultant, partner, officer, director, employee, joint venturer, lender or stockholder of any entity, employ, hire, retain, attempt to employ, hire or retain, or knowingly permit any company or business organization by which I am employed or which is directly or indirectly controlled by me to employ, hire or retain, any Company employee or consultant, or any such person whose employment or consultancy with the Company has terminated within six months prior to or after my departure from the Company.</w:t>
      </w:r>
    </w:p>
    <w:p>
      <w:pPr>
        <w:spacing w:after="0" w:line="98" w:lineRule="exact"/>
        <w:rPr>
          <w:rFonts w:ascii="Arial" w:cs="Arial" w:eastAsia="Arial" w:hAnsi="Arial"/>
          <w:sz w:val="18"/>
          <w:szCs w:val="18"/>
          <w:color w:val="auto"/>
        </w:rPr>
      </w:pPr>
    </w:p>
    <w:p>
      <w:pPr>
        <w:ind w:left="452" w:right="60" w:hanging="452"/>
        <w:spacing w:after="0" w:line="297" w:lineRule="auto"/>
        <w:tabs>
          <w:tab w:leader="none" w:pos="452"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 and Consultants</w:t>
      </w:r>
      <w:r>
        <w:rPr>
          <w:rFonts w:ascii="Arial" w:cs="Arial" w:eastAsia="Arial" w:hAnsi="Arial"/>
          <w:sz w:val="16"/>
          <w:szCs w:val="16"/>
          <w:color w:val="auto"/>
        </w:rPr>
        <w:t>. During my employment and the one year period following the termination of my employment, regardless of the reason for my termination, I will not (except on the Company’s behalf), directly or indirectly, alone or as a consultant, partner, officer, director, employee, joint venturer, lender or stockholder of any entity, in any manner seek to solicit or induce any Company employee or consultant, or any such person whose employment or consultancy with the Company has terminated within six months prior to or after my departure from the Company, to leave his or her employment or consultancy with the Company, or assist in the recruitment or hiring of any such person.</w:t>
      </w:r>
    </w:p>
    <w:p>
      <w:pPr>
        <w:spacing w:after="0" w:line="63" w:lineRule="exact"/>
        <w:rPr>
          <w:rFonts w:ascii="Arial" w:cs="Arial" w:eastAsia="Arial" w:hAnsi="Arial"/>
          <w:sz w:val="16"/>
          <w:szCs w:val="16"/>
          <w:color w:val="auto"/>
        </w:rPr>
      </w:pPr>
    </w:p>
    <w:p>
      <w:pPr>
        <w:ind w:left="452" w:right="300" w:hanging="452"/>
        <w:spacing w:after="0" w:line="264" w:lineRule="auto"/>
        <w:tabs>
          <w:tab w:leader="none" w:pos="452"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I shall not at any time, whether during or after the termination of my employment, regardless of the reason for my termination, make to any person or entity disparaging, critical or otherwise detrimental comments of a business or personal nature relating to the Company or its personnel.</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73" w:right="259" w:bottom="1440" w:gutter="0" w:footer="0" w:header="0"/>
        </w:sectPr>
      </w:pPr>
    </w:p>
    <w:bookmarkStart w:id="474" w:name="page475"/>
    <w:bookmarkEnd w:id="474"/>
    <w:p>
      <w:pPr>
        <w:ind w:left="452" w:hanging="452"/>
        <w:spacing w:after="0" w:line="290" w:lineRule="auto"/>
        <w:tabs>
          <w:tab w:leader="none" w:pos="452"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Property</w:t>
      </w:r>
      <w:r>
        <w:rPr>
          <w:rFonts w:ascii="Arial" w:cs="Arial" w:eastAsia="Arial" w:hAnsi="Arial"/>
          <w:sz w:val="16"/>
          <w:szCs w:val="16"/>
          <w:color w:val="auto"/>
        </w:rPr>
        <w:t>. I agree that during my employment I shall not make, use or permit to be used any Company Property otherwise than for the benefit of the Company. The term “Company Property” shall include all Confidential Information; the Company’s records, files and data; all Company computers, cellular telephones, personal digital assistants, credit and/or calling cards, keys, access cards and the like; and all other documentation or materials of any nature and in any form, whether written, printed, electronic or in digital format or otherwise, relating to any matter within the scope of the business of the Company or concerning any of its dealings or affairs and any other Company property in my possession, custody or control. I further agree that I shall not, after the termination of my employment, regardless of the reason for my termination, use or permit others to use any such Company Property. I acknowledge and agree that all Company Property shall be and remain the sole and exclusive property of the Company. Immediately upon the termination of my employment I shall deliver all Company Property in my possession, and all copies thereof, to the Company.</w:t>
      </w:r>
    </w:p>
    <w:p>
      <w:pPr>
        <w:spacing w:after="0" w:line="71" w:lineRule="exact"/>
        <w:rPr>
          <w:rFonts w:ascii="Arial" w:cs="Arial" w:eastAsia="Arial" w:hAnsi="Arial"/>
          <w:sz w:val="16"/>
          <w:szCs w:val="16"/>
          <w:color w:val="auto"/>
        </w:rPr>
      </w:pPr>
    </w:p>
    <w:p>
      <w:pPr>
        <w:ind w:left="452" w:right="380" w:hanging="452"/>
        <w:spacing w:after="0" w:line="277" w:lineRule="auto"/>
        <w:tabs>
          <w:tab w:leader="none" w:pos="45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 I understand and agree that my employment with the Company is on an “at will” basis and that either the Company or I may terminate my employment at any time, for any or no reason, on notice to the other party.</w:t>
      </w:r>
    </w:p>
    <w:p>
      <w:pPr>
        <w:spacing w:after="0" w:line="278" w:lineRule="exact"/>
        <w:rPr>
          <w:rFonts w:ascii="Arial" w:cs="Arial" w:eastAsia="Arial" w:hAnsi="Arial"/>
          <w:sz w:val="18"/>
          <w:szCs w:val="18"/>
          <w:color w:val="auto"/>
        </w:rPr>
      </w:pPr>
    </w:p>
    <w:p>
      <w:pPr>
        <w:ind w:left="312" w:hanging="312"/>
        <w:spacing w:after="0"/>
        <w:tabs>
          <w:tab w:leader="none" w:pos="31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80" w:hanging="446"/>
        <w:spacing w:after="0" w:line="259" w:lineRule="auto"/>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 represent that my employment with the Company and my performance of all of these terms and conditions do not and will not breach any agreement to keep in confidence proprietary information acquired by me in confidence or in trust prior to my Company employment, nor will it violate any nonsolicitation and/or noncompetition agreements entered into prior to my Company employment. I have not entered into, and I shall not enter into, any agreement either written or oral in conflict herewith.</w:t>
      </w:r>
    </w:p>
    <w:p>
      <w:pPr>
        <w:spacing w:after="0" w:line="92" w:lineRule="exact"/>
        <w:rPr>
          <w:rFonts w:ascii="Arial" w:cs="Arial" w:eastAsia="Arial" w:hAnsi="Arial"/>
          <w:sz w:val="18"/>
          <w:szCs w:val="18"/>
          <w:color w:val="auto"/>
        </w:rPr>
      </w:pPr>
    </w:p>
    <w:p>
      <w:pPr>
        <w:ind w:left="892" w:right="240" w:hanging="446"/>
        <w:spacing w:after="0" w:line="264" w:lineRule="auto"/>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 further agree that any breach of these terms and conditions by me will cause irreparable damage to the Company and that in the event of such breach the Company shall have, in addition to any and all remedies of law, the right to an injunction, specific performance or other equitable relief to prevent the violation of my obligations hereunder.</w:t>
      </w:r>
    </w:p>
    <w:p>
      <w:pPr>
        <w:spacing w:after="0" w:line="86" w:lineRule="exact"/>
        <w:rPr>
          <w:rFonts w:ascii="Arial" w:cs="Arial" w:eastAsia="Arial" w:hAnsi="Arial"/>
          <w:sz w:val="18"/>
          <w:szCs w:val="18"/>
          <w:color w:val="auto"/>
        </w:rPr>
      </w:pPr>
    </w:p>
    <w:p>
      <w:pPr>
        <w:jc w:val="both"/>
        <w:ind w:left="452" w:right="300" w:hanging="452"/>
        <w:spacing w:after="0" w:line="264" w:lineRule="auto"/>
        <w:tabs>
          <w:tab w:leader="none" w:pos="45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Waiver; Amendments</w:t>
      </w:r>
      <w:r>
        <w:rPr>
          <w:rFonts w:ascii="Arial" w:cs="Arial" w:eastAsia="Arial" w:hAnsi="Arial"/>
          <w:sz w:val="18"/>
          <w:szCs w:val="18"/>
          <w:color w:val="auto"/>
        </w:rPr>
        <w:t>. Any waiver by the Company of a breach of any provision of these terms and conditions shall not operate or be construed as a waiver of any subsequent breach of such provision or any other provision hereof. In addition, any amendment to or modification of these terms and conditions or any waiver of any provision hereof must be in writing.</w:t>
      </w:r>
    </w:p>
    <w:p>
      <w:pPr>
        <w:spacing w:after="0" w:line="86" w:lineRule="exact"/>
        <w:rPr>
          <w:rFonts w:ascii="Arial" w:cs="Arial" w:eastAsia="Arial" w:hAnsi="Arial"/>
          <w:sz w:val="18"/>
          <w:szCs w:val="18"/>
          <w:color w:val="auto"/>
        </w:rPr>
      </w:pPr>
    </w:p>
    <w:p>
      <w:pPr>
        <w:ind w:left="452" w:right="20" w:hanging="452"/>
        <w:spacing w:after="0" w:line="259" w:lineRule="auto"/>
        <w:tabs>
          <w:tab w:leader="none" w:pos="45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 agree that each provision and the subparts of each provision herein shall be treated as separate and independent clauses, and the unenforceability of any one clause shall in no way impair the enforceability of any of the other clauses of these terms and conditions. Moreover, if one or more of the provisions contained in these terms and conditions shall for any reason be held to be excessively broad as to scope, activity, term, subject or otherwise so as to be unenforceable at law, such provision or provisions shall</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74" w:right="239" w:bottom="1440" w:gutter="0" w:footer="0" w:header="0"/>
        </w:sectPr>
      </w:pPr>
    </w:p>
    <w:bookmarkStart w:id="475" w:name="page476"/>
    <w:bookmarkEnd w:id="475"/>
    <w:p>
      <w:pPr>
        <w:ind w:left="46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construed by the appropriate judicial body by limiting or reducing it or them, so as to be enforceable to the maximum extent compatible with the applicable law as it shall then appear. I hereby further agree that the language of all parts of these terms and conditions shall in all cases be construed as a whole according to its fair meaning and not strictly for or against either of the parties.</w:t>
      </w:r>
    </w:p>
    <w:p>
      <w:pPr>
        <w:spacing w:after="0" w:line="87" w:lineRule="exact"/>
        <w:rPr>
          <w:sz w:val="20"/>
          <w:szCs w:val="20"/>
          <w:color w:val="auto"/>
        </w:rPr>
      </w:pPr>
    </w:p>
    <w:p>
      <w:pPr>
        <w:ind w:left="460" w:hanging="452"/>
        <w:spacing w:after="0" w:line="264" w:lineRule="auto"/>
        <w:tabs>
          <w:tab w:leader="none" w:pos="46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These terms and conditions shall be effective as of the date entered below. My obligations under these terms and conditions shall survive the termination of my employment regardless of the reason for or manner of such termination and shall be binding upon my heirs, executors, administrators and legal representatives.</w:t>
      </w:r>
    </w:p>
    <w:p>
      <w:pPr>
        <w:spacing w:after="0" w:line="86" w:lineRule="exact"/>
        <w:rPr>
          <w:rFonts w:ascii="Arial" w:cs="Arial" w:eastAsia="Arial" w:hAnsi="Arial"/>
          <w:sz w:val="18"/>
          <w:szCs w:val="18"/>
          <w:color w:val="auto"/>
        </w:rPr>
      </w:pPr>
    </w:p>
    <w:p>
      <w:pPr>
        <w:ind w:left="460" w:right="320" w:hanging="452"/>
        <w:spacing w:after="0" w:line="342" w:lineRule="auto"/>
        <w:tabs>
          <w:tab w:leader="none" w:pos="460"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The Company shall have the right to assign these terms and conditions to its successors and assigns, and all covenants and agreements hereunder shall inure to the benefit of and be enforceable by said successors or assigns. I may not assign these terms and conditions.</w:t>
      </w:r>
    </w:p>
    <w:p>
      <w:pPr>
        <w:spacing w:after="0" w:line="29" w:lineRule="exact"/>
        <w:rPr>
          <w:rFonts w:ascii="Arial" w:cs="Arial" w:eastAsia="Arial" w:hAnsi="Arial"/>
          <w:sz w:val="16"/>
          <w:szCs w:val="16"/>
          <w:color w:val="auto"/>
        </w:rPr>
      </w:pPr>
    </w:p>
    <w:p>
      <w:pPr>
        <w:ind w:left="460" w:right="120" w:hanging="452"/>
        <w:spacing w:after="0" w:line="279" w:lineRule="auto"/>
        <w:tabs>
          <w:tab w:leader="none" w:pos="460"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These terms and conditions shall be governed by and construed in accordance with the laws of the State of Delaware and shall in all respects be interpreted, enforced and governed under the internal and domestic laws of Delaware, without giving effect to the principles of conflicts of laws of such state. The laws of the State of Delaware shall govern any claims or legal actions by one party against the other arising out of the relationship between the parties contemplated herein (whether or not arising under these terms and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I have executed these terms and conditions as of the date first written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Signature:</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Alvaro Amorrotu</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Alvaro Amorrotu</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Date:</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11/8/15</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set forth above: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SOLID BIOSCIENCES,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76" w:name="page477"/>
    <w:bookmarkEnd w:id="476"/>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ADVISORY AGREEMENT</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consideration and as a condition of my advisory relationship with Solid Ventures, LLC, a Delaware limited liability company (the “Company”), I hereby agree with the Company as follows:</w:t>
      </w:r>
    </w:p>
    <w:p>
      <w:pPr>
        <w:spacing w:after="0" w:line="62" w:lineRule="exact"/>
        <w:rPr>
          <w:sz w:val="20"/>
          <w:szCs w:val="20"/>
          <w:color w:val="auto"/>
        </w:rPr>
      </w:pPr>
    </w:p>
    <w:p>
      <w:pPr>
        <w:ind w:right="40" w:firstLine="464"/>
        <w:spacing w:after="0" w:line="271" w:lineRule="auto"/>
        <w:tabs>
          <w:tab w:leader="none" w:pos="636"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Relationship</w:t>
      </w:r>
      <w:r>
        <w:rPr>
          <w:rFonts w:ascii="Arial" w:cs="Arial" w:eastAsia="Arial" w:hAnsi="Arial"/>
          <w:sz w:val="17"/>
          <w:szCs w:val="17"/>
          <w:color w:val="auto"/>
        </w:rPr>
        <w:t>. During the period of my advisory relationship with the Company, I shall devote my reasonable time and efforts to the Company’s business, consistent with my other business responsibilities. My efforts on behalf of the Company shall, accordingly, be on a part-time basis. My title with the Company shall be Chairman of the Board of Managers (“Board Chairman”). My duties as Board Chairman shall consist of the following: (1) all customary duties befitting such position, including the organization and direction of meetings of the Board of Managers of the Company and the appointment of members of such Board to various committees thereof, (ii) to act as Chairman of the Scientific Board of the Company and to perform all customary duties befitting such position, including recruiting and directing scientific and technical personnel, heading the clinical and strategic direction of the Company, evaluating pre-clinical and clinical programs, and recruiting additional members for the Scientific Board; to participate in regularly scheduled management and scientific review meetings; and (iv) to head the strategic planning of pre-clinical and clinical programs.</w:t>
      </w:r>
    </w:p>
    <w:p>
      <w:pPr>
        <w:spacing w:after="0" w:line="70" w:lineRule="exact"/>
        <w:rPr>
          <w:rFonts w:ascii="Arial" w:cs="Arial" w:eastAsia="Arial" w:hAnsi="Arial"/>
          <w:sz w:val="17"/>
          <w:szCs w:val="17"/>
          <w:color w:val="auto"/>
        </w:rPr>
      </w:pPr>
    </w:p>
    <w:p>
      <w:pPr>
        <w:ind w:right="40" w:firstLine="464"/>
        <w:spacing w:after="0" w:line="277" w:lineRule="auto"/>
        <w:tabs>
          <w:tab w:leader="none" w:pos="636"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period of my advisory relationship, the Company shall pay me the following amounts for the performance of my services: $50,000 per calendar quarter on the last day of each calendar quarter of 2015.</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Work-Made-for Hire</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70" w:lineRule="auto"/>
        <w:tabs>
          <w:tab w:leader="none" w:pos="701" w:val="left"/>
        </w:tabs>
        <w:numPr>
          <w:ilvl w:val="0"/>
          <w:numId w:val="372"/>
        </w:numPr>
        <w:rPr>
          <w:rFonts w:ascii="Arial" w:cs="Arial" w:eastAsia="Arial" w:hAnsi="Arial"/>
          <w:sz w:val="17"/>
          <w:szCs w:val="17"/>
          <w:color w:val="auto"/>
        </w:rPr>
      </w:pPr>
      <w:r>
        <w:rPr>
          <w:rFonts w:ascii="Arial" w:cs="Arial" w:eastAsia="Arial" w:hAnsi="Arial"/>
          <w:sz w:val="17"/>
          <w:szCs w:val="17"/>
          <w:color w:val="auto"/>
        </w:rPr>
        <w:t>All right, title and interest in any and all writings, ideas, inventions, know-how, designs, improvements or other property created during my employment relating in any way to the assets, business or operations of the Company, constituting copyrights, patents, trademarks, service marks and related rights or other forms of proprietary rights or information (regardless of whether any such copyrights, patents, trademarks and service marks or other rights have or may be registered) that are created, adapted or improved by me (whether alone or in conjunction with any other person or employee) or which I disclose to the Company, or which are based upon material facts, ideas or other property gathered from, for or about any personnel, contractors or clients of the Company, and all material, whether created during or after my employment, that includes any of the foregoing (collectively, “Covered Material”), shall be owned by the Company and to the extent that it includes copyrightable subject matter, shall be deemed a work made for hire for the Company within the meaning of the United States Copyright Act of 1976 and for all other purposes. If any Covered Material is deemed not to be work made for hire, such Covered Material is hereby assigned by me to the Company and I shall not have or claim to have, under this Agreement or otherwise, any right, title or interest of any kind or nature whatsoever in such Covered Material.</w:t>
      </w:r>
    </w:p>
    <w:p>
      <w:pPr>
        <w:spacing w:after="0" w:line="69" w:lineRule="exact"/>
        <w:rPr>
          <w:rFonts w:ascii="Arial" w:cs="Arial" w:eastAsia="Arial" w:hAnsi="Arial"/>
          <w:sz w:val="17"/>
          <w:szCs w:val="17"/>
          <w:color w:val="auto"/>
        </w:rPr>
      </w:pPr>
    </w:p>
    <w:p>
      <w:pPr>
        <w:ind w:right="40" w:firstLine="464"/>
        <w:spacing w:after="0" w:line="259" w:lineRule="auto"/>
        <w:tabs>
          <w:tab w:leader="none" w:pos="71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Company shall have the right to apply for and obtain registrations in the United States Copyright Office and the United States Patent and Trademark Office, in its own or its designee’s name, of its rights in any or all of the Covered Material. If for any reason the rights in any Covered Material are registered, or applied to be registered, in my name, I shall assign in writing such application or registration to the Company and hereby authorize and appoint the Company its agent for the purpose of recording such assignment.</w:t>
      </w:r>
    </w:p>
    <w:p>
      <w:pPr>
        <w:sectPr>
          <w:pgSz w:w="11900" w:h="16838" w:orient="portrait"/>
          <w:cols w:equalWidth="0" w:num="1">
            <w:col w:w="11420"/>
          </w:cols>
          <w:pgMar w:left="240" w:top="121" w:right="239" w:bottom="1440" w:gutter="0" w:footer="0" w:header="0"/>
        </w:sectPr>
      </w:pPr>
    </w:p>
    <w:bookmarkStart w:id="477" w:name="page478"/>
    <w:bookmarkEnd w:id="477"/>
    <w:p>
      <w:pPr>
        <w:ind w:left="-464" w:right="240" w:firstLine="464"/>
        <w:spacing w:after="0" w:line="273" w:lineRule="auto"/>
        <w:tabs>
          <w:tab w:leader="none" w:pos="237" w:val="left"/>
        </w:tabs>
        <w:numPr>
          <w:ilvl w:val="0"/>
          <w:numId w:val="3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the Company shall so request, whether during or after my employment, I shall execute, acknowledge and deliver all applications, assignments or other instruments; make or cause to be made all rightful oaths; testify in all legal proceedings; communicate all known facts which relate to such works, copyrights, inventions, ideas, discoveries, designs and improvements; perform all lawful acts and otherwise render all such assistance as the Company may deem necessary to protect the Company’s interest therein including any assistance which the Company shall deem necessary in connection with any proceeding or litigation involving the same. The Company shall reimburse me for all reasonable out-of-pocket costs, incurred by me in rendering any such assistance requested by the Company pursuant to this Section.</w:t>
      </w:r>
    </w:p>
    <w:p>
      <w:pPr>
        <w:spacing w:after="0" w:line="70" w:lineRule="exact"/>
        <w:rPr>
          <w:sz w:val="20"/>
          <w:szCs w:val="20"/>
          <w:color w:val="auto"/>
        </w:rPr>
      </w:pPr>
    </w:p>
    <w:p>
      <w:pPr>
        <w:ind w:left="-464" w:firstLine="464"/>
        <w:spacing w:after="0" w:line="268" w:lineRule="auto"/>
        <w:tabs>
          <w:tab w:leader="none" w:pos="172" w:val="left"/>
        </w:tabs>
        <w:numPr>
          <w:ilvl w:val="0"/>
          <w:numId w:val="374"/>
        </w:numPr>
        <w:rPr>
          <w:rFonts w:ascii="Arial" w:cs="Arial" w:eastAsia="Arial" w:hAnsi="Arial"/>
          <w:sz w:val="17"/>
          <w:szCs w:val="17"/>
          <w:color w:val="auto"/>
        </w:rPr>
      </w:pPr>
      <w:r>
        <w:rPr>
          <w:rFonts w:ascii="Arial" w:cs="Arial" w:eastAsia="Arial" w:hAnsi="Arial"/>
          <w:sz w:val="17"/>
          <w:szCs w:val="17"/>
          <w:u w:val="single" w:color="auto"/>
          <w:color w:val="auto"/>
        </w:rPr>
        <w:t>Nondisclosure</w:t>
      </w:r>
      <w:r>
        <w:rPr>
          <w:rFonts w:ascii="Arial" w:cs="Arial" w:eastAsia="Arial" w:hAnsi="Arial"/>
          <w:sz w:val="17"/>
          <w:szCs w:val="17"/>
          <w:color w:val="auto"/>
        </w:rPr>
        <w:t>. I shall not at any time, whether during or after the termination of my advisory relationship, regardless of the reason for such termination, reveal to any person or entity any Confidential Information except to employees of the Company who need to know such Confidential Information for the purposes of their employment, or as otherwise authorized by the Company in writing. The term “Confidential Information” shall include, without limitation, any information and derivative information, in whatever form or medium, including oral information, concerning the organization, business, finances or personnel of the Company or of any third party which the Company is under an obligation to keep confidential or that is maintained by the Company as confidential. Such Confidential Information includes, but is not limited to, research and development activities performed by or on behalf of the Company, financial information about the Company or of any third party, personnel information, information regarding the business activities or personnel actions of the Company, and any confidential information or documents of third parties, including, but not limited to, business plans, projects, and proposals. Notwithstanding the foregoing, Confidential Information does not include information that: (a) is, at the time of determination, publicly known and generally available in the public domain other than in consequence of improper action by any person; or (b) was acquired by me free and clear of any duty of confidentiality or restricted use and without improper action by the transferor of such information or any other person. I shall keep confidential all matters entrusted to me and shall not use or attempt to use any Confidential Information except as may be required in the ordinary course of performing my duties as an advisor to the Company, and I shall not use any Confidential Information in any manner that may injure or cause loss or may be calculated to injure or cause loss to the Company, whether directly or indirectly.</w:t>
      </w:r>
    </w:p>
    <w:p>
      <w:pPr>
        <w:spacing w:after="0" w:line="77" w:lineRule="exact"/>
        <w:rPr>
          <w:rFonts w:ascii="Arial" w:cs="Arial" w:eastAsia="Arial" w:hAnsi="Arial"/>
          <w:sz w:val="17"/>
          <w:szCs w:val="17"/>
          <w:color w:val="auto"/>
        </w:rPr>
      </w:pPr>
    </w:p>
    <w:p>
      <w:pPr>
        <w:ind w:left="-464" w:right="40" w:firstLine="464"/>
        <w:spacing w:after="0" w:line="255" w:lineRule="auto"/>
        <w:tabs>
          <w:tab w:leader="none" w:pos="172"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Non-hire of Employees and Consultants</w:t>
      </w:r>
      <w:r>
        <w:rPr>
          <w:rFonts w:ascii="Arial" w:cs="Arial" w:eastAsia="Arial" w:hAnsi="Arial"/>
          <w:sz w:val="18"/>
          <w:szCs w:val="18"/>
          <w:color w:val="auto"/>
        </w:rPr>
        <w:t>. During my advisory relationship and the one year period following the termination thereof, regardless of the reason for such termination, I will not (except on the Company’s behalf), directly or indirectly, alone or as a consultant, partner, officer, director, employee, joint venturer, lender or stockholder of any entity, employ, hire, retain, attempt to employ, hire or retain, or knowingly permit any company or business organization by which I am employed or which is directly or indirectly controlled by me to employ, hire or retain, any Company employee or consultant, or any such person whose employment or consultancy with the Company has terminated within six months prior to or after my departure from the Company.</w:t>
      </w:r>
    </w:p>
    <w:p>
      <w:pPr>
        <w:spacing w:after="0" w:line="125" w:lineRule="exact"/>
        <w:rPr>
          <w:rFonts w:ascii="Arial" w:cs="Arial" w:eastAsia="Arial" w:hAnsi="Arial"/>
          <w:sz w:val="18"/>
          <w:szCs w:val="18"/>
          <w:color w:val="auto"/>
        </w:rPr>
      </w:pPr>
    </w:p>
    <w:p>
      <w:pPr>
        <w:ind w:left="5196" w:hanging="96"/>
        <w:spacing w:after="0"/>
        <w:tabs>
          <w:tab w:leader="none" w:pos="5196" w:val="left"/>
        </w:tabs>
        <w:numPr>
          <w:ilvl w:val="1"/>
          <w:numId w:val="37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36"/>
          </w:cols>
          <w:pgMar w:left="704" w:top="273" w:right="259" w:bottom="1440" w:gutter="0" w:footer="0" w:header="0"/>
        </w:sectPr>
      </w:pPr>
    </w:p>
    <w:bookmarkStart w:id="478" w:name="page479"/>
    <w:bookmarkEnd w:id="478"/>
    <w:p>
      <w:pPr>
        <w:ind w:left="-464" w:firstLine="464"/>
        <w:spacing w:after="0" w:line="276" w:lineRule="auto"/>
        <w:tabs>
          <w:tab w:leader="none" w:pos="172" w:val="left"/>
        </w:tabs>
        <w:numPr>
          <w:ilvl w:val="0"/>
          <w:numId w:val="37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Nonsolicitation of Employees and Consultants</w:t>
      </w:r>
      <w:r>
        <w:rPr>
          <w:rFonts w:ascii="Arial" w:cs="Arial" w:eastAsia="Arial" w:hAnsi="Arial"/>
          <w:sz w:val="17"/>
          <w:szCs w:val="17"/>
          <w:color w:val="auto"/>
        </w:rPr>
        <w:t>. During my advisory relationship and the one year period following the termination thereof, regardless of the reason for such termination, I will not (except on the Company’s behalf), directly or indirectly, alone or as a consultant, partner, officer, director, employee, joint venturer, lender or stockholder of any entity, in any manner seek to solicit or induce any Company employee or consultant, or any such person whose employment or consultancy with the Company has terminated within six months prior to or after my departure from the Company, to leave his or her employment or consultancy with the Company, or assist in the recruitment or hiring of any such person.</w:t>
      </w:r>
    </w:p>
    <w:p>
      <w:pPr>
        <w:spacing w:after="0" w:line="64" w:lineRule="exact"/>
        <w:rPr>
          <w:rFonts w:ascii="Arial" w:cs="Arial" w:eastAsia="Arial" w:hAnsi="Arial"/>
          <w:sz w:val="17"/>
          <w:szCs w:val="17"/>
          <w:color w:val="auto"/>
        </w:rPr>
      </w:pPr>
    </w:p>
    <w:p>
      <w:pPr>
        <w:ind w:left="-464" w:right="280" w:firstLine="464"/>
        <w:spacing w:after="0" w:line="259" w:lineRule="auto"/>
        <w:tabs>
          <w:tab w:leader="none" w:pos="172"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During my advisory relationship and the one year period following the termination thereof, regardless of the reason for such termination, I will not engage in any business or enterprise which is in any way competitive or conflicting with the interests or business of the Company including, without limitation, (A) any business or activity currently conducted by the Company, and (B) any business that the Company intends to conduct and of which I am aware.</w:t>
      </w:r>
    </w:p>
    <w:p>
      <w:pPr>
        <w:spacing w:after="0" w:line="78" w:lineRule="exact"/>
        <w:rPr>
          <w:rFonts w:ascii="Arial" w:cs="Arial" w:eastAsia="Arial" w:hAnsi="Arial"/>
          <w:sz w:val="18"/>
          <w:szCs w:val="18"/>
          <w:color w:val="auto"/>
        </w:rPr>
      </w:pPr>
    </w:p>
    <w:p>
      <w:pPr>
        <w:ind w:left="-464" w:right="80" w:firstLine="464"/>
        <w:spacing w:after="0" w:line="264" w:lineRule="auto"/>
        <w:tabs>
          <w:tab w:leader="none" w:pos="172"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I shall not at any time, whether during or after the termination of my advisory relationship, regardless of the reason for such termination, make to any person or entity disparaging, critical or otherwise detrimental comments of a business or personal nature relating to the Company or its personnel.</w:t>
      </w:r>
    </w:p>
    <w:p>
      <w:pPr>
        <w:spacing w:after="0" w:line="73" w:lineRule="exact"/>
        <w:rPr>
          <w:rFonts w:ascii="Arial" w:cs="Arial" w:eastAsia="Arial" w:hAnsi="Arial"/>
          <w:sz w:val="18"/>
          <w:szCs w:val="18"/>
          <w:color w:val="auto"/>
        </w:rPr>
      </w:pPr>
    </w:p>
    <w:p>
      <w:pPr>
        <w:ind w:left="-464" w:firstLine="464"/>
        <w:spacing w:after="0" w:line="290" w:lineRule="auto"/>
        <w:tabs>
          <w:tab w:leader="none" w:pos="172"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I agree that during my advisory relationship I shall not make, use or permit to be used any Company Property otherwise than for the benefit of the Company. The term “Company Property” shall include all Confidential Information; the Company’s records, files and data; all Company computers, cellular telephones, personal digital assistants, credit and/or calling cards, keys, access cards and the like; and all other documentation or materials of any nature and in any form, whether written, printed, electronic or in digital format or otherwise, relating to any matter within the scope of the business of the Company or concerning any of its dealings or affairs and any other Company property in my possession, custody or control. I further agree that I shall not, after the termination of my advisory relationship, regardless of the reason for such termination, use or permit others to use any such Company Property. I acknowledge and agree that all Company Property shall be and remain the sole and exclusive property of the Company. Immediately upon the termination of my advisory relationship I shall deliver all Company Property in my possession, and all copies thereof, to the Company.</w:t>
      </w:r>
    </w:p>
    <w:p>
      <w:pPr>
        <w:spacing w:after="0" w:line="58" w:lineRule="exact"/>
        <w:rPr>
          <w:rFonts w:ascii="Arial" w:cs="Arial" w:eastAsia="Arial" w:hAnsi="Arial"/>
          <w:sz w:val="16"/>
          <w:szCs w:val="16"/>
          <w:color w:val="auto"/>
        </w:rPr>
      </w:pPr>
    </w:p>
    <w:p>
      <w:pPr>
        <w:ind w:left="-464" w:right="160" w:firstLine="464"/>
        <w:spacing w:after="0" w:line="259" w:lineRule="auto"/>
        <w:tabs>
          <w:tab w:leader="none" w:pos="262"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Term of Advisory Relationship</w:t>
      </w:r>
      <w:r>
        <w:rPr>
          <w:rFonts w:ascii="Arial" w:cs="Arial" w:eastAsia="Arial" w:hAnsi="Arial"/>
          <w:sz w:val="18"/>
          <w:szCs w:val="18"/>
          <w:color w:val="auto"/>
        </w:rPr>
        <w:t>. The period of my advisory relationship shall be from the date of this Agreement through December 31, 2015. Notwithstanding the foregoing, I may terminate my advisory relationship at any time, for any or no reason, on at least ten days’ prior notice, and the Company may terminate my advisory relationship for “Cause” immediately upon notice. For purposes of this Agreement, a termination shall be for Cause if any one or more of the following has occurred:</w:t>
      </w:r>
    </w:p>
    <w:p>
      <w:pPr>
        <w:spacing w:after="0" w:line="78" w:lineRule="exact"/>
        <w:rPr>
          <w:rFonts w:ascii="Arial" w:cs="Arial" w:eastAsia="Arial" w:hAnsi="Arial"/>
          <w:sz w:val="18"/>
          <w:szCs w:val="18"/>
          <w:color w:val="auto"/>
        </w:rPr>
      </w:pPr>
    </w:p>
    <w:p>
      <w:pPr>
        <w:ind w:left="656" w:hanging="217"/>
        <w:spacing w:after="0"/>
        <w:tabs>
          <w:tab w:leader="none" w:pos="65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I have committed an act of fraud, embezzlement, misappropriation or breach of fiduciary duty against the Company;</w:t>
      </w:r>
    </w:p>
    <w:p>
      <w:pPr>
        <w:spacing w:after="0" w:line="117" w:lineRule="exact"/>
        <w:rPr>
          <w:rFonts w:ascii="Arial" w:cs="Arial" w:eastAsia="Arial" w:hAnsi="Arial"/>
          <w:sz w:val="18"/>
          <w:szCs w:val="18"/>
          <w:color w:val="auto"/>
        </w:rPr>
      </w:pPr>
    </w:p>
    <w:p>
      <w:pPr>
        <w:ind w:left="696" w:hanging="257"/>
        <w:spacing w:after="0"/>
        <w:tabs>
          <w:tab w:leader="none" w:pos="69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I have been convicted of, or pleaded guilty or nolo contendere to, any crime triable upon indictment or involving moral turpitude;</w:t>
      </w:r>
    </w:p>
    <w:p>
      <w:pPr>
        <w:spacing w:after="0" w:line="157" w:lineRule="exact"/>
        <w:rPr>
          <w:rFonts w:ascii="Arial" w:cs="Arial" w:eastAsia="Arial" w:hAnsi="Arial"/>
          <w:sz w:val="18"/>
          <w:szCs w:val="18"/>
          <w:color w:val="auto"/>
        </w:rPr>
      </w:pPr>
    </w:p>
    <w:p>
      <w:pPr>
        <w:ind w:left="5196" w:hanging="96"/>
        <w:spacing w:after="0"/>
        <w:tabs>
          <w:tab w:leader="none" w:pos="5196" w:val="left"/>
        </w:tabs>
        <w:numPr>
          <w:ilvl w:val="2"/>
          <w:numId w:val="37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56"/>
          </w:cols>
          <w:pgMar w:left="704" w:top="273" w:right="239" w:bottom="1440" w:gutter="0" w:footer="0" w:header="0"/>
        </w:sectPr>
      </w:pPr>
    </w:p>
    <w:bookmarkStart w:id="479" w:name="page480"/>
    <w:bookmarkEnd w:id="479"/>
    <w:p>
      <w:pPr>
        <w:ind w:left="756" w:hanging="317"/>
        <w:spacing w:after="0"/>
        <w:tabs>
          <w:tab w:leader="none" w:pos="756" w:val="left"/>
        </w:tabs>
        <w:numPr>
          <w:ilvl w:val="1"/>
          <w:numId w:val="3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have engaged in the unlawful use (including being under the influence) or possession of illegal drugs on the Company’s premises; or</w:t>
      </w:r>
    </w:p>
    <w:p>
      <w:pPr>
        <w:spacing w:after="0" w:line="128" w:lineRule="exact"/>
        <w:rPr>
          <w:rFonts w:ascii="Arial" w:cs="Arial" w:eastAsia="Arial" w:hAnsi="Arial"/>
          <w:sz w:val="17"/>
          <w:szCs w:val="17"/>
          <w:color w:val="auto"/>
        </w:rPr>
      </w:pPr>
    </w:p>
    <w:p>
      <w:pPr>
        <w:ind w:left="-4" w:right="300" w:firstLine="443"/>
        <w:spacing w:after="0" w:line="277" w:lineRule="auto"/>
        <w:tabs>
          <w:tab w:leader="none" w:pos="739" w:val="left"/>
        </w:tabs>
        <w:numPr>
          <w:ilvl w:val="1"/>
          <w:numId w:val="376"/>
        </w:numPr>
        <w:rPr>
          <w:rFonts w:ascii="Arial" w:cs="Arial" w:eastAsia="Arial" w:hAnsi="Arial"/>
          <w:sz w:val="18"/>
          <w:szCs w:val="18"/>
          <w:color w:val="auto"/>
        </w:rPr>
      </w:pPr>
      <w:r>
        <w:rPr>
          <w:rFonts w:ascii="Arial" w:cs="Arial" w:eastAsia="Arial" w:hAnsi="Arial"/>
          <w:sz w:val="18"/>
          <w:szCs w:val="18"/>
          <w:color w:val="auto"/>
        </w:rPr>
        <w:t>I have breached any material provision of this Agreement and such breach has continued for at least ten days after I have received written notice thereof from the Company.</w:t>
      </w:r>
    </w:p>
    <w:p>
      <w:pPr>
        <w:spacing w:after="0" w:line="62" w:lineRule="exact"/>
        <w:rPr>
          <w:rFonts w:ascii="Arial" w:cs="Arial" w:eastAsia="Arial" w:hAnsi="Arial"/>
          <w:sz w:val="18"/>
          <w:szCs w:val="18"/>
          <w:color w:val="auto"/>
        </w:rPr>
      </w:pPr>
    </w:p>
    <w:p>
      <w:pPr>
        <w:ind w:left="-464" w:firstLine="464"/>
        <w:spacing w:after="0" w:line="264" w:lineRule="auto"/>
        <w:tabs>
          <w:tab w:leader="none" w:pos="255"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Waiver; Amendments</w:t>
      </w:r>
      <w:r>
        <w:rPr>
          <w:rFonts w:ascii="Arial" w:cs="Arial" w:eastAsia="Arial" w:hAnsi="Arial"/>
          <w:sz w:val="18"/>
          <w:szCs w:val="18"/>
          <w:color w:val="auto"/>
        </w:rPr>
        <w:t>. Any waiver by the Company of a breach of any provision of this Agreement shall not operate or be construed as a waiver of any subsequent breach of such provision or any other provision hereof. In addition, any amendment to or modification of this Agreement or any waiver of any provision hereof must be in writing.</w:t>
      </w:r>
    </w:p>
    <w:p>
      <w:pPr>
        <w:spacing w:after="0" w:line="73" w:lineRule="exact"/>
        <w:rPr>
          <w:rFonts w:ascii="Arial" w:cs="Arial" w:eastAsia="Arial" w:hAnsi="Arial"/>
          <w:sz w:val="18"/>
          <w:szCs w:val="18"/>
          <w:color w:val="auto"/>
        </w:rPr>
      </w:pPr>
    </w:p>
    <w:p>
      <w:pPr>
        <w:ind w:left="-464" w:right="340" w:firstLine="464"/>
        <w:spacing w:after="0" w:line="293" w:lineRule="auto"/>
        <w:tabs>
          <w:tab w:leader="none" w:pos="262" w:val="left"/>
        </w:tabs>
        <w:numPr>
          <w:ilvl w:val="0"/>
          <w:numId w:val="37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 agree that each provision and the subparts of each provision herein shall be treated as separate and independent clauses, and the unenforceability of any one clause shall in no way impair the enforceability of any of the other clauses of the Agreement. Moreover, if one or more of the provisions contained in this Agreement shall for any reason be held to be excessively broad as to scope, activity, subject or otherwise so as to be unenforceable at law, such provision or provisions shall be construed by the appropriate judicial body by limiting or reducing it or them, so as to be enforceable to the maximum extent compatible with the applicable law as it shall then appear. I hereby further agree that the language of all parts of this Agreement shall in all cases be construed as a whole according to its fair meaning and not strictly for or against either of the parties.</w:t>
      </w:r>
    </w:p>
    <w:p>
      <w:pPr>
        <w:spacing w:after="0" w:line="56" w:lineRule="exact"/>
        <w:rPr>
          <w:rFonts w:ascii="Arial" w:cs="Arial" w:eastAsia="Arial" w:hAnsi="Arial"/>
          <w:sz w:val="16"/>
          <w:szCs w:val="16"/>
          <w:color w:val="auto"/>
        </w:rPr>
      </w:pPr>
    </w:p>
    <w:p>
      <w:pPr>
        <w:ind w:left="-464" w:right="120" w:firstLine="464"/>
        <w:spacing w:after="0" w:line="264" w:lineRule="auto"/>
        <w:tabs>
          <w:tab w:leader="none" w:pos="262"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This Agreement shall be effective as of the date entered below. My obligations under this Agreement shall survive the termination of my advisory relationship regardless of the reason for or manner of such termination and shall be binding upon my heirs, executors, administrators and legal representatives.</w:t>
      </w:r>
    </w:p>
    <w:p>
      <w:pPr>
        <w:spacing w:after="0" w:line="73" w:lineRule="exact"/>
        <w:rPr>
          <w:rFonts w:ascii="Arial" w:cs="Arial" w:eastAsia="Arial" w:hAnsi="Arial"/>
          <w:sz w:val="18"/>
          <w:szCs w:val="18"/>
          <w:color w:val="auto"/>
        </w:rPr>
      </w:pPr>
    </w:p>
    <w:p>
      <w:pPr>
        <w:ind w:left="-464" w:right="100" w:firstLine="464"/>
        <w:spacing w:after="0" w:line="277" w:lineRule="auto"/>
        <w:tabs>
          <w:tab w:leader="none" w:pos="262"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Company shall have the right to assign this Agreement to its successors and assigns, and all covenants and agreements hereunder shall inure to the benefit of and be enforceable by said successors or assigns. I may not assign this Agreement.</w:t>
      </w:r>
    </w:p>
    <w:p>
      <w:pPr>
        <w:spacing w:after="0" w:line="62" w:lineRule="exact"/>
        <w:rPr>
          <w:rFonts w:ascii="Arial" w:cs="Arial" w:eastAsia="Arial" w:hAnsi="Arial"/>
          <w:sz w:val="18"/>
          <w:szCs w:val="18"/>
          <w:color w:val="auto"/>
        </w:rPr>
      </w:pPr>
    </w:p>
    <w:p>
      <w:pPr>
        <w:ind w:left="-464" w:right="120" w:firstLine="464"/>
        <w:spacing w:after="0" w:line="259" w:lineRule="auto"/>
        <w:tabs>
          <w:tab w:leader="none" w:pos="262"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and shall in all respects be interpreted, enforced and governed under the internal and domestic laws of Delaware, without giving effect to the principles of conflicts of laws of such state. The laws of the State of Delaware shall govern any claims or legal actions by one party against the other arising out of the relationship between the parties contemplated herein (whether or not arising under this Agreement).</w:t>
      </w:r>
    </w:p>
    <w:p>
      <w:pPr>
        <w:spacing w:after="0" w:line="78" w:lineRule="exact"/>
        <w:rPr>
          <w:rFonts w:ascii="Arial" w:cs="Arial" w:eastAsia="Arial" w:hAnsi="Arial"/>
          <w:sz w:val="18"/>
          <w:szCs w:val="18"/>
          <w:color w:val="auto"/>
        </w:rPr>
      </w:pPr>
    </w:p>
    <w:p>
      <w:pPr>
        <w:ind w:left="-464" w:right="160" w:firstLine="464"/>
        <w:spacing w:after="0" w:line="264" w:lineRule="auto"/>
        <w:tabs>
          <w:tab w:leader="none" w:pos="262"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complete, sole and entire agreement between the parties with respect to the subject matter herein and supersedes any and all other agreements, negotiations, discussions, proposals, or understandings, whether oral or written, previously entered into, discussed or considered by the parties.</w:t>
      </w:r>
    </w:p>
    <w:p>
      <w:pPr>
        <w:spacing w:after="0" w:line="113" w:lineRule="exact"/>
        <w:rPr>
          <w:rFonts w:ascii="Arial" w:cs="Arial" w:eastAsia="Arial" w:hAnsi="Arial"/>
          <w:sz w:val="18"/>
          <w:szCs w:val="18"/>
          <w:color w:val="auto"/>
        </w:rPr>
      </w:pPr>
    </w:p>
    <w:p>
      <w:pPr>
        <w:ind w:left="5196" w:hanging="96"/>
        <w:spacing w:after="0"/>
        <w:tabs>
          <w:tab w:leader="none" w:pos="5196" w:val="left"/>
        </w:tabs>
        <w:numPr>
          <w:ilvl w:val="2"/>
          <w:numId w:val="37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36"/>
          </w:cols>
          <w:pgMar w:left="704" w:top="274" w:right="259" w:bottom="1440" w:gutter="0" w:footer="0" w:header="0"/>
        </w:sectPr>
      </w:pPr>
    </w:p>
    <w:bookmarkStart w:id="480" w:name="page481"/>
    <w:bookmarkEnd w:id="4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HEREOF, I have executed this Agreement as of the date first written below.</w:t>
      </w:r>
    </w:p>
    <w:p>
      <w:pPr>
        <w:spacing w:after="0" w:line="252" w:lineRule="exact"/>
        <w:rPr>
          <w:sz w:val="20"/>
          <w:szCs w:val="20"/>
          <w:color w:val="auto"/>
        </w:rPr>
      </w:pPr>
    </w:p>
    <w:p>
      <w:pPr>
        <w:jc w:val="right"/>
        <w:ind w:right="1239"/>
        <w:spacing w:after="0"/>
        <w:tabs>
          <w:tab w:leader="none" w:pos="11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 Andrey Zarur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31521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Andrey Zarur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 December 18, 2013</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37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9759"/>
          </w:cols>
          <w:pgMar w:left="700" w:top="274" w:right="1440" w:bottom="1440" w:gutter="0" w:footer="0" w:header="0"/>
        </w:sectPr>
      </w:pPr>
    </w:p>
    <w:bookmarkStart w:id="481" w:name="page482"/>
    <w:bookmarkEnd w:id="4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 to as of the date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Solid Ventures,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 Ilan Ganot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219"/>
          </w:cols>
          <w:pgMar w:left="240" w:top="274" w:right="1440" w:bottom="1440" w:gutter="0" w:footer="0" w:header="0"/>
        </w:sectPr>
      </w:pPr>
    </w:p>
    <w:bookmarkStart w:id="482" w:name="page483"/>
    <w:bookmarkEnd w:id="48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SOLID BIOSCIENCES,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EQUITY INCENTIVE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March 29, 2017)</w:t>
      </w:r>
    </w:p>
    <w:p>
      <w:pPr>
        <w:spacing w:after="0" w:line="225" w:lineRule="exact"/>
        <w:rPr>
          <w:sz w:val="20"/>
          <w:szCs w:val="20"/>
          <w:color w:val="auto"/>
        </w:rPr>
      </w:pPr>
    </w:p>
    <w:p>
      <w:pPr>
        <w:ind w:left="640" w:hanging="176"/>
        <w:spacing w:after="0"/>
        <w:tabs>
          <w:tab w:leader="none" w:pos="640" w:val="left"/>
        </w:tabs>
        <w:numPr>
          <w:ilvl w:val="0"/>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ESTABLISHMENT AND TERM OF PLAN</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right="100" w:firstLine="913"/>
        <w:spacing w:after="0" w:line="26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Establishment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Solid Ventures, LLC Equity Incentive Plan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Original Plan</w:t>
      </w:r>
      <w:r>
        <w:rPr>
          <w:rFonts w:ascii="Arial" w:cs="Arial" w:eastAsia="Arial" w:hAnsi="Arial"/>
          <w:sz w:val="18"/>
          <w:szCs w:val="18"/>
          <w:i w:val="1"/>
          <w:iCs w:val="1"/>
          <w:color w:val="auto"/>
        </w:rPr>
        <w:t>”</w:t>
      </w:r>
      <w:r>
        <w:rPr>
          <w:rFonts w:ascii="Arial" w:cs="Arial" w:eastAsia="Arial" w:hAnsi="Arial"/>
          <w:sz w:val="18"/>
          <w:szCs w:val="18"/>
          <w:color w:val="auto"/>
        </w:rPr>
        <w:t>) was established effective as of January 1, 2014. The Original Plan is hereby amended and restated in its entirety effective as of March 29, 2017. The Original Plan, as so amended and restated, shall be known as the “Solid Biosciences, LLC Amended and Restated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76"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Term of Plan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Plan shall continue in effect until the earlier of its termination by the Board or the date on which all of the Units available for issuance under the Plan have been issued and all forfeiture restrictions on such Units under the terms of the Plan and the Unit Restriction Agreements have lapsed.</w:t>
      </w:r>
    </w:p>
    <w:p>
      <w:pPr>
        <w:spacing w:after="0" w:line="176" w:lineRule="exact"/>
        <w:rPr>
          <w:sz w:val="20"/>
          <w:szCs w:val="20"/>
          <w:color w:val="auto"/>
        </w:rPr>
      </w:pPr>
    </w:p>
    <w:p>
      <w:pPr>
        <w:ind w:left="640" w:hanging="176"/>
        <w:spacing w:after="0"/>
        <w:tabs>
          <w:tab w:leader="none" w:pos="640" w:val="left"/>
        </w:tabs>
        <w:numPr>
          <w:ilvl w:val="0"/>
          <w:numId w:val="37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Whenever used herein, the following terms shall have their respective meanings set forth below:</w:t>
      </w:r>
    </w:p>
    <w:p>
      <w:pPr>
        <w:spacing w:after="0" w:line="121" w:lineRule="exact"/>
        <w:rPr>
          <w:sz w:val="20"/>
          <w:szCs w:val="20"/>
          <w:color w:val="auto"/>
        </w:rPr>
      </w:pPr>
    </w:p>
    <w:p>
      <w:pPr>
        <w:ind w:left="1740" w:hanging="248"/>
        <w:spacing w:after="0"/>
        <w:tabs>
          <w:tab w:leader="none" w:pos="1740"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of Managers of the Company.</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Solid Biosciences, LLC, a Delaware limited liability company, or any successor thereto.</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means a grant of Units under the Plan.</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Grantee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person who has been granted Units under the Plan.</w:t>
      </w:r>
    </w:p>
    <w:p>
      <w:pPr>
        <w:spacing w:after="0" w:line="117" w:lineRule="exact"/>
        <w:rPr>
          <w:rFonts w:ascii="Arial" w:cs="Arial" w:eastAsia="Arial" w:hAnsi="Arial"/>
          <w:sz w:val="18"/>
          <w:szCs w:val="18"/>
          <w:color w:val="auto"/>
        </w:rPr>
      </w:pPr>
    </w:p>
    <w:p>
      <w:pPr>
        <w:ind w:right="300" w:firstLine="1492"/>
        <w:spacing w:after="0" w:line="277" w:lineRule="auto"/>
        <w:tabs>
          <w:tab w:leader="none" w:pos="1728"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Unit Restriction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written agreement between the Company and a Grantee setting forth the terms,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restrictions of the Units granted to the Grantee.</w:t>
      </w:r>
    </w:p>
    <w:p>
      <w:pPr>
        <w:spacing w:after="0" w:line="62" w:lineRule="exact"/>
        <w:rPr>
          <w:rFonts w:ascii="Arial" w:cs="Arial" w:eastAsia="Arial" w:hAnsi="Arial"/>
          <w:sz w:val="18"/>
          <w:szCs w:val="18"/>
          <w:color w:val="auto"/>
        </w:rPr>
      </w:pPr>
    </w:p>
    <w:p>
      <w:pPr>
        <w:ind w:left="1720" w:hanging="228"/>
        <w:spacing w:after="0"/>
        <w:tabs>
          <w:tab w:leader="none" w:pos="1720"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Series D Common Units of the Company.</w:t>
      </w:r>
    </w:p>
    <w:p>
      <w:pPr>
        <w:spacing w:after="0" w:line="221" w:lineRule="exact"/>
        <w:rPr>
          <w:sz w:val="20"/>
          <w:szCs w:val="20"/>
          <w:color w:val="auto"/>
        </w:rPr>
      </w:pPr>
    </w:p>
    <w:p>
      <w:pPr>
        <w:ind w:right="40" w:firstLine="913"/>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Construction</w:t>
      </w:r>
      <w:r>
        <w:rPr>
          <w:rFonts w:ascii="Arial" w:cs="Arial" w:eastAsia="Arial" w:hAnsi="Arial"/>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ind w:left="640" w:hanging="176"/>
        <w:spacing w:after="0"/>
        <w:tabs>
          <w:tab w:leader="none" w:pos="640" w:val="left"/>
        </w:tabs>
        <w:numPr>
          <w:ilvl w:val="0"/>
          <w:numId w:val="381"/>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17" w:lineRule="exact"/>
        <w:rPr>
          <w:sz w:val="20"/>
          <w:szCs w:val="20"/>
          <w:color w:val="auto"/>
        </w:rPr>
      </w:pPr>
    </w:p>
    <w:p>
      <w:pPr>
        <w:ind w:right="120" w:firstLine="913"/>
        <w:spacing w:after="0" w:line="31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Administration by the Board</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Plan shall be administered by the Board. All questions of interpretation of the Plan or of any Grant shall be determined by the Board, and such determinations shall be final and binding upon all persons having an interest in the Plan or such Grant.</w:t>
      </w:r>
    </w:p>
    <w:p>
      <w:pPr>
        <w:sectPr>
          <w:pgSz w:w="11900" w:h="16838" w:orient="portrait"/>
          <w:cols w:equalWidth="0" w:num="1">
            <w:col w:w="11420"/>
          </w:cols>
          <w:pgMar w:left="240" w:top="121" w:right="239" w:bottom="1440" w:gutter="0" w:footer="0" w:header="0"/>
        </w:sectPr>
      </w:pPr>
    </w:p>
    <w:bookmarkStart w:id="483" w:name="page484"/>
    <w:bookmarkEnd w:id="483"/>
    <w:p>
      <w:pPr>
        <w:ind w:right="100"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b w:val="1"/>
          <w:bCs w:val="1"/>
          <w:color w:val="auto"/>
        </w:rPr>
        <w:t>Powers of the Board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addition to any other powers set forth in the Plan and subject to the provisions of the Plan, the Board shall have the full and final power and authority, in its discretion:</w:t>
      </w:r>
    </w:p>
    <w:p>
      <w:pPr>
        <w:spacing w:after="0" w:line="5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to determine the persons to whom, and the time or times at which, Grants shall be made and the number of Units to be subject to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103" w:lineRule="exact"/>
        <w:rPr>
          <w:sz w:val="20"/>
          <w:szCs w:val="20"/>
          <w:color w:val="auto"/>
        </w:rPr>
      </w:pPr>
    </w:p>
    <w:p>
      <w:pPr>
        <w:ind w:right="20" w:firstLine="1492"/>
        <w:spacing w:after="0" w:line="264" w:lineRule="auto"/>
        <w:tabs>
          <w:tab w:leader="none" w:pos="173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to determine the terms, conditions and restrictions applicable to each Grant (which need not be identical) and any Units acquired pursuant thereto, including, without limitation, (i) the vesting of any Units (ii) the effect of the Grantee’s termination of service with the Company, and (iii) all other terms, conditions and restrictions applicable to the Grant not inconsistent with the terms of the Plan;</w:t>
      </w:r>
    </w:p>
    <w:p>
      <w:pPr>
        <w:spacing w:after="0" w:line="73" w:lineRule="exact"/>
        <w:rPr>
          <w:rFonts w:ascii="Arial" w:cs="Arial" w:eastAsia="Arial" w:hAnsi="Arial"/>
          <w:sz w:val="18"/>
          <w:szCs w:val="18"/>
          <w:color w:val="auto"/>
        </w:rPr>
      </w:pPr>
    </w:p>
    <w:p>
      <w:pPr>
        <w:ind w:left="1740" w:hanging="248"/>
        <w:spacing w:after="0"/>
        <w:tabs>
          <w:tab w:leader="none" w:pos="17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to approve one or more forms of Unit Restriction Agreement; and</w:t>
      </w:r>
    </w:p>
    <w:p>
      <w:pPr>
        <w:spacing w:after="0" w:line="117" w:lineRule="exact"/>
        <w:rPr>
          <w:rFonts w:ascii="Arial" w:cs="Arial" w:eastAsia="Arial" w:hAnsi="Arial"/>
          <w:sz w:val="18"/>
          <w:szCs w:val="18"/>
          <w:color w:val="auto"/>
        </w:rPr>
      </w:pPr>
    </w:p>
    <w:p>
      <w:pPr>
        <w:ind w:right="120" w:firstLine="1492"/>
        <w:spacing w:after="0" w:line="264" w:lineRule="auto"/>
        <w:tabs>
          <w:tab w:leader="none" w:pos="173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Unit Restriction Agreement and to make all other determinations and take such other actions with respect to the Plan or any Grant as the Board may deem advisable to the extent consistent with the Plan and applicable law.</w:t>
      </w:r>
    </w:p>
    <w:p>
      <w:pPr>
        <w:spacing w:after="0" w:line="177" w:lineRule="exact"/>
        <w:rPr>
          <w:sz w:val="20"/>
          <w:szCs w:val="20"/>
          <w:color w:val="auto"/>
        </w:rPr>
      </w:pPr>
    </w:p>
    <w:p>
      <w:pPr>
        <w:ind w:left="640" w:hanging="176"/>
        <w:spacing w:after="0"/>
        <w:tabs>
          <w:tab w:leader="none" w:pos="640" w:val="left"/>
        </w:tabs>
        <w:numPr>
          <w:ilvl w:val="0"/>
          <w:numId w:val="383"/>
        </w:numPr>
        <w:rPr>
          <w:rFonts w:ascii="Arial" w:cs="Arial" w:eastAsia="Arial" w:hAnsi="Arial"/>
          <w:sz w:val="18"/>
          <w:szCs w:val="18"/>
          <w:color w:val="auto"/>
        </w:rPr>
      </w:pPr>
      <w:r>
        <w:rPr>
          <w:rFonts w:ascii="Arial" w:cs="Arial" w:eastAsia="Arial" w:hAnsi="Arial"/>
          <w:sz w:val="18"/>
          <w:szCs w:val="18"/>
          <w:b w:val="1"/>
          <w:bCs w:val="1"/>
          <w:u w:val="single" w:color="auto"/>
          <w:color w:val="auto"/>
        </w:rPr>
        <w:t>UNITS SUBJECT TO PLAN.</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maximum aggregate number of Units that may be issued under the Plan shall be 2,971,949. If Units are acquired under the Plan subject to forfeiture and are forfeited back to the Company, the forfeited Units shall again be available for issuance under the Plan. For the avoidance of doubt, the maximum aggregate number of Units issuable under the Plan includes Units granted under the Original Plan which are outstanding as of March 29, 2017, and Units which are subject to contingent grants as of that date, including Units issued to former Class C members of Solid GT, LLC upon the merger of that entity into the Company.</w:t>
      </w:r>
    </w:p>
    <w:p>
      <w:pPr>
        <w:spacing w:after="0" w:line="184" w:lineRule="exact"/>
        <w:rPr>
          <w:sz w:val="20"/>
          <w:szCs w:val="20"/>
          <w:color w:val="auto"/>
        </w:rPr>
      </w:pPr>
    </w:p>
    <w:p>
      <w:pPr>
        <w:ind w:left="640" w:hanging="176"/>
        <w:spacing w:after="0"/>
        <w:tabs>
          <w:tab w:leader="none" w:pos="640" w:val="left"/>
        </w:tabs>
        <w:numPr>
          <w:ilvl w:val="0"/>
          <w:numId w:val="384"/>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 LIMITATIONS</w:t>
      </w:r>
      <w:r>
        <w:rPr>
          <w:rFonts w:ascii="Arial" w:cs="Arial" w:eastAsia="Arial" w:hAnsi="Arial"/>
          <w:sz w:val="18"/>
          <w:szCs w:val="18"/>
          <w:b w:val="1"/>
          <w:bCs w:val="1"/>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Grants may only be made to employees, consultants and other service providers to the Company.</w:t>
      </w:r>
    </w:p>
    <w:p>
      <w:pPr>
        <w:spacing w:after="0" w:line="221" w:lineRule="exact"/>
        <w:rPr>
          <w:sz w:val="20"/>
          <w:szCs w:val="20"/>
          <w:color w:val="auto"/>
        </w:rPr>
      </w:pPr>
    </w:p>
    <w:p>
      <w:pPr>
        <w:ind w:left="640" w:hanging="176"/>
        <w:spacing w:after="0"/>
        <w:tabs>
          <w:tab w:leader="none" w:pos="640" w:val="left"/>
        </w:tabs>
        <w:numPr>
          <w:ilvl w:val="0"/>
          <w:numId w:val="38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AND CONDITIONS OF GRANTS.</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Grants shall be evidenced by Unit Restriction Agreements specifying the number of Units covered thereby. No Grant shall be a valid and binding obligation of the Company unless evidenced by a fully-executed Unit Restriction Agreement. Unit Restriction Agreements may incorporate all or any of the terms of the Plan by reference and Units issued under the Plan may be subject to forfeiture as determined by the Board in its discretion at the time the Grant is made.</w:t>
      </w:r>
    </w:p>
    <w:p>
      <w:pPr>
        <w:spacing w:after="0" w:line="183" w:lineRule="exact"/>
        <w:rPr>
          <w:sz w:val="20"/>
          <w:szCs w:val="20"/>
          <w:color w:val="auto"/>
        </w:rPr>
      </w:pPr>
    </w:p>
    <w:p>
      <w:pPr>
        <w:ind w:left="640" w:hanging="176"/>
        <w:spacing w:after="0"/>
        <w:tabs>
          <w:tab w:leader="none" w:pos="640" w:val="left"/>
        </w:tabs>
        <w:numPr>
          <w:ilvl w:val="0"/>
          <w:numId w:val="386"/>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SECURITIES LAW.</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Each Grant and the issuance of Units shall be subject to compliance with all applicable requirements of federal, state and foreign law with respect to such securities.</w:t>
      </w:r>
    </w:p>
    <w:p>
      <w:pPr>
        <w:spacing w:after="0" w:line="166" w:lineRule="exact"/>
        <w:rPr>
          <w:sz w:val="20"/>
          <w:szCs w:val="20"/>
          <w:color w:val="auto"/>
        </w:rPr>
      </w:pPr>
    </w:p>
    <w:p>
      <w:pPr>
        <w:ind w:left="640" w:hanging="176"/>
        <w:spacing w:after="0"/>
        <w:tabs>
          <w:tab w:leader="none" w:pos="640" w:val="left"/>
        </w:tabs>
        <w:numPr>
          <w:ilvl w:val="0"/>
          <w:numId w:val="38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OR AMENDMENT OF PLAN.</w:t>
      </w:r>
    </w:p>
    <w:p>
      <w:pPr>
        <w:spacing w:after="0" w:line="121" w:lineRule="exact"/>
        <w:rPr>
          <w:sz w:val="20"/>
          <w:szCs w:val="20"/>
          <w:color w:val="auto"/>
        </w:rPr>
      </w:pPr>
    </w:p>
    <w:p>
      <w:pPr>
        <w:jc w:val="center"/>
        <w:ind w:left="460" w:right="700"/>
        <w:spacing w:after="0" w:line="449" w:lineRule="auto"/>
        <w:rPr>
          <w:sz w:val="20"/>
          <w:szCs w:val="20"/>
          <w:color w:val="auto"/>
        </w:rPr>
      </w:pPr>
      <w:r>
        <w:rPr>
          <w:rFonts w:ascii="Arial" w:cs="Arial" w:eastAsia="Arial" w:hAnsi="Arial"/>
          <w:sz w:val="18"/>
          <w:szCs w:val="18"/>
          <w:color w:val="auto"/>
        </w:rPr>
        <w:t>The Board may terminate or amend the Plan at any time, subject to such approvals by the members of the Company as may be required. 2</w:t>
      </w:r>
    </w:p>
    <w:p>
      <w:pPr>
        <w:sectPr>
          <w:pgSz w:w="11900" w:h="16838" w:orient="portrait"/>
          <w:cols w:equalWidth="0" w:num="1">
            <w:col w:w="11420"/>
          </w:cols>
          <w:pgMar w:left="240" w:top="269" w:right="239" w:bottom="1440" w:gutter="0" w:footer="0" w:header="0"/>
        </w:sectPr>
      </w:pPr>
    </w:p>
    <w:bookmarkStart w:id="484" w:name="page485"/>
    <w:bookmarkEnd w:id="484"/>
    <w:p>
      <w:pPr>
        <w:ind w:left="640" w:hanging="176"/>
        <w:spacing w:after="0"/>
        <w:tabs>
          <w:tab w:leader="none" w:pos="640" w:val="left"/>
        </w:tabs>
        <w:numPr>
          <w:ilvl w:val="0"/>
          <w:numId w:val="38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validity, construction and effect of the Plan and of any rules, regulations, determinations or decisions made by the Board relating to the Plan and the rights of any and all persons having or claiming to have any interest therein or thereunder, shall be determined exclusively in accordance with applicable federal laws and the laws of the State of Delaware, without regard to its conflict of laws principles.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0" w:right="339" w:bottom="1440" w:gutter="0" w:footer="0" w:header="0"/>
        </w:sectPr>
      </w:pPr>
    </w:p>
    <w:bookmarkStart w:id="485" w:name="page486"/>
    <w:bookmarkEnd w:id="485"/>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OLID</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ORM OF</w:t>
      </w:r>
      <w:r>
        <w:rPr>
          <w:rFonts w:ascii="Arial" w:cs="Arial" w:eastAsia="Arial" w:hAnsi="Arial"/>
          <w:sz w:val="18"/>
          <w:szCs w:val="18"/>
          <w:b w:val="1"/>
          <w:bCs w:val="1"/>
          <w:color w:val="auto"/>
        </w:rPr>
        <w:t xml:space="preserve"> 2018 O</w:t>
      </w:r>
      <w:r>
        <w:rPr>
          <w:rFonts w:ascii="Arial" w:cs="Arial" w:eastAsia="Arial" w:hAnsi="Arial"/>
          <w:sz w:val="15"/>
          <w:szCs w:val="15"/>
          <w:b w:val="1"/>
          <w:bCs w:val="1"/>
          <w:color w:val="auto"/>
        </w:rPr>
        <w:t>MNIBUS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ectPr>
          <w:pgSz w:w="11900" w:h="16838" w:orient="portrait"/>
          <w:cols w:equalWidth="0" w:num="1">
            <w:col w:w="10220"/>
          </w:cols>
          <w:pgMar w:left="1440" w:top="121" w:right="239" w:bottom="1440" w:gutter="0" w:footer="0" w:header="0"/>
        </w:sectPr>
      </w:pPr>
    </w:p>
    <w:bookmarkStart w:id="486" w:name="page487"/>
    <w:bookmarkEnd w:id="486"/>
    <w:tbl>
      <w:tblPr>
        <w:tblLayout w:type="fixed"/>
        <w:tblInd w:w="0" w:type="dxa"/>
        <w:tblCellMar>
          <w:top w:w="0" w:type="dxa"/>
          <w:left w:w="0" w:type="dxa"/>
          <w:bottom w:w="0" w:type="dxa"/>
          <w:right w:w="0" w:type="dxa"/>
        </w:tblCellMar>
      </w:tblPr>
      <w:tr>
        <w:trPr>
          <w:trHeight w:val="212"/>
        </w:trPr>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120" w:type="dxa"/>
            <w:vAlign w:val="bottom"/>
            <w:gridSpan w:val="2"/>
          </w:tcPr>
          <w:p>
            <w:pPr>
              <w:jc w:val="right"/>
              <w:ind w:right="4688"/>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ONTENTS</w:t>
            </w:r>
          </w:p>
        </w:tc>
      </w:tr>
      <w:tr>
        <w:trPr>
          <w:trHeight w:val="171"/>
        </w:trPr>
        <w:tc>
          <w:tcPr>
            <w:tcW w:w="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Page</w:t>
            </w:r>
          </w:p>
        </w:tc>
      </w:tr>
      <w:tr>
        <w:trPr>
          <w:trHeight w:val="30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ARTICLE I PURPOSE</w:t>
            </w:r>
          </w:p>
        </w:tc>
        <w:tc>
          <w:tcPr>
            <w:tcW w:w="7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r>
      <w:tr>
        <w:trPr>
          <w:trHeight w:val="310"/>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ARTICLE II DEFINITIONS</w:t>
            </w:r>
          </w:p>
        </w:tc>
        <w:tc>
          <w:tcPr>
            <w:tcW w:w="7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2.1</w:t>
            </w:r>
          </w:p>
        </w:tc>
        <w:tc>
          <w:tcPr>
            <w:tcW w:w="3320" w:type="dxa"/>
            <w:vAlign w:val="bottom"/>
          </w:tcPr>
          <w:p>
            <w:pPr>
              <w:ind w:left="120"/>
              <w:spacing w:after="0"/>
              <w:rPr>
                <w:sz w:val="20"/>
                <w:szCs w:val="20"/>
                <w:color w:val="auto"/>
              </w:rPr>
            </w:pPr>
            <w:r>
              <w:rPr>
                <w:rFonts w:ascii="Arial" w:cs="Arial" w:eastAsia="Arial" w:hAnsi="Arial"/>
                <w:sz w:val="18"/>
                <w:szCs w:val="18"/>
                <w:color w:val="auto"/>
              </w:rPr>
              <w:t>“Acquisition Event”</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2.2</w:t>
            </w:r>
          </w:p>
        </w:tc>
        <w:tc>
          <w:tcPr>
            <w:tcW w:w="3320" w:type="dxa"/>
            <w:vAlign w:val="bottom"/>
          </w:tcPr>
          <w:p>
            <w:pPr>
              <w:ind w:left="120"/>
              <w:spacing w:after="0"/>
              <w:rPr>
                <w:sz w:val="20"/>
                <w:szCs w:val="20"/>
                <w:color w:val="auto"/>
              </w:rPr>
            </w:pPr>
            <w:r>
              <w:rPr>
                <w:rFonts w:ascii="Arial" w:cs="Arial" w:eastAsia="Arial" w:hAnsi="Arial"/>
                <w:sz w:val="18"/>
                <w:szCs w:val="18"/>
                <w:color w:val="auto"/>
              </w:rPr>
              <w:t>“Affiliate”</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2.3</w:t>
            </w:r>
          </w:p>
        </w:tc>
        <w:tc>
          <w:tcPr>
            <w:tcW w:w="3320" w:type="dxa"/>
            <w:vAlign w:val="bottom"/>
          </w:tcPr>
          <w:p>
            <w:pPr>
              <w:ind w:left="120"/>
              <w:spacing w:after="0"/>
              <w:rPr>
                <w:sz w:val="20"/>
                <w:szCs w:val="20"/>
                <w:color w:val="auto"/>
              </w:rPr>
            </w:pPr>
            <w:r>
              <w:rPr>
                <w:rFonts w:ascii="Arial" w:cs="Arial" w:eastAsia="Arial" w:hAnsi="Arial"/>
                <w:sz w:val="18"/>
                <w:szCs w:val="18"/>
                <w:color w:val="auto"/>
              </w:rPr>
              <w:t>“Appreciation Award”</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2.4</w:t>
            </w:r>
          </w:p>
        </w:tc>
        <w:tc>
          <w:tcPr>
            <w:tcW w:w="3320" w:type="dxa"/>
            <w:vAlign w:val="bottom"/>
          </w:tcPr>
          <w:p>
            <w:pPr>
              <w:ind w:left="120"/>
              <w:spacing w:after="0"/>
              <w:rPr>
                <w:sz w:val="20"/>
                <w:szCs w:val="20"/>
                <w:color w:val="auto"/>
              </w:rPr>
            </w:pPr>
            <w:r>
              <w:rPr>
                <w:rFonts w:ascii="Arial" w:cs="Arial" w:eastAsia="Arial" w:hAnsi="Arial"/>
                <w:sz w:val="18"/>
                <w:szCs w:val="18"/>
                <w:color w:val="auto"/>
              </w:rPr>
              <w:t>“Award”</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2.5</w:t>
            </w:r>
          </w:p>
        </w:tc>
        <w:tc>
          <w:tcPr>
            <w:tcW w:w="3320" w:type="dxa"/>
            <w:vAlign w:val="bottom"/>
          </w:tcPr>
          <w:p>
            <w:pPr>
              <w:ind w:left="120"/>
              <w:spacing w:after="0"/>
              <w:rPr>
                <w:sz w:val="20"/>
                <w:szCs w:val="20"/>
                <w:color w:val="auto"/>
              </w:rPr>
            </w:pPr>
            <w:r>
              <w:rPr>
                <w:rFonts w:ascii="Arial" w:cs="Arial" w:eastAsia="Arial" w:hAnsi="Arial"/>
                <w:sz w:val="18"/>
                <w:szCs w:val="18"/>
                <w:color w:val="auto"/>
              </w:rPr>
              <w:t>“Board”</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2.6</w:t>
            </w:r>
          </w:p>
        </w:tc>
        <w:tc>
          <w:tcPr>
            <w:tcW w:w="3320" w:type="dxa"/>
            <w:vAlign w:val="bottom"/>
          </w:tcPr>
          <w:p>
            <w:pPr>
              <w:ind w:left="120"/>
              <w:spacing w:after="0"/>
              <w:rPr>
                <w:sz w:val="20"/>
                <w:szCs w:val="20"/>
                <w:color w:val="auto"/>
              </w:rPr>
            </w:pPr>
            <w:r>
              <w:rPr>
                <w:rFonts w:ascii="Arial" w:cs="Arial" w:eastAsia="Arial" w:hAnsi="Arial"/>
                <w:sz w:val="18"/>
                <w:szCs w:val="18"/>
                <w:color w:val="auto"/>
              </w:rPr>
              <w:t>“Cause”</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2.7</w:t>
            </w:r>
          </w:p>
        </w:tc>
        <w:tc>
          <w:tcPr>
            <w:tcW w:w="3320" w:type="dxa"/>
            <w:vAlign w:val="bottom"/>
          </w:tcPr>
          <w:p>
            <w:pPr>
              <w:ind w:left="120"/>
              <w:spacing w:after="0"/>
              <w:rPr>
                <w:sz w:val="20"/>
                <w:szCs w:val="20"/>
                <w:color w:val="auto"/>
              </w:rPr>
            </w:pPr>
            <w:r>
              <w:rPr>
                <w:rFonts w:ascii="Arial" w:cs="Arial" w:eastAsia="Arial" w:hAnsi="Arial"/>
                <w:sz w:val="18"/>
                <w:szCs w:val="18"/>
                <w:color w:val="auto"/>
              </w:rPr>
              <w:t>“Change in Control”</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2.8</w:t>
            </w:r>
          </w:p>
        </w:tc>
        <w:tc>
          <w:tcPr>
            <w:tcW w:w="3320" w:type="dxa"/>
            <w:vAlign w:val="bottom"/>
          </w:tcPr>
          <w:p>
            <w:pPr>
              <w:ind w:left="120"/>
              <w:spacing w:after="0"/>
              <w:rPr>
                <w:sz w:val="20"/>
                <w:szCs w:val="20"/>
                <w:color w:val="auto"/>
              </w:rPr>
            </w:pPr>
            <w:r>
              <w:rPr>
                <w:rFonts w:ascii="Arial" w:cs="Arial" w:eastAsia="Arial" w:hAnsi="Arial"/>
                <w:sz w:val="18"/>
                <w:szCs w:val="18"/>
                <w:color w:val="auto"/>
              </w:rPr>
              <w:t>“Change in Control Price”</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2.9</w:t>
            </w:r>
          </w:p>
        </w:tc>
        <w:tc>
          <w:tcPr>
            <w:tcW w:w="3320" w:type="dxa"/>
            <w:vAlign w:val="bottom"/>
          </w:tcPr>
          <w:p>
            <w:pPr>
              <w:ind w:left="120"/>
              <w:spacing w:after="0"/>
              <w:rPr>
                <w:sz w:val="20"/>
                <w:szCs w:val="20"/>
                <w:color w:val="auto"/>
              </w:rPr>
            </w:pPr>
            <w:r>
              <w:rPr>
                <w:rFonts w:ascii="Arial" w:cs="Arial" w:eastAsia="Arial" w:hAnsi="Arial"/>
                <w:sz w:val="18"/>
                <w:szCs w:val="18"/>
                <w:color w:val="auto"/>
              </w:rPr>
              <w:t>“Code”</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2.10</w:t>
            </w:r>
          </w:p>
        </w:tc>
        <w:tc>
          <w:tcPr>
            <w:tcW w:w="3320" w:type="dxa"/>
            <w:vAlign w:val="bottom"/>
          </w:tcPr>
          <w:p>
            <w:pPr>
              <w:ind w:left="120"/>
              <w:spacing w:after="0"/>
              <w:rPr>
                <w:sz w:val="20"/>
                <w:szCs w:val="20"/>
                <w:color w:val="auto"/>
              </w:rPr>
            </w:pPr>
            <w:r>
              <w:rPr>
                <w:rFonts w:ascii="Arial" w:cs="Arial" w:eastAsia="Arial" w:hAnsi="Arial"/>
                <w:sz w:val="18"/>
                <w:szCs w:val="18"/>
                <w:color w:val="auto"/>
              </w:rPr>
              <w:t>“Committee”</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2.11</w:t>
            </w:r>
          </w:p>
        </w:tc>
        <w:tc>
          <w:tcPr>
            <w:tcW w:w="332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2.12</w:t>
            </w:r>
          </w:p>
        </w:tc>
        <w:tc>
          <w:tcPr>
            <w:tcW w:w="3320" w:type="dxa"/>
            <w:vAlign w:val="bottom"/>
          </w:tcPr>
          <w:p>
            <w:pPr>
              <w:ind w:left="120"/>
              <w:spacing w:after="0"/>
              <w:rPr>
                <w:sz w:val="20"/>
                <w:szCs w:val="20"/>
                <w:color w:val="auto"/>
              </w:rPr>
            </w:pPr>
            <w:r>
              <w:rPr>
                <w:rFonts w:ascii="Arial" w:cs="Arial" w:eastAsia="Arial" w:hAnsi="Arial"/>
                <w:sz w:val="18"/>
                <w:szCs w:val="18"/>
                <w:color w:val="auto"/>
              </w:rPr>
              <w:t>“Company”</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2.13</w:t>
            </w:r>
          </w:p>
        </w:tc>
        <w:tc>
          <w:tcPr>
            <w:tcW w:w="3320" w:type="dxa"/>
            <w:vAlign w:val="bottom"/>
          </w:tcPr>
          <w:p>
            <w:pPr>
              <w:ind w:left="120"/>
              <w:spacing w:after="0"/>
              <w:rPr>
                <w:sz w:val="20"/>
                <w:szCs w:val="20"/>
                <w:color w:val="auto"/>
              </w:rPr>
            </w:pPr>
            <w:r>
              <w:rPr>
                <w:rFonts w:ascii="Arial" w:cs="Arial" w:eastAsia="Arial" w:hAnsi="Arial"/>
                <w:sz w:val="18"/>
                <w:szCs w:val="18"/>
                <w:color w:val="auto"/>
              </w:rPr>
              <w:t>“Competitor”</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2.14</w:t>
            </w:r>
          </w:p>
        </w:tc>
        <w:tc>
          <w:tcPr>
            <w:tcW w:w="3320" w:type="dxa"/>
            <w:vAlign w:val="bottom"/>
          </w:tcPr>
          <w:p>
            <w:pPr>
              <w:ind w:left="120"/>
              <w:spacing w:after="0"/>
              <w:rPr>
                <w:sz w:val="20"/>
                <w:szCs w:val="20"/>
                <w:color w:val="auto"/>
              </w:rPr>
            </w:pPr>
            <w:r>
              <w:rPr>
                <w:rFonts w:ascii="Arial" w:cs="Arial" w:eastAsia="Arial" w:hAnsi="Arial"/>
                <w:sz w:val="18"/>
                <w:szCs w:val="18"/>
                <w:color w:val="auto"/>
              </w:rPr>
              <w:t>“Consultant”</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2.15</w:t>
            </w:r>
          </w:p>
        </w:tc>
        <w:tc>
          <w:tcPr>
            <w:tcW w:w="3320" w:type="dxa"/>
            <w:vAlign w:val="bottom"/>
          </w:tcPr>
          <w:p>
            <w:pPr>
              <w:ind w:left="120"/>
              <w:spacing w:after="0"/>
              <w:rPr>
                <w:sz w:val="20"/>
                <w:szCs w:val="20"/>
                <w:color w:val="auto"/>
              </w:rPr>
            </w:pPr>
            <w:r>
              <w:rPr>
                <w:rFonts w:ascii="Arial" w:cs="Arial" w:eastAsia="Arial" w:hAnsi="Arial"/>
                <w:sz w:val="18"/>
                <w:szCs w:val="18"/>
                <w:color w:val="auto"/>
              </w:rPr>
              <w:t>“Detrimental Activity”</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2.16</w:t>
            </w:r>
          </w:p>
        </w:tc>
        <w:tc>
          <w:tcPr>
            <w:tcW w:w="3320" w:type="dxa"/>
            <w:vAlign w:val="bottom"/>
          </w:tcPr>
          <w:p>
            <w:pPr>
              <w:ind w:left="120"/>
              <w:spacing w:after="0"/>
              <w:rPr>
                <w:sz w:val="20"/>
                <w:szCs w:val="20"/>
                <w:color w:val="auto"/>
              </w:rPr>
            </w:pPr>
            <w:r>
              <w:rPr>
                <w:rFonts w:ascii="Arial" w:cs="Arial" w:eastAsia="Arial" w:hAnsi="Arial"/>
                <w:sz w:val="18"/>
                <w:szCs w:val="18"/>
                <w:color w:val="auto"/>
              </w:rPr>
              <w:t>“Disability”</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2.17</w:t>
            </w:r>
          </w:p>
        </w:tc>
        <w:tc>
          <w:tcPr>
            <w:tcW w:w="3320" w:type="dxa"/>
            <w:vAlign w:val="bottom"/>
          </w:tcPr>
          <w:p>
            <w:pPr>
              <w:ind w:left="120"/>
              <w:spacing w:after="0"/>
              <w:rPr>
                <w:sz w:val="20"/>
                <w:szCs w:val="20"/>
                <w:color w:val="auto"/>
              </w:rPr>
            </w:pPr>
            <w:r>
              <w:rPr>
                <w:rFonts w:ascii="Arial" w:cs="Arial" w:eastAsia="Arial" w:hAnsi="Arial"/>
                <w:sz w:val="18"/>
                <w:szCs w:val="18"/>
                <w:color w:val="auto"/>
              </w:rPr>
              <w:t>“Disparagement”</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2.18</w:t>
            </w:r>
          </w:p>
        </w:tc>
        <w:tc>
          <w:tcPr>
            <w:tcW w:w="332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2.19</w:t>
            </w:r>
          </w:p>
        </w:tc>
        <w:tc>
          <w:tcPr>
            <w:tcW w:w="3320" w:type="dxa"/>
            <w:vAlign w:val="bottom"/>
          </w:tcPr>
          <w:p>
            <w:pPr>
              <w:ind w:left="120"/>
              <w:spacing w:after="0"/>
              <w:rPr>
                <w:sz w:val="20"/>
                <w:szCs w:val="20"/>
                <w:color w:val="auto"/>
              </w:rPr>
            </w:pPr>
            <w:r>
              <w:rPr>
                <w:rFonts w:ascii="Arial" w:cs="Arial" w:eastAsia="Arial" w:hAnsi="Arial"/>
                <w:sz w:val="18"/>
                <w:szCs w:val="18"/>
                <w:color w:val="auto"/>
              </w:rPr>
              <w:t>“Effective Date”</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2.20</w:t>
            </w:r>
          </w:p>
        </w:tc>
        <w:tc>
          <w:tcPr>
            <w:tcW w:w="3320" w:type="dxa"/>
            <w:vAlign w:val="bottom"/>
          </w:tcPr>
          <w:p>
            <w:pPr>
              <w:ind w:left="120"/>
              <w:spacing w:after="0"/>
              <w:rPr>
                <w:sz w:val="20"/>
                <w:szCs w:val="20"/>
                <w:color w:val="auto"/>
              </w:rPr>
            </w:pPr>
            <w:r>
              <w:rPr>
                <w:rFonts w:ascii="Arial" w:cs="Arial" w:eastAsia="Arial" w:hAnsi="Arial"/>
                <w:sz w:val="18"/>
                <w:szCs w:val="18"/>
                <w:color w:val="auto"/>
              </w:rPr>
              <w:t>“Eligible Employee”</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2.21</w:t>
            </w:r>
          </w:p>
        </w:tc>
        <w:tc>
          <w:tcPr>
            <w:tcW w:w="3320" w:type="dxa"/>
            <w:vAlign w:val="bottom"/>
          </w:tcPr>
          <w:p>
            <w:pPr>
              <w:ind w:left="120"/>
              <w:spacing w:after="0"/>
              <w:rPr>
                <w:sz w:val="20"/>
                <w:szCs w:val="20"/>
                <w:color w:val="auto"/>
              </w:rPr>
            </w:pPr>
            <w:r>
              <w:rPr>
                <w:rFonts w:ascii="Arial" w:cs="Arial" w:eastAsia="Arial" w:hAnsi="Arial"/>
                <w:sz w:val="18"/>
                <w:szCs w:val="18"/>
                <w:color w:val="auto"/>
              </w:rPr>
              <w:t>“Exchange Act”</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2.22</w:t>
            </w:r>
          </w:p>
        </w:tc>
        <w:tc>
          <w:tcPr>
            <w:tcW w:w="3320" w:type="dxa"/>
            <w:vAlign w:val="bottom"/>
          </w:tcPr>
          <w:p>
            <w:pPr>
              <w:ind w:left="120"/>
              <w:spacing w:after="0"/>
              <w:rPr>
                <w:sz w:val="20"/>
                <w:szCs w:val="20"/>
                <w:color w:val="auto"/>
              </w:rPr>
            </w:pPr>
            <w:r>
              <w:rPr>
                <w:rFonts w:ascii="Arial" w:cs="Arial" w:eastAsia="Arial" w:hAnsi="Arial"/>
                <w:sz w:val="18"/>
                <w:szCs w:val="18"/>
                <w:color w:val="auto"/>
              </w:rPr>
              <w:t>“Exercisable Awards”</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2.23</w:t>
            </w:r>
          </w:p>
        </w:tc>
        <w:tc>
          <w:tcPr>
            <w:tcW w:w="3320" w:type="dxa"/>
            <w:vAlign w:val="bottom"/>
          </w:tcPr>
          <w:p>
            <w:pPr>
              <w:ind w:left="120"/>
              <w:spacing w:after="0"/>
              <w:rPr>
                <w:sz w:val="20"/>
                <w:szCs w:val="20"/>
                <w:color w:val="auto"/>
              </w:rPr>
            </w:pPr>
            <w:r>
              <w:rPr>
                <w:rFonts w:ascii="Arial" w:cs="Arial" w:eastAsia="Arial" w:hAnsi="Arial"/>
                <w:sz w:val="18"/>
                <w:szCs w:val="18"/>
                <w:color w:val="auto"/>
              </w:rPr>
              <w:t>“Fair Market Value”</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2.24</w:t>
            </w:r>
          </w:p>
        </w:tc>
        <w:tc>
          <w:tcPr>
            <w:tcW w:w="3320" w:type="dxa"/>
            <w:vAlign w:val="bottom"/>
          </w:tcPr>
          <w:p>
            <w:pPr>
              <w:ind w:left="120"/>
              <w:spacing w:after="0"/>
              <w:rPr>
                <w:sz w:val="20"/>
                <w:szCs w:val="20"/>
                <w:color w:val="auto"/>
              </w:rPr>
            </w:pPr>
            <w:r>
              <w:rPr>
                <w:rFonts w:ascii="Arial" w:cs="Arial" w:eastAsia="Arial" w:hAnsi="Arial"/>
                <w:sz w:val="18"/>
                <w:szCs w:val="18"/>
                <w:color w:val="auto"/>
              </w:rPr>
              <w:t>“Family Member”</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2.25</w:t>
            </w:r>
          </w:p>
        </w:tc>
        <w:tc>
          <w:tcPr>
            <w:tcW w:w="3320" w:type="dxa"/>
            <w:vAlign w:val="bottom"/>
          </w:tcPr>
          <w:p>
            <w:pPr>
              <w:ind w:left="120"/>
              <w:spacing w:after="0"/>
              <w:rPr>
                <w:sz w:val="20"/>
                <w:szCs w:val="20"/>
                <w:color w:val="auto"/>
              </w:rPr>
            </w:pPr>
            <w:r>
              <w:rPr>
                <w:rFonts w:ascii="Arial" w:cs="Arial" w:eastAsia="Arial" w:hAnsi="Arial"/>
                <w:sz w:val="18"/>
                <w:szCs w:val="18"/>
                <w:color w:val="auto"/>
              </w:rPr>
              <w:t>“Incentive Stock Option”</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2.26</w:t>
            </w:r>
          </w:p>
        </w:tc>
        <w:tc>
          <w:tcPr>
            <w:tcW w:w="3320" w:type="dxa"/>
            <w:vAlign w:val="bottom"/>
          </w:tcPr>
          <w:p>
            <w:pPr>
              <w:ind w:left="120"/>
              <w:spacing w:after="0"/>
              <w:rPr>
                <w:sz w:val="20"/>
                <w:szCs w:val="20"/>
                <w:color w:val="auto"/>
              </w:rPr>
            </w:pPr>
            <w:r>
              <w:rPr>
                <w:rFonts w:ascii="Arial" w:cs="Arial" w:eastAsia="Arial" w:hAnsi="Arial"/>
                <w:sz w:val="18"/>
                <w:szCs w:val="18"/>
                <w:color w:val="auto"/>
              </w:rPr>
              <w:t>“Individual Target Award”</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2.27</w:t>
            </w:r>
          </w:p>
        </w:tc>
        <w:tc>
          <w:tcPr>
            <w:tcW w:w="3320" w:type="dxa"/>
            <w:vAlign w:val="bottom"/>
          </w:tcPr>
          <w:p>
            <w:pPr>
              <w:ind w:left="120"/>
              <w:spacing w:after="0"/>
              <w:rPr>
                <w:sz w:val="20"/>
                <w:szCs w:val="20"/>
                <w:color w:val="auto"/>
              </w:rPr>
            </w:pPr>
            <w:r>
              <w:rPr>
                <w:rFonts w:ascii="Arial" w:cs="Arial" w:eastAsia="Arial" w:hAnsi="Arial"/>
                <w:sz w:val="18"/>
                <w:szCs w:val="18"/>
                <w:color w:val="auto"/>
              </w:rPr>
              <w:t>“Lead Underwriter”</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2.28</w:t>
            </w:r>
          </w:p>
        </w:tc>
        <w:tc>
          <w:tcPr>
            <w:tcW w:w="3320" w:type="dxa"/>
            <w:vAlign w:val="bottom"/>
          </w:tcPr>
          <w:p>
            <w:pPr>
              <w:ind w:left="120"/>
              <w:spacing w:after="0"/>
              <w:rPr>
                <w:sz w:val="20"/>
                <w:szCs w:val="20"/>
                <w:color w:val="auto"/>
              </w:rPr>
            </w:pPr>
            <w:r>
              <w:rPr>
                <w:rFonts w:ascii="Arial" w:cs="Arial" w:eastAsia="Arial" w:hAnsi="Arial"/>
                <w:sz w:val="18"/>
                <w:szCs w:val="18"/>
                <w:color w:val="auto"/>
              </w:rPr>
              <w:t>“Lock-Up Period”</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2.29</w:t>
            </w:r>
          </w:p>
        </w:tc>
        <w:tc>
          <w:tcPr>
            <w:tcW w:w="3320" w:type="dxa"/>
            <w:vAlign w:val="bottom"/>
          </w:tcPr>
          <w:p>
            <w:pPr>
              <w:ind w:left="120"/>
              <w:spacing w:after="0"/>
              <w:rPr>
                <w:sz w:val="20"/>
                <w:szCs w:val="20"/>
                <w:color w:val="auto"/>
              </w:rPr>
            </w:pPr>
            <w:r>
              <w:rPr>
                <w:rFonts w:ascii="Arial" w:cs="Arial" w:eastAsia="Arial" w:hAnsi="Arial"/>
                <w:sz w:val="18"/>
                <w:szCs w:val="18"/>
                <w:color w:val="auto"/>
              </w:rPr>
              <w:t>“Non-Employee Director”</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2.30</w:t>
            </w:r>
          </w:p>
        </w:tc>
        <w:tc>
          <w:tcPr>
            <w:tcW w:w="3320" w:type="dxa"/>
            <w:vAlign w:val="bottom"/>
          </w:tcPr>
          <w:p>
            <w:pPr>
              <w:ind w:left="120"/>
              <w:spacing w:after="0"/>
              <w:rPr>
                <w:sz w:val="20"/>
                <w:szCs w:val="20"/>
                <w:color w:val="auto"/>
              </w:rPr>
            </w:pPr>
            <w:r>
              <w:rPr>
                <w:rFonts w:ascii="Arial" w:cs="Arial" w:eastAsia="Arial" w:hAnsi="Arial"/>
                <w:sz w:val="18"/>
                <w:szCs w:val="18"/>
                <w:color w:val="auto"/>
              </w:rPr>
              <w:t>“Non-Qualified Stock Option”</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2.31</w:t>
            </w:r>
          </w:p>
        </w:tc>
        <w:tc>
          <w:tcPr>
            <w:tcW w:w="3320" w:type="dxa"/>
            <w:vAlign w:val="bottom"/>
          </w:tcPr>
          <w:p>
            <w:pPr>
              <w:ind w:left="120"/>
              <w:spacing w:after="0"/>
              <w:rPr>
                <w:sz w:val="20"/>
                <w:szCs w:val="20"/>
                <w:color w:val="auto"/>
              </w:rPr>
            </w:pPr>
            <w:r>
              <w:rPr>
                <w:rFonts w:ascii="Arial" w:cs="Arial" w:eastAsia="Arial" w:hAnsi="Arial"/>
                <w:sz w:val="18"/>
                <w:szCs w:val="18"/>
                <w:color w:val="auto"/>
              </w:rPr>
              <w:t>“Other Extraordinary Event”</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2.32</w:t>
            </w:r>
          </w:p>
        </w:tc>
        <w:tc>
          <w:tcPr>
            <w:tcW w:w="3320" w:type="dxa"/>
            <w:vAlign w:val="bottom"/>
          </w:tcPr>
          <w:p>
            <w:pPr>
              <w:ind w:left="120"/>
              <w:spacing w:after="0"/>
              <w:rPr>
                <w:sz w:val="20"/>
                <w:szCs w:val="20"/>
                <w:color w:val="auto"/>
              </w:rPr>
            </w:pPr>
            <w:r>
              <w:rPr>
                <w:rFonts w:ascii="Arial" w:cs="Arial" w:eastAsia="Arial" w:hAnsi="Arial"/>
                <w:sz w:val="18"/>
                <w:szCs w:val="18"/>
                <w:color w:val="auto"/>
              </w:rPr>
              <w:t>“Other Stock-Based Award”</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2.33</w:t>
            </w:r>
          </w:p>
        </w:tc>
        <w:tc>
          <w:tcPr>
            <w:tcW w:w="3320" w:type="dxa"/>
            <w:vAlign w:val="bottom"/>
          </w:tcPr>
          <w:p>
            <w:pPr>
              <w:ind w:left="120"/>
              <w:spacing w:after="0"/>
              <w:rPr>
                <w:sz w:val="20"/>
                <w:szCs w:val="20"/>
                <w:color w:val="auto"/>
              </w:rPr>
            </w:pPr>
            <w:r>
              <w:rPr>
                <w:rFonts w:ascii="Arial" w:cs="Arial" w:eastAsia="Arial" w:hAnsi="Arial"/>
                <w:sz w:val="18"/>
                <w:szCs w:val="18"/>
                <w:color w:val="auto"/>
              </w:rPr>
              <w:t>“Parent”</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2.34</w:t>
            </w:r>
          </w:p>
        </w:tc>
        <w:tc>
          <w:tcPr>
            <w:tcW w:w="3320" w:type="dxa"/>
            <w:vAlign w:val="bottom"/>
          </w:tcPr>
          <w:p>
            <w:pPr>
              <w:ind w:left="120"/>
              <w:spacing w:after="0"/>
              <w:rPr>
                <w:sz w:val="20"/>
                <w:szCs w:val="20"/>
                <w:color w:val="auto"/>
              </w:rPr>
            </w:pPr>
            <w:r>
              <w:rPr>
                <w:rFonts w:ascii="Arial" w:cs="Arial" w:eastAsia="Arial" w:hAnsi="Arial"/>
                <w:sz w:val="18"/>
                <w:szCs w:val="18"/>
                <w:color w:val="auto"/>
              </w:rPr>
              <w:t>“Participant”</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2.35</w:t>
            </w:r>
          </w:p>
        </w:tc>
        <w:tc>
          <w:tcPr>
            <w:tcW w:w="3320" w:type="dxa"/>
            <w:vAlign w:val="bottom"/>
          </w:tcPr>
          <w:p>
            <w:pPr>
              <w:ind w:left="120"/>
              <w:spacing w:after="0"/>
              <w:rPr>
                <w:sz w:val="20"/>
                <w:szCs w:val="20"/>
                <w:color w:val="auto"/>
              </w:rPr>
            </w:pPr>
            <w:r>
              <w:rPr>
                <w:rFonts w:ascii="Arial" w:cs="Arial" w:eastAsia="Arial" w:hAnsi="Arial"/>
                <w:sz w:val="18"/>
                <w:szCs w:val="18"/>
                <w:color w:val="auto"/>
              </w:rPr>
              <w:t>“Performance-Based Cash Award”</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2.36</w:t>
            </w:r>
          </w:p>
        </w:tc>
        <w:tc>
          <w:tcPr>
            <w:tcW w:w="3320" w:type="dxa"/>
            <w:vAlign w:val="bottom"/>
          </w:tcPr>
          <w:p>
            <w:pPr>
              <w:ind w:left="120"/>
              <w:spacing w:after="0"/>
              <w:rPr>
                <w:sz w:val="20"/>
                <w:szCs w:val="20"/>
                <w:color w:val="auto"/>
              </w:rPr>
            </w:pPr>
            <w:r>
              <w:rPr>
                <w:rFonts w:ascii="Arial" w:cs="Arial" w:eastAsia="Arial" w:hAnsi="Arial"/>
                <w:sz w:val="18"/>
                <w:szCs w:val="18"/>
                <w:color w:val="auto"/>
              </w:rPr>
              <w:t>“Performance Criteria”</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2.37</w:t>
            </w:r>
          </w:p>
        </w:tc>
        <w:tc>
          <w:tcPr>
            <w:tcW w:w="3320" w:type="dxa"/>
            <w:vAlign w:val="bottom"/>
          </w:tcPr>
          <w:p>
            <w:pPr>
              <w:ind w:left="120"/>
              <w:spacing w:after="0"/>
              <w:rPr>
                <w:sz w:val="20"/>
                <w:szCs w:val="20"/>
                <w:color w:val="auto"/>
              </w:rPr>
            </w:pPr>
            <w:r>
              <w:rPr>
                <w:rFonts w:ascii="Arial" w:cs="Arial" w:eastAsia="Arial" w:hAnsi="Arial"/>
                <w:sz w:val="18"/>
                <w:szCs w:val="18"/>
                <w:color w:val="auto"/>
              </w:rPr>
              <w:t>“Performance Period”</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2.38</w:t>
            </w:r>
          </w:p>
        </w:tc>
        <w:tc>
          <w:tcPr>
            <w:tcW w:w="3320" w:type="dxa"/>
            <w:vAlign w:val="bottom"/>
          </w:tcPr>
          <w:p>
            <w:pPr>
              <w:ind w:left="120"/>
              <w:spacing w:after="0"/>
              <w:rPr>
                <w:sz w:val="20"/>
                <w:szCs w:val="20"/>
                <w:color w:val="auto"/>
              </w:rPr>
            </w:pPr>
            <w:r>
              <w:rPr>
                <w:rFonts w:ascii="Arial" w:cs="Arial" w:eastAsia="Arial" w:hAnsi="Arial"/>
                <w:sz w:val="18"/>
                <w:szCs w:val="18"/>
                <w:color w:val="auto"/>
              </w:rPr>
              <w:t>“Performance Share”</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80" w:type="dxa"/>
            <w:vAlign w:val="bottom"/>
          </w:tcPr>
          <w:p>
            <w:pPr>
              <w:ind w:left="460"/>
              <w:spacing w:after="0"/>
              <w:rPr>
                <w:sz w:val="20"/>
                <w:szCs w:val="20"/>
                <w:color w:val="auto"/>
              </w:rPr>
            </w:pPr>
            <w:r>
              <w:rPr>
                <w:rFonts w:ascii="Arial" w:cs="Arial" w:eastAsia="Arial" w:hAnsi="Arial"/>
                <w:sz w:val="18"/>
                <w:szCs w:val="18"/>
                <w:color w:val="auto"/>
              </w:rPr>
              <w:t>2.39</w:t>
            </w:r>
          </w:p>
        </w:tc>
        <w:tc>
          <w:tcPr>
            <w:tcW w:w="3320" w:type="dxa"/>
            <w:vAlign w:val="bottom"/>
          </w:tcPr>
          <w:p>
            <w:pPr>
              <w:ind w:left="120"/>
              <w:spacing w:after="0"/>
              <w:rPr>
                <w:sz w:val="20"/>
                <w:szCs w:val="20"/>
                <w:color w:val="auto"/>
              </w:rPr>
            </w:pPr>
            <w:r>
              <w:rPr>
                <w:rFonts w:ascii="Arial" w:cs="Arial" w:eastAsia="Arial" w:hAnsi="Arial"/>
                <w:sz w:val="18"/>
                <w:szCs w:val="18"/>
                <w:color w:val="auto"/>
              </w:rPr>
              <w:t>“Performance Unit”</w:t>
            </w:r>
          </w:p>
        </w:tc>
        <w:tc>
          <w:tcPr>
            <w:tcW w:w="712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487" w:name="page488"/>
    <w:bookmarkEnd w:id="487"/>
    <w:tbl>
      <w:tblPr>
        <w:tblLayout w:type="fixed"/>
        <w:tblInd w:w="0" w:type="dxa"/>
        <w:tblCellMar>
          <w:top w:w="0" w:type="dxa"/>
          <w:left w:w="0" w:type="dxa"/>
          <w:bottom w:w="0" w:type="dxa"/>
          <w:right w:w="0" w:type="dxa"/>
        </w:tblCellMar>
      </w:tblP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2.40</w:t>
            </w:r>
          </w:p>
        </w:tc>
        <w:tc>
          <w:tcPr>
            <w:tcW w:w="6500" w:type="dxa"/>
            <w:vAlign w:val="bottom"/>
          </w:tcPr>
          <w:p>
            <w:pPr>
              <w:ind w:left="120"/>
              <w:spacing w:after="0"/>
              <w:rPr>
                <w:sz w:val="20"/>
                <w:szCs w:val="20"/>
                <w:color w:val="auto"/>
              </w:rPr>
            </w:pPr>
            <w:r>
              <w:rPr>
                <w:rFonts w:ascii="Arial" w:cs="Arial" w:eastAsia="Arial" w:hAnsi="Arial"/>
                <w:sz w:val="18"/>
                <w:szCs w:val="18"/>
                <w:color w:val="auto"/>
              </w:rPr>
              <w:t>“Person”</w:t>
            </w:r>
          </w:p>
        </w:tc>
        <w:tc>
          <w:tcPr>
            <w:tcW w:w="3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2.41</w:t>
            </w:r>
          </w:p>
        </w:tc>
        <w:tc>
          <w:tcPr>
            <w:tcW w:w="6500" w:type="dxa"/>
            <w:vAlign w:val="bottom"/>
          </w:tcPr>
          <w:p>
            <w:pPr>
              <w:ind w:left="120"/>
              <w:spacing w:after="0"/>
              <w:rPr>
                <w:sz w:val="20"/>
                <w:szCs w:val="20"/>
                <w:color w:val="auto"/>
              </w:rPr>
            </w:pPr>
            <w:r>
              <w:rPr>
                <w:rFonts w:ascii="Arial" w:cs="Arial" w:eastAsia="Arial" w:hAnsi="Arial"/>
                <w:sz w:val="18"/>
                <w:szCs w:val="18"/>
                <w:color w:val="auto"/>
              </w:rPr>
              <w:t>“Plan”</w:t>
            </w:r>
          </w:p>
        </w:tc>
        <w:tc>
          <w:tcPr>
            <w:tcW w:w="3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2.42</w:t>
            </w:r>
          </w:p>
        </w:tc>
        <w:tc>
          <w:tcPr>
            <w:tcW w:w="6500" w:type="dxa"/>
            <w:vAlign w:val="bottom"/>
          </w:tcPr>
          <w:p>
            <w:pPr>
              <w:ind w:left="120"/>
              <w:spacing w:after="0"/>
              <w:rPr>
                <w:sz w:val="20"/>
                <w:szCs w:val="20"/>
                <w:color w:val="auto"/>
              </w:rPr>
            </w:pPr>
            <w:r>
              <w:rPr>
                <w:rFonts w:ascii="Arial" w:cs="Arial" w:eastAsia="Arial" w:hAnsi="Arial"/>
                <w:sz w:val="18"/>
                <w:szCs w:val="18"/>
                <w:color w:val="auto"/>
              </w:rPr>
              <w:t>“Registration Date”</w:t>
            </w:r>
          </w:p>
        </w:tc>
        <w:tc>
          <w:tcPr>
            <w:tcW w:w="3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2.43</w:t>
            </w:r>
          </w:p>
        </w:tc>
        <w:tc>
          <w:tcPr>
            <w:tcW w:w="6500" w:type="dxa"/>
            <w:vAlign w:val="bottom"/>
          </w:tcPr>
          <w:p>
            <w:pPr>
              <w:ind w:left="120"/>
              <w:spacing w:after="0"/>
              <w:rPr>
                <w:sz w:val="20"/>
                <w:szCs w:val="20"/>
                <w:color w:val="auto"/>
              </w:rPr>
            </w:pPr>
            <w:r>
              <w:rPr>
                <w:rFonts w:ascii="Arial" w:cs="Arial" w:eastAsia="Arial" w:hAnsi="Arial"/>
                <w:sz w:val="18"/>
                <w:szCs w:val="18"/>
                <w:color w:val="auto"/>
              </w:rPr>
              <w:t>“Restricted Stock”</w:t>
            </w:r>
          </w:p>
        </w:tc>
        <w:tc>
          <w:tcPr>
            <w:tcW w:w="3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2.44</w:t>
            </w:r>
          </w:p>
        </w:tc>
        <w:tc>
          <w:tcPr>
            <w:tcW w:w="6500" w:type="dxa"/>
            <w:vAlign w:val="bottom"/>
          </w:tcPr>
          <w:p>
            <w:pPr>
              <w:ind w:left="120"/>
              <w:spacing w:after="0"/>
              <w:rPr>
                <w:sz w:val="20"/>
                <w:szCs w:val="20"/>
                <w:color w:val="auto"/>
              </w:rPr>
            </w:pPr>
            <w:r>
              <w:rPr>
                <w:rFonts w:ascii="Arial" w:cs="Arial" w:eastAsia="Arial" w:hAnsi="Arial"/>
                <w:sz w:val="18"/>
                <w:szCs w:val="18"/>
                <w:color w:val="auto"/>
              </w:rPr>
              <w:t>“Restriction Period”</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2.45</w:t>
            </w:r>
          </w:p>
        </w:tc>
        <w:tc>
          <w:tcPr>
            <w:tcW w:w="6500" w:type="dxa"/>
            <w:vAlign w:val="bottom"/>
          </w:tcPr>
          <w:p>
            <w:pPr>
              <w:ind w:left="120"/>
              <w:spacing w:after="0"/>
              <w:rPr>
                <w:sz w:val="20"/>
                <w:szCs w:val="20"/>
                <w:color w:val="auto"/>
              </w:rPr>
            </w:pPr>
            <w:r>
              <w:rPr>
                <w:rFonts w:ascii="Arial" w:cs="Arial" w:eastAsia="Arial" w:hAnsi="Arial"/>
                <w:sz w:val="18"/>
                <w:szCs w:val="18"/>
                <w:color w:val="auto"/>
              </w:rPr>
              <w:t>“Rule 13d-3”</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2.46</w:t>
            </w:r>
          </w:p>
        </w:tc>
        <w:tc>
          <w:tcPr>
            <w:tcW w:w="6500" w:type="dxa"/>
            <w:vAlign w:val="bottom"/>
          </w:tcPr>
          <w:p>
            <w:pPr>
              <w:ind w:left="120"/>
              <w:spacing w:after="0"/>
              <w:rPr>
                <w:sz w:val="20"/>
                <w:szCs w:val="20"/>
                <w:color w:val="auto"/>
              </w:rPr>
            </w:pPr>
            <w:r>
              <w:rPr>
                <w:rFonts w:ascii="Arial" w:cs="Arial" w:eastAsia="Arial" w:hAnsi="Arial"/>
                <w:sz w:val="18"/>
                <w:szCs w:val="18"/>
                <w:color w:val="auto"/>
              </w:rPr>
              <w:t>“Rule 16b-3”</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2.47</w:t>
            </w:r>
          </w:p>
        </w:tc>
        <w:tc>
          <w:tcPr>
            <w:tcW w:w="6500" w:type="dxa"/>
            <w:vAlign w:val="bottom"/>
          </w:tcPr>
          <w:p>
            <w:pPr>
              <w:ind w:left="120"/>
              <w:spacing w:after="0"/>
              <w:rPr>
                <w:sz w:val="20"/>
                <w:szCs w:val="20"/>
                <w:color w:val="auto"/>
              </w:rPr>
            </w:pPr>
            <w:r>
              <w:rPr>
                <w:rFonts w:ascii="Arial" w:cs="Arial" w:eastAsia="Arial" w:hAnsi="Arial"/>
                <w:sz w:val="18"/>
                <w:szCs w:val="18"/>
                <w:color w:val="auto"/>
              </w:rPr>
              <w:t>“Section 162(m)”</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2.48</w:t>
            </w:r>
          </w:p>
        </w:tc>
        <w:tc>
          <w:tcPr>
            <w:tcW w:w="6500" w:type="dxa"/>
            <w:vAlign w:val="bottom"/>
          </w:tcPr>
          <w:p>
            <w:pPr>
              <w:ind w:left="120"/>
              <w:spacing w:after="0"/>
              <w:rPr>
                <w:sz w:val="20"/>
                <w:szCs w:val="20"/>
                <w:color w:val="auto"/>
              </w:rPr>
            </w:pPr>
            <w:r>
              <w:rPr>
                <w:rFonts w:ascii="Arial" w:cs="Arial" w:eastAsia="Arial" w:hAnsi="Arial"/>
                <w:sz w:val="18"/>
                <w:szCs w:val="18"/>
                <w:color w:val="auto"/>
              </w:rPr>
              <w:t>“Section 4.2 Event”</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2.49</w:t>
            </w:r>
          </w:p>
        </w:tc>
        <w:tc>
          <w:tcPr>
            <w:tcW w:w="6500" w:type="dxa"/>
            <w:vAlign w:val="bottom"/>
          </w:tcPr>
          <w:p>
            <w:pPr>
              <w:ind w:left="120"/>
              <w:spacing w:after="0"/>
              <w:rPr>
                <w:sz w:val="20"/>
                <w:szCs w:val="20"/>
                <w:color w:val="auto"/>
              </w:rPr>
            </w:pPr>
            <w:r>
              <w:rPr>
                <w:rFonts w:ascii="Arial" w:cs="Arial" w:eastAsia="Arial" w:hAnsi="Arial"/>
                <w:sz w:val="18"/>
                <w:szCs w:val="18"/>
                <w:color w:val="auto"/>
              </w:rPr>
              <w:t>“Section 409A Covered Award”</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2.50</w:t>
            </w:r>
          </w:p>
        </w:tc>
        <w:tc>
          <w:tcPr>
            <w:tcW w:w="6500" w:type="dxa"/>
            <w:vAlign w:val="bottom"/>
          </w:tcPr>
          <w:p>
            <w:pPr>
              <w:ind w:left="120"/>
              <w:spacing w:after="0"/>
              <w:rPr>
                <w:sz w:val="20"/>
                <w:szCs w:val="20"/>
                <w:color w:val="auto"/>
              </w:rPr>
            </w:pPr>
            <w:r>
              <w:rPr>
                <w:rFonts w:ascii="Arial" w:cs="Arial" w:eastAsia="Arial" w:hAnsi="Arial"/>
                <w:sz w:val="18"/>
                <w:szCs w:val="18"/>
                <w:color w:val="auto"/>
              </w:rPr>
              <w:t>“Section 409A”</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2.51</w:t>
            </w:r>
          </w:p>
        </w:tc>
        <w:tc>
          <w:tcPr>
            <w:tcW w:w="6500" w:type="dxa"/>
            <w:vAlign w:val="bottom"/>
          </w:tcPr>
          <w:p>
            <w:pPr>
              <w:ind w:left="120"/>
              <w:spacing w:after="0"/>
              <w:rPr>
                <w:sz w:val="20"/>
                <w:szCs w:val="20"/>
                <w:color w:val="auto"/>
              </w:rPr>
            </w:pPr>
            <w:r>
              <w:rPr>
                <w:rFonts w:ascii="Arial" w:cs="Arial" w:eastAsia="Arial" w:hAnsi="Arial"/>
                <w:sz w:val="18"/>
                <w:szCs w:val="18"/>
                <w:color w:val="auto"/>
              </w:rPr>
              <w:t>“Securities Act”</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2.52</w:t>
            </w:r>
          </w:p>
        </w:tc>
        <w:tc>
          <w:tcPr>
            <w:tcW w:w="6500" w:type="dxa"/>
            <w:vAlign w:val="bottom"/>
          </w:tcPr>
          <w:p>
            <w:pPr>
              <w:ind w:left="120"/>
              <w:spacing w:after="0"/>
              <w:rPr>
                <w:sz w:val="20"/>
                <w:szCs w:val="20"/>
                <w:color w:val="auto"/>
              </w:rPr>
            </w:pPr>
            <w:r>
              <w:rPr>
                <w:rFonts w:ascii="Arial" w:cs="Arial" w:eastAsia="Arial" w:hAnsi="Arial"/>
                <w:sz w:val="18"/>
                <w:szCs w:val="18"/>
                <w:color w:val="auto"/>
              </w:rPr>
              <w:t>“Stock Option” or “Option”</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2.53</w:t>
            </w:r>
          </w:p>
        </w:tc>
        <w:tc>
          <w:tcPr>
            <w:tcW w:w="6500" w:type="dxa"/>
            <w:vAlign w:val="bottom"/>
          </w:tcPr>
          <w:p>
            <w:pPr>
              <w:ind w:left="120"/>
              <w:spacing w:after="0"/>
              <w:rPr>
                <w:sz w:val="20"/>
                <w:szCs w:val="20"/>
                <w:color w:val="auto"/>
              </w:rPr>
            </w:pPr>
            <w:r>
              <w:rPr>
                <w:rFonts w:ascii="Arial" w:cs="Arial" w:eastAsia="Arial" w:hAnsi="Arial"/>
                <w:sz w:val="18"/>
                <w:szCs w:val="18"/>
                <w:color w:val="auto"/>
              </w:rPr>
              <w:t>“Subsidiary”</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2.54</w:t>
            </w:r>
          </w:p>
        </w:tc>
        <w:tc>
          <w:tcPr>
            <w:tcW w:w="6500" w:type="dxa"/>
            <w:vAlign w:val="bottom"/>
          </w:tcPr>
          <w:p>
            <w:pPr>
              <w:ind w:left="120"/>
              <w:spacing w:after="0"/>
              <w:rPr>
                <w:sz w:val="20"/>
                <w:szCs w:val="20"/>
                <w:color w:val="auto"/>
              </w:rPr>
            </w:pPr>
            <w:r>
              <w:rPr>
                <w:rFonts w:ascii="Arial" w:cs="Arial" w:eastAsia="Arial" w:hAnsi="Arial"/>
                <w:sz w:val="18"/>
                <w:szCs w:val="18"/>
                <w:color w:val="auto"/>
              </w:rPr>
              <w:t>“Ten Percent Stockholder”</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2.55</w:t>
            </w:r>
          </w:p>
        </w:tc>
        <w:tc>
          <w:tcPr>
            <w:tcW w:w="650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2.56</w:t>
            </w:r>
          </w:p>
        </w:tc>
        <w:tc>
          <w:tcPr>
            <w:tcW w:w="6500" w:type="dxa"/>
            <w:vAlign w:val="bottom"/>
          </w:tcPr>
          <w:p>
            <w:pPr>
              <w:ind w:left="120"/>
              <w:spacing w:after="0"/>
              <w:rPr>
                <w:sz w:val="20"/>
                <w:szCs w:val="20"/>
                <w:color w:val="auto"/>
              </w:rPr>
            </w:pPr>
            <w:r>
              <w:rPr>
                <w:rFonts w:ascii="Arial" w:cs="Arial" w:eastAsia="Arial" w:hAnsi="Arial"/>
                <w:sz w:val="18"/>
                <w:szCs w:val="18"/>
                <w:color w:val="auto"/>
              </w:rPr>
              <w:t>“Termination of Consultancy”</w:t>
            </w:r>
          </w:p>
        </w:tc>
        <w:tc>
          <w:tcPr>
            <w:tcW w:w="3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2.57</w:t>
            </w:r>
          </w:p>
        </w:tc>
        <w:tc>
          <w:tcPr>
            <w:tcW w:w="6500" w:type="dxa"/>
            <w:vAlign w:val="bottom"/>
          </w:tcPr>
          <w:p>
            <w:pPr>
              <w:ind w:left="120"/>
              <w:spacing w:after="0"/>
              <w:rPr>
                <w:sz w:val="20"/>
                <w:szCs w:val="20"/>
                <w:color w:val="auto"/>
              </w:rPr>
            </w:pPr>
            <w:r>
              <w:rPr>
                <w:rFonts w:ascii="Arial" w:cs="Arial" w:eastAsia="Arial" w:hAnsi="Arial"/>
                <w:sz w:val="18"/>
                <w:szCs w:val="18"/>
                <w:color w:val="auto"/>
              </w:rPr>
              <w:t>“Termination of Directorship”</w:t>
            </w:r>
          </w:p>
        </w:tc>
        <w:tc>
          <w:tcPr>
            <w:tcW w:w="3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2.58</w:t>
            </w:r>
          </w:p>
        </w:tc>
        <w:tc>
          <w:tcPr>
            <w:tcW w:w="6500" w:type="dxa"/>
            <w:vAlign w:val="bottom"/>
          </w:tcPr>
          <w:p>
            <w:pPr>
              <w:ind w:left="120"/>
              <w:spacing w:after="0"/>
              <w:rPr>
                <w:sz w:val="20"/>
                <w:szCs w:val="20"/>
                <w:color w:val="auto"/>
              </w:rPr>
            </w:pPr>
            <w:r>
              <w:rPr>
                <w:rFonts w:ascii="Arial" w:cs="Arial" w:eastAsia="Arial" w:hAnsi="Arial"/>
                <w:sz w:val="18"/>
                <w:szCs w:val="18"/>
                <w:color w:val="auto"/>
              </w:rPr>
              <w:t>“Termination of Employment”</w:t>
            </w:r>
          </w:p>
        </w:tc>
        <w:tc>
          <w:tcPr>
            <w:tcW w:w="3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2.59</w:t>
            </w:r>
          </w:p>
        </w:tc>
        <w:tc>
          <w:tcPr>
            <w:tcW w:w="6500" w:type="dxa"/>
            <w:vAlign w:val="bottom"/>
          </w:tcPr>
          <w:p>
            <w:pPr>
              <w:ind w:left="120"/>
              <w:spacing w:after="0"/>
              <w:rPr>
                <w:sz w:val="20"/>
                <w:szCs w:val="20"/>
                <w:color w:val="auto"/>
              </w:rPr>
            </w:pPr>
            <w:r>
              <w:rPr>
                <w:rFonts w:ascii="Arial" w:cs="Arial" w:eastAsia="Arial" w:hAnsi="Arial"/>
                <w:sz w:val="18"/>
                <w:szCs w:val="18"/>
                <w:color w:val="auto"/>
              </w:rPr>
              <w:t>“Transfer”</w:t>
            </w:r>
          </w:p>
        </w:tc>
        <w:tc>
          <w:tcPr>
            <w:tcW w:w="3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80" w:type="dxa"/>
            <w:vAlign w:val="bottom"/>
          </w:tcPr>
          <w:p>
            <w:pPr>
              <w:ind w:left="460"/>
              <w:spacing w:after="0"/>
              <w:rPr>
                <w:sz w:val="20"/>
                <w:szCs w:val="20"/>
                <w:color w:val="auto"/>
              </w:rPr>
            </w:pPr>
            <w:r>
              <w:rPr>
                <w:rFonts w:ascii="Arial" w:cs="Arial" w:eastAsia="Arial" w:hAnsi="Arial"/>
                <w:sz w:val="18"/>
                <w:szCs w:val="18"/>
                <w:color w:val="auto"/>
              </w:rPr>
              <w:t>2.60</w:t>
            </w:r>
          </w:p>
        </w:tc>
        <w:tc>
          <w:tcPr>
            <w:tcW w:w="6500" w:type="dxa"/>
            <w:vAlign w:val="bottom"/>
          </w:tcPr>
          <w:p>
            <w:pPr>
              <w:ind w:left="120"/>
              <w:spacing w:after="0"/>
              <w:rPr>
                <w:sz w:val="20"/>
                <w:szCs w:val="20"/>
                <w:color w:val="auto"/>
              </w:rPr>
            </w:pPr>
            <w:r>
              <w:rPr>
                <w:rFonts w:ascii="Arial" w:cs="Arial" w:eastAsia="Arial" w:hAnsi="Arial"/>
                <w:sz w:val="18"/>
                <w:szCs w:val="18"/>
                <w:color w:val="auto"/>
              </w:rPr>
              <w:t>“Transition Period”</w:t>
            </w:r>
          </w:p>
        </w:tc>
        <w:tc>
          <w:tcPr>
            <w:tcW w:w="3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ARTICLE III ADMINISTRATION</w:t>
            </w:r>
          </w:p>
        </w:tc>
        <w:tc>
          <w:tcPr>
            <w:tcW w:w="39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3.1</w:t>
            </w:r>
          </w:p>
        </w:tc>
        <w:tc>
          <w:tcPr>
            <w:tcW w:w="6500" w:type="dxa"/>
            <w:vAlign w:val="bottom"/>
          </w:tcPr>
          <w:p>
            <w:pPr>
              <w:ind w:left="120"/>
              <w:spacing w:after="0"/>
              <w:rPr>
                <w:sz w:val="20"/>
                <w:szCs w:val="20"/>
                <w:color w:val="auto"/>
              </w:rPr>
            </w:pPr>
            <w:r>
              <w:rPr>
                <w:rFonts w:ascii="Arial" w:cs="Arial" w:eastAsia="Arial" w:hAnsi="Arial"/>
                <w:sz w:val="18"/>
                <w:szCs w:val="18"/>
                <w:color w:val="auto"/>
              </w:rPr>
              <w:t>The Committee</w:t>
            </w:r>
          </w:p>
        </w:tc>
        <w:tc>
          <w:tcPr>
            <w:tcW w:w="3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3.2</w:t>
            </w:r>
          </w:p>
        </w:tc>
        <w:tc>
          <w:tcPr>
            <w:tcW w:w="6500" w:type="dxa"/>
            <w:vAlign w:val="bottom"/>
          </w:tcPr>
          <w:p>
            <w:pPr>
              <w:ind w:left="120"/>
              <w:spacing w:after="0"/>
              <w:rPr>
                <w:sz w:val="20"/>
                <w:szCs w:val="20"/>
                <w:color w:val="auto"/>
              </w:rPr>
            </w:pPr>
            <w:r>
              <w:rPr>
                <w:rFonts w:ascii="Arial" w:cs="Arial" w:eastAsia="Arial" w:hAnsi="Arial"/>
                <w:sz w:val="18"/>
                <w:szCs w:val="18"/>
                <w:color w:val="auto"/>
              </w:rPr>
              <w:t>Grant and Administration of Awards</w:t>
            </w:r>
          </w:p>
        </w:tc>
        <w:tc>
          <w:tcPr>
            <w:tcW w:w="3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3.3</w:t>
            </w:r>
          </w:p>
        </w:tc>
        <w:tc>
          <w:tcPr>
            <w:tcW w:w="6500" w:type="dxa"/>
            <w:vAlign w:val="bottom"/>
          </w:tcPr>
          <w:p>
            <w:pPr>
              <w:ind w:left="120"/>
              <w:spacing w:after="0"/>
              <w:rPr>
                <w:sz w:val="20"/>
                <w:szCs w:val="20"/>
                <w:color w:val="auto"/>
              </w:rPr>
            </w:pPr>
            <w:r>
              <w:rPr>
                <w:rFonts w:ascii="Arial" w:cs="Arial" w:eastAsia="Arial" w:hAnsi="Arial"/>
                <w:sz w:val="18"/>
                <w:szCs w:val="18"/>
                <w:color w:val="auto"/>
              </w:rPr>
              <w:t>Award Agreements</w:t>
            </w:r>
          </w:p>
        </w:tc>
        <w:tc>
          <w:tcPr>
            <w:tcW w:w="3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3.4</w:t>
            </w:r>
          </w:p>
        </w:tc>
        <w:tc>
          <w:tcPr>
            <w:tcW w:w="6500" w:type="dxa"/>
            <w:vAlign w:val="bottom"/>
          </w:tcPr>
          <w:p>
            <w:pPr>
              <w:ind w:left="120"/>
              <w:spacing w:after="0"/>
              <w:rPr>
                <w:sz w:val="20"/>
                <w:szCs w:val="20"/>
                <w:color w:val="auto"/>
              </w:rPr>
            </w:pPr>
            <w:r>
              <w:rPr>
                <w:rFonts w:ascii="Arial" w:cs="Arial" w:eastAsia="Arial" w:hAnsi="Arial"/>
                <w:sz w:val="18"/>
                <w:szCs w:val="18"/>
                <w:color w:val="auto"/>
              </w:rPr>
              <w:t>Guidelines</w:t>
            </w:r>
          </w:p>
        </w:tc>
        <w:tc>
          <w:tcPr>
            <w:tcW w:w="3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3.5</w:t>
            </w:r>
          </w:p>
        </w:tc>
        <w:tc>
          <w:tcPr>
            <w:tcW w:w="6500" w:type="dxa"/>
            <w:vAlign w:val="bottom"/>
          </w:tcPr>
          <w:p>
            <w:pPr>
              <w:ind w:left="120"/>
              <w:spacing w:after="0"/>
              <w:rPr>
                <w:sz w:val="20"/>
                <w:szCs w:val="20"/>
                <w:color w:val="auto"/>
              </w:rPr>
            </w:pPr>
            <w:r>
              <w:rPr>
                <w:rFonts w:ascii="Arial" w:cs="Arial" w:eastAsia="Arial" w:hAnsi="Arial"/>
                <w:sz w:val="18"/>
                <w:szCs w:val="18"/>
                <w:color w:val="auto"/>
              </w:rPr>
              <w:t>Section 162(m)</w:t>
            </w:r>
          </w:p>
        </w:tc>
        <w:tc>
          <w:tcPr>
            <w:tcW w:w="3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3.6</w:t>
            </w:r>
          </w:p>
        </w:tc>
        <w:tc>
          <w:tcPr>
            <w:tcW w:w="6500" w:type="dxa"/>
            <w:vAlign w:val="bottom"/>
          </w:tcPr>
          <w:p>
            <w:pPr>
              <w:ind w:left="120"/>
              <w:spacing w:after="0"/>
              <w:rPr>
                <w:sz w:val="20"/>
                <w:szCs w:val="20"/>
                <w:color w:val="auto"/>
              </w:rPr>
            </w:pPr>
            <w:r>
              <w:rPr>
                <w:rFonts w:ascii="Arial" w:cs="Arial" w:eastAsia="Arial" w:hAnsi="Arial"/>
                <w:sz w:val="18"/>
                <w:szCs w:val="18"/>
                <w:color w:val="auto"/>
              </w:rPr>
              <w:t>Delegation; Advisors</w:t>
            </w:r>
          </w:p>
        </w:tc>
        <w:tc>
          <w:tcPr>
            <w:tcW w:w="3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3.7</w:t>
            </w:r>
          </w:p>
        </w:tc>
        <w:tc>
          <w:tcPr>
            <w:tcW w:w="6500" w:type="dxa"/>
            <w:vAlign w:val="bottom"/>
          </w:tcPr>
          <w:p>
            <w:pPr>
              <w:ind w:left="120"/>
              <w:spacing w:after="0"/>
              <w:rPr>
                <w:sz w:val="20"/>
                <w:szCs w:val="20"/>
                <w:color w:val="auto"/>
              </w:rPr>
            </w:pPr>
            <w:r>
              <w:rPr>
                <w:rFonts w:ascii="Arial" w:cs="Arial" w:eastAsia="Arial" w:hAnsi="Arial"/>
                <w:sz w:val="18"/>
                <w:szCs w:val="18"/>
                <w:color w:val="auto"/>
              </w:rPr>
              <w:t>Decisions Final</w:t>
            </w:r>
          </w:p>
        </w:tc>
        <w:tc>
          <w:tcPr>
            <w:tcW w:w="3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3.8</w:t>
            </w:r>
          </w:p>
        </w:tc>
        <w:tc>
          <w:tcPr>
            <w:tcW w:w="6500" w:type="dxa"/>
            <w:vAlign w:val="bottom"/>
          </w:tcPr>
          <w:p>
            <w:pPr>
              <w:ind w:left="120"/>
              <w:spacing w:after="0"/>
              <w:rPr>
                <w:sz w:val="20"/>
                <w:szCs w:val="20"/>
                <w:color w:val="auto"/>
              </w:rPr>
            </w:pPr>
            <w:r>
              <w:rPr>
                <w:rFonts w:ascii="Arial" w:cs="Arial" w:eastAsia="Arial" w:hAnsi="Arial"/>
                <w:sz w:val="18"/>
                <w:szCs w:val="18"/>
                <w:color w:val="auto"/>
              </w:rPr>
              <w:t>Procedures</w:t>
            </w:r>
          </w:p>
        </w:tc>
        <w:tc>
          <w:tcPr>
            <w:tcW w:w="3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80" w:type="dxa"/>
            <w:vAlign w:val="bottom"/>
          </w:tcPr>
          <w:p>
            <w:pPr>
              <w:ind w:left="460"/>
              <w:spacing w:after="0"/>
              <w:rPr>
                <w:sz w:val="20"/>
                <w:szCs w:val="20"/>
                <w:color w:val="auto"/>
              </w:rPr>
            </w:pPr>
            <w:r>
              <w:rPr>
                <w:rFonts w:ascii="Arial" w:cs="Arial" w:eastAsia="Arial" w:hAnsi="Arial"/>
                <w:sz w:val="18"/>
                <w:szCs w:val="18"/>
                <w:color w:val="auto"/>
              </w:rPr>
              <w:t>3.9</w:t>
            </w:r>
          </w:p>
        </w:tc>
        <w:tc>
          <w:tcPr>
            <w:tcW w:w="6500" w:type="dxa"/>
            <w:vAlign w:val="bottom"/>
          </w:tcPr>
          <w:p>
            <w:pPr>
              <w:ind w:left="120"/>
              <w:spacing w:after="0"/>
              <w:rPr>
                <w:sz w:val="20"/>
                <w:szCs w:val="20"/>
                <w:color w:val="auto"/>
              </w:rPr>
            </w:pPr>
            <w:r>
              <w:rPr>
                <w:rFonts w:ascii="Arial" w:cs="Arial" w:eastAsia="Arial" w:hAnsi="Arial"/>
                <w:sz w:val="18"/>
                <w:szCs w:val="18"/>
                <w:color w:val="auto"/>
              </w:rPr>
              <w:t>Liability; Indemnification</w:t>
            </w:r>
          </w:p>
        </w:tc>
        <w:tc>
          <w:tcPr>
            <w:tcW w:w="3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ARTICLE IV SHARE LIMITATIONS</w:t>
            </w:r>
          </w:p>
        </w:tc>
        <w:tc>
          <w:tcPr>
            <w:tcW w:w="39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4.1</w:t>
            </w:r>
          </w:p>
        </w:tc>
        <w:tc>
          <w:tcPr>
            <w:tcW w:w="6500" w:type="dxa"/>
            <w:vAlign w:val="bottom"/>
          </w:tcPr>
          <w:p>
            <w:pPr>
              <w:ind w:left="120"/>
              <w:spacing w:after="0"/>
              <w:rPr>
                <w:sz w:val="20"/>
                <w:szCs w:val="20"/>
                <w:color w:val="auto"/>
              </w:rPr>
            </w:pPr>
            <w:r>
              <w:rPr>
                <w:rFonts w:ascii="Arial" w:cs="Arial" w:eastAsia="Arial" w:hAnsi="Arial"/>
                <w:sz w:val="18"/>
                <w:szCs w:val="18"/>
                <w:color w:val="auto"/>
              </w:rPr>
              <w:t>Shares</w:t>
            </w:r>
          </w:p>
        </w:tc>
        <w:tc>
          <w:tcPr>
            <w:tcW w:w="3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4.2</w:t>
            </w:r>
          </w:p>
        </w:tc>
        <w:tc>
          <w:tcPr>
            <w:tcW w:w="6500" w:type="dxa"/>
            <w:vAlign w:val="bottom"/>
          </w:tcPr>
          <w:p>
            <w:pPr>
              <w:ind w:left="120"/>
              <w:spacing w:after="0"/>
              <w:rPr>
                <w:sz w:val="20"/>
                <w:szCs w:val="20"/>
                <w:color w:val="auto"/>
              </w:rPr>
            </w:pPr>
            <w:r>
              <w:rPr>
                <w:rFonts w:ascii="Arial" w:cs="Arial" w:eastAsia="Arial" w:hAnsi="Arial"/>
                <w:sz w:val="18"/>
                <w:szCs w:val="18"/>
                <w:color w:val="auto"/>
              </w:rPr>
              <w:t>Changes</w:t>
            </w:r>
          </w:p>
        </w:tc>
        <w:tc>
          <w:tcPr>
            <w:tcW w:w="3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80" w:type="dxa"/>
            <w:vAlign w:val="bottom"/>
          </w:tcPr>
          <w:p>
            <w:pPr>
              <w:ind w:left="460"/>
              <w:spacing w:after="0"/>
              <w:rPr>
                <w:sz w:val="20"/>
                <w:szCs w:val="20"/>
                <w:color w:val="auto"/>
              </w:rPr>
            </w:pPr>
            <w:r>
              <w:rPr>
                <w:rFonts w:ascii="Arial" w:cs="Arial" w:eastAsia="Arial" w:hAnsi="Arial"/>
                <w:sz w:val="18"/>
                <w:szCs w:val="18"/>
                <w:color w:val="auto"/>
              </w:rPr>
              <w:t>4.3</w:t>
            </w:r>
          </w:p>
        </w:tc>
        <w:tc>
          <w:tcPr>
            <w:tcW w:w="6500" w:type="dxa"/>
            <w:vAlign w:val="bottom"/>
          </w:tcPr>
          <w:p>
            <w:pPr>
              <w:ind w:left="120"/>
              <w:spacing w:after="0"/>
              <w:rPr>
                <w:sz w:val="20"/>
                <w:szCs w:val="20"/>
                <w:color w:val="auto"/>
              </w:rPr>
            </w:pPr>
            <w:r>
              <w:rPr>
                <w:rFonts w:ascii="Arial" w:cs="Arial" w:eastAsia="Arial" w:hAnsi="Arial"/>
                <w:sz w:val="18"/>
                <w:szCs w:val="18"/>
                <w:color w:val="auto"/>
              </w:rPr>
              <w:t>Minimum Purchase Price</w:t>
            </w:r>
          </w:p>
        </w:tc>
        <w:tc>
          <w:tcPr>
            <w:tcW w:w="3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ARTICLE V ELIGIBILITY</w:t>
            </w:r>
          </w:p>
        </w:tc>
        <w:tc>
          <w:tcPr>
            <w:tcW w:w="39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5.1</w:t>
            </w:r>
          </w:p>
        </w:tc>
        <w:tc>
          <w:tcPr>
            <w:tcW w:w="6500" w:type="dxa"/>
            <w:vAlign w:val="bottom"/>
          </w:tcPr>
          <w:p>
            <w:pPr>
              <w:ind w:left="120"/>
              <w:spacing w:after="0"/>
              <w:rPr>
                <w:sz w:val="20"/>
                <w:szCs w:val="20"/>
                <w:color w:val="auto"/>
              </w:rPr>
            </w:pPr>
            <w:r>
              <w:rPr>
                <w:rFonts w:ascii="Arial" w:cs="Arial" w:eastAsia="Arial" w:hAnsi="Arial"/>
                <w:sz w:val="18"/>
                <w:szCs w:val="18"/>
                <w:color w:val="auto"/>
              </w:rPr>
              <w:t>General Eligibility</w:t>
            </w:r>
          </w:p>
        </w:tc>
        <w:tc>
          <w:tcPr>
            <w:tcW w:w="3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80" w:type="dxa"/>
            <w:vAlign w:val="bottom"/>
          </w:tcPr>
          <w:p>
            <w:pPr>
              <w:ind w:left="460"/>
              <w:spacing w:after="0"/>
              <w:rPr>
                <w:sz w:val="20"/>
                <w:szCs w:val="20"/>
                <w:color w:val="auto"/>
              </w:rPr>
            </w:pPr>
            <w:r>
              <w:rPr>
                <w:rFonts w:ascii="Arial" w:cs="Arial" w:eastAsia="Arial" w:hAnsi="Arial"/>
                <w:sz w:val="18"/>
                <w:szCs w:val="18"/>
                <w:color w:val="auto"/>
              </w:rPr>
              <w:t>5.2</w:t>
            </w:r>
          </w:p>
        </w:tc>
        <w:tc>
          <w:tcPr>
            <w:tcW w:w="6500" w:type="dxa"/>
            <w:vAlign w:val="bottom"/>
          </w:tcPr>
          <w:p>
            <w:pPr>
              <w:ind w:left="120"/>
              <w:spacing w:after="0"/>
              <w:rPr>
                <w:sz w:val="20"/>
                <w:szCs w:val="20"/>
                <w:color w:val="auto"/>
              </w:rPr>
            </w:pPr>
            <w:r>
              <w:rPr>
                <w:rFonts w:ascii="Arial" w:cs="Arial" w:eastAsia="Arial" w:hAnsi="Arial"/>
                <w:sz w:val="18"/>
                <w:szCs w:val="18"/>
                <w:color w:val="auto"/>
              </w:rPr>
              <w:t>Incentive Stock Options</w:t>
            </w:r>
          </w:p>
        </w:tc>
        <w:tc>
          <w:tcPr>
            <w:tcW w:w="3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80" w:type="dxa"/>
            <w:vAlign w:val="bottom"/>
          </w:tcPr>
          <w:p>
            <w:pPr>
              <w:ind w:left="460"/>
              <w:spacing w:after="0"/>
              <w:rPr>
                <w:sz w:val="20"/>
                <w:szCs w:val="20"/>
                <w:color w:val="auto"/>
              </w:rPr>
            </w:pPr>
            <w:r>
              <w:rPr>
                <w:rFonts w:ascii="Arial" w:cs="Arial" w:eastAsia="Arial" w:hAnsi="Arial"/>
                <w:sz w:val="18"/>
                <w:szCs w:val="18"/>
                <w:color w:val="auto"/>
              </w:rPr>
              <w:t>5.3</w:t>
            </w:r>
          </w:p>
        </w:tc>
        <w:tc>
          <w:tcPr>
            <w:tcW w:w="6500" w:type="dxa"/>
            <w:vAlign w:val="bottom"/>
          </w:tcPr>
          <w:p>
            <w:pPr>
              <w:ind w:left="120"/>
              <w:spacing w:after="0"/>
              <w:rPr>
                <w:sz w:val="20"/>
                <w:szCs w:val="20"/>
                <w:color w:val="auto"/>
              </w:rPr>
            </w:pPr>
            <w:r>
              <w:rPr>
                <w:rFonts w:ascii="Arial" w:cs="Arial" w:eastAsia="Arial" w:hAnsi="Arial"/>
                <w:sz w:val="18"/>
                <w:szCs w:val="18"/>
                <w:color w:val="auto"/>
              </w:rPr>
              <w:t>General Requirement</w:t>
            </w:r>
          </w:p>
        </w:tc>
        <w:tc>
          <w:tcPr>
            <w:tcW w:w="392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00"/>
          </w:cols>
          <w:pgMar w:left="240" w:top="273" w:right="359" w:bottom="1440" w:gutter="0" w:footer="0" w:header="0"/>
        </w:sectPr>
      </w:pPr>
    </w:p>
    <w:bookmarkStart w:id="488" w:name="page489"/>
    <w:bookmarkEnd w:id="488"/>
    <w:tbl>
      <w:tblPr>
        <w:tblLayout w:type="fixed"/>
        <w:tblInd w:w="0" w:type="dxa"/>
        <w:tblCellMar>
          <w:top w:w="0" w:type="dxa"/>
          <w:left w:w="0" w:type="dxa"/>
          <w:bottom w:w="0" w:type="dxa"/>
          <w:right w:w="0" w:type="dxa"/>
        </w:tblCellMar>
      </w:tblPr>
      <w:tr>
        <w:trPr>
          <w:trHeight w:val="220"/>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ARTICLE VI STOCK OPTIONS</w:t>
            </w:r>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610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4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6100" w:type="dxa"/>
            <w:vAlign w:val="bottom"/>
          </w:tcPr>
          <w:p>
            <w:pPr>
              <w:ind w:left="160"/>
              <w:spacing w:after="0"/>
              <w:rPr>
                <w:sz w:val="20"/>
                <w:szCs w:val="20"/>
                <w:color w:val="auto"/>
              </w:rPr>
            </w:pPr>
            <w:r>
              <w:rPr>
                <w:rFonts w:ascii="Arial" w:cs="Arial" w:eastAsia="Arial" w:hAnsi="Arial"/>
                <w:sz w:val="18"/>
                <w:szCs w:val="18"/>
                <w:color w:val="auto"/>
              </w:rPr>
              <w:t>Incentive Stock Options</w:t>
            </w:r>
          </w:p>
        </w:tc>
        <w:tc>
          <w:tcPr>
            <w:tcW w:w="4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6100" w:type="dxa"/>
            <w:vAlign w:val="bottom"/>
          </w:tcPr>
          <w:p>
            <w:pPr>
              <w:ind w:left="160"/>
              <w:spacing w:after="0"/>
              <w:rPr>
                <w:sz w:val="20"/>
                <w:szCs w:val="20"/>
                <w:color w:val="auto"/>
              </w:rPr>
            </w:pPr>
            <w:r>
              <w:rPr>
                <w:rFonts w:ascii="Arial" w:cs="Arial" w:eastAsia="Arial" w:hAnsi="Arial"/>
                <w:sz w:val="18"/>
                <w:szCs w:val="18"/>
                <w:color w:val="auto"/>
              </w:rPr>
              <w:t>Terms of Stock Options</w:t>
            </w:r>
          </w:p>
        </w:tc>
        <w:tc>
          <w:tcPr>
            <w:tcW w:w="43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ARTICLE VII RESTRICTED STOCK</w:t>
            </w: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6240" w:type="dxa"/>
            <w:vAlign w:val="bottom"/>
          </w:tcPr>
          <w:p>
            <w:pPr>
              <w:ind w:left="160"/>
              <w:spacing w:after="0"/>
              <w:rPr>
                <w:sz w:val="20"/>
                <w:szCs w:val="20"/>
                <w:color w:val="auto"/>
              </w:rPr>
            </w:pPr>
            <w:r>
              <w:rPr>
                <w:rFonts w:ascii="Arial" w:cs="Arial" w:eastAsia="Arial" w:hAnsi="Arial"/>
                <w:sz w:val="18"/>
                <w:szCs w:val="18"/>
                <w:color w:val="auto"/>
              </w:rPr>
              <w:t>Awards of Restricted Stock</w:t>
            </w:r>
          </w:p>
        </w:tc>
        <w:tc>
          <w:tcPr>
            <w:tcW w:w="4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6240" w:type="dxa"/>
            <w:vAlign w:val="bottom"/>
          </w:tcPr>
          <w:p>
            <w:pPr>
              <w:ind w:left="160"/>
              <w:spacing w:after="0"/>
              <w:rPr>
                <w:sz w:val="20"/>
                <w:szCs w:val="20"/>
                <w:color w:val="auto"/>
              </w:rPr>
            </w:pPr>
            <w:r>
              <w:rPr>
                <w:rFonts w:ascii="Arial" w:cs="Arial" w:eastAsia="Arial" w:hAnsi="Arial"/>
                <w:sz w:val="18"/>
                <w:szCs w:val="18"/>
                <w:color w:val="auto"/>
              </w:rPr>
              <w:t>Awards and Certificates</w:t>
            </w:r>
          </w:p>
        </w:tc>
        <w:tc>
          <w:tcPr>
            <w:tcW w:w="4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6240" w:type="dxa"/>
            <w:vAlign w:val="bottom"/>
          </w:tcPr>
          <w:p>
            <w:pPr>
              <w:ind w:left="160"/>
              <w:spacing w:after="0"/>
              <w:rPr>
                <w:sz w:val="20"/>
                <w:szCs w:val="20"/>
                <w:color w:val="auto"/>
              </w:rPr>
            </w:pPr>
            <w:r>
              <w:rPr>
                <w:rFonts w:ascii="Arial" w:cs="Arial" w:eastAsia="Arial" w:hAnsi="Arial"/>
                <w:sz w:val="18"/>
                <w:szCs w:val="18"/>
                <w:color w:val="auto"/>
              </w:rPr>
              <w:t>Restrictions and Conditions</w:t>
            </w:r>
          </w:p>
        </w:tc>
        <w:tc>
          <w:tcPr>
            <w:tcW w:w="42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ARTICLE VIII OTHER STOCK-BASED AWARDS</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8.1</w:t>
            </w:r>
          </w:p>
        </w:tc>
        <w:tc>
          <w:tcPr>
            <w:tcW w:w="7680" w:type="dxa"/>
            <w:vAlign w:val="bottom"/>
          </w:tcPr>
          <w:p>
            <w:pPr>
              <w:ind w:left="60"/>
              <w:spacing w:after="0"/>
              <w:rPr>
                <w:sz w:val="20"/>
                <w:szCs w:val="20"/>
                <w:color w:val="auto"/>
              </w:rPr>
            </w:pPr>
            <w:r>
              <w:rPr>
                <w:rFonts w:ascii="Arial" w:cs="Arial" w:eastAsia="Arial" w:hAnsi="Arial"/>
                <w:sz w:val="18"/>
                <w:szCs w:val="18"/>
                <w:color w:val="auto"/>
              </w:rPr>
              <w:t>Other Awards</w:t>
            </w:r>
          </w:p>
        </w:tc>
        <w:tc>
          <w:tcPr>
            <w:tcW w:w="2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40" w:type="dxa"/>
            <w:vAlign w:val="bottom"/>
          </w:tcPr>
          <w:p>
            <w:pPr>
              <w:ind w:left="460"/>
              <w:spacing w:after="0"/>
              <w:rPr>
                <w:sz w:val="20"/>
                <w:szCs w:val="20"/>
                <w:color w:val="auto"/>
              </w:rPr>
            </w:pPr>
            <w:r>
              <w:rPr>
                <w:rFonts w:ascii="Arial" w:cs="Arial" w:eastAsia="Arial" w:hAnsi="Arial"/>
                <w:sz w:val="18"/>
                <w:szCs w:val="18"/>
                <w:color w:val="auto"/>
              </w:rPr>
              <w:t>8.2</w:t>
            </w:r>
          </w:p>
        </w:tc>
        <w:tc>
          <w:tcPr>
            <w:tcW w:w="7680" w:type="dxa"/>
            <w:vAlign w:val="bottom"/>
          </w:tcPr>
          <w:p>
            <w:pPr>
              <w:ind w:left="60"/>
              <w:spacing w:after="0"/>
              <w:rPr>
                <w:sz w:val="20"/>
                <w:szCs w:val="20"/>
                <w:color w:val="auto"/>
              </w:rPr>
            </w:pPr>
            <w:r>
              <w:rPr>
                <w:rFonts w:ascii="Arial" w:cs="Arial" w:eastAsia="Arial" w:hAnsi="Arial"/>
                <w:sz w:val="18"/>
                <w:szCs w:val="18"/>
                <w:color w:val="auto"/>
              </w:rPr>
              <w:t>Terms and Conditions</w:t>
            </w:r>
          </w:p>
        </w:tc>
        <w:tc>
          <w:tcPr>
            <w:tcW w:w="2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ARTICLE IX PERFORMANCE-BASED CASH AWARDS</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9.1</w:t>
            </w:r>
          </w:p>
        </w:tc>
        <w:tc>
          <w:tcPr>
            <w:tcW w:w="7680" w:type="dxa"/>
            <w:vAlign w:val="bottom"/>
          </w:tcPr>
          <w:p>
            <w:pPr>
              <w:ind w:left="60"/>
              <w:spacing w:after="0"/>
              <w:rPr>
                <w:sz w:val="20"/>
                <w:szCs w:val="20"/>
                <w:color w:val="auto"/>
              </w:rPr>
            </w:pPr>
            <w:r>
              <w:rPr>
                <w:rFonts w:ascii="Arial" w:cs="Arial" w:eastAsia="Arial" w:hAnsi="Arial"/>
                <w:sz w:val="18"/>
                <w:szCs w:val="18"/>
                <w:color w:val="auto"/>
              </w:rPr>
              <w:t>Performance-Based Cash Awards</w:t>
            </w:r>
          </w:p>
        </w:tc>
        <w:tc>
          <w:tcPr>
            <w:tcW w:w="2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940" w:type="dxa"/>
            <w:vAlign w:val="bottom"/>
          </w:tcPr>
          <w:p>
            <w:pPr>
              <w:ind w:left="460"/>
              <w:spacing w:after="0"/>
              <w:rPr>
                <w:sz w:val="20"/>
                <w:szCs w:val="20"/>
                <w:color w:val="auto"/>
              </w:rPr>
            </w:pPr>
            <w:r>
              <w:rPr>
                <w:rFonts w:ascii="Arial" w:cs="Arial" w:eastAsia="Arial" w:hAnsi="Arial"/>
                <w:sz w:val="18"/>
                <w:szCs w:val="18"/>
                <w:color w:val="auto"/>
              </w:rPr>
              <w:t>9.2</w:t>
            </w:r>
          </w:p>
        </w:tc>
        <w:tc>
          <w:tcPr>
            <w:tcW w:w="7680" w:type="dxa"/>
            <w:vAlign w:val="bottom"/>
          </w:tcPr>
          <w:p>
            <w:pPr>
              <w:ind w:left="60"/>
              <w:spacing w:after="0"/>
              <w:rPr>
                <w:sz w:val="20"/>
                <w:szCs w:val="20"/>
                <w:color w:val="auto"/>
              </w:rPr>
            </w:pPr>
            <w:r>
              <w:rPr>
                <w:rFonts w:ascii="Arial" w:cs="Arial" w:eastAsia="Arial" w:hAnsi="Arial"/>
                <w:sz w:val="18"/>
                <w:szCs w:val="18"/>
                <w:color w:val="auto"/>
              </w:rPr>
              <w:t>Terms and Conditions</w:t>
            </w:r>
          </w:p>
        </w:tc>
        <w:tc>
          <w:tcPr>
            <w:tcW w:w="2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ARTICLE X CHANGE IN CONTROL PROVISIONS</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ARTICLE XI TERMINATION OR AMENDMENT OF PLAN</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ARTICLE XII UNFUNDED PLAN</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1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ARTICLE XIII GENERAL PROVISIONS</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13.1</w:t>
            </w:r>
          </w:p>
        </w:tc>
        <w:tc>
          <w:tcPr>
            <w:tcW w:w="7680" w:type="dxa"/>
            <w:vAlign w:val="bottom"/>
          </w:tcPr>
          <w:p>
            <w:pPr>
              <w:ind w:left="60"/>
              <w:spacing w:after="0"/>
              <w:rPr>
                <w:sz w:val="20"/>
                <w:szCs w:val="20"/>
                <w:color w:val="auto"/>
              </w:rPr>
            </w:pPr>
            <w:r>
              <w:rPr>
                <w:rFonts w:ascii="Arial" w:cs="Arial" w:eastAsia="Arial" w:hAnsi="Arial"/>
                <w:sz w:val="18"/>
                <w:szCs w:val="18"/>
                <w:color w:val="auto"/>
              </w:rPr>
              <w:t>Legend</w:t>
            </w:r>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13.2</w:t>
            </w:r>
          </w:p>
        </w:tc>
        <w:tc>
          <w:tcPr>
            <w:tcW w:w="7680" w:type="dxa"/>
            <w:vAlign w:val="bottom"/>
          </w:tcPr>
          <w:p>
            <w:pPr>
              <w:ind w:left="60"/>
              <w:spacing w:after="0"/>
              <w:rPr>
                <w:sz w:val="20"/>
                <w:szCs w:val="20"/>
                <w:color w:val="auto"/>
              </w:rPr>
            </w:pPr>
            <w:r>
              <w:rPr>
                <w:rFonts w:ascii="Arial" w:cs="Arial" w:eastAsia="Arial" w:hAnsi="Arial"/>
                <w:sz w:val="18"/>
                <w:szCs w:val="18"/>
                <w:color w:val="auto"/>
              </w:rPr>
              <w:t>Other Plans</w:t>
            </w:r>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13.3</w:t>
            </w:r>
          </w:p>
        </w:tc>
        <w:tc>
          <w:tcPr>
            <w:tcW w:w="7680" w:type="dxa"/>
            <w:vAlign w:val="bottom"/>
          </w:tcPr>
          <w:p>
            <w:pPr>
              <w:ind w:left="60"/>
              <w:spacing w:after="0"/>
              <w:rPr>
                <w:sz w:val="20"/>
                <w:szCs w:val="20"/>
                <w:color w:val="auto"/>
              </w:rPr>
            </w:pPr>
            <w:r>
              <w:rPr>
                <w:rFonts w:ascii="Arial" w:cs="Arial" w:eastAsia="Arial" w:hAnsi="Arial"/>
                <w:sz w:val="18"/>
                <w:szCs w:val="18"/>
                <w:color w:val="auto"/>
              </w:rPr>
              <w:t>No Right to Employment, Consultancy, or Directorship</w:t>
            </w:r>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13.4</w:t>
            </w:r>
          </w:p>
        </w:tc>
        <w:tc>
          <w:tcPr>
            <w:tcW w:w="7680" w:type="dxa"/>
            <w:vAlign w:val="bottom"/>
          </w:tcPr>
          <w:p>
            <w:pPr>
              <w:ind w:left="60"/>
              <w:spacing w:after="0"/>
              <w:rPr>
                <w:sz w:val="20"/>
                <w:szCs w:val="20"/>
                <w:color w:val="auto"/>
              </w:rPr>
            </w:pPr>
            <w:r>
              <w:rPr>
                <w:rFonts w:ascii="Arial" w:cs="Arial" w:eastAsia="Arial" w:hAnsi="Arial"/>
                <w:sz w:val="18"/>
                <w:szCs w:val="18"/>
                <w:color w:val="auto"/>
              </w:rPr>
              <w:t>Withholding of Taxes</w:t>
            </w:r>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13.5</w:t>
            </w:r>
          </w:p>
        </w:tc>
        <w:tc>
          <w:tcPr>
            <w:tcW w:w="7680" w:type="dxa"/>
            <w:vAlign w:val="bottom"/>
          </w:tcPr>
          <w:p>
            <w:pPr>
              <w:ind w:left="60"/>
              <w:spacing w:after="0"/>
              <w:rPr>
                <w:sz w:val="20"/>
                <w:szCs w:val="20"/>
                <w:color w:val="auto"/>
              </w:rPr>
            </w:pPr>
            <w:r>
              <w:rPr>
                <w:rFonts w:ascii="Arial" w:cs="Arial" w:eastAsia="Arial" w:hAnsi="Arial"/>
                <w:sz w:val="18"/>
                <w:szCs w:val="18"/>
                <w:color w:val="auto"/>
              </w:rPr>
              <w:t>No Assignment of Benefits</w:t>
            </w: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13.6</w:t>
            </w:r>
          </w:p>
        </w:tc>
        <w:tc>
          <w:tcPr>
            <w:tcW w:w="7680" w:type="dxa"/>
            <w:vAlign w:val="bottom"/>
          </w:tcPr>
          <w:p>
            <w:pPr>
              <w:ind w:left="60"/>
              <w:spacing w:after="0"/>
              <w:rPr>
                <w:sz w:val="20"/>
                <w:szCs w:val="20"/>
                <w:color w:val="auto"/>
              </w:rPr>
            </w:pPr>
            <w:r>
              <w:rPr>
                <w:rFonts w:ascii="Arial" w:cs="Arial" w:eastAsia="Arial" w:hAnsi="Arial"/>
                <w:sz w:val="18"/>
                <w:szCs w:val="18"/>
                <w:color w:val="auto"/>
              </w:rPr>
              <w:t>Listing and Other Conditions</w:t>
            </w: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13.7</w:t>
            </w:r>
          </w:p>
        </w:tc>
        <w:tc>
          <w:tcPr>
            <w:tcW w:w="768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13.8</w:t>
            </w:r>
          </w:p>
        </w:tc>
        <w:tc>
          <w:tcPr>
            <w:tcW w:w="7680" w:type="dxa"/>
            <w:vAlign w:val="bottom"/>
          </w:tcPr>
          <w:p>
            <w:pPr>
              <w:ind w:left="60"/>
              <w:spacing w:after="0"/>
              <w:rPr>
                <w:sz w:val="20"/>
                <w:szCs w:val="20"/>
                <w:color w:val="auto"/>
              </w:rPr>
            </w:pPr>
            <w:r>
              <w:rPr>
                <w:rFonts w:ascii="Arial" w:cs="Arial" w:eastAsia="Arial" w:hAnsi="Arial"/>
                <w:sz w:val="18"/>
                <w:szCs w:val="18"/>
                <w:color w:val="auto"/>
              </w:rPr>
              <w:t>Construction</w:t>
            </w: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13.9</w:t>
            </w:r>
          </w:p>
        </w:tc>
        <w:tc>
          <w:tcPr>
            <w:tcW w:w="7680" w:type="dxa"/>
            <w:vAlign w:val="bottom"/>
          </w:tcPr>
          <w:p>
            <w:pPr>
              <w:ind w:left="60"/>
              <w:spacing w:after="0"/>
              <w:rPr>
                <w:sz w:val="20"/>
                <w:szCs w:val="20"/>
                <w:color w:val="auto"/>
              </w:rPr>
            </w:pPr>
            <w:r>
              <w:rPr>
                <w:rFonts w:ascii="Arial" w:cs="Arial" w:eastAsia="Arial" w:hAnsi="Arial"/>
                <w:sz w:val="18"/>
                <w:szCs w:val="18"/>
                <w:color w:val="auto"/>
              </w:rPr>
              <w:t>No Acquired Rights</w:t>
            </w:r>
          </w:p>
        </w:tc>
        <w:tc>
          <w:tcPr>
            <w:tcW w:w="2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13.10</w:t>
            </w:r>
          </w:p>
        </w:tc>
        <w:tc>
          <w:tcPr>
            <w:tcW w:w="7680" w:type="dxa"/>
            <w:vAlign w:val="bottom"/>
          </w:tcPr>
          <w:p>
            <w:pPr>
              <w:ind w:left="60"/>
              <w:spacing w:after="0"/>
              <w:rPr>
                <w:sz w:val="20"/>
                <w:szCs w:val="20"/>
                <w:color w:val="auto"/>
              </w:rPr>
            </w:pPr>
            <w:r>
              <w:rPr>
                <w:rFonts w:ascii="Arial" w:cs="Arial" w:eastAsia="Arial" w:hAnsi="Arial"/>
                <w:sz w:val="18"/>
                <w:szCs w:val="18"/>
                <w:color w:val="auto"/>
              </w:rPr>
              <w:t>Data Protection</w:t>
            </w:r>
          </w:p>
        </w:tc>
        <w:tc>
          <w:tcPr>
            <w:tcW w:w="2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13.11</w:t>
            </w:r>
          </w:p>
        </w:tc>
        <w:tc>
          <w:tcPr>
            <w:tcW w:w="7680" w:type="dxa"/>
            <w:vAlign w:val="bottom"/>
          </w:tcPr>
          <w:p>
            <w:pPr>
              <w:ind w:left="60"/>
              <w:spacing w:after="0"/>
              <w:rPr>
                <w:sz w:val="20"/>
                <w:szCs w:val="20"/>
                <w:color w:val="auto"/>
              </w:rPr>
            </w:pPr>
            <w:r>
              <w:rPr>
                <w:rFonts w:ascii="Arial" w:cs="Arial" w:eastAsia="Arial" w:hAnsi="Arial"/>
                <w:sz w:val="18"/>
                <w:szCs w:val="18"/>
                <w:color w:val="auto"/>
              </w:rPr>
              <w:t>Costs</w:t>
            </w:r>
          </w:p>
        </w:tc>
        <w:tc>
          <w:tcPr>
            <w:tcW w:w="2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13.12</w:t>
            </w:r>
          </w:p>
        </w:tc>
        <w:tc>
          <w:tcPr>
            <w:tcW w:w="7680" w:type="dxa"/>
            <w:vAlign w:val="bottom"/>
          </w:tcPr>
          <w:p>
            <w:pPr>
              <w:ind w:left="60"/>
              <w:spacing w:after="0"/>
              <w:rPr>
                <w:sz w:val="20"/>
                <w:szCs w:val="20"/>
                <w:color w:val="auto"/>
              </w:rPr>
            </w:pPr>
            <w:r>
              <w:rPr>
                <w:rFonts w:ascii="Arial" w:cs="Arial" w:eastAsia="Arial" w:hAnsi="Arial"/>
                <w:sz w:val="18"/>
                <w:szCs w:val="18"/>
                <w:color w:val="auto"/>
              </w:rPr>
              <w:t>No Right to Same Benefits</w:t>
            </w:r>
          </w:p>
        </w:tc>
        <w:tc>
          <w:tcPr>
            <w:tcW w:w="2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13.13</w:t>
            </w:r>
          </w:p>
        </w:tc>
        <w:tc>
          <w:tcPr>
            <w:tcW w:w="7680" w:type="dxa"/>
            <w:vAlign w:val="bottom"/>
          </w:tcPr>
          <w:p>
            <w:pPr>
              <w:ind w:left="60"/>
              <w:spacing w:after="0"/>
              <w:rPr>
                <w:sz w:val="20"/>
                <w:szCs w:val="20"/>
                <w:color w:val="auto"/>
              </w:rPr>
            </w:pPr>
            <w:r>
              <w:rPr>
                <w:rFonts w:ascii="Arial" w:cs="Arial" w:eastAsia="Arial" w:hAnsi="Arial"/>
                <w:sz w:val="18"/>
                <w:szCs w:val="18"/>
                <w:color w:val="auto"/>
              </w:rPr>
              <w:t>Death or Disability</w:t>
            </w:r>
          </w:p>
        </w:tc>
        <w:tc>
          <w:tcPr>
            <w:tcW w:w="2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13.14</w:t>
            </w:r>
          </w:p>
        </w:tc>
        <w:tc>
          <w:tcPr>
            <w:tcW w:w="7680" w:type="dxa"/>
            <w:vAlign w:val="bottom"/>
          </w:tcPr>
          <w:p>
            <w:pPr>
              <w:ind w:left="60"/>
              <w:spacing w:after="0"/>
              <w:rPr>
                <w:sz w:val="20"/>
                <w:szCs w:val="20"/>
                <w:color w:val="auto"/>
              </w:rPr>
            </w:pPr>
            <w:r>
              <w:rPr>
                <w:rFonts w:ascii="Arial" w:cs="Arial" w:eastAsia="Arial" w:hAnsi="Arial"/>
                <w:sz w:val="18"/>
                <w:szCs w:val="18"/>
                <w:color w:val="auto"/>
              </w:rPr>
              <w:t>Section 16(b) of the Exchange Act</w:t>
            </w:r>
          </w:p>
        </w:tc>
        <w:tc>
          <w:tcPr>
            <w:tcW w:w="2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13.15</w:t>
            </w:r>
          </w:p>
        </w:tc>
        <w:tc>
          <w:tcPr>
            <w:tcW w:w="7680" w:type="dxa"/>
            <w:vAlign w:val="bottom"/>
          </w:tcPr>
          <w:p>
            <w:pPr>
              <w:ind w:left="60"/>
              <w:spacing w:after="0"/>
              <w:rPr>
                <w:sz w:val="20"/>
                <w:szCs w:val="20"/>
                <w:color w:val="auto"/>
              </w:rPr>
            </w:pPr>
            <w:r>
              <w:rPr>
                <w:rFonts w:ascii="Arial" w:cs="Arial" w:eastAsia="Arial" w:hAnsi="Arial"/>
                <w:sz w:val="18"/>
                <w:szCs w:val="18"/>
                <w:color w:val="auto"/>
              </w:rPr>
              <w:t>Section 409A</w:t>
            </w:r>
          </w:p>
        </w:tc>
        <w:tc>
          <w:tcPr>
            <w:tcW w:w="2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13.16</w:t>
            </w:r>
          </w:p>
        </w:tc>
        <w:tc>
          <w:tcPr>
            <w:tcW w:w="7680" w:type="dxa"/>
            <w:vAlign w:val="bottom"/>
          </w:tcPr>
          <w:p>
            <w:pPr>
              <w:ind w:left="60"/>
              <w:spacing w:after="0"/>
              <w:rPr>
                <w:sz w:val="20"/>
                <w:szCs w:val="20"/>
                <w:color w:val="auto"/>
              </w:rPr>
            </w:pPr>
            <w:r>
              <w:rPr>
                <w:rFonts w:ascii="Arial" w:cs="Arial" w:eastAsia="Arial" w:hAnsi="Arial"/>
                <w:sz w:val="18"/>
                <w:szCs w:val="18"/>
                <w:color w:val="auto"/>
              </w:rPr>
              <w:t>Successor and Assigns</w:t>
            </w:r>
          </w:p>
        </w:tc>
        <w:tc>
          <w:tcPr>
            <w:tcW w:w="2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40" w:type="dxa"/>
            <w:vAlign w:val="bottom"/>
          </w:tcPr>
          <w:p>
            <w:pPr>
              <w:ind w:left="460"/>
              <w:spacing w:after="0"/>
              <w:rPr>
                <w:sz w:val="20"/>
                <w:szCs w:val="20"/>
                <w:color w:val="auto"/>
              </w:rPr>
            </w:pPr>
            <w:r>
              <w:rPr>
                <w:rFonts w:ascii="Arial" w:cs="Arial" w:eastAsia="Arial" w:hAnsi="Arial"/>
                <w:sz w:val="18"/>
                <w:szCs w:val="18"/>
                <w:color w:val="auto"/>
              </w:rPr>
              <w:t>13.17</w:t>
            </w:r>
          </w:p>
        </w:tc>
        <w:tc>
          <w:tcPr>
            <w:tcW w:w="7680" w:type="dxa"/>
            <w:vAlign w:val="bottom"/>
          </w:tcPr>
          <w:p>
            <w:pPr>
              <w:ind w:left="60"/>
              <w:spacing w:after="0"/>
              <w:rPr>
                <w:sz w:val="20"/>
                <w:szCs w:val="20"/>
                <w:color w:val="auto"/>
              </w:rPr>
            </w:pPr>
            <w:r>
              <w:rPr>
                <w:rFonts w:ascii="Arial" w:cs="Arial" w:eastAsia="Arial" w:hAnsi="Arial"/>
                <w:sz w:val="18"/>
                <w:szCs w:val="18"/>
                <w:color w:val="auto"/>
              </w:rPr>
              <w:t>Severability of Provisions</w:t>
            </w:r>
          </w:p>
        </w:tc>
        <w:tc>
          <w:tcPr>
            <w:tcW w:w="2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40" w:type="dxa"/>
            <w:vAlign w:val="bottom"/>
          </w:tcPr>
          <w:p>
            <w:pPr>
              <w:ind w:left="460"/>
              <w:spacing w:after="0"/>
              <w:rPr>
                <w:sz w:val="20"/>
                <w:szCs w:val="20"/>
                <w:color w:val="auto"/>
              </w:rPr>
            </w:pPr>
            <w:r>
              <w:rPr>
                <w:rFonts w:ascii="Arial" w:cs="Arial" w:eastAsia="Arial" w:hAnsi="Arial"/>
                <w:sz w:val="18"/>
                <w:szCs w:val="18"/>
                <w:color w:val="auto"/>
              </w:rPr>
              <w:t>13.18</w:t>
            </w:r>
          </w:p>
        </w:tc>
        <w:tc>
          <w:tcPr>
            <w:tcW w:w="7680" w:type="dxa"/>
            <w:vAlign w:val="bottom"/>
          </w:tcPr>
          <w:p>
            <w:pPr>
              <w:ind w:left="60"/>
              <w:spacing w:after="0"/>
              <w:rPr>
                <w:sz w:val="20"/>
                <w:szCs w:val="20"/>
                <w:color w:val="auto"/>
              </w:rPr>
            </w:pPr>
            <w:r>
              <w:rPr>
                <w:rFonts w:ascii="Arial" w:cs="Arial" w:eastAsia="Arial" w:hAnsi="Arial"/>
                <w:sz w:val="18"/>
                <w:szCs w:val="18"/>
                <w:color w:val="auto"/>
              </w:rPr>
              <w:t>Participants Subject to Taxation Outside the U.S.; No Tax Equalization</w:t>
            </w:r>
          </w:p>
        </w:tc>
        <w:tc>
          <w:tcPr>
            <w:tcW w:w="26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00"/>
          </w:cols>
          <w:pgMar w:left="240" w:top="378" w:right="359" w:bottom="1440" w:gutter="0" w:footer="0" w:header="0"/>
        </w:sectPr>
      </w:pPr>
    </w:p>
    <w:bookmarkStart w:id="489" w:name="page490"/>
    <w:bookmarkEnd w:id="489"/>
    <w:tbl>
      <w:tblPr>
        <w:tblLayout w:type="fixed"/>
        <w:tblInd w:w="0" w:type="dxa"/>
        <w:tblCellMar>
          <w:top w:w="0" w:type="dxa"/>
          <w:left w:w="0" w:type="dxa"/>
          <w:bottom w:w="0" w:type="dxa"/>
          <w:right w:w="0" w:type="dxa"/>
        </w:tblCellMar>
      </w:tblP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13.19</w:t>
            </w:r>
          </w:p>
        </w:tc>
        <w:tc>
          <w:tcPr>
            <w:tcW w:w="6300" w:type="dxa"/>
            <w:vAlign w:val="bottom"/>
          </w:tcPr>
          <w:p>
            <w:pPr>
              <w:ind w:left="80"/>
              <w:spacing w:after="0"/>
              <w:rPr>
                <w:sz w:val="20"/>
                <w:szCs w:val="20"/>
                <w:color w:val="auto"/>
              </w:rPr>
            </w:pPr>
            <w:r>
              <w:rPr>
                <w:rFonts w:ascii="Arial" w:cs="Arial" w:eastAsia="Arial" w:hAnsi="Arial"/>
                <w:sz w:val="18"/>
                <w:szCs w:val="18"/>
                <w:color w:val="auto"/>
              </w:rPr>
              <w:t>Payments to Minors, Etc</w:t>
            </w:r>
          </w:p>
        </w:tc>
        <w:tc>
          <w:tcPr>
            <w:tcW w:w="4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13.20</w:t>
            </w:r>
          </w:p>
        </w:tc>
        <w:tc>
          <w:tcPr>
            <w:tcW w:w="6300" w:type="dxa"/>
            <w:vAlign w:val="bottom"/>
          </w:tcPr>
          <w:p>
            <w:pPr>
              <w:ind w:left="80"/>
              <w:spacing w:after="0"/>
              <w:rPr>
                <w:sz w:val="20"/>
                <w:szCs w:val="20"/>
                <w:color w:val="auto"/>
              </w:rPr>
            </w:pPr>
            <w:r>
              <w:rPr>
                <w:rFonts w:ascii="Arial" w:cs="Arial" w:eastAsia="Arial" w:hAnsi="Arial"/>
                <w:sz w:val="18"/>
                <w:szCs w:val="18"/>
                <w:color w:val="auto"/>
              </w:rPr>
              <w:t>Headings and Captions</w:t>
            </w:r>
          </w:p>
        </w:tc>
        <w:tc>
          <w:tcPr>
            <w:tcW w:w="4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13.21</w:t>
            </w:r>
          </w:p>
        </w:tc>
        <w:tc>
          <w:tcPr>
            <w:tcW w:w="6300" w:type="dxa"/>
            <w:vAlign w:val="bottom"/>
          </w:tcPr>
          <w:p>
            <w:pPr>
              <w:ind w:left="80"/>
              <w:spacing w:after="0"/>
              <w:rPr>
                <w:sz w:val="20"/>
                <w:szCs w:val="20"/>
                <w:color w:val="auto"/>
              </w:rPr>
            </w:pPr>
            <w:r>
              <w:rPr>
                <w:rFonts w:ascii="Arial" w:cs="Arial" w:eastAsia="Arial" w:hAnsi="Arial"/>
                <w:sz w:val="18"/>
                <w:szCs w:val="18"/>
                <w:color w:val="auto"/>
              </w:rPr>
              <w:t>Recoupment</w:t>
            </w:r>
          </w:p>
        </w:tc>
        <w:tc>
          <w:tcPr>
            <w:tcW w:w="4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13.22</w:t>
            </w:r>
          </w:p>
        </w:tc>
        <w:tc>
          <w:tcPr>
            <w:tcW w:w="6300" w:type="dxa"/>
            <w:vAlign w:val="bottom"/>
          </w:tcPr>
          <w:p>
            <w:pPr>
              <w:ind w:left="80"/>
              <w:spacing w:after="0"/>
              <w:rPr>
                <w:sz w:val="20"/>
                <w:szCs w:val="20"/>
                <w:color w:val="auto"/>
              </w:rPr>
            </w:pPr>
            <w:r>
              <w:rPr>
                <w:rFonts w:ascii="Arial" w:cs="Arial" w:eastAsia="Arial" w:hAnsi="Arial"/>
                <w:sz w:val="18"/>
                <w:szCs w:val="18"/>
                <w:color w:val="auto"/>
              </w:rPr>
              <w:t>Reformation</w:t>
            </w:r>
          </w:p>
        </w:tc>
        <w:tc>
          <w:tcPr>
            <w:tcW w:w="4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13.23</w:t>
            </w:r>
          </w:p>
        </w:tc>
        <w:tc>
          <w:tcPr>
            <w:tcW w:w="6300" w:type="dxa"/>
            <w:vAlign w:val="bottom"/>
          </w:tcPr>
          <w:p>
            <w:pPr>
              <w:ind w:left="80"/>
              <w:spacing w:after="0"/>
              <w:rPr>
                <w:sz w:val="20"/>
                <w:szCs w:val="20"/>
                <w:color w:val="auto"/>
              </w:rPr>
            </w:pPr>
            <w:r>
              <w:rPr>
                <w:rFonts w:ascii="Arial" w:cs="Arial" w:eastAsia="Arial" w:hAnsi="Arial"/>
                <w:sz w:val="18"/>
                <w:szCs w:val="18"/>
                <w:color w:val="auto"/>
              </w:rPr>
              <w:t>Electronic Communications</w:t>
            </w:r>
          </w:p>
        </w:tc>
        <w:tc>
          <w:tcPr>
            <w:tcW w:w="4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13.24</w:t>
            </w:r>
          </w:p>
        </w:tc>
        <w:tc>
          <w:tcPr>
            <w:tcW w:w="6300" w:type="dxa"/>
            <w:vAlign w:val="bottom"/>
          </w:tcPr>
          <w:p>
            <w:pPr>
              <w:ind w:left="80"/>
              <w:spacing w:after="0"/>
              <w:rPr>
                <w:sz w:val="20"/>
                <w:szCs w:val="20"/>
                <w:color w:val="auto"/>
              </w:rPr>
            </w:pPr>
            <w:r>
              <w:rPr>
                <w:rFonts w:ascii="Arial" w:cs="Arial" w:eastAsia="Arial" w:hAnsi="Arial"/>
                <w:sz w:val="18"/>
                <w:szCs w:val="18"/>
                <w:color w:val="auto"/>
              </w:rPr>
              <w:t>Agreement</w:t>
            </w:r>
          </w:p>
        </w:tc>
        <w:tc>
          <w:tcPr>
            <w:tcW w:w="4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20" w:type="dxa"/>
            <w:vAlign w:val="bottom"/>
          </w:tcPr>
          <w:p>
            <w:pPr>
              <w:ind w:left="440"/>
              <w:spacing w:after="0"/>
              <w:rPr>
                <w:sz w:val="20"/>
                <w:szCs w:val="20"/>
                <w:color w:val="auto"/>
              </w:rPr>
            </w:pPr>
            <w:r>
              <w:rPr>
                <w:rFonts w:ascii="Arial" w:cs="Arial" w:eastAsia="Arial" w:hAnsi="Arial"/>
                <w:sz w:val="18"/>
                <w:szCs w:val="18"/>
                <w:color w:val="auto"/>
              </w:rPr>
              <w:t>13.25</w:t>
            </w:r>
          </w:p>
        </w:tc>
        <w:tc>
          <w:tcPr>
            <w:tcW w:w="6300" w:type="dxa"/>
            <w:vAlign w:val="bottom"/>
          </w:tcPr>
          <w:p>
            <w:pPr>
              <w:ind w:left="80"/>
              <w:spacing w:after="0"/>
              <w:rPr>
                <w:sz w:val="20"/>
                <w:szCs w:val="20"/>
                <w:color w:val="auto"/>
              </w:rPr>
            </w:pPr>
            <w:r>
              <w:rPr>
                <w:rFonts w:ascii="Arial" w:cs="Arial" w:eastAsia="Arial" w:hAnsi="Arial"/>
                <w:sz w:val="18"/>
                <w:szCs w:val="18"/>
                <w:color w:val="auto"/>
              </w:rPr>
              <w:t>Transition Period</w:t>
            </w:r>
          </w:p>
        </w:tc>
        <w:tc>
          <w:tcPr>
            <w:tcW w:w="4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ARTICLE XIV EFFECTIVE DATE OF PLAN</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32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ARTICLE XV TERM OF PLAN</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306"/>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 P</w:t>
            </w:r>
            <w:r>
              <w:rPr>
                <w:rFonts w:ascii="Arial" w:cs="Arial" w:eastAsia="Arial" w:hAnsi="Arial"/>
                <w:sz w:val="15"/>
                <w:szCs w:val="15"/>
                <w:b w:val="1"/>
                <w:bCs w:val="1"/>
                <w:color w:val="auto"/>
              </w:rPr>
              <w:t>ERFORMANCE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RITERIA</w:t>
            </w:r>
          </w:p>
        </w:tc>
        <w:tc>
          <w:tcPr>
            <w:tcW w:w="4140" w:type="dxa"/>
            <w:vAlign w:val="bottom"/>
          </w:tcPr>
          <w:p>
            <w:pPr>
              <w:jc w:val="right"/>
              <w:spacing w:after="0"/>
              <w:rPr>
                <w:sz w:val="20"/>
                <w:szCs w:val="20"/>
                <w:color w:val="auto"/>
              </w:rPr>
            </w:pPr>
            <w:r>
              <w:rPr>
                <w:rFonts w:ascii="Arial" w:cs="Arial" w:eastAsia="Arial" w:hAnsi="Arial"/>
                <w:sz w:val="18"/>
                <w:szCs w:val="18"/>
                <w:color w:val="auto"/>
              </w:rPr>
              <w:t>Ex. A-1</w:t>
            </w:r>
          </w:p>
        </w:tc>
      </w:tr>
      <w:tr>
        <w:trPr>
          <w:trHeight w:val="220"/>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 U</w:t>
            </w:r>
            <w:r>
              <w:rPr>
                <w:rFonts w:ascii="Arial" w:cs="Arial" w:eastAsia="Arial" w:hAnsi="Arial"/>
                <w:sz w:val="15"/>
                <w:szCs w:val="15"/>
                <w:b w:val="1"/>
                <w:bCs w:val="1"/>
                <w:color w:val="auto"/>
              </w:rPr>
              <w:t>NITED</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INGDOM</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DDENDUM</w:t>
            </w:r>
          </w:p>
        </w:tc>
        <w:tc>
          <w:tcPr>
            <w:tcW w:w="4140" w:type="dxa"/>
            <w:vAlign w:val="bottom"/>
          </w:tcPr>
          <w:p>
            <w:pPr>
              <w:jc w:val="right"/>
              <w:spacing w:after="0"/>
              <w:rPr>
                <w:sz w:val="20"/>
                <w:szCs w:val="20"/>
                <w:color w:val="auto"/>
              </w:rPr>
            </w:pPr>
            <w:r>
              <w:rPr>
                <w:rFonts w:ascii="Arial" w:cs="Arial" w:eastAsia="Arial" w:hAnsi="Arial"/>
                <w:sz w:val="18"/>
                <w:szCs w:val="18"/>
                <w:color w:val="auto"/>
              </w:rPr>
              <w:t>Ex. B-1</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1.</w:t>
            </w:r>
          </w:p>
        </w:tc>
        <w:tc>
          <w:tcPr>
            <w:tcW w:w="6300" w:type="dxa"/>
            <w:vAlign w:val="bottom"/>
          </w:tcPr>
          <w:p>
            <w:pPr>
              <w:ind w:left="80"/>
              <w:spacing w:after="0"/>
              <w:rPr>
                <w:sz w:val="20"/>
                <w:szCs w:val="20"/>
                <w:color w:val="auto"/>
              </w:rPr>
            </w:pPr>
            <w:r>
              <w:rPr>
                <w:rFonts w:ascii="Arial" w:cs="Arial" w:eastAsia="Arial" w:hAnsi="Arial"/>
                <w:sz w:val="18"/>
                <w:szCs w:val="18"/>
                <w:color w:val="auto"/>
              </w:rPr>
              <w:t>Purpose</w:t>
            </w:r>
          </w:p>
        </w:tc>
        <w:tc>
          <w:tcPr>
            <w:tcW w:w="4140" w:type="dxa"/>
            <w:vAlign w:val="bottom"/>
          </w:tcPr>
          <w:p>
            <w:pPr>
              <w:jc w:val="right"/>
              <w:spacing w:after="0"/>
              <w:rPr>
                <w:sz w:val="20"/>
                <w:szCs w:val="20"/>
                <w:color w:val="auto"/>
              </w:rPr>
            </w:pPr>
            <w:r>
              <w:rPr>
                <w:rFonts w:ascii="Arial" w:cs="Arial" w:eastAsia="Arial" w:hAnsi="Arial"/>
                <w:sz w:val="18"/>
                <w:szCs w:val="18"/>
                <w:color w:val="auto"/>
              </w:rPr>
              <w:t>Ex. B-1</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2.</w:t>
            </w:r>
          </w:p>
        </w:tc>
        <w:tc>
          <w:tcPr>
            <w:tcW w:w="630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4140" w:type="dxa"/>
            <w:vAlign w:val="bottom"/>
          </w:tcPr>
          <w:p>
            <w:pPr>
              <w:jc w:val="right"/>
              <w:spacing w:after="0"/>
              <w:rPr>
                <w:sz w:val="20"/>
                <w:szCs w:val="20"/>
                <w:color w:val="auto"/>
              </w:rPr>
            </w:pPr>
            <w:r>
              <w:rPr>
                <w:rFonts w:ascii="Arial" w:cs="Arial" w:eastAsia="Arial" w:hAnsi="Arial"/>
                <w:sz w:val="18"/>
                <w:szCs w:val="18"/>
                <w:color w:val="auto"/>
              </w:rPr>
              <w:t>Ex. B-1</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3.</w:t>
            </w:r>
          </w:p>
        </w:tc>
        <w:tc>
          <w:tcPr>
            <w:tcW w:w="6300" w:type="dxa"/>
            <w:vAlign w:val="bottom"/>
          </w:tcPr>
          <w:p>
            <w:pPr>
              <w:ind w:left="80"/>
              <w:spacing w:after="0"/>
              <w:rPr>
                <w:sz w:val="20"/>
                <w:szCs w:val="20"/>
                <w:color w:val="auto"/>
              </w:rPr>
            </w:pPr>
            <w:r>
              <w:rPr>
                <w:rFonts w:ascii="Arial" w:cs="Arial" w:eastAsia="Arial" w:hAnsi="Arial"/>
                <w:sz w:val="18"/>
                <w:szCs w:val="18"/>
                <w:color w:val="auto"/>
              </w:rPr>
              <w:t>Terms</w:t>
            </w:r>
          </w:p>
        </w:tc>
        <w:tc>
          <w:tcPr>
            <w:tcW w:w="4140" w:type="dxa"/>
            <w:vAlign w:val="bottom"/>
          </w:tcPr>
          <w:p>
            <w:pPr>
              <w:jc w:val="right"/>
              <w:spacing w:after="0"/>
              <w:rPr>
                <w:sz w:val="20"/>
                <w:szCs w:val="20"/>
                <w:color w:val="auto"/>
              </w:rPr>
            </w:pPr>
            <w:r>
              <w:rPr>
                <w:rFonts w:ascii="Arial" w:cs="Arial" w:eastAsia="Arial" w:hAnsi="Arial"/>
                <w:sz w:val="18"/>
                <w:szCs w:val="18"/>
                <w:color w:val="auto"/>
              </w:rPr>
              <w:t>Ex. B-1</w:t>
            </w:r>
          </w:p>
        </w:tc>
      </w:tr>
      <w:tr>
        <w:trPr>
          <w:trHeight w:val="216"/>
        </w:trPr>
        <w:tc>
          <w:tcPr>
            <w:tcW w:w="920" w:type="dxa"/>
            <w:vAlign w:val="bottom"/>
          </w:tcPr>
          <w:p>
            <w:pPr>
              <w:ind w:left="440"/>
              <w:spacing w:after="0"/>
              <w:rPr>
                <w:sz w:val="20"/>
                <w:szCs w:val="20"/>
                <w:color w:val="auto"/>
              </w:rPr>
            </w:pPr>
            <w:r>
              <w:rPr>
                <w:rFonts w:ascii="Arial" w:cs="Arial" w:eastAsia="Arial" w:hAnsi="Arial"/>
                <w:sz w:val="18"/>
                <w:szCs w:val="18"/>
                <w:color w:val="auto"/>
              </w:rPr>
              <w:t>4.</w:t>
            </w:r>
          </w:p>
        </w:tc>
        <w:tc>
          <w:tcPr>
            <w:tcW w:w="6300" w:type="dxa"/>
            <w:vAlign w:val="bottom"/>
          </w:tcPr>
          <w:p>
            <w:pPr>
              <w:ind w:left="80"/>
              <w:spacing w:after="0"/>
              <w:rPr>
                <w:sz w:val="20"/>
                <w:szCs w:val="20"/>
                <w:color w:val="auto"/>
              </w:rPr>
            </w:pPr>
            <w:r>
              <w:rPr>
                <w:rFonts w:ascii="Arial" w:cs="Arial" w:eastAsia="Arial" w:hAnsi="Arial"/>
                <w:sz w:val="18"/>
                <w:szCs w:val="18"/>
                <w:color w:val="auto"/>
              </w:rPr>
              <w:t>Withholding Obligations</w:t>
            </w:r>
          </w:p>
        </w:tc>
        <w:tc>
          <w:tcPr>
            <w:tcW w:w="4140" w:type="dxa"/>
            <w:vAlign w:val="bottom"/>
          </w:tcPr>
          <w:p>
            <w:pPr>
              <w:jc w:val="right"/>
              <w:spacing w:after="0"/>
              <w:rPr>
                <w:sz w:val="20"/>
                <w:szCs w:val="20"/>
                <w:color w:val="auto"/>
              </w:rPr>
            </w:pPr>
            <w:r>
              <w:rPr>
                <w:rFonts w:ascii="Arial" w:cs="Arial" w:eastAsia="Arial" w:hAnsi="Arial"/>
                <w:sz w:val="18"/>
                <w:szCs w:val="18"/>
                <w:color w:val="auto"/>
              </w:rPr>
              <w:t>Ex. B-1</w:t>
            </w:r>
          </w:p>
        </w:tc>
      </w:tr>
      <w:tr>
        <w:trPr>
          <w:trHeight w:val="230"/>
        </w:trPr>
        <w:tc>
          <w:tcPr>
            <w:tcW w:w="920" w:type="dxa"/>
            <w:vAlign w:val="bottom"/>
          </w:tcPr>
          <w:p>
            <w:pPr>
              <w:ind w:left="440"/>
              <w:spacing w:after="0"/>
              <w:rPr>
                <w:sz w:val="20"/>
                <w:szCs w:val="20"/>
                <w:color w:val="auto"/>
              </w:rPr>
            </w:pPr>
            <w:r>
              <w:rPr>
                <w:rFonts w:ascii="Arial" w:cs="Arial" w:eastAsia="Arial" w:hAnsi="Arial"/>
                <w:sz w:val="18"/>
                <w:szCs w:val="18"/>
                <w:color w:val="auto"/>
              </w:rPr>
              <w:t>5.</w:t>
            </w:r>
          </w:p>
        </w:tc>
        <w:tc>
          <w:tcPr>
            <w:tcW w:w="6300" w:type="dxa"/>
            <w:vAlign w:val="bottom"/>
          </w:tcPr>
          <w:p>
            <w:pPr>
              <w:ind w:left="80"/>
              <w:spacing w:after="0"/>
              <w:rPr>
                <w:sz w:val="20"/>
                <w:szCs w:val="20"/>
                <w:color w:val="auto"/>
              </w:rPr>
            </w:pPr>
            <w:r>
              <w:rPr>
                <w:rFonts w:ascii="Arial" w:cs="Arial" w:eastAsia="Arial" w:hAnsi="Arial"/>
                <w:sz w:val="18"/>
                <w:szCs w:val="18"/>
                <w:color w:val="auto"/>
              </w:rPr>
              <w:t>Section 431 Elections</w:t>
            </w:r>
          </w:p>
        </w:tc>
        <w:tc>
          <w:tcPr>
            <w:tcW w:w="4140" w:type="dxa"/>
            <w:vAlign w:val="bottom"/>
          </w:tcPr>
          <w:p>
            <w:pPr>
              <w:jc w:val="right"/>
              <w:spacing w:after="0"/>
              <w:rPr>
                <w:sz w:val="20"/>
                <w:szCs w:val="20"/>
                <w:color w:val="auto"/>
              </w:rPr>
            </w:pPr>
            <w:r>
              <w:rPr>
                <w:rFonts w:ascii="Arial" w:cs="Arial" w:eastAsia="Arial" w:hAnsi="Arial"/>
                <w:sz w:val="18"/>
                <w:szCs w:val="18"/>
                <w:color w:val="auto"/>
              </w:rPr>
              <w:t>Ex. B-2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274" w:right="299" w:bottom="1440" w:gutter="0" w:footer="0" w:header="0"/>
        </w:sectPr>
      </w:pPr>
    </w:p>
    <w:bookmarkStart w:id="490" w:name="page491"/>
    <w:bookmarkEnd w:id="4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OLID</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O</w:t>
      </w:r>
      <w:r>
        <w:rPr>
          <w:rFonts w:ascii="Arial" w:cs="Arial" w:eastAsia="Arial" w:hAnsi="Arial"/>
          <w:sz w:val="15"/>
          <w:szCs w:val="15"/>
          <w:b w:val="1"/>
          <w:bCs w:val="1"/>
          <w:color w:val="auto"/>
        </w:rPr>
        <w:t>MNIBUS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purpose of this Solid Biosciences Inc. 2018 Omnibus Incentive Plan is to enhance the profitability and value of the Company for the benefit of its stockholders by enabling the Company to offer Eligible Employees, Consultants, and Non-Employee Directors incentive awards to attract, retain, and reward such individuals and strengthen the mutuality of interests between such individuals and the Company’s stockholders. The Plan, as set forth herein, is effective as of the Effective Date (as defined in Article XIV).</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Plan, the following terms shall have the following meanings: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w:t>
      </w:r>
      <w:r>
        <w:rPr>
          <w:rFonts w:ascii="Arial" w:cs="Arial" w:eastAsia="Arial" w:hAnsi="Arial"/>
          <w:sz w:val="18"/>
          <w:szCs w:val="18"/>
          <w:b w:val="1"/>
          <w:bCs w:val="1"/>
          <w:u w:val="single" w:color="auto"/>
          <w:color w:val="auto"/>
        </w:rPr>
        <w:t>Acquisition Event</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means a merger or consolidation in which the Company is not the surviving entity, any transaction that results in the acquisition of all or substantially all of the Company’s outstanding Common Stock by a single person or entity or by a group of persons or entities acting in concert, or the sale or transfer of all or substantially all of the Company’s assets.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means each of the following: (a) any Subsidiary; (b) any Parent; (c) any corporation, trade, or business (including a partnership or limited liability company) that is directly or indirectly controlled 50% or more (whether by ownership of stock, assets, or an equivalent ownership interest or voting interest) by the Company or any Affiliate; (d) any corporation, trade, or business (including a partnership or limited liability company) that directly or indirectly controls 50% or more (whether by ownership of stock, assets, or an equivalent ownership interest or voting interest) of the Company; and (e) any other entity in which the Company or any Affiliate has a material equity interest and that is designated as an “Affiliate” by resolution of the Committee.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w:t>
      </w:r>
      <w:r>
        <w:rPr>
          <w:rFonts w:ascii="Arial" w:cs="Arial" w:eastAsia="Arial" w:hAnsi="Arial"/>
          <w:sz w:val="18"/>
          <w:szCs w:val="18"/>
          <w:b w:val="1"/>
          <w:bCs w:val="1"/>
          <w:u w:val="single" w:color="auto"/>
          <w:color w:val="auto"/>
        </w:rPr>
        <w:t>Appreciation Award</w:t>
      </w:r>
      <w:r>
        <w:rPr>
          <w:rFonts w:ascii="Arial" w:cs="Arial" w:eastAsia="Arial" w:hAnsi="Arial"/>
          <w:sz w:val="18"/>
          <w:szCs w:val="18"/>
          <w:b w:val="1"/>
          <w:bCs w:val="1"/>
          <w:color w:val="auto"/>
        </w:rPr>
        <w:t>”</w:t>
      </w:r>
    </w:p>
    <w:p>
      <w:pPr>
        <w:spacing w:after="0" w:line="229"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means any Stock Option or any Other Stock-Based Award that is based on the appreciation in value of a share of Common Stock in excess of an amount at least equal to the Fair Market Value on the date such Stock Option or Other Stock-Based Award is granted.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9" w:right="239" w:bottom="1440" w:gutter="0" w:footer="0" w:header="0"/>
        </w:sectPr>
      </w:pPr>
    </w:p>
    <w:bookmarkStart w:id="491" w:name="page492"/>
    <w:bookmarkEnd w:id="49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 “</w:t>
      </w:r>
      <w:r>
        <w:rPr>
          <w:rFonts w:ascii="Arial" w:cs="Arial" w:eastAsia="Arial" w:hAnsi="Arial"/>
          <w:sz w:val="18"/>
          <w:szCs w:val="18"/>
          <w:b w:val="1"/>
          <w:bCs w:val="1"/>
          <w:u w:val="single" w:color="auto"/>
          <w:color w:val="auto"/>
        </w:rPr>
        <w:t>Award</w:t>
      </w:r>
      <w:r>
        <w:rPr>
          <w:rFonts w:ascii="Arial" w:cs="Arial" w:eastAsia="Arial" w:hAnsi="Arial"/>
          <w:sz w:val="18"/>
          <w:szCs w:val="18"/>
          <w:b w:val="1"/>
          <w:bCs w:val="1"/>
          <w:color w:val="auto"/>
        </w:rPr>
        <w:t>”</w:t>
      </w:r>
    </w:p>
    <w:p>
      <w:pPr>
        <w:spacing w:after="0" w:line="229"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means any award granted or made under the Plan of any Stock Option, Restricted Stock, Other Stock-Based Award, or Performance-Based Cash Award.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w:t>
      </w:r>
      <w:r>
        <w:rPr>
          <w:rFonts w:ascii="Arial" w:cs="Arial" w:eastAsia="Arial" w:hAnsi="Arial"/>
          <w:sz w:val="18"/>
          <w:szCs w:val="18"/>
          <w:b w:val="1"/>
          <w:bCs w:val="1"/>
          <w:u w:val="single" w:color="auto"/>
          <w:color w:val="auto"/>
        </w:rPr>
        <w:t>Board</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the Board of Directors of the Company.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w:t>
      </w:r>
      <w:r>
        <w:rPr>
          <w:rFonts w:ascii="Arial" w:cs="Arial" w:eastAsia="Arial" w:hAnsi="Arial"/>
          <w:sz w:val="18"/>
          <w:szCs w:val="18"/>
          <w:b w:val="1"/>
          <w:bCs w:val="1"/>
          <w:u w:val="single" w:color="auto"/>
          <w:color w:val="auto"/>
        </w:rPr>
        <w:t>Cause</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means, with respect to a Participant’s Termination of Employment or Termination of Consultancy, unless otherwise defined in the applicable Award agreement or other written agreement approved by the Committee, a termination due to (i) the failure by the Participant to perform such duties as are reasonably requested by the Company; (ii) the Participant’s disregard of his or her duties or failure to act, where such action would be in the ordinary course of the Participant’s duties; (iii) the failure by the Participant to observe policies of the Company or any Affiliate generally applicable to employees of the Company or any Affiliate; (iv) the gross negligence or willful misconduct by the Participant in the performance of his or her duties; (v) the commission by the Participant of any act of fraud, theft, dishonesty, or self-dealing with respect to the Company or any Affiliate, or any felony or criminal act involving moral turpitude; (vi) the Participant’s conviction of, or plea of guilty or nolo contendere to, a felony; (vii) any breach by the Participant of the provisions of any confidentiality, non-competition, or non-solicitation agreement between the Participant and the Company or any Affiliate, or any other agreement or contract with the Company or any Affiliate; (viii) chronic absenteeism (excluding vacations, illnesses, or leaves of absence approved by the Company); (ix) any alcohol or other substance abuse by the Participant; or (x) the commission by the Participant of any violation of any state or federal law relating to the workplace environment (including, without limitation, laws relating to sexual harassment or age, sex, or other prohibited discrimination). With respect to a Participant’s Termination of Directorship, “cause” means an act or failure to act that constitutes cause for removal of a director under Delaware law.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2.7 “</w:t>
      </w: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unless otherwise defined in the applicable Award agreement or other written agreement approved by the Committee and subject to Section 13.15(b), means the occurrence of any of the following:</w:t>
      </w:r>
    </w:p>
    <w:p>
      <w:pPr>
        <w:spacing w:after="0" w:line="62" w:lineRule="exact"/>
        <w:rPr>
          <w:sz w:val="20"/>
          <w:szCs w:val="20"/>
          <w:color w:val="auto"/>
        </w:rPr>
      </w:pPr>
    </w:p>
    <w:p>
      <w:pPr>
        <w:ind w:right="60" w:firstLine="921"/>
        <w:spacing w:after="0" w:line="302" w:lineRule="auto"/>
        <w:tabs>
          <w:tab w:leader="none" w:pos="1158"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acquisition (including through purchase, reorganization, merger, consolidation, or similar transaction), directly or indirectly, in one or more transactions by a Person (other than any Person or group of Persons consisting solely of stockholders of the Company as of the date immediately before the Registration Date) of beneficial ownership (within the meaning of Rule 13d-3) of securities representing 50% or more of the combined voting power of the securities of the Company entitled to vote generally in the election of directors, calculated on a fully diluted basis after giving effect to such acquisition;</w:t>
      </w:r>
    </w:p>
    <w:p>
      <w:pPr>
        <w:spacing w:after="0" w:line="46" w:lineRule="exact"/>
        <w:rPr>
          <w:rFonts w:ascii="Arial" w:cs="Arial" w:eastAsia="Arial" w:hAnsi="Arial"/>
          <w:sz w:val="16"/>
          <w:szCs w:val="16"/>
          <w:color w:val="auto"/>
        </w:rPr>
      </w:pPr>
    </w:p>
    <w:p>
      <w:pPr>
        <w:ind w:right="220" w:firstLine="921"/>
        <w:spacing w:after="0" w:line="257" w:lineRule="auto"/>
        <w:tabs>
          <w:tab w:leader="none" w:pos="1168"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an election of Persons to the Board that causes two-thirds of the Board to consist of Persons other than (i) members of the Board on the Effective Date and (ii) Persons who were nominated for election as members of the Board at a time when two-thirds of the Board consisted of Persons who were members of the Board on the Effective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Person nominated for election by a Board at least two-thirds of which consisted of Persons described in clauses (i) or (ii) or by Persons who were themselves nominated by such Board shall be deemed to have been nominated by a Board consisting of Persons described in clause (i);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492" w:name="page493"/>
    <w:bookmarkEnd w:id="492"/>
    <w:p>
      <w:pPr>
        <w:ind w:right="440" w:firstLine="921"/>
        <w:spacing w:after="0" w:line="264" w:lineRule="auto"/>
        <w:tabs>
          <w:tab w:leader="none" w:pos="1158" w:val="left"/>
        </w:tabs>
        <w:numPr>
          <w:ilvl w:val="0"/>
          <w:numId w:val="3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sale or other disposition, directly or indirectly, of all or substantially all of the assets of the Company and its subsidiaries, taken as a whole, to any Person (other than any Person or group of Persons consisting solely of stockholders of the Company as of the date immediately before the Registration Date);</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 Change in Control shall be deemed to not have occurred if such Change in Control results from the issuance, in connection with a</w:t>
      </w:r>
      <w:r>
        <w:rPr>
          <w:rFonts w:ascii="Arial" w:cs="Arial" w:eastAsia="Arial" w:hAnsi="Arial"/>
          <w:sz w:val="18"/>
          <w:szCs w:val="18"/>
          <w:i w:val="1"/>
          <w:iCs w:val="1"/>
          <w:color w:val="auto"/>
        </w:rPr>
        <w:t xml:space="preserve"> </w:t>
      </w:r>
      <w:r>
        <w:rPr>
          <w:rFonts w:ascii="Arial" w:cs="Arial" w:eastAsia="Arial" w:hAnsi="Arial"/>
          <w:sz w:val="18"/>
          <w:szCs w:val="18"/>
          <w:color w:val="auto"/>
        </w:rPr>
        <w:t>bona fide transaction or series of transactions with the primary purpose of providing equity financing to the Company or any of its Affiliates, of voting securities of the Company or any of its Affiliates or any rights to acquire voting securities of the Company or any of its Affiliates that are convertible into voting securities.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2.8 “</w:t>
      </w:r>
      <w:r>
        <w:rPr>
          <w:rFonts w:ascii="Arial" w:cs="Arial" w:eastAsia="Arial" w:hAnsi="Arial"/>
          <w:sz w:val="18"/>
          <w:szCs w:val="18"/>
          <w:b w:val="1"/>
          <w:bCs w:val="1"/>
          <w:u w:val="single" w:color="auto"/>
          <w:color w:val="auto"/>
        </w:rPr>
        <w:t>Change in Control Price</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has the meaning set forth in Section 10.1.</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2.9 “</w:t>
      </w:r>
      <w:r>
        <w:rPr>
          <w:rFonts w:ascii="Arial" w:cs="Arial" w:eastAsia="Arial" w:hAnsi="Arial"/>
          <w:sz w:val="18"/>
          <w:szCs w:val="18"/>
          <w:b w:val="1"/>
          <w:bCs w:val="1"/>
          <w:u w:val="single" w:color="auto"/>
          <w:color w:val="auto"/>
        </w:rPr>
        <w:t>Code</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means the Internal Revenue Code of 1986, as amended, and all rules and regulations promulgated thereunder. Any reference to any Section of the Code shall also be a reference to any successor provision.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2.10 “</w:t>
      </w:r>
      <w:r>
        <w:rPr>
          <w:rFonts w:ascii="Arial" w:cs="Arial" w:eastAsia="Arial" w:hAnsi="Arial"/>
          <w:sz w:val="18"/>
          <w:szCs w:val="18"/>
          <w:b w:val="1"/>
          <w:bCs w:val="1"/>
          <w:u w:val="single" w:color="auto"/>
          <w:color w:val="auto"/>
        </w:rPr>
        <w:t>Committee</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means: (a) with respect to the application of the Plan to Eligible Employees and Consultants, the Compensation Committee of the Board or such other committee or subcommittee that is appointed by the Board, in each case, consisting of two or more non-employee directors, each of whom is intended to be</w:t>
      </w:r>
    </w:p>
    <w:p>
      <w:pPr>
        <w:ind w:firstLine="8"/>
        <w:spacing w:after="0" w:line="252" w:lineRule="auto"/>
        <w:tabs>
          <w:tab w:leader="none" w:pos="21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to the extent required by Rule 16b-3, a Non-Employee Director; (ii) to the extent required by Section 162(m), an “outside director” as defined under Section 162(m); and (iii) as applicable, an “independent director” as defined under the Nasdaq Listing Rules, the NYSE Listed Company Manual, or other applicable stock exchange rules; and (b) with respect to the application of the Plan to Non-Employee Directors, the Board. It is intended that, absent an affirmative decision by the Board to appoint a separate Committee, the Compensation Committee of the Board shall serve as the “Committee” with respect to the application of the Plan to Eligible Employees and Consultants. To the extent that no Committee exists that has the authority to administer the Plan, the functions of the Committee shall be exercised by the Board, and all references herein to the Committee shall be deemed references to the Board. If for any reason the appointed Committee does not meet the requirements of Rule 16b-3 or Section 162(m), such noncompliance shall not affect the validity of Awards, grants, interpretations, or other actions of the Committee.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w:t>
      </w:r>
      <w:r>
        <w:rPr>
          <w:rFonts w:ascii="Arial" w:cs="Arial" w:eastAsia="Arial" w:hAnsi="Arial"/>
          <w:sz w:val="18"/>
          <w:szCs w:val="18"/>
          <w:b w:val="1"/>
          <w:bCs w:val="1"/>
          <w:u w:val="single" w:color="auto"/>
          <w:color w:val="auto"/>
        </w:rPr>
        <w:t>Common Stock</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the common stock of the Company, par value $0.001 per share.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2.12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Solid Biosciences Inc., a Delaware corporation, and its successors by operation of law.</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3" w:right="259" w:bottom="1440" w:gutter="0" w:footer="0" w:header="0"/>
        </w:sectPr>
      </w:pPr>
    </w:p>
    <w:bookmarkStart w:id="493" w:name="page494"/>
    <w:bookmarkEnd w:id="49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2.13 “</w:t>
      </w:r>
      <w:r>
        <w:rPr>
          <w:rFonts w:ascii="Arial" w:cs="Arial" w:eastAsia="Arial" w:hAnsi="Arial"/>
          <w:sz w:val="18"/>
          <w:szCs w:val="18"/>
          <w:b w:val="1"/>
          <w:bCs w:val="1"/>
          <w:u w:val="single" w:color="auto"/>
          <w:color w:val="auto"/>
        </w:rPr>
        <w:t>Competitor</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any Person that is, directly or indirectly, in competition with the business or activities of the Company and its Affiliates.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 “</w:t>
      </w:r>
      <w:r>
        <w:rPr>
          <w:rFonts w:ascii="Arial" w:cs="Arial" w:eastAsia="Arial" w:hAnsi="Arial"/>
          <w:sz w:val="18"/>
          <w:szCs w:val="18"/>
          <w:b w:val="1"/>
          <w:bCs w:val="1"/>
          <w:u w:val="single" w:color="auto"/>
          <w:color w:val="auto"/>
        </w:rPr>
        <w:t>Consultant</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means any natural person who provides bona fide consulting or advisory services to the Company or its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services are not in connection with the offer or sale of securities in a capital-raising transaction, and do not, directly or indirectly, promote or maintain a market for the Company’s or its Affiliates’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2.15 “</w:t>
      </w:r>
      <w:r>
        <w:rPr>
          <w:rFonts w:ascii="Arial" w:cs="Arial" w:eastAsia="Arial" w:hAnsi="Arial"/>
          <w:sz w:val="18"/>
          <w:szCs w:val="18"/>
          <w:b w:val="1"/>
          <w:bCs w:val="1"/>
          <w:u w:val="single" w:color="auto"/>
          <w:color w:val="auto"/>
        </w:rPr>
        <w:t>Detrimental Activity</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unless otherwise defined in the applicable Award agreement or other written agreement approved by the Committee:</w:t>
      </w:r>
    </w:p>
    <w:p>
      <w:pPr>
        <w:spacing w:after="0" w:line="117" w:lineRule="exact"/>
        <w:rPr>
          <w:sz w:val="20"/>
          <w:szCs w:val="20"/>
          <w:color w:val="auto"/>
        </w:rPr>
      </w:pPr>
    </w:p>
    <w:p>
      <w:pPr>
        <w:ind w:right="20" w:firstLine="921"/>
        <w:spacing w:after="0" w:line="259" w:lineRule="auto"/>
        <w:tabs>
          <w:tab w:leader="none" w:pos="1158"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without written authorization from the Company, disclosure to any Person outside the Company and its Affiliates or the use in any manner, except as necessary in the furtherance of the Participant’s responsibilities to the Company or any of its Affiliates, at any time, of any confidential information, trade secrets, or proprietary information relating to the business of the Company or any of its Affiliates that is acquired by the Participant at any time before the Participant’s Termination;</w:t>
      </w:r>
    </w:p>
    <w:p>
      <w:pPr>
        <w:spacing w:after="0" w:line="78" w:lineRule="exact"/>
        <w:rPr>
          <w:rFonts w:ascii="Arial" w:cs="Arial" w:eastAsia="Arial" w:hAnsi="Arial"/>
          <w:sz w:val="18"/>
          <w:szCs w:val="18"/>
          <w:color w:val="auto"/>
        </w:rPr>
      </w:pPr>
    </w:p>
    <w:p>
      <w:pPr>
        <w:ind w:right="900" w:firstLine="921"/>
        <w:spacing w:after="0" w:line="277" w:lineRule="auto"/>
        <w:tabs>
          <w:tab w:leader="none" w:pos="1168"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activity while employed or performing services that results, or if known could have reasonably been expected to result, in the Participant’s Termination for Cause;</w:t>
      </w:r>
    </w:p>
    <w:p>
      <w:pPr>
        <w:spacing w:after="0" w:line="62" w:lineRule="exact"/>
        <w:rPr>
          <w:rFonts w:ascii="Arial" w:cs="Arial" w:eastAsia="Arial" w:hAnsi="Arial"/>
          <w:sz w:val="18"/>
          <w:szCs w:val="18"/>
          <w:color w:val="auto"/>
        </w:rPr>
      </w:pPr>
    </w:p>
    <w:p>
      <w:pPr>
        <w:ind w:right="200" w:firstLine="921"/>
        <w:spacing w:after="0" w:line="289" w:lineRule="auto"/>
        <w:tabs>
          <w:tab w:leader="none" w:pos="1158" w:val="left"/>
        </w:tabs>
        <w:numPr>
          <w:ilvl w:val="0"/>
          <w:numId w:val="392"/>
        </w:numPr>
        <w:rPr>
          <w:rFonts w:ascii="Arial" w:cs="Arial" w:eastAsia="Arial" w:hAnsi="Arial"/>
          <w:sz w:val="16"/>
          <w:szCs w:val="16"/>
          <w:color w:val="auto"/>
        </w:rPr>
      </w:pPr>
      <w:r>
        <w:rPr>
          <w:rFonts w:ascii="Arial" w:cs="Arial" w:eastAsia="Arial" w:hAnsi="Arial"/>
          <w:sz w:val="16"/>
          <w:szCs w:val="16"/>
          <w:color w:val="auto"/>
        </w:rPr>
        <w:t>without written authorization from the Company, directly or indirectly, in any capacity whatsoever, (i) owning, managing, operating, controlling, being employed by (whether as an employee, consultant, independent contractor, or otherwise, and whether or not for compensation), or rendering services to any Competitor; (ii) soliciting, aiding, or inducing any customer of the Company or any Subsidiary to curtail, reduce, or terminate its business relationship with the Company or any Subsidiary, or in any other way interfering with any such business relationships with the Company or any Subsidiary; (iii) soliciting, aiding, or inducing any employee, representative, or agent of the Company or any Subsidiary to leave such employment or retention or to accept employment with or render services to or with any other person, firm, corporation, or other entity unaffiliated with the Company or hiring or retaining any such employee, representative, or agent or taking any action to materially assist or aid any other person, firm, corporation, or other entity in identifying, hiring, or soliciting any such employee, representative, or agent; or (iv) interfering, or aiding, or inducing any other person or entity in interfering with the relationship between the Company, its Subsidiaries, and any of their respective vendors, joint venturers, or licensors;</w:t>
      </w:r>
    </w:p>
    <w:p>
      <w:pPr>
        <w:spacing w:after="0" w:line="58" w:lineRule="exact"/>
        <w:rPr>
          <w:rFonts w:ascii="Arial" w:cs="Arial" w:eastAsia="Arial" w:hAnsi="Arial"/>
          <w:sz w:val="16"/>
          <w:szCs w:val="16"/>
          <w:color w:val="auto"/>
        </w:rPr>
      </w:pPr>
    </w:p>
    <w:p>
      <w:pPr>
        <w:ind w:left="1180" w:hanging="259"/>
        <w:spacing w:after="0"/>
        <w:tabs>
          <w:tab w:leader="none" w:pos="118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 material breach of any restrictive covenant contained in any agreement between the Participant and the Company or an Affiliate; or</w:t>
      </w:r>
    </w:p>
    <w:p>
      <w:pPr>
        <w:spacing w:after="0" w:line="128" w:lineRule="exact"/>
        <w:rPr>
          <w:rFonts w:ascii="Arial" w:cs="Arial" w:eastAsia="Arial" w:hAnsi="Arial"/>
          <w:sz w:val="17"/>
          <w:szCs w:val="17"/>
          <w:color w:val="auto"/>
        </w:rPr>
      </w:pPr>
    </w:p>
    <w:p>
      <w:pPr>
        <w:ind w:right="180" w:firstLine="921"/>
        <w:spacing w:after="0" w:line="277" w:lineRule="auto"/>
        <w:tabs>
          <w:tab w:leader="none" w:pos="1158"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Participant’s Disparagement, or inducement of other to do so, of the Company or its Affiliates or their past or present officers, directors, employees, or products.</w:t>
      </w:r>
    </w:p>
    <w:p>
      <w:pPr>
        <w:spacing w:after="0" w:line="17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Only the Chief Executive Officer or the Chief Financial Officer of the Company (or their designee, as evidenced in writing) shall have the authority to provide the Participant, except for himself or herself, with written authorization to engage in the activities contemplated in subsections (a) and (c).</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494" w:name="page495"/>
    <w:bookmarkEnd w:id="49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2.16 “</w:t>
      </w:r>
      <w:r>
        <w:rPr>
          <w:rFonts w:ascii="Arial" w:cs="Arial" w:eastAsia="Arial" w:hAnsi="Arial"/>
          <w:sz w:val="18"/>
          <w:szCs w:val="18"/>
          <w:b w:val="1"/>
          <w:bCs w:val="1"/>
          <w:u w:val="single" w:color="auto"/>
          <w:color w:val="auto"/>
        </w:rPr>
        <w:t>Disability</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means, unless otherwise defined in the applicable Award agreement or other written agreement approved by the Committee, with respect to a Participant’s Termination, a “permanent and total disability,” as defined in Section 22(e)(3) of the Code. A Disability shall only be deemed to occur at the time of the determination by the Committee of the Disability. Notwithstanding the foregoing, for an Award that provides for payment or settlement triggered upon a Disability and that constitutes a Section 409A Covered Award, the foregoing definition shall apply for purposes of vesting of such Award,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payment or settlement of such Award, such Award shall not be paid (or otherwise settled) until the earliest of: (A) the Participant’s “disability” within the meaning of Section 409A(a)(2)(C) of the Code, (B) the Participant’s “separation from service” within the meaning of Section 409A of the Code, and (C) the date such Award would otherwise be settled pursuant to the terms of the Award agreement.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2.17 “</w:t>
      </w:r>
      <w:r>
        <w:rPr>
          <w:rFonts w:ascii="Arial" w:cs="Arial" w:eastAsia="Arial" w:hAnsi="Arial"/>
          <w:sz w:val="18"/>
          <w:szCs w:val="18"/>
          <w:b w:val="1"/>
          <w:bCs w:val="1"/>
          <w:u w:val="single" w:color="auto"/>
          <w:color w:val="auto"/>
        </w:rPr>
        <w:t>Disparagement</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means making comments or statements to the press, the Company’s or its Affiliates’ employees, consultants, or any individual or entity with whom the Company or its Affiliates has a business relationship that could reasonably be expected to adversely affect in any manner: (a) the conduct of the business of the Company or its Affiliates (including, without limitation, any products or business plans or prospects); or (b) the business reputation of the Company or its Affiliates, or any of their products, or their past or present officers, directors, or employees. For purposes of this Section 2.17, “Disparagement” does not include (i) compliance with legal process or subpoenas to the extent only truthful statements are rendered in such compliance attempt, (ii) statements made in response to an inquiry from a court or regulatory body, or (iii) reporting possible violations of federal law or regulation to any governmental agency or entity, including but not limited to, the Department of Justice, the Securities and Exchange Commission, the U.S. Congress, or any Inspector General, or making other disclosures that are protected under the whistleblower provisions of applicable law or regulation.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2.18 “</w:t>
      </w:r>
      <w:r>
        <w:rPr>
          <w:rFonts w:ascii="Arial" w:cs="Arial" w:eastAsia="Arial" w:hAnsi="Arial"/>
          <w:sz w:val="18"/>
          <w:szCs w:val="18"/>
          <w:b w:val="1"/>
          <w:bCs w:val="1"/>
          <w:u w:val="single" w:color="auto"/>
          <w:color w:val="auto"/>
        </w:rPr>
        <w:t>Dividends</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dividends, dividend equivalents, or other distributions.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2.19 “</w:t>
      </w: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the effective date of the Plan, as defined in Article XIV.</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2.20 “</w:t>
      </w:r>
      <w:r>
        <w:rPr>
          <w:rFonts w:ascii="Arial" w:cs="Arial" w:eastAsia="Arial" w:hAnsi="Arial"/>
          <w:sz w:val="18"/>
          <w:szCs w:val="18"/>
          <w:b w:val="1"/>
          <w:bCs w:val="1"/>
          <w:u w:val="single" w:color="auto"/>
          <w:color w:val="auto"/>
        </w:rPr>
        <w:t>Eligible Employee</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an employee of the Company or an Affiliate.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2.21 “</w:t>
      </w:r>
      <w:r>
        <w:rPr>
          <w:rFonts w:ascii="Arial" w:cs="Arial" w:eastAsia="Arial" w:hAnsi="Arial"/>
          <w:sz w:val="18"/>
          <w:szCs w:val="18"/>
          <w:b w:val="1"/>
          <w:bCs w:val="1"/>
          <w:u w:val="single" w:color="auto"/>
          <w:color w:val="auto"/>
        </w:rPr>
        <w:t>Exchange Act</w:t>
      </w:r>
      <w:r>
        <w:rPr>
          <w:rFonts w:ascii="Arial" w:cs="Arial" w:eastAsia="Arial" w:hAnsi="Arial"/>
          <w:sz w:val="18"/>
          <w:szCs w:val="18"/>
          <w:b w:val="1"/>
          <w:bCs w:val="1"/>
          <w:color w:val="auto"/>
        </w:rPr>
        <w:t>”</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means the Securities Exchange Act of 1934, as amended, and all rules and regulations promulgated thereunder. Any references to any Section of the Exchange Act shall also be a reference to any successor provision.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2.22 “</w:t>
      </w:r>
      <w:r>
        <w:rPr>
          <w:rFonts w:ascii="Arial" w:cs="Arial" w:eastAsia="Arial" w:hAnsi="Arial"/>
          <w:sz w:val="18"/>
          <w:szCs w:val="18"/>
          <w:b w:val="1"/>
          <w:bCs w:val="1"/>
          <w:u w:val="single" w:color="auto"/>
          <w:color w:val="auto"/>
        </w:rPr>
        <w:t>Exercisable Awards</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has the meaning set forth in Section 4.2(d).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0" w:right="299" w:bottom="1440" w:gutter="0" w:footer="0" w:header="0"/>
        </w:sectPr>
      </w:pPr>
    </w:p>
    <w:bookmarkStart w:id="495" w:name="page496"/>
    <w:bookmarkEnd w:id="49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2.23 “</w:t>
      </w:r>
      <w:r>
        <w:rPr>
          <w:rFonts w:ascii="Arial" w:cs="Arial" w:eastAsia="Arial" w:hAnsi="Arial"/>
          <w:sz w:val="18"/>
          <w:szCs w:val="18"/>
          <w:b w:val="1"/>
          <w:bCs w:val="1"/>
          <w:u w:val="single" w:color="auto"/>
          <w:color w:val="auto"/>
        </w:rPr>
        <w:t>Fair Market Value</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unless otherwise required by any applicable provision of the Code, means as of any date and except as provided below, (a) the closing price reported for the Common Stock on such date: (i) as reported on the principal national securities exchange in the United States on which it is then traded, or (ii) if not traded on any such national securities exchange, as quoted on an automated quotation system sponsored by the Financial Industry Regulatory Authority; or</w:t>
      </w:r>
    </w:p>
    <w:p>
      <w:pPr>
        <w:ind w:right="80" w:firstLine="8"/>
        <w:spacing w:after="0" w:line="271" w:lineRule="auto"/>
        <w:tabs>
          <w:tab w:leader="none" w:pos="255" w:val="left"/>
        </w:tabs>
        <w:numPr>
          <w:ilvl w:val="0"/>
          <w:numId w:val="393"/>
        </w:numPr>
        <w:rPr>
          <w:rFonts w:ascii="Arial" w:cs="Arial" w:eastAsia="Arial" w:hAnsi="Arial"/>
          <w:sz w:val="17"/>
          <w:szCs w:val="17"/>
          <w:color w:val="auto"/>
        </w:rPr>
      </w:pPr>
      <w:r>
        <w:rPr>
          <w:rFonts w:ascii="Arial" w:cs="Arial" w:eastAsia="Arial" w:hAnsi="Arial"/>
          <w:sz w:val="17"/>
          <w:szCs w:val="17"/>
          <w:color w:val="auto"/>
        </w:rPr>
        <w:t>if the Common Stock shall not have been reported or quoted on such date, on the first day prior thereto on which the Common Stock was reported or quoted. If the Common Stock is not traded, listed, or otherwise reported or quoted, then Fair Market Value means the fair market value of the Common Stock as determined by the Committee in good faith in whatever manner it considers appropriate, taking into account the requirements of Section 409A or Section 422 of the Code, as applicable. Notwithstanding anything herein to the contrary, for purposes of any Stock Options that are granted effective on the Registration Date, the Fair Market Value shall equal the initial public offering price of the Common Stock.</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2.24 “</w:t>
      </w:r>
      <w:r>
        <w:rPr>
          <w:rFonts w:ascii="Arial" w:cs="Arial" w:eastAsia="Arial" w:hAnsi="Arial"/>
          <w:sz w:val="18"/>
          <w:szCs w:val="18"/>
          <w:b w:val="1"/>
          <w:bCs w:val="1"/>
          <w:u w:val="single" w:color="auto"/>
          <w:color w:val="auto"/>
        </w:rPr>
        <w:t>Family Member</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“family member,” as defined in Section A.1.(a)(5) of the general instructions of Form S-8, as may be amended from time to time.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2.25 “</w:t>
      </w:r>
      <w:r>
        <w:rPr>
          <w:rFonts w:ascii="Arial" w:cs="Arial" w:eastAsia="Arial" w:hAnsi="Arial"/>
          <w:sz w:val="18"/>
          <w:szCs w:val="18"/>
          <w:b w:val="1"/>
          <w:bCs w:val="1"/>
          <w:u w:val="single" w:color="auto"/>
          <w:color w:val="auto"/>
        </w:rPr>
        <w:t>Incentive Stock Option</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means any Stock Option awarded to an Eligible Employee of the Company, its Subsidiaries, or its Parent intended to be and designated as an “Incentive Stock Option” within the meaning of Section 422 of the Code.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2.26 “</w:t>
      </w:r>
      <w:r>
        <w:rPr>
          <w:rFonts w:ascii="Arial" w:cs="Arial" w:eastAsia="Arial" w:hAnsi="Arial"/>
          <w:sz w:val="18"/>
          <w:szCs w:val="18"/>
          <w:b w:val="1"/>
          <w:bCs w:val="1"/>
          <w:u w:val="single" w:color="auto"/>
          <w:color w:val="auto"/>
        </w:rPr>
        <w:t>Individual Target Award</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has the meaning in Section 9.1.</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2.27 “</w:t>
      </w:r>
      <w:r>
        <w:rPr>
          <w:rFonts w:ascii="Arial" w:cs="Arial" w:eastAsia="Arial" w:hAnsi="Arial"/>
          <w:sz w:val="18"/>
          <w:szCs w:val="18"/>
          <w:b w:val="1"/>
          <w:bCs w:val="1"/>
          <w:u w:val="single" w:color="auto"/>
          <w:color w:val="auto"/>
        </w:rPr>
        <w:t>Lead Underwriter</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has the meaning in Section 13.24.</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2.28 “</w:t>
      </w:r>
      <w:r>
        <w:rPr>
          <w:rFonts w:ascii="Arial" w:cs="Arial" w:eastAsia="Arial" w:hAnsi="Arial"/>
          <w:sz w:val="18"/>
          <w:szCs w:val="18"/>
          <w:b w:val="1"/>
          <w:bCs w:val="1"/>
          <w:u w:val="single" w:color="auto"/>
          <w:color w:val="auto"/>
        </w:rPr>
        <w:t>Lock-Up Period</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has the meaning in Section 13.24.</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2.29 “</w:t>
      </w:r>
      <w:r>
        <w:rPr>
          <w:rFonts w:ascii="Arial" w:cs="Arial" w:eastAsia="Arial" w:hAnsi="Arial"/>
          <w:sz w:val="18"/>
          <w:szCs w:val="18"/>
          <w:b w:val="1"/>
          <w:bCs w:val="1"/>
          <w:u w:val="single" w:color="auto"/>
          <w:color w:val="auto"/>
        </w:rPr>
        <w:t>Non-Employee Director</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a “non-employee director,” as defined in Rule 16b-3.</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2.30 “</w:t>
      </w:r>
      <w:r>
        <w:rPr>
          <w:rFonts w:ascii="Arial" w:cs="Arial" w:eastAsia="Arial" w:hAnsi="Arial"/>
          <w:sz w:val="18"/>
          <w:szCs w:val="18"/>
          <w:b w:val="1"/>
          <w:bCs w:val="1"/>
          <w:u w:val="single" w:color="auto"/>
          <w:color w:val="auto"/>
        </w:rPr>
        <w:t>Non-Qualified Stock Option</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any Stock Option that is not an Incentive Stock Option.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2.31 “</w:t>
      </w:r>
      <w:r>
        <w:rPr>
          <w:rFonts w:ascii="Arial" w:cs="Arial" w:eastAsia="Arial" w:hAnsi="Arial"/>
          <w:sz w:val="18"/>
          <w:szCs w:val="18"/>
          <w:b w:val="1"/>
          <w:bCs w:val="1"/>
          <w:u w:val="single" w:color="auto"/>
          <w:color w:val="auto"/>
        </w:rPr>
        <w:t>Other Extraordinary Event</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has the meaning in Section 4.2(b).</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2.32 “</w:t>
      </w:r>
      <w:r>
        <w:rPr>
          <w:rFonts w:ascii="Arial" w:cs="Arial" w:eastAsia="Arial" w:hAnsi="Arial"/>
          <w:sz w:val="18"/>
          <w:szCs w:val="18"/>
          <w:b w:val="1"/>
          <w:bCs w:val="1"/>
          <w:u w:val="single" w:color="auto"/>
          <w:color w:val="auto"/>
        </w:rPr>
        <w:t>Other Stock-Based Award</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380"/>
        <w:spacing w:after="0" w:line="449" w:lineRule="auto"/>
        <w:rPr>
          <w:sz w:val="20"/>
          <w:szCs w:val="20"/>
          <w:color w:val="auto"/>
        </w:rPr>
      </w:pPr>
      <w:r>
        <w:rPr>
          <w:rFonts w:ascii="Arial" w:cs="Arial" w:eastAsia="Arial" w:hAnsi="Arial"/>
          <w:sz w:val="18"/>
          <w:szCs w:val="18"/>
          <w:color w:val="auto"/>
        </w:rPr>
        <w:t>means an Award under Article VIII that is valued in whole or in part by reference to, or is payable in or otherwise based on, Common Stock. 6</w:t>
      </w:r>
    </w:p>
    <w:p>
      <w:pPr>
        <w:sectPr>
          <w:pgSz w:w="11900" w:h="16838" w:orient="portrait"/>
          <w:cols w:equalWidth="0" w:num="1">
            <w:col w:w="11420"/>
          </w:cols>
          <w:pgMar w:left="240" w:top="270" w:right="239" w:bottom="1440" w:gutter="0" w:footer="0" w:header="0"/>
        </w:sectPr>
      </w:pPr>
    </w:p>
    <w:bookmarkStart w:id="496" w:name="page497"/>
    <w:bookmarkEnd w:id="49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2.33 “</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any “parent corporation” of the Company within the meaning of Section 424(e) of the Code.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2.34 “</w:t>
      </w: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an Eligible Employee, Non-Employee Director, or Consultant to whom an Award has been granted pursuant to the Plan.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2.35 “</w:t>
      </w:r>
      <w:r>
        <w:rPr>
          <w:rFonts w:ascii="Arial" w:cs="Arial" w:eastAsia="Arial" w:hAnsi="Arial"/>
          <w:sz w:val="18"/>
          <w:szCs w:val="18"/>
          <w:b w:val="1"/>
          <w:bCs w:val="1"/>
          <w:u w:val="single" w:color="auto"/>
          <w:color w:val="auto"/>
        </w:rPr>
        <w:t>Performance-Based Cash Award</w:t>
      </w:r>
      <w:r>
        <w:rPr>
          <w:rFonts w:ascii="Arial" w:cs="Arial" w:eastAsia="Arial" w:hAnsi="Arial"/>
          <w:sz w:val="18"/>
          <w:szCs w:val="18"/>
          <w:b w:val="1"/>
          <w:bCs w:val="1"/>
          <w:color w:val="auto"/>
        </w:rPr>
        <w:t>”</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means a cash Award under Article IX that is payable or otherwise based on the attainment of certain pre-established performance goals during a Performance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2.36 “</w:t>
      </w:r>
      <w:r>
        <w:rPr>
          <w:rFonts w:ascii="Arial" w:cs="Arial" w:eastAsia="Arial" w:hAnsi="Arial"/>
          <w:sz w:val="18"/>
          <w:szCs w:val="18"/>
          <w:b w:val="1"/>
          <w:bCs w:val="1"/>
          <w:u w:val="single" w:color="auto"/>
          <w:color w:val="auto"/>
        </w:rPr>
        <w:t>Performance Criteria</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2.37 “</w:t>
      </w:r>
      <w:r>
        <w:rPr>
          <w:rFonts w:ascii="Arial" w:cs="Arial" w:eastAsia="Arial" w:hAnsi="Arial"/>
          <w:sz w:val="18"/>
          <w:szCs w:val="18"/>
          <w:b w:val="1"/>
          <w:bCs w:val="1"/>
          <w:u w:val="single" w:color="auto"/>
          <w:color w:val="auto"/>
        </w:rPr>
        <w:t>Performance Period</w:t>
      </w:r>
      <w:r>
        <w:rPr>
          <w:rFonts w:ascii="Arial" w:cs="Arial" w:eastAsia="Arial" w:hAnsi="Arial"/>
          <w:sz w:val="18"/>
          <w:szCs w:val="18"/>
          <w:b w:val="1"/>
          <w:bCs w:val="1"/>
          <w:color w:val="auto"/>
        </w:rPr>
        <w:t>”</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means each fiscal year of the Company or such other period (as specified by the Committee) over which the attainment of performance goals is measured.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2.38 “</w:t>
      </w:r>
      <w:r>
        <w:rPr>
          <w:rFonts w:ascii="Arial" w:cs="Arial" w:eastAsia="Arial" w:hAnsi="Arial"/>
          <w:sz w:val="18"/>
          <w:szCs w:val="18"/>
          <w:b w:val="1"/>
          <w:bCs w:val="1"/>
          <w:u w:val="single" w:color="auto"/>
          <w:color w:val="auto"/>
        </w:rPr>
        <w:t>Performance Share</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means an Other Stock-Based Award of the right to receive a number of shares of Common Stock or cash of an equivalent value at the end of a specified Performance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2.39 “</w:t>
      </w:r>
      <w:r>
        <w:rPr>
          <w:rFonts w:ascii="Arial" w:cs="Arial" w:eastAsia="Arial" w:hAnsi="Arial"/>
          <w:sz w:val="18"/>
          <w:szCs w:val="18"/>
          <w:b w:val="1"/>
          <w:bCs w:val="1"/>
          <w:u w:val="single" w:color="auto"/>
          <w:color w:val="auto"/>
        </w:rPr>
        <w:t>Performance Unit</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means an Other Stock-Based Award of the right to receive a fixed dollar amount, payable in cash or Common Stock or a combination of both, at the end of a specified Performance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2.40 “</w:t>
      </w:r>
      <w:r>
        <w:rPr>
          <w:rFonts w:ascii="Arial" w:cs="Arial" w:eastAsia="Arial" w:hAnsi="Arial"/>
          <w:sz w:val="18"/>
          <w:szCs w:val="18"/>
          <w:b w:val="1"/>
          <w:bCs w:val="1"/>
          <w:u w:val="single" w:color="auto"/>
          <w:color w:val="auto"/>
        </w:rPr>
        <w:t>Person</w:t>
      </w:r>
      <w:r>
        <w:rPr>
          <w:rFonts w:ascii="Arial" w:cs="Arial" w:eastAsia="Arial" w:hAnsi="Arial"/>
          <w:sz w:val="18"/>
          <w:szCs w:val="18"/>
          <w:b w:val="1"/>
          <w:bCs w:val="1"/>
          <w:color w:val="auto"/>
        </w:rPr>
        <w:t>”</w:t>
      </w:r>
    </w:p>
    <w:p>
      <w:pPr>
        <w:spacing w:after="0" w:line="229"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means any individual, entity (including any employee benefit plan or any trust for an employee benefit plan), or group (within the meaning of Section 13(d)(3) or Section 14(d)(2) of the Exchange Act, or any successor provision).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2.41 “</w:t>
      </w: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this Solid Biosciences Inc. 2018 Omnibus Incentive Plan, as amended from time to time.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2.42 “</w:t>
      </w:r>
      <w:r>
        <w:rPr>
          <w:rFonts w:ascii="Arial" w:cs="Arial" w:eastAsia="Arial" w:hAnsi="Arial"/>
          <w:sz w:val="18"/>
          <w:szCs w:val="18"/>
          <w:b w:val="1"/>
          <w:bCs w:val="1"/>
          <w:u w:val="single" w:color="auto"/>
          <w:color w:val="auto"/>
        </w:rPr>
        <w:t>Registration Date</w:t>
      </w:r>
      <w:r>
        <w:rPr>
          <w:rFonts w:ascii="Arial" w:cs="Arial" w:eastAsia="Arial" w:hAnsi="Arial"/>
          <w:sz w:val="18"/>
          <w:szCs w:val="18"/>
          <w:b w:val="1"/>
          <w:bCs w:val="1"/>
          <w:color w:val="auto"/>
        </w:rPr>
        <w:t>”</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means the first date on or after the Effective Date (a) on which the Company sells its Common Stock in a </w:t>
      </w:r>
      <w:r>
        <w:rPr>
          <w:rFonts w:ascii="Arial" w:cs="Arial" w:eastAsia="Arial" w:hAnsi="Arial"/>
          <w:sz w:val="18"/>
          <w:szCs w:val="18"/>
          <w:i w:val="1"/>
          <w:iCs w:val="1"/>
          <w:color w:val="auto"/>
        </w:rPr>
        <w:t>bona fide</w:t>
      </w:r>
      <w:r>
        <w:rPr>
          <w:rFonts w:ascii="Arial" w:cs="Arial" w:eastAsia="Arial" w:hAnsi="Arial"/>
          <w:sz w:val="18"/>
          <w:szCs w:val="18"/>
          <w:color w:val="auto"/>
        </w:rPr>
        <w:t>, firm commitment underwriting pursuant to a registration statement under the Securities Act, or (b) any class of common equity securities of the Company is required to be registered under Section 12 of the Exchange Act.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2.43 “</w:t>
      </w: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an Award of shares of Common Stock that is subject to restrictions pursuant to Article VII.</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69" w:right="259" w:bottom="1440" w:gutter="0" w:footer="0" w:header="0"/>
        </w:sectPr>
      </w:pPr>
    </w:p>
    <w:bookmarkStart w:id="497" w:name="page498"/>
    <w:bookmarkEnd w:id="49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2.44 “</w:t>
      </w:r>
      <w:r>
        <w:rPr>
          <w:rFonts w:ascii="Arial" w:cs="Arial" w:eastAsia="Arial" w:hAnsi="Arial"/>
          <w:sz w:val="18"/>
          <w:szCs w:val="18"/>
          <w:b w:val="1"/>
          <w:bCs w:val="1"/>
          <w:u w:val="single" w:color="auto"/>
          <w:color w:val="auto"/>
        </w:rPr>
        <w:t>Restriction Period</w:t>
      </w:r>
      <w:r>
        <w:rPr>
          <w:rFonts w:ascii="Arial" w:cs="Arial" w:eastAsia="Arial" w:hAnsi="Arial"/>
          <w:sz w:val="18"/>
          <w:szCs w:val="18"/>
          <w:b w:val="1"/>
          <w:bCs w:val="1"/>
          <w:color w:val="auto"/>
        </w:rPr>
        <w:t>”</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has the meaning set forth in Section 7.3(a).</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2.45 “</w:t>
      </w:r>
      <w:r>
        <w:rPr>
          <w:rFonts w:ascii="Arial" w:cs="Arial" w:eastAsia="Arial" w:hAnsi="Arial"/>
          <w:sz w:val="18"/>
          <w:szCs w:val="18"/>
          <w:b w:val="1"/>
          <w:bCs w:val="1"/>
          <w:u w:val="single" w:color="auto"/>
          <w:color w:val="auto"/>
        </w:rPr>
        <w:t>Rule 13d-3</w:t>
      </w:r>
      <w:r>
        <w:rPr>
          <w:rFonts w:ascii="Arial" w:cs="Arial" w:eastAsia="Arial" w:hAnsi="Arial"/>
          <w:sz w:val="18"/>
          <w:szCs w:val="18"/>
          <w:b w:val="1"/>
          <w:bCs w:val="1"/>
          <w:color w:val="auto"/>
        </w:rPr>
        <w:t>”</w:t>
      </w:r>
    </w:p>
    <w:p>
      <w:pPr>
        <w:spacing w:after="0" w:line="216"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means Rule 13d-3 under Section 13(d) of the Exchange Act as then in effect or any successor provision and all rules and regulations promulgated thereunder.</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2.46 “</w:t>
      </w:r>
      <w:r>
        <w:rPr>
          <w:rFonts w:ascii="Arial" w:cs="Arial" w:eastAsia="Arial" w:hAnsi="Arial"/>
          <w:sz w:val="18"/>
          <w:szCs w:val="18"/>
          <w:b w:val="1"/>
          <w:bCs w:val="1"/>
          <w:u w:val="single" w:color="auto"/>
          <w:color w:val="auto"/>
        </w:rPr>
        <w:t>Rule 16b-3</w:t>
      </w:r>
      <w:r>
        <w:rPr>
          <w:rFonts w:ascii="Arial" w:cs="Arial" w:eastAsia="Arial" w:hAnsi="Arial"/>
          <w:sz w:val="18"/>
          <w:szCs w:val="18"/>
          <w:b w:val="1"/>
          <w:bCs w:val="1"/>
          <w:color w:val="auto"/>
        </w:rPr>
        <w:t>”</w:t>
      </w:r>
    </w:p>
    <w:p>
      <w:pPr>
        <w:spacing w:after="0" w:line="202"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means Rule 16b-3 under Section 16(b) of the Exchange Act as then in effect or any successor provision and all rules and regulations promulgated thereunder.</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2.47 “</w:t>
      </w:r>
      <w:r>
        <w:rPr>
          <w:rFonts w:ascii="Arial" w:cs="Arial" w:eastAsia="Arial" w:hAnsi="Arial"/>
          <w:sz w:val="18"/>
          <w:szCs w:val="18"/>
          <w:b w:val="1"/>
          <w:bCs w:val="1"/>
          <w:u w:val="single" w:color="auto"/>
          <w:color w:val="auto"/>
        </w:rPr>
        <w:t>Section 162(m)</w:t>
      </w:r>
      <w:r>
        <w:rPr>
          <w:rFonts w:ascii="Arial" w:cs="Arial" w:eastAsia="Arial" w:hAnsi="Arial"/>
          <w:sz w:val="18"/>
          <w:szCs w:val="18"/>
          <w:b w:val="1"/>
          <w:bCs w:val="1"/>
          <w:color w:val="auto"/>
        </w:rPr>
        <w:t>”</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means the exception for performance-based compensation under Section 162(m) of the Code and all rules and regulations promulgated thereunder.</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2.48 “</w:t>
      </w:r>
      <w:r>
        <w:rPr>
          <w:rFonts w:ascii="Arial" w:cs="Arial" w:eastAsia="Arial" w:hAnsi="Arial"/>
          <w:sz w:val="18"/>
          <w:szCs w:val="18"/>
          <w:b w:val="1"/>
          <w:bCs w:val="1"/>
          <w:u w:val="single" w:color="auto"/>
          <w:color w:val="auto"/>
        </w:rPr>
        <w:t>Section 4.2 Event</w:t>
      </w:r>
      <w:r>
        <w:rPr>
          <w:rFonts w:ascii="Arial" w:cs="Arial" w:eastAsia="Arial" w:hAnsi="Arial"/>
          <w:sz w:val="18"/>
          <w:szCs w:val="18"/>
          <w:b w:val="1"/>
          <w:bCs w:val="1"/>
          <w:color w:val="auto"/>
        </w:rPr>
        <w:t>”</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has the meaning set forth in Section 4.2(b).</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2.49 “</w:t>
      </w:r>
      <w:r>
        <w:rPr>
          <w:rFonts w:ascii="Arial" w:cs="Arial" w:eastAsia="Arial" w:hAnsi="Arial"/>
          <w:sz w:val="18"/>
          <w:szCs w:val="18"/>
          <w:b w:val="1"/>
          <w:bCs w:val="1"/>
          <w:u w:val="single" w:color="auto"/>
          <w:color w:val="auto"/>
        </w:rPr>
        <w:t>Section 409A Covered Award</w:t>
      </w:r>
      <w:r>
        <w:rPr>
          <w:rFonts w:ascii="Arial" w:cs="Arial" w:eastAsia="Arial" w:hAnsi="Arial"/>
          <w:sz w:val="18"/>
          <w:szCs w:val="18"/>
          <w:b w:val="1"/>
          <w:bCs w:val="1"/>
          <w:color w:val="auto"/>
        </w:rPr>
        <w: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has the meaning set forth in Section 13.15.</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2.50 “</w:t>
      </w: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means the nonqualified deferred compensation rules under Section 409A of the Code and all rules and regulations promulgated thereunder.</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2.51 “</w:t>
      </w:r>
      <w:r>
        <w:rPr>
          <w:rFonts w:ascii="Arial" w:cs="Arial" w:eastAsia="Arial" w:hAnsi="Arial"/>
          <w:sz w:val="18"/>
          <w:szCs w:val="18"/>
          <w:b w:val="1"/>
          <w:bCs w:val="1"/>
          <w:u w:val="single" w:color="auto"/>
          <w:color w:val="auto"/>
        </w:rPr>
        <w:t>Securities Act</w:t>
      </w:r>
      <w:r>
        <w:rPr>
          <w:rFonts w:ascii="Arial" w:cs="Arial" w:eastAsia="Arial" w:hAnsi="Arial"/>
          <w:sz w:val="18"/>
          <w:szCs w:val="18"/>
          <w:b w:val="1"/>
          <w:bCs w:val="1"/>
          <w:color w:val="auto"/>
        </w:rPr>
        <w:t>”</w:t>
      </w:r>
    </w:p>
    <w:p>
      <w:pPr>
        <w:spacing w:after="0" w:line="21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means the Securities Act of 1933, as amended, and all rules and regulations promulgated thereunder. Any reference to any Section of the Securities Act shall also be a reference to any successor provision.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2.52 “</w:t>
      </w:r>
      <w:r>
        <w:rPr>
          <w:rFonts w:ascii="Arial" w:cs="Arial" w:eastAsia="Arial" w:hAnsi="Arial"/>
          <w:sz w:val="18"/>
          <w:szCs w:val="18"/>
          <w:b w:val="1"/>
          <w:bCs w:val="1"/>
          <w:u w:val="single" w:color="auto"/>
          <w:color w:val="auto"/>
        </w:rPr>
        <w:t>Stock Option</w:t>
      </w:r>
      <w:r>
        <w:rPr>
          <w:rFonts w:ascii="Arial" w:cs="Arial" w:eastAsia="Arial" w:hAnsi="Arial"/>
          <w:sz w:val="18"/>
          <w:szCs w:val="18"/>
          <w:b w:val="1"/>
          <w:bCs w:val="1"/>
          <w:color w:val="auto"/>
        </w:rPr>
        <w:t>” or “</w:t>
      </w:r>
      <w:r>
        <w:rPr>
          <w:rFonts w:ascii="Arial" w:cs="Arial" w:eastAsia="Arial" w:hAnsi="Arial"/>
          <w:sz w:val="18"/>
          <w:szCs w:val="18"/>
          <w:b w:val="1"/>
          <w:bCs w:val="1"/>
          <w:u w:val="single" w:color="auto"/>
          <w:color w:val="auto"/>
        </w:rPr>
        <w:t>Option</w:t>
      </w:r>
      <w:r>
        <w:rPr>
          <w:rFonts w:ascii="Arial" w:cs="Arial" w:eastAsia="Arial" w:hAnsi="Arial"/>
          <w:sz w:val="18"/>
          <w:szCs w:val="18"/>
          <w:b w:val="1"/>
          <w:bCs w:val="1"/>
          <w:color w:val="auto"/>
        </w:rPr>
        <w: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any option to purchase shares of Common Stock granted pursuant to Article VI.</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2.53 “</w:t>
      </w:r>
      <w:r>
        <w:rPr>
          <w:rFonts w:ascii="Arial" w:cs="Arial" w:eastAsia="Arial" w:hAnsi="Arial"/>
          <w:sz w:val="18"/>
          <w:szCs w:val="18"/>
          <w:b w:val="1"/>
          <w:bCs w:val="1"/>
          <w:u w:val="single" w:color="auto"/>
          <w:color w:val="auto"/>
        </w:rPr>
        <w:t>Subsidiary</w:t>
      </w:r>
      <w:r>
        <w:rPr>
          <w:rFonts w:ascii="Arial" w:cs="Arial" w:eastAsia="Arial" w:hAnsi="Arial"/>
          <w:sz w:val="18"/>
          <w:szCs w:val="18"/>
          <w:b w:val="1"/>
          <w:bCs w:val="1"/>
          <w:color w:val="auto"/>
        </w:rPr>
        <w: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any “subsidiary corporation” of the Company within the meaning of Section 424(f) of the Code.</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2.54 “</w:t>
      </w:r>
      <w:r>
        <w:rPr>
          <w:rFonts w:ascii="Arial" w:cs="Arial" w:eastAsia="Arial" w:hAnsi="Arial"/>
          <w:sz w:val="18"/>
          <w:szCs w:val="18"/>
          <w:b w:val="1"/>
          <w:bCs w:val="1"/>
          <w:u w:val="single" w:color="auto"/>
          <w:color w:val="auto"/>
        </w:rPr>
        <w:t>Ten Percent Stockholder</w:t>
      </w:r>
      <w:r>
        <w:rPr>
          <w:rFonts w:ascii="Arial" w:cs="Arial" w:eastAsia="Arial" w:hAnsi="Arial"/>
          <w:sz w:val="18"/>
          <w:szCs w:val="18"/>
          <w:b w:val="1"/>
          <w:bCs w:val="1"/>
          <w:color w:val="auto"/>
        </w:rPr>
        <w:t>”</w:t>
      </w:r>
    </w:p>
    <w:p>
      <w:pPr>
        <w:spacing w:after="0" w:line="21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means a person owning stock possessing more than 10% of the total combined voting power of all classes of stock of the Company, its Subsidiaries, or its Parent.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2.55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means a Termination of Consultancy, Termination of Directorship, or Termination of Employment, as applicable.</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2.56 “</w:t>
      </w:r>
      <w:r>
        <w:rPr>
          <w:rFonts w:ascii="Arial" w:cs="Arial" w:eastAsia="Arial" w:hAnsi="Arial"/>
          <w:sz w:val="18"/>
          <w:szCs w:val="18"/>
          <w:b w:val="1"/>
          <w:bCs w:val="1"/>
          <w:u w:val="single" w:color="auto"/>
          <w:color w:val="auto"/>
        </w:rPr>
        <w:t>Termination of Consultancy</w:t>
      </w:r>
      <w:r>
        <w:rPr>
          <w:rFonts w:ascii="Arial" w:cs="Arial" w:eastAsia="Arial" w:hAnsi="Arial"/>
          <w:sz w:val="18"/>
          <w:szCs w:val="18"/>
          <w:b w:val="1"/>
          <w:bCs w:val="1"/>
          <w:color w:val="auto"/>
        </w:rPr>
        <w:t>”</w:t>
      </w:r>
    </w:p>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means: (a) that the Consultant is no longer acting as a consultant to the Company or an Affiliate; or (b) when an entity that is retaining a Participant as a Consultant ceases to be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69" w:right="259" w:bottom="1440" w:gutter="0" w:footer="0" w:header="0"/>
        </w:sectPr>
      </w:pPr>
    </w:p>
    <w:bookmarkStart w:id="498" w:name="page499"/>
    <w:bookmarkEnd w:id="498"/>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 unless the Participant otherwise is, or thereupon becomes, a Consultant to the Company or another Affiliate at the time the entity ceases to be an Affiliate. In the event that a Consultant becomes an Eligible Employee or a Non-Employee Director upon the termination of his consultancy, unless otherwise determined by the Committee, no Termination of Consultancy shall be deemed to occur until such time as such Consultant is no longer a Consultant, an Eligible Employee, or a Non-Employee Director. Notwithstanding the foregoing, the Committee may otherwise define Termination of Consultancy in the Award agreement or, if no rights of a Participant are reduced, may otherwise define Termination of Consultancy thereafter.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2.57 “</w:t>
      </w:r>
      <w:r>
        <w:rPr>
          <w:rFonts w:ascii="Arial" w:cs="Arial" w:eastAsia="Arial" w:hAnsi="Arial"/>
          <w:sz w:val="18"/>
          <w:szCs w:val="18"/>
          <w:b w:val="1"/>
          <w:bCs w:val="1"/>
          <w:u w:val="single" w:color="auto"/>
          <w:color w:val="auto"/>
        </w:rPr>
        <w:t>Termination of Directorship</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480" w:firstLine="456"/>
        <w:spacing w:after="0" w:line="312" w:lineRule="auto"/>
        <w:rPr>
          <w:sz w:val="20"/>
          <w:szCs w:val="20"/>
          <w:color w:val="auto"/>
        </w:rPr>
      </w:pPr>
      <w:r>
        <w:rPr>
          <w:rFonts w:ascii="Arial" w:cs="Arial" w:eastAsia="Arial" w:hAnsi="Arial"/>
          <w:sz w:val="16"/>
          <w:szCs w:val="16"/>
          <w:color w:val="auto"/>
        </w:rPr>
        <w:t>means that the Non-Employee Director has ceased to be a director of the Company; except that if a Non-Employee Director becomes an Eligible Employee or a Consultant upon the termination of his directorship, his ceasing to be a director of the Company shall not be treated as a Termination of Directorship unless and until the Participant has a Termination of Employment or Termination of Consultancy, as the case may be.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2.58 “</w:t>
      </w: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means: (a) a termination of employment (for reasons other than a military or other approved leave of absence) of a Participant from the Company and its Affiliates; or (b) when an entity that is employing a Participant ceases to be an Affiliate, unless the Participant otherwise is, or thereupon becomes, employed by the Company or another Affiliate at the time the entity ceases to be an Affiliate. In the event that an Eligible Employee becomes a Consultant or a Non-Employee Director upon the termination of his employment, unless otherwise determined by the Committee, no Termination of Employment shall be deemed to occur until such time as such Eligible Employee is no longer an Eligible Employee, a Consultant, or a Non-Employee Director. Notwithstanding the foregoing, the Committee may otherwise define Termination of Employment in the Award agreement or, if no rights of a Participant are reduced, may otherwise define Termination of Employment thereafter.</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2.59 “</w:t>
      </w:r>
      <w:r>
        <w:rPr>
          <w:rFonts w:ascii="Arial" w:cs="Arial" w:eastAsia="Arial" w:hAnsi="Arial"/>
          <w:sz w:val="18"/>
          <w:szCs w:val="18"/>
          <w:b w:val="1"/>
          <w:bCs w:val="1"/>
          <w:u w:val="single" w:color="auto"/>
          <w:color w:val="auto"/>
        </w:rPr>
        <w:t>Transfer</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means: (a) when used as a noun, any direct or indirect transfer, offer, sale, assignment, pledge, lease, donation, grant, gift, bequest, hypothecation, encumbrance, charge, or other disposition (including the issuance of equity in a Person), whether for value or no value and whether voluntary or involuntary (including by operation of law), and (b) when used as a verb, to directly or indirectly transfer, offer, sell, assign, pledge, lease, donate, grant, gift, bequest, hypothecate, encumber, charge, or otherwise dispose of (including the issuance of equity in a Person) whether for value or for no value and whether voluntarily or involuntarily (including by operation of law). “Transferred” and “Transferable” shall have a correlative meaning.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2.60 “</w:t>
      </w:r>
      <w:r>
        <w:rPr>
          <w:rFonts w:ascii="Arial" w:cs="Arial" w:eastAsia="Arial" w:hAnsi="Arial"/>
          <w:sz w:val="18"/>
          <w:szCs w:val="18"/>
          <w:b w:val="1"/>
          <w:bCs w:val="1"/>
          <w:u w:val="single" w:color="auto"/>
          <w:color w:val="auto"/>
        </w:rPr>
        <w:t>Transition Period</w:t>
      </w:r>
      <w:r>
        <w:rPr>
          <w:rFonts w:ascii="Arial" w:cs="Arial" w:eastAsia="Arial" w:hAnsi="Arial"/>
          <w:sz w:val="18"/>
          <w:szCs w:val="18"/>
          <w:b w:val="1"/>
          <w:bCs w:val="1"/>
          <w:color w:val="auto"/>
        </w:rPr>
        <w:t>”</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means the “reliance period” under Treasury Regulation Section 1.162-27(f)(2), which ends on the earliest to occur of the following: (i) the date of the first annual meeting of stockholders at which directors are to be elected that occurs after the close of the third calendar year following the calendar year in which the Registration Date occurs; (ii) the date the Plan is materially amended for purposes of Treasury Regulation Section 1.162-27(h)(1)(iii); or (iii) the date all shares of Common Stock available for issuance under the Plan have been allocated.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499" w:name="page500"/>
    <w:bookmarkEnd w:id="4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The Committee</w:t>
      </w:r>
      <w:r>
        <w:rPr>
          <w:rFonts w:ascii="Arial" w:cs="Arial" w:eastAsia="Arial" w:hAnsi="Arial"/>
          <w:sz w:val="18"/>
          <w:szCs w:val="18"/>
          <w:b w:val="1"/>
          <w:bCs w:val="1"/>
          <w:color w:val="auto"/>
        </w:rPr>
        <w: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Plan shall be administered and interpreted by the Committee.</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Grant and Administration of Awards</w:t>
      </w:r>
      <w:r>
        <w:rPr>
          <w:rFonts w:ascii="Arial" w:cs="Arial" w:eastAsia="Arial" w:hAnsi="Arial"/>
          <w:sz w:val="18"/>
          <w:szCs w:val="18"/>
          <w:b w:val="1"/>
          <w:bCs w:val="1"/>
          <w:color w:val="auto"/>
        </w:rPr>
        <w: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Committee shall have full authority and discretion, as provided in Section 3.7, to grant and administer Awards, including the authority to:</w:t>
      </w:r>
    </w:p>
    <w:p>
      <w:pPr>
        <w:spacing w:after="0" w:line="129" w:lineRule="exact"/>
        <w:rPr>
          <w:sz w:val="20"/>
          <w:szCs w:val="20"/>
          <w:color w:val="auto"/>
        </w:rPr>
      </w:pPr>
    </w:p>
    <w:p>
      <w:pPr>
        <w:ind w:left="1080" w:hanging="239"/>
        <w:spacing w:after="0"/>
        <w:tabs>
          <w:tab w:leader="none" w:pos="10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select the Eligible Employees, Consultants, and Non-Employee Directors to whom Awards may from time to time be granted;</w:t>
      </w:r>
    </w:p>
    <w:p>
      <w:pPr>
        <w:spacing w:after="0" w:line="117" w:lineRule="exact"/>
        <w:rPr>
          <w:rFonts w:ascii="Arial" w:cs="Arial" w:eastAsia="Arial" w:hAnsi="Arial"/>
          <w:sz w:val="18"/>
          <w:szCs w:val="18"/>
          <w:color w:val="auto"/>
        </w:rPr>
      </w:pPr>
    </w:p>
    <w:p>
      <w:pPr>
        <w:ind w:left="1100" w:hanging="259"/>
        <w:spacing w:after="0"/>
        <w:tabs>
          <w:tab w:leader="none" w:pos="110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determine the number of shares of Common Stock to be covered by each Award;</w:t>
      </w:r>
    </w:p>
    <w:p>
      <w:pPr>
        <w:spacing w:after="0" w:line="117" w:lineRule="exact"/>
        <w:rPr>
          <w:rFonts w:ascii="Arial" w:cs="Arial" w:eastAsia="Arial" w:hAnsi="Arial"/>
          <w:sz w:val="18"/>
          <w:szCs w:val="18"/>
          <w:color w:val="auto"/>
        </w:rPr>
      </w:pPr>
    </w:p>
    <w:p>
      <w:pPr>
        <w:ind w:left="-80" w:right="600" w:firstLine="921"/>
        <w:spacing w:after="0" w:line="308" w:lineRule="auto"/>
        <w:tabs>
          <w:tab w:leader="none" w:pos="1078" w:val="left"/>
        </w:tabs>
        <w:numPr>
          <w:ilvl w:val="0"/>
          <w:numId w:val="394"/>
        </w:numPr>
        <w:rPr>
          <w:rFonts w:ascii="Arial" w:cs="Arial" w:eastAsia="Arial" w:hAnsi="Arial"/>
          <w:sz w:val="17"/>
          <w:szCs w:val="17"/>
          <w:color w:val="auto"/>
        </w:rPr>
      </w:pPr>
      <w:r>
        <w:rPr>
          <w:rFonts w:ascii="Arial" w:cs="Arial" w:eastAsia="Arial" w:hAnsi="Arial"/>
          <w:sz w:val="17"/>
          <w:szCs w:val="17"/>
          <w:color w:val="auto"/>
        </w:rPr>
        <w:t>determine the type and the terms and conditions, not inconsistent with the terms of the Plan, of each Award (including the exercise or purchase price (if any), any restriction, forfeiture, or limitation, and any vesting schedule or acceleration or waiver thereof);</w:t>
      </w:r>
    </w:p>
    <w:p>
      <w:pPr>
        <w:spacing w:after="0" w:line="38" w:lineRule="exact"/>
        <w:rPr>
          <w:rFonts w:ascii="Arial" w:cs="Arial" w:eastAsia="Arial" w:hAnsi="Arial"/>
          <w:sz w:val="17"/>
          <w:szCs w:val="17"/>
          <w:color w:val="auto"/>
        </w:rPr>
      </w:pPr>
    </w:p>
    <w:p>
      <w:pPr>
        <w:ind w:left="1100" w:hanging="259"/>
        <w:spacing w:after="0"/>
        <w:tabs>
          <w:tab w:leader="none" w:pos="110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determine whether a Stock Option is an Incentive Stock Option or Non-Qualified Stock Option;</w:t>
      </w:r>
    </w:p>
    <w:p>
      <w:pPr>
        <w:spacing w:after="0" w:line="117" w:lineRule="exact"/>
        <w:rPr>
          <w:rFonts w:ascii="Arial" w:cs="Arial" w:eastAsia="Arial" w:hAnsi="Arial"/>
          <w:sz w:val="18"/>
          <w:szCs w:val="18"/>
          <w:color w:val="auto"/>
        </w:rPr>
      </w:pPr>
    </w:p>
    <w:p>
      <w:pPr>
        <w:ind w:left="-80" w:right="400" w:firstLine="921"/>
        <w:spacing w:after="0" w:line="277" w:lineRule="auto"/>
        <w:tabs>
          <w:tab w:leader="none" w:pos="107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determine whether to require a Participant, as a condition of the granting of any Award, to refrain from selling or otherwise disposing of Common Stock acquired pursuant to such Award for a period of time, as determined by the Committee;</w:t>
      </w:r>
    </w:p>
    <w:p>
      <w:pPr>
        <w:spacing w:after="0" w:line="62" w:lineRule="exact"/>
        <w:rPr>
          <w:rFonts w:ascii="Arial" w:cs="Arial" w:eastAsia="Arial" w:hAnsi="Arial"/>
          <w:sz w:val="18"/>
          <w:szCs w:val="18"/>
          <w:color w:val="auto"/>
        </w:rPr>
      </w:pPr>
    </w:p>
    <w:p>
      <w:pPr>
        <w:ind w:left="-80" w:right="340" w:firstLine="921"/>
        <w:spacing w:after="0" w:line="277" w:lineRule="auto"/>
        <w:tabs>
          <w:tab w:leader="none" w:pos="105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condition the grant, vesting, or payment of any Award on the attainment of performance goals (including goals based on the Performance Criteria) over a Performance Period, set such goals and such period, and certify the attainment of such goals;</w:t>
      </w:r>
    </w:p>
    <w:p>
      <w:pPr>
        <w:spacing w:after="0" w:line="62" w:lineRule="exact"/>
        <w:rPr>
          <w:rFonts w:ascii="Arial" w:cs="Arial" w:eastAsia="Arial" w:hAnsi="Arial"/>
          <w:sz w:val="18"/>
          <w:szCs w:val="18"/>
          <w:color w:val="auto"/>
        </w:rPr>
      </w:pPr>
    </w:p>
    <w:p>
      <w:pPr>
        <w:ind w:left="-80" w:right="280" w:firstLine="921"/>
        <w:spacing w:after="0" w:line="277" w:lineRule="auto"/>
        <w:tabs>
          <w:tab w:leader="none" w:pos="108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amend, after the date of grant, the terms that apply to an Award upon a Participant’s Termination, provided that such amendment does not reduce the Participant’s rights under the Award;</w:t>
      </w:r>
    </w:p>
    <w:p>
      <w:pPr>
        <w:spacing w:after="0" w:line="62" w:lineRule="exact"/>
        <w:rPr>
          <w:rFonts w:ascii="Arial" w:cs="Arial" w:eastAsia="Arial" w:hAnsi="Arial"/>
          <w:sz w:val="18"/>
          <w:szCs w:val="18"/>
          <w:color w:val="auto"/>
        </w:rPr>
      </w:pPr>
    </w:p>
    <w:p>
      <w:pPr>
        <w:ind w:left="1100" w:hanging="259"/>
        <w:spacing w:after="0"/>
        <w:tabs>
          <w:tab w:leader="none" w:pos="110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adopt, alter, or repeal such subplans to the Plan as it shall deem necessary or advisable;</w:t>
      </w:r>
    </w:p>
    <w:p>
      <w:pPr>
        <w:spacing w:after="0" w:line="117" w:lineRule="exact"/>
        <w:rPr>
          <w:rFonts w:ascii="Arial" w:cs="Arial" w:eastAsia="Arial" w:hAnsi="Arial"/>
          <w:sz w:val="18"/>
          <w:szCs w:val="18"/>
          <w:color w:val="auto"/>
        </w:rPr>
      </w:pPr>
    </w:p>
    <w:p>
      <w:pPr>
        <w:ind w:left="-80" w:firstLine="921"/>
        <w:spacing w:after="0" w:line="277" w:lineRule="auto"/>
        <w:tabs>
          <w:tab w:leader="none" w:pos="104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determine the circumstances under which Common Stock and other amounts payable with respect to an Award may be deferred automatically or at the election of the Participant, in each case in a manner intended to comply with or be exempt from Section 409A;</w:t>
      </w:r>
    </w:p>
    <w:p>
      <w:pPr>
        <w:spacing w:after="0" w:line="62" w:lineRule="exact"/>
        <w:rPr>
          <w:rFonts w:ascii="Arial" w:cs="Arial" w:eastAsia="Arial" w:hAnsi="Arial"/>
          <w:sz w:val="18"/>
          <w:szCs w:val="18"/>
          <w:color w:val="auto"/>
        </w:rPr>
      </w:pPr>
    </w:p>
    <w:p>
      <w:pPr>
        <w:ind w:left="-80" w:right="300" w:firstLine="921"/>
        <w:spacing w:after="0" w:line="277" w:lineRule="auto"/>
        <w:tabs>
          <w:tab w:leader="none" w:pos="104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generally, exercise such powers and perform such acts as the Committee deems necessary or advisable to promote the best interests of the Company in connection with the Plan that are not inconsistent with the provisions of the Plan and applicable law;</w:t>
      </w:r>
    </w:p>
    <w:p>
      <w:pPr>
        <w:spacing w:after="0" w:line="62" w:lineRule="exact"/>
        <w:rPr>
          <w:rFonts w:ascii="Arial" w:cs="Arial" w:eastAsia="Arial" w:hAnsi="Arial"/>
          <w:sz w:val="18"/>
          <w:szCs w:val="18"/>
          <w:color w:val="auto"/>
        </w:rPr>
      </w:pPr>
    </w:p>
    <w:p>
      <w:pPr>
        <w:ind w:left="1100" w:hanging="259"/>
        <w:spacing w:after="0"/>
        <w:tabs>
          <w:tab w:leader="none" w:pos="110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construe and interpret the terms and provisions of the Plan and any Award (and any agreements relating thereto); and</w:t>
      </w:r>
    </w:p>
    <w:p>
      <w:pPr>
        <w:spacing w:after="0" w:line="117" w:lineRule="exact"/>
        <w:rPr>
          <w:rFonts w:ascii="Arial" w:cs="Arial" w:eastAsia="Arial" w:hAnsi="Arial"/>
          <w:sz w:val="18"/>
          <w:szCs w:val="18"/>
          <w:color w:val="auto"/>
        </w:rPr>
      </w:pPr>
    </w:p>
    <w:p>
      <w:pPr>
        <w:ind w:left="1060" w:hanging="219"/>
        <w:spacing w:after="0"/>
        <w:tabs>
          <w:tab w:leader="none" w:pos="10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or in any agreement relating thereto.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320" w:top="270" w:right="299" w:bottom="1440" w:gutter="0" w:footer="0" w:header="0"/>
        </w:sectPr>
      </w:pPr>
    </w:p>
    <w:bookmarkStart w:id="500" w:name="page501"/>
    <w:bookmarkEnd w:id="50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3.3 </w:t>
      </w:r>
      <w:r>
        <w:rPr>
          <w:rFonts w:ascii="Arial" w:cs="Arial" w:eastAsia="Arial" w:hAnsi="Arial"/>
          <w:sz w:val="18"/>
          <w:szCs w:val="18"/>
          <w:b w:val="1"/>
          <w:bCs w:val="1"/>
          <w:u w:val="single" w:color="auto"/>
          <w:color w:val="auto"/>
        </w:rPr>
        <w:t>Award Agreements</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All Awards shall be evidenced by, and subject to the terms and conditions of, a written notice provided by the Company to the Participant or a written agreement executed by the Company and the Participant.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Guidelines</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Committee shall have the authority to adopt, alter, and repeal such administrative rules, guidelines, and practices governing the Plan as it shall, from time to time, deem necessary or advisable. The Committee may adopt special guidelines and provisions for persons who are residing in or employed in, or subject to, the taxes of, any domestic or foreign jurisdiction to comply with applicable tax and securities laws and may impose such limitations and restrictions that it deems necessary or advisable to comply with the applicable tax and securities laws of such domestic or foreign jurisdiction.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Section 162(m)</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Notwithstanding anything herein to the contrary, with regard to any provision of the Plan or any agreement relating thereto that is intended to comply with Section 162(m) following the Transition Period, any action or determination by the Committee shall be permitted only to the extent such action or determination would be permitted under Section 162(m). The Plan has been adopted by the Board before the Registration Date and is intended to rely on the Transition Period and, following the Transition Period with respect to Awards intended to be “performance-based,” to comply with the applicable provisions of Section 162(m), and the Plan shall be limited, construed, and interpreted in a manner so as to comply therewith.</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Delegation; Advisors</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may, as it from time to time deems advisable and to the extent permitted by applicable law and stock exchange rules:</w:t>
      </w:r>
    </w:p>
    <w:p>
      <w:pPr>
        <w:spacing w:after="0" w:line="117" w:lineRule="exact"/>
        <w:rPr>
          <w:sz w:val="20"/>
          <w:szCs w:val="20"/>
          <w:color w:val="auto"/>
        </w:rPr>
      </w:pPr>
    </w:p>
    <w:p>
      <w:pPr>
        <w:ind w:right="340" w:firstLine="921"/>
        <w:spacing w:after="0" w:line="277" w:lineRule="auto"/>
        <w:tabs>
          <w:tab w:leader="none" w:pos="115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delegate its responsibilities to officers or employees of the Company and its Affiliates, including delegating authority to officers to grant Awards or execute agreements or other documents on behalf of the Committee; and</w:t>
      </w:r>
    </w:p>
    <w:p>
      <w:pPr>
        <w:spacing w:after="0" w:line="62" w:lineRule="exact"/>
        <w:rPr>
          <w:rFonts w:ascii="Arial" w:cs="Arial" w:eastAsia="Arial" w:hAnsi="Arial"/>
          <w:sz w:val="18"/>
          <w:szCs w:val="18"/>
          <w:color w:val="auto"/>
        </w:rPr>
      </w:pPr>
    </w:p>
    <w:p>
      <w:pPr>
        <w:ind w:right="160" w:firstLine="921"/>
        <w:spacing w:after="0" w:line="264" w:lineRule="auto"/>
        <w:tabs>
          <w:tab w:leader="none" w:pos="116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engage legal counsel, consultants, professional advisors, and agents to assist in the administration of the Plan and rely upon any opinion or computation received from any such Person. Expenses incurred by the Committee or the Board in the engagement of any such person shall be paid by the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b w:val="1"/>
          <w:bCs w:val="1"/>
          <w:u w:val="single" w:color="auto"/>
          <w:color w:val="auto"/>
        </w:rPr>
        <w:t>Decisions Final</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determinations, evaluations, elections, approvals, authorizations, consents, decisions, interpretations, and other actions made or taken by or at the direction of the Company, the Board, or the Committee (or any of its members) arising out of or in connection with the Plan shall be within the sole and absolute discretion of all and each of them, and shall be final, binding, and conclusive on all employees and Participants and their respective beneficiaries, heirs, executors, administrators, successors, and assigns.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69" w:right="339" w:bottom="1440" w:gutter="0" w:footer="0" w:header="0"/>
        </w:sectPr>
      </w:pPr>
    </w:p>
    <w:bookmarkStart w:id="501" w:name="page502"/>
    <w:bookmarkEnd w:id="50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3.8 </w:t>
      </w:r>
      <w:r>
        <w:rPr>
          <w:rFonts w:ascii="Arial" w:cs="Arial" w:eastAsia="Arial" w:hAnsi="Arial"/>
          <w:sz w:val="18"/>
          <w:szCs w:val="18"/>
          <w:b w:val="1"/>
          <w:bCs w:val="1"/>
          <w:u w:val="single" w:color="auto"/>
          <w:color w:val="auto"/>
        </w:rPr>
        <w:t>Procedures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If the Committee is appointed, the Board shall designate one of the members of the Committee as chairperson, and the Committee shall hold meetings, subject to the By-Laws of the Company, at such times and places as it shall deem advisable, including by telephone conference or by written consent to the extent permitted by applicable law. A majority of the Committee members shall constitute a quorum. All determinations of the Committee shall be made by a majority of its members. Any decision or determination reduced to writing and signed by all of the Committee members in accordance with the By-Laws of the Company shall be fully effective as if it had been made by a vote at a meeting duly called and held. The Committee shall keep minutes of its meetings and shall make such rules and regulations for the conduct of its business as it shall deem advisable.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3.9 </w:t>
      </w:r>
      <w:r>
        <w:rPr>
          <w:rFonts w:ascii="Arial" w:cs="Arial" w:eastAsia="Arial" w:hAnsi="Arial"/>
          <w:sz w:val="18"/>
          <w:szCs w:val="18"/>
          <w:b w:val="1"/>
          <w:bCs w:val="1"/>
          <w:u w:val="single" w:color="auto"/>
          <w:color w:val="auto"/>
        </w:rPr>
        <w:t>Liability; Indemnification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1492"/>
        <w:spacing w:after="0" w:line="259" w:lineRule="auto"/>
        <w:tabs>
          <w:tab w:leader="none" w:pos="1728"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Committee, its members, and any delegate or Person engaged pursuant to Section 3.6 shall not be liable for any action or determination made in good faith with respect to the Plan. To the maximum extent permitted by applicable law, no officer or employee of the Company or any Affiliate or member or former member of the Committee or of the Board shall be liable for any action or determination made in good faith with respect to the Plan or any Award granted under it.</w:t>
      </w:r>
    </w:p>
    <w:p>
      <w:pPr>
        <w:spacing w:after="0" w:line="78" w:lineRule="exact"/>
        <w:rPr>
          <w:rFonts w:ascii="Arial" w:cs="Arial" w:eastAsia="Arial" w:hAnsi="Arial"/>
          <w:sz w:val="18"/>
          <w:szCs w:val="18"/>
          <w:color w:val="auto"/>
        </w:rPr>
      </w:pPr>
    </w:p>
    <w:p>
      <w:pPr>
        <w:ind w:right="20" w:firstLine="1492"/>
        <w:spacing w:after="0" w:line="253" w:lineRule="auto"/>
        <w:tabs>
          <w:tab w:leader="none" w:pos="1738"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To the maximum extent permitted by applicable law and the Certificate of Incorporation and By-Laws of the Company and to the extent not covered by insurance directly insuring such person, each current or former officer or employee of the Company or any Affiliate and member of the Committee or the Board shall be indemnified and held harmless by the Company against any cost or expense (including reasonable fees of counsel reasonably acceptable to the Committee) or liability (including any sum paid in settlement of a claim with the approval of the Committee), and shall be advanced amounts necessary to pay the foregoing at the earliest time and to the fullest extent permitted, arising out of any act or omission to act in connection with the administration of the Plan, except to the extent arising out of such person’s own fraud or bad faith. Such indemnification shall be in addition to any rights of indemnification provided for under applicable law or under the Certificate of Incorporation or By-Laws of the Company or any Affiliate. Notwithstanding anything herein to the contrary, this indemnification will not apply to the actions or determinations made by an individual with regard to Awards granted to him.</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LIMITATIONS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w:t>
      </w:r>
    </w:p>
    <w:p>
      <w:pPr>
        <w:spacing w:after="0" w:line="121" w:lineRule="exact"/>
        <w:rPr>
          <w:sz w:val="20"/>
          <w:szCs w:val="20"/>
          <w:color w:val="auto"/>
        </w:rPr>
      </w:pPr>
    </w:p>
    <w:p>
      <w:pPr>
        <w:ind w:left="1160" w:hanging="239"/>
        <w:spacing w:after="0"/>
        <w:tabs>
          <w:tab w:leader="none" w:pos="1160" w:val="left"/>
        </w:tabs>
        <w:numPr>
          <w:ilvl w:val="1"/>
          <w:numId w:val="397"/>
        </w:numPr>
        <w:rPr>
          <w:rFonts w:ascii="Arial" w:cs="Arial" w:eastAsia="Arial" w:hAnsi="Arial"/>
          <w:sz w:val="18"/>
          <w:szCs w:val="18"/>
          <w:color w:val="auto"/>
        </w:rPr>
      </w:pPr>
      <w:r>
        <w:rPr>
          <w:rFonts w:ascii="Arial" w:cs="Arial" w:eastAsia="Arial" w:hAnsi="Arial"/>
          <w:sz w:val="18"/>
          <w:szCs w:val="18"/>
          <w:u w:val="single" w:color="auto"/>
          <w:color w:val="auto"/>
        </w:rPr>
        <w:t>General Limitations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100" w:firstLine="1492"/>
        <w:spacing w:after="0" w:line="302" w:lineRule="auto"/>
        <w:tabs>
          <w:tab w:leader="none" w:pos="1698" w:val="left"/>
        </w:tabs>
        <w:numPr>
          <w:ilvl w:val="2"/>
          <w:numId w:val="397"/>
        </w:numPr>
        <w:rPr>
          <w:rFonts w:ascii="Arial" w:cs="Arial" w:eastAsia="Arial" w:hAnsi="Arial"/>
          <w:sz w:val="16"/>
          <w:szCs w:val="16"/>
          <w:color w:val="auto"/>
        </w:rPr>
      </w:pPr>
      <w:r>
        <w:rPr>
          <w:rFonts w:ascii="Arial" w:cs="Arial" w:eastAsia="Arial" w:hAnsi="Arial"/>
          <w:sz w:val="16"/>
          <w:szCs w:val="16"/>
          <w:color w:val="auto"/>
        </w:rPr>
        <w:t>Subject to Section 4.2, the aggregate number of shares of Common Stock which may be issued or used for reference purposes or with respect to which Awards under the Plan may be granted over the term of the Plan is [●]</w:t>
      </w:r>
      <w:r>
        <w:rPr>
          <w:rFonts w:ascii="Arial" w:cs="Arial" w:eastAsia="Arial" w:hAnsi="Arial"/>
          <w:sz w:val="13"/>
          <w:szCs w:val="13"/>
          <w:color w:val="auto"/>
        </w:rPr>
        <w:t>1</w:t>
      </w:r>
      <w:r>
        <w:rPr>
          <w:rFonts w:ascii="Arial" w:cs="Arial" w:eastAsia="Arial" w:hAnsi="Arial"/>
          <w:sz w:val="16"/>
          <w:szCs w:val="16"/>
          <w:color w:val="auto"/>
        </w:rPr>
        <w:t>. Subject to Section 4.2, no more than [●]</w:t>
      </w:r>
      <w:r>
        <w:rPr>
          <w:rFonts w:ascii="Arial" w:cs="Arial" w:eastAsia="Arial" w:hAnsi="Arial"/>
          <w:sz w:val="13"/>
          <w:szCs w:val="13"/>
          <w:color w:val="auto"/>
        </w:rPr>
        <w:t>2</w:t>
      </w:r>
      <w:r>
        <w:rPr>
          <w:rFonts w:ascii="Arial" w:cs="Arial" w:eastAsia="Arial" w:hAnsi="Arial"/>
          <w:sz w:val="16"/>
          <w:szCs w:val="16"/>
          <w:color w:val="auto"/>
        </w:rPr>
        <w:t xml:space="preserve"> shares of Common Stock in the aggregate may be issued under the Plan in respect of Incentive Stock Options. At all times, the Company will reserve and keep available a sufficient number of shares of Common Stock as will be required to satisfy the requirements of all Awards granted and outstanding under the Plan.</w:t>
      </w:r>
    </w:p>
    <w:p>
      <w:pPr>
        <w:spacing w:after="0" w:line="127" w:lineRule="exact"/>
        <w:rPr>
          <w:rFonts w:ascii="Arial" w:cs="Arial" w:eastAsia="Arial" w:hAnsi="Arial"/>
          <w:sz w:val="16"/>
          <w:szCs w:val="16"/>
          <w:color w:val="auto"/>
        </w:rPr>
      </w:pPr>
    </w:p>
    <w:p>
      <w:pPr>
        <w:ind w:left="460" w:right="60" w:hanging="446"/>
        <w:spacing w:after="0" w:line="252" w:lineRule="auto"/>
        <w:rPr>
          <w:rFonts w:ascii="Arial" w:cs="Arial" w:eastAsia="Arial" w:hAnsi="Arial"/>
          <w:sz w:val="16"/>
          <w:szCs w:val="16"/>
          <w:color w:val="auto"/>
        </w:rPr>
      </w:pPr>
      <w:r>
        <w:rPr>
          <w:rFonts w:ascii="Arial" w:cs="Arial" w:eastAsia="Arial" w:hAnsi="Arial"/>
          <w:sz w:val="15"/>
          <w:szCs w:val="15"/>
          <w:color w:val="auto"/>
        </w:rPr>
        <w:t>1</w:t>
      </w:r>
      <w:r>
        <w:rPr>
          <w:rFonts w:ascii="Arial" w:cs="Arial" w:eastAsia="Arial" w:hAnsi="Arial"/>
          <w:sz w:val="18"/>
          <w:szCs w:val="18"/>
          <w:color w:val="auto"/>
        </w:rPr>
        <w:t>This number shall be equal to the product of 15% and the sum of (A) the total shares of the Company’s common stock outstanding (following the conversion of Solid Biosciences, LLC from a Delaware limited liability company to a Delaware corporation and the mergers of BCLS Solid Bio, Inc. and FC Fund III Solid Holdings, Inc., with and into Solid Biosciences Inc.) immediately prior to the Company’s initial public offering, and (B) the total number of shares of common stock that is offered by the Company in connection with such initial public offering (but excluding any shares of common stock offered as a result of the exercise by the underwriters of the initial public offering of their overallotment option) (in the case of clauses (A) and (B), the share amounts used shall be equal to the corresponding amounts indicated in the preliminary prospectus included in the Company’s Registration Statement on Form S-1 relating to the initial public offering). The final share amount determined pursuant to the preceding sentence shall be rounded up to the nearest 1,000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-1128395</wp:posOffset>
            </wp:positionV>
            <wp:extent cx="72898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5620" w:right="5100" w:hanging="5612"/>
        <w:spacing w:after="0" w:line="519" w:lineRule="auto"/>
        <w:tabs>
          <w:tab w:leader="none" w:pos="450" w:val="left"/>
        </w:tabs>
        <w:numPr>
          <w:ilvl w:val="0"/>
          <w:numId w:val="398"/>
        </w:numPr>
        <w:rPr>
          <w:rFonts w:ascii="Arial" w:cs="Arial" w:eastAsia="Arial" w:hAnsi="Arial"/>
          <w:sz w:val="14"/>
          <w:szCs w:val="14"/>
          <w:color w:val="auto"/>
        </w:rPr>
      </w:pPr>
      <w:r>
        <w:rPr>
          <w:rFonts w:ascii="Arial" w:cs="Arial" w:eastAsia="Arial" w:hAnsi="Arial"/>
          <w:sz w:val="16"/>
          <w:szCs w:val="16"/>
          <w:color w:val="auto"/>
        </w:rPr>
        <w:t>This number shall be equal to the same number calculated pursuant to footnote 1. 12</w:t>
      </w:r>
    </w:p>
    <w:p>
      <w:pPr>
        <w:sectPr>
          <w:pgSz w:w="11900" w:h="16838" w:orient="portrait"/>
          <w:cols w:equalWidth="0" w:num="1">
            <w:col w:w="11420"/>
          </w:cols>
          <w:pgMar w:left="240" w:top="269" w:right="239" w:bottom="1440" w:gutter="0" w:footer="0" w:header="0"/>
        </w:sectPr>
      </w:pPr>
    </w:p>
    <w:bookmarkStart w:id="502" w:name="page503"/>
    <w:bookmarkEnd w:id="502"/>
    <w:p>
      <w:pPr>
        <w:ind w:left="-8" w:right="340" w:firstLine="1492"/>
        <w:spacing w:after="0" w:line="259" w:lineRule="auto"/>
        <w:tabs>
          <w:tab w:leader="none" w:pos="1740" w:val="left"/>
        </w:tabs>
        <w:numPr>
          <w:ilvl w:val="1"/>
          <w:numId w:val="3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Appreciation Award expires, terminates, or is canceled for any reason without having been exercised in full, the number of shares of Common Stock underlying any unexercised portion shall again be available under the Plan. If shares of Restricted Stock or Other Stock-Based Awards that are not Appreciation Awards are forfeited for any reason, the number of forfeited shares comprising or underlying the Award shall again be available under the Plan.</w:t>
      </w:r>
    </w:p>
    <w:p>
      <w:pPr>
        <w:spacing w:after="0" w:line="78" w:lineRule="exact"/>
        <w:rPr>
          <w:rFonts w:ascii="Arial" w:cs="Arial" w:eastAsia="Arial" w:hAnsi="Arial"/>
          <w:sz w:val="18"/>
          <w:szCs w:val="18"/>
          <w:color w:val="auto"/>
        </w:rPr>
      </w:pPr>
    </w:p>
    <w:p>
      <w:pPr>
        <w:ind w:left="-8" w:right="60" w:firstLine="1492"/>
        <w:spacing w:after="0" w:line="273" w:lineRule="auto"/>
        <w:tabs>
          <w:tab w:leader="none" w:pos="1790" w:val="left"/>
        </w:tabs>
        <w:numPr>
          <w:ilvl w:val="1"/>
          <w:numId w:val="399"/>
        </w:numPr>
        <w:rPr>
          <w:rFonts w:ascii="Arial" w:cs="Arial" w:eastAsia="Arial" w:hAnsi="Arial"/>
          <w:sz w:val="17"/>
          <w:szCs w:val="17"/>
          <w:color w:val="auto"/>
        </w:rPr>
      </w:pPr>
      <w:r>
        <w:rPr>
          <w:rFonts w:ascii="Arial" w:cs="Arial" w:eastAsia="Arial" w:hAnsi="Arial"/>
          <w:sz w:val="17"/>
          <w:szCs w:val="17"/>
          <w:color w:val="auto"/>
        </w:rPr>
        <w:t>The number of shares of Common Stock available under the Plan shall be reduced by (A) the total number of Appreciation Awards that have been exercised, regardless of whether any shares of Common Stock underlying such Awards are actually issued to the Participant as the result of a net exercise or settlement, and (B) all shares of Common Stock, not covered by clause (A) above used to pay any exercise price or tax withholding obligation with respect to any Award. In addition, the Company may not use the cash proceeds it receives from Stock Option exercises to repurchase shares of Common Stock on the open market for reuse under the Plan. Notwithstanding anything to the contrary herein, Awards that may be settled solely in cash shall not be deemed to use any shares under the Plan.</w:t>
      </w:r>
    </w:p>
    <w:p>
      <w:pPr>
        <w:spacing w:after="0" w:line="70" w:lineRule="exact"/>
        <w:rPr>
          <w:rFonts w:ascii="Arial" w:cs="Arial" w:eastAsia="Arial" w:hAnsi="Arial"/>
          <w:sz w:val="17"/>
          <w:szCs w:val="17"/>
          <w:color w:val="auto"/>
        </w:rPr>
      </w:pPr>
    </w:p>
    <w:p>
      <w:pPr>
        <w:ind w:left="-8" w:right="280" w:firstLine="1492"/>
        <w:spacing w:after="0" w:line="277" w:lineRule="auto"/>
        <w:tabs>
          <w:tab w:leader="none" w:pos="17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Shares issued under the Plan may be either authorized and unissued Common Stock or Common Stock held in or acquired for the treasury of the Company, or both.</w:t>
      </w:r>
    </w:p>
    <w:p>
      <w:pPr>
        <w:spacing w:after="0" w:line="62" w:lineRule="exact"/>
        <w:rPr>
          <w:rFonts w:ascii="Arial" w:cs="Arial" w:eastAsia="Arial" w:hAnsi="Arial"/>
          <w:sz w:val="18"/>
          <w:szCs w:val="18"/>
          <w:color w:val="auto"/>
        </w:rPr>
      </w:pPr>
    </w:p>
    <w:p>
      <w:pPr>
        <w:ind w:left="1172" w:hanging="259"/>
        <w:spacing w:after="0"/>
        <w:tabs>
          <w:tab w:leader="none" w:pos="1172"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Individual Participant Limitations</w:t>
      </w:r>
      <w:r>
        <w:rPr>
          <w:rFonts w:ascii="Arial" w:cs="Arial" w:eastAsia="Arial" w:hAnsi="Arial"/>
          <w:sz w:val="18"/>
          <w:szCs w:val="18"/>
          <w:color w:val="auto"/>
        </w:rPr>
        <w:t>. Except as otherwise provided herein, at all times after the end of the Transition Period:</w:t>
      </w:r>
    </w:p>
    <w:p>
      <w:pPr>
        <w:spacing w:after="0" w:line="117" w:lineRule="exact"/>
        <w:rPr>
          <w:rFonts w:ascii="Arial" w:cs="Arial" w:eastAsia="Arial" w:hAnsi="Arial"/>
          <w:sz w:val="18"/>
          <w:szCs w:val="18"/>
          <w:color w:val="auto"/>
        </w:rPr>
      </w:pPr>
    </w:p>
    <w:p>
      <w:pPr>
        <w:ind w:left="-8" w:firstLine="1492"/>
        <w:spacing w:after="0" w:line="264" w:lineRule="auto"/>
        <w:tabs>
          <w:tab w:leader="none" w:pos="169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may be made subject to Stock Options, Restricted Stock, or Other Stock-Based Awards denominated in shares of Common Stock granted to each Eligible Employee or Consultant during any fiscal year of the Company is [●]</w:t>
      </w:r>
      <w:r>
        <w:rPr>
          <w:rFonts w:ascii="Arial" w:cs="Arial" w:eastAsia="Arial" w:hAnsi="Arial"/>
          <w:sz w:val="15"/>
          <w:szCs w:val="15"/>
          <w:color w:val="auto"/>
        </w:rPr>
        <w:t>3</w:t>
      </w:r>
      <w:r>
        <w:rPr>
          <w:rFonts w:ascii="Arial" w:cs="Arial" w:eastAsia="Arial" w:hAnsi="Arial"/>
          <w:sz w:val="18"/>
          <w:szCs w:val="18"/>
          <w:color w:val="auto"/>
        </w:rPr>
        <w:t xml:space="preserve"> shares per type of Award (subject to increase or decrease pursuant to Section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898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612" w:right="980" w:hanging="5612"/>
        <w:spacing w:after="0" w:line="449" w:lineRule="auto"/>
        <w:tabs>
          <w:tab w:leader="none" w:pos="442" w:val="left"/>
        </w:tabs>
        <w:numPr>
          <w:ilvl w:val="0"/>
          <w:numId w:val="401"/>
        </w:numPr>
        <w:rPr>
          <w:rFonts w:ascii="Arial" w:cs="Arial" w:eastAsia="Arial" w:hAnsi="Arial"/>
          <w:sz w:val="15"/>
          <w:szCs w:val="15"/>
          <w:color w:val="auto"/>
        </w:rPr>
      </w:pPr>
      <w:r>
        <w:rPr>
          <w:rFonts w:ascii="Arial" w:cs="Arial" w:eastAsia="Arial" w:hAnsi="Arial"/>
          <w:sz w:val="18"/>
          <w:szCs w:val="18"/>
          <w:color w:val="auto"/>
        </w:rPr>
        <w:t>This number shall be equal to the product of 50% and the number calculated pursuant to footnote 1 (rounded up to the nearest 100 shares). 13</w:t>
      </w:r>
    </w:p>
    <w:p>
      <w:pPr>
        <w:sectPr>
          <w:pgSz w:w="11900" w:h="16838" w:orient="portrait"/>
          <w:cols w:equalWidth="0" w:num="1">
            <w:col w:w="11392"/>
          </w:cols>
          <w:pgMar w:left="248" w:top="274" w:right="259" w:bottom="1440" w:gutter="0" w:footer="0" w:header="0"/>
        </w:sectPr>
      </w:pPr>
    </w:p>
    <w:bookmarkStart w:id="503" w:name="page504"/>
    <w:bookmarkEnd w:id="503"/>
    <w:p>
      <w:pPr>
        <w:ind w:right="120" w:firstLine="1492"/>
        <w:spacing w:after="0" w:line="302" w:lineRule="auto"/>
        <w:tabs>
          <w:tab w:leader="none" w:pos="1748" w:val="left"/>
        </w:tabs>
        <w:numPr>
          <w:ilvl w:val="0"/>
          <w:numId w:val="4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aggregate amount of compensation to be paid to any one Participant in respect of all Other Stock-Based Awards denominated in dollars and Performance-Based Cash Awards, and granted to such Participant in any one fiscal year of the Company, shall not exceed $5 million, and any Awards that are cancelled during the year shall be counted against this limit to the extent required by Section 162(m)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foregoing limit shall be adjusted on a proportionate basis for any Performance Period that is not based on one fiscal year of the Company; and</w:t>
      </w:r>
    </w:p>
    <w:p>
      <w:pPr>
        <w:spacing w:after="0" w:line="46" w:lineRule="exact"/>
        <w:rPr>
          <w:rFonts w:ascii="Arial" w:cs="Arial" w:eastAsia="Arial" w:hAnsi="Arial"/>
          <w:sz w:val="16"/>
          <w:szCs w:val="16"/>
          <w:color w:val="auto"/>
        </w:rPr>
      </w:pPr>
    </w:p>
    <w:p>
      <w:pPr>
        <w:ind w:right="320" w:firstLine="1492"/>
        <w:spacing w:after="0" w:line="277" w:lineRule="auto"/>
        <w:tabs>
          <w:tab w:leader="none" w:pos="1798"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may be made subject to Awards granted to each Non-Employee Director during any fiscal year of the Company is [●]</w:t>
      </w:r>
      <w:r>
        <w:rPr>
          <w:rFonts w:ascii="Arial" w:cs="Arial" w:eastAsia="Arial" w:hAnsi="Arial"/>
          <w:sz w:val="15"/>
          <w:szCs w:val="15"/>
          <w:color w:val="auto"/>
        </w:rPr>
        <w:t>4</w:t>
      </w:r>
      <w:r>
        <w:rPr>
          <w:rFonts w:ascii="Arial" w:cs="Arial" w:eastAsia="Arial" w:hAnsi="Arial"/>
          <w:sz w:val="18"/>
          <w:szCs w:val="18"/>
          <w:color w:val="auto"/>
        </w:rPr>
        <w:t xml:space="preserve"> shares (subject to increase or decrease pursuant to Section 4.2); and</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individual Participant limits shall not apply to (x) any Awards granted at any time that are not intended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under Section 162(m) of the Code, and (y) the following Awards granted at any time during the Transition Period: (A) Options or Other Stock-Based Awards that are stock appreciation rights, and (B) Restricted Stock or Other Stock-Based Awards that constitute “restricted property” under Section 83 of the Code to the extent granted during the Transition Period, even if such Awards vest or are settled after the Transition Period.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Changes</w:t>
      </w:r>
      <w:r>
        <w:rPr>
          <w:rFonts w:ascii="Arial" w:cs="Arial" w:eastAsia="Arial" w:hAnsi="Arial"/>
          <w:sz w:val="18"/>
          <w:szCs w:val="18"/>
          <w:b w:val="1"/>
          <w:bCs w:val="1"/>
          <w:color w:val="auto"/>
        </w:rPr>
        <w:t>.</w:t>
      </w:r>
    </w:p>
    <w:p>
      <w:pPr>
        <w:spacing w:after="0" w:line="121" w:lineRule="exact"/>
        <w:rPr>
          <w:sz w:val="20"/>
          <w:szCs w:val="20"/>
          <w:color w:val="auto"/>
        </w:rPr>
      </w:pPr>
    </w:p>
    <w:p>
      <w:pPr>
        <w:ind w:right="180" w:firstLine="921"/>
        <w:spacing w:after="0" w:line="276" w:lineRule="auto"/>
        <w:tabs>
          <w:tab w:leader="none" w:pos="1154" w:val="left"/>
        </w:tabs>
        <w:numPr>
          <w:ilvl w:val="0"/>
          <w:numId w:val="403"/>
        </w:numPr>
        <w:rPr>
          <w:rFonts w:ascii="Arial" w:cs="Arial" w:eastAsia="Arial" w:hAnsi="Arial"/>
          <w:sz w:val="17"/>
          <w:szCs w:val="17"/>
          <w:color w:val="auto"/>
        </w:rPr>
      </w:pPr>
      <w:r>
        <w:rPr>
          <w:rFonts w:ascii="Arial" w:cs="Arial" w:eastAsia="Arial" w:hAnsi="Arial"/>
          <w:sz w:val="17"/>
          <w:szCs w:val="17"/>
          <w:color w:val="auto"/>
        </w:rPr>
        <w:t>The existence of the Plan and the Awards shall not affect in any way the right or power of the Board or the stockholders of the Company to make or authorize (i) any adjustment, recapitalization, reorganization, or other change in the Company’s capital structure or its business, (ii) any merger or consolidation of the Company or any Affiliate, (iii) any issuance of bonds, debentures, or preferred or prior preference stock ahead of or affecting the Common Stock, (iv) the dissolution or liquidation of the Company or any Affiliate, (v) any sale or transfer of all or part of the assets or business of the Company or any Affiliate, (vi) any Section 4.2 Event, or (vii) any other corporate act or proceeding.</w:t>
      </w:r>
    </w:p>
    <w:p>
      <w:pPr>
        <w:spacing w:after="0" w:line="64" w:lineRule="exact"/>
        <w:rPr>
          <w:rFonts w:ascii="Arial" w:cs="Arial" w:eastAsia="Arial" w:hAnsi="Arial"/>
          <w:sz w:val="17"/>
          <w:szCs w:val="17"/>
          <w:color w:val="auto"/>
        </w:rPr>
      </w:pPr>
    </w:p>
    <w:p>
      <w:pPr>
        <w:ind w:firstLine="921"/>
        <w:spacing w:after="0" w:line="269" w:lineRule="auto"/>
        <w:tabs>
          <w:tab w:leader="none" w:pos="1168" w:val="left"/>
        </w:tabs>
        <w:numPr>
          <w:ilvl w:val="0"/>
          <w:numId w:val="403"/>
        </w:numPr>
        <w:rPr>
          <w:rFonts w:ascii="Arial" w:cs="Arial" w:eastAsia="Arial" w:hAnsi="Arial"/>
          <w:sz w:val="17"/>
          <w:szCs w:val="17"/>
          <w:color w:val="auto"/>
        </w:rPr>
      </w:pPr>
      <w:r>
        <w:rPr>
          <w:rFonts w:ascii="Arial" w:cs="Arial" w:eastAsia="Arial" w:hAnsi="Arial"/>
          <w:sz w:val="17"/>
          <w:szCs w:val="17"/>
          <w:color w:val="auto"/>
        </w:rPr>
        <w:t>Subject to the provisions of Section 4.2(d), in the event of any change in the capital structure or business of the Company by reason of any stock split, reverse stock split, stock dividend, combination or reclassification of shares, recapitalization, merger, consolidation, spin off, split off, reorganization or partial or complete liquidation, issuance of rights or warrants to purchase Common Stock or securities convertible into Common Stock, sale or transfer of all or part of the Company’s assets or business, or other corporate transaction or event that would be considered an “equity restructuring” within the meaning of FASB ASC Topic 718 (each, a “</w:t>
      </w:r>
      <w:r>
        <w:rPr>
          <w:rFonts w:ascii="Arial" w:cs="Arial" w:eastAsia="Arial" w:hAnsi="Arial"/>
          <w:sz w:val="17"/>
          <w:szCs w:val="17"/>
          <w:b w:val="1"/>
          <w:bCs w:val="1"/>
          <w:u w:val="single" w:color="auto"/>
          <w:color w:val="auto"/>
        </w:rPr>
        <w:t>Section 4.2 Event</w:t>
      </w:r>
      <w:r>
        <w:rPr>
          <w:rFonts w:ascii="Arial" w:cs="Arial" w:eastAsia="Arial" w:hAnsi="Arial"/>
          <w:sz w:val="17"/>
          <w:szCs w:val="17"/>
          <w:color w:val="auto"/>
        </w:rPr>
        <w:t>”), then (i) the aggregate number or kind of shares that thereafter may be issued under the Plan, (ii) the number or kind of shares or other property (including cash) subject to an Award, (iii) the purchase or exercise price of Awards, and (iv) the individual Participant limits set forth in Section 4.1(b) (other than cash limitations) shall be adjusted by the Committee as the Committee determines, in good faith, to be necessary or advisable to prevent substantial dilution or enlargement of the rights of the Participants under the Plan. In connection with any Section 4.2 Event, the Committee may provide for the cancellation of outstanding Awards and payment in cash or other property in exchange therefor. In addition, subject to Section 4.2(d), in the event of any change in the capital structure of the Company that is not a Section 4.2 Event (an “</w:t>
      </w:r>
      <w:r>
        <w:rPr>
          <w:rFonts w:ascii="Arial" w:cs="Arial" w:eastAsia="Arial" w:hAnsi="Arial"/>
          <w:sz w:val="17"/>
          <w:szCs w:val="17"/>
          <w:b w:val="1"/>
          <w:bCs w:val="1"/>
          <w:u w:val="single" w:color="auto"/>
          <w:color w:val="auto"/>
        </w:rPr>
        <w:t>Other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Extraordinary Event</w:t>
      </w:r>
      <w:r>
        <w:rPr>
          <w:rFonts w:ascii="Arial" w:cs="Arial" w:eastAsia="Arial" w:hAnsi="Arial"/>
          <w:sz w:val="17"/>
          <w:szCs w:val="17"/>
          <w:color w:val="auto"/>
        </w:rPr>
        <w:t>”), then the Committee may make the adjustments described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898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5620" w:right="940" w:hanging="5612"/>
        <w:spacing w:after="0" w:line="449" w:lineRule="auto"/>
        <w:tabs>
          <w:tab w:leader="none" w:pos="450" w:val="left"/>
        </w:tabs>
        <w:numPr>
          <w:ilvl w:val="0"/>
          <w:numId w:val="404"/>
        </w:numPr>
        <w:rPr>
          <w:rFonts w:ascii="Arial" w:cs="Arial" w:eastAsia="Arial" w:hAnsi="Arial"/>
          <w:sz w:val="15"/>
          <w:szCs w:val="15"/>
          <w:color w:val="auto"/>
        </w:rPr>
      </w:pPr>
      <w:r>
        <w:rPr>
          <w:rFonts w:ascii="Arial" w:cs="Arial" w:eastAsia="Arial" w:hAnsi="Arial"/>
          <w:sz w:val="18"/>
          <w:szCs w:val="18"/>
          <w:color w:val="auto"/>
        </w:rPr>
        <w:t>This number shall be equal to the product of 20% and the number calculated pursuant to footnote 1 (rounded up to the nearest 100 shares). 14</w:t>
      </w:r>
    </w:p>
    <w:p>
      <w:pPr>
        <w:sectPr>
          <w:pgSz w:w="11900" w:h="16838" w:orient="portrait"/>
          <w:cols w:equalWidth="0" w:num="1">
            <w:col w:w="11360"/>
          </w:cols>
          <w:pgMar w:left="240" w:top="274" w:right="299" w:bottom="1440" w:gutter="0" w:footer="0" w:header="0"/>
        </w:sectPr>
      </w:pPr>
    </w:p>
    <w:bookmarkStart w:id="504" w:name="page505"/>
    <w:bookmarkEnd w:id="504"/>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clauses (i) through (iv) above as it determines, in good faith, to be necessary or advisable to prevent substantial dilution or enlargement of the rights of Participants under the Plan. Notice of any such adjustment shall be given by the Committee, or otherwise be made available, to each Participant whose Award has been adjusted and such adjustment (whether or not such notice is given) shall be binding for all purposes of the Plan. Except as expressly provided in this Section 4.2(b) or in the applicable Award agreement, a Participant shall have no rights by reason of any Section 4.2 Event or any Other Extraordinary Event. Notwithstanding the foregoing, (x) any adjustments made pursuant to Section 4.2(b) to Awards that are considered “non-qualified deferred compensation” within the meaning of Section 409A shall be made in a manner intended to comply with the requirements of Section 409A; and (y) any adjustments made pursuant to Section 4.2(b) to Awards that are not considered “non-qualified deferred compensation” subject to Section 409A shall be made in a manner intended to ensure that after such adjustment, the Awards either (A) continue to be exempt from Section 409A or (B) comply with the requirements of Section 409A.</w:t>
      </w:r>
    </w:p>
    <w:p>
      <w:pPr>
        <w:spacing w:after="0" w:line="89" w:lineRule="exact"/>
        <w:rPr>
          <w:sz w:val="20"/>
          <w:szCs w:val="20"/>
          <w:color w:val="auto"/>
        </w:rPr>
      </w:pPr>
    </w:p>
    <w:p>
      <w:pPr>
        <w:jc w:val="both"/>
        <w:ind w:right="120" w:firstLine="921"/>
        <w:spacing w:after="0" w:line="264" w:lineRule="auto"/>
        <w:tabs>
          <w:tab w:leader="none" w:pos="115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Fractional shares of Common Stock resulting from any adjustment in Awards pursuant to Section 4.2(a) or (b) shall be aggregated until, and eliminated at, the time of exercise by rounding-down for fractions less than one-half and rounding-up for fractions equal to or greater than one-half. No cash settlements shall be made with respect to fractional shares eliminated by rounding.</w:t>
      </w:r>
    </w:p>
    <w:p>
      <w:pPr>
        <w:spacing w:after="0" w:line="73" w:lineRule="exact"/>
        <w:rPr>
          <w:rFonts w:ascii="Arial" w:cs="Arial" w:eastAsia="Arial" w:hAnsi="Arial"/>
          <w:sz w:val="18"/>
          <w:szCs w:val="18"/>
          <w:color w:val="auto"/>
        </w:rPr>
      </w:pPr>
    </w:p>
    <w:p>
      <w:pPr>
        <w:ind w:firstLine="921"/>
        <w:spacing w:after="0" w:line="269" w:lineRule="auto"/>
        <w:tabs>
          <w:tab w:leader="none" w:pos="1168" w:val="left"/>
        </w:tabs>
        <w:numPr>
          <w:ilvl w:val="0"/>
          <w:numId w:val="405"/>
        </w:numPr>
        <w:rPr>
          <w:rFonts w:ascii="Arial" w:cs="Arial" w:eastAsia="Arial" w:hAnsi="Arial"/>
          <w:sz w:val="17"/>
          <w:szCs w:val="17"/>
          <w:color w:val="auto"/>
        </w:rPr>
      </w:pPr>
      <w:r>
        <w:rPr>
          <w:rFonts w:ascii="Arial" w:cs="Arial" w:eastAsia="Arial" w:hAnsi="Arial"/>
          <w:sz w:val="17"/>
          <w:szCs w:val="17"/>
          <w:color w:val="auto"/>
        </w:rPr>
        <w:t>Upon the occurrence of an Acquisition Event, the Committee may terminate all outstanding and unexercised Stock Options or any Other Stock-Based Award that provides for a Participant-elected exercise (collectively, “</w:t>
      </w:r>
      <w:r>
        <w:rPr>
          <w:rFonts w:ascii="Arial" w:cs="Arial" w:eastAsia="Arial" w:hAnsi="Arial"/>
          <w:sz w:val="17"/>
          <w:szCs w:val="17"/>
          <w:b w:val="1"/>
          <w:bCs w:val="1"/>
          <w:u w:val="single" w:color="auto"/>
          <w:color w:val="auto"/>
        </w:rPr>
        <w:t>Exercisable Awards</w:t>
      </w:r>
      <w:r>
        <w:rPr>
          <w:rFonts w:ascii="Arial" w:cs="Arial" w:eastAsia="Arial" w:hAnsi="Arial"/>
          <w:sz w:val="17"/>
          <w:szCs w:val="17"/>
          <w:color w:val="auto"/>
        </w:rPr>
        <w:t xml:space="preserve">”), effective as of the date of the Acquisition Event, by delivering notice of termination to each Participant at least 20 days before the date of consummation of the Acquisition Event, in which case during the period from the date on which such notice of termination is delivered to the consummation of the Acquisition Event, each such Participant shall have the right to exercise in full all of such Exercisable Awards that are then outstanding to the extent vested on the date such notice of termination is given (or, at the discretion of the Committee, without regard to any limitations on exercisability otherwise contained in the Award agreements), but any such exercise shall be contingent on the occurrence of the Acquisition Event,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Acquisition Event does not take place within a specified period set forth in such notice, if any, for any reason whatsoever, the notice and exercise pursuant thereto shall be null and void and the applicable provisions of Section 4.2(b) and Article X shall apply. For the avoidance of doubt, in the event of an Acquisition Event, the Committee may terminate any Exercisable Award for which the exercise price is equal to or exceeds the Fair Market Value on the date of the Acquisition Event without payment of consideration therefor. If an Acquisition Event occurs but the Committee does not terminate the outstanding Awards pursuant to this Section 4.2(d), then the provisions of Section 4.2(b) and Article X shall apply.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Minimum Purchase Price</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Notwithstanding anything herein to the contrary, if authorized but previously unissued shares of Common Stock are issued under the Plan, such shares shall not be issued for consideration that is less than required under applicable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505" w:name="page506"/>
    <w:bookmarkEnd w:id="5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General Eligibility</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 current and prospective Eligible Employees and Consultants, and current Non-Employee Directors, are eligible to be granted Awards. Eligibility for the grant of Awards and actual participation in the Plan shall be determined by the Committee in its sole discretion. Notwithstanding anything herein to the contrary, no Award under which a Participant may receive shares of Common Stock may be granted to an Eligible Employee, Consultant, or Non-Employee Director of any Affiliate if such shares of Common Stock do not constitute “service recipient stock” for purposes of Section 409A with respect to such Eligible Employee, Consultant, or Non-Employee Director if such shares are required to constitute “service recipient stock” for such Award to comply with, or be exempt from, Section 409A.</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Incentive Stock Options</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Notwithstanding anything herein to the contrary, only Eligible Employees of the Company, its Subsidiaries, and its Parent (if any) are eligible to be granted Incentive Stock Options under the Plan. Eligibility for the grant of an Incentive Stock Option and actual participation in the Plan shall be determined by the Committee.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General Requirement</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The grant of Awards to a prospective Eligible Employee or Consultant and the vesting and exercise of such Awards shall be conditioned upon such Person actually becoming an Eligible Employee or Consultant;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Award may be granted to a prospective Eligible Employee or Consultant unless the Company determines that the Award will comply with applicable laws, including the securities laws of all relevant jurisdictions (and, in the case of an Award to an Eligible Employee or Consultant pursuant to which Common Stock would be issued before such Person performing services for the Company, the Company may require payment of not less than the par value of the Common Stock by cash or check to ensure proper issuance of the shares in compliance with applicable law). Awards may be awarded in consideration for past services actually rendered to the Company or an Affiliate.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Stock Options</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Each Stock Option shall be one of two types: (a) an Incentive Stock Option, or (b) a Non-Qualified Stock Option. The Committee shall have the authority to grant to any Eligible Employee Incentive Stock Options, Non-Qualified Stock Options, or both types of Stock Options. The Committee shall have the authority to grant any Consultant or Non-Employee Director Non-Qualified Stock Options. To the extent that any Stock Option does not qualify as an Incentive Stock Option (whether because of its provisions or the time or manner of its exercise or otherwise), such Stock Option or the portion thereof that does not qualify as an Incentive Stock Option shall constitute a separate Non-Qualified Stock 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9" w:right="239" w:bottom="1440" w:gutter="0" w:footer="0" w:header="0"/>
        </w:sectPr>
      </w:pPr>
    </w:p>
    <w:bookmarkStart w:id="506" w:name="page507"/>
    <w:bookmarkEnd w:id="50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8"/>
          <w:szCs w:val="18"/>
          <w:b w:val="1"/>
          <w:bCs w:val="1"/>
          <w:u w:val="single" w:color="auto"/>
          <w:color w:val="auto"/>
        </w:rPr>
        <w:t>Incentive Stock Options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Notwithstanding anything herein to the contrary, no term of the Plan relating to Incentive Stock Options shall be interpreted, amended, or altered, nor shall any discretion or authority granted under the Plan be so exercised, so as to disqualify the Plan under Section 422 of the Code, or, without the consent of the Participants affected, to disqualify any Incentive Stock Option under Section 422 of the Code.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Terms of Stock Options</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Stock Options granted under the Plan shall be subject to the following terms and conditions and shall be in such form and contain such additional terms and conditions, not inconsistent with the terms of the Plan, as the Committee shall deem desirable:</w:t>
      </w:r>
    </w:p>
    <w:p>
      <w:pPr>
        <w:spacing w:after="0" w:line="62" w:lineRule="exact"/>
        <w:rPr>
          <w:sz w:val="20"/>
          <w:szCs w:val="20"/>
          <w:color w:val="auto"/>
        </w:rPr>
      </w:pPr>
    </w:p>
    <w:p>
      <w:pPr>
        <w:ind w:right="20" w:firstLine="921"/>
        <w:spacing w:after="0" w:line="264" w:lineRule="auto"/>
        <w:tabs>
          <w:tab w:leader="none" w:pos="1157"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Common Stock subject to a Stock Option shall be determined by the Committee on or before the date of grant, provided that the per share exercise price of a Stock Option shall be not less than 100% (or, in the case of an Incentive Stock Option granted to a Ten Percent Stockholder, 110%) of the Fair Market Value of the Common Stock on the date of grant.</w:t>
      </w:r>
    </w:p>
    <w:p>
      <w:pPr>
        <w:spacing w:after="0" w:line="73" w:lineRule="exact"/>
        <w:rPr>
          <w:rFonts w:ascii="Arial" w:cs="Arial" w:eastAsia="Arial" w:hAnsi="Arial"/>
          <w:sz w:val="18"/>
          <w:szCs w:val="18"/>
          <w:color w:val="auto"/>
        </w:rPr>
      </w:pPr>
    </w:p>
    <w:p>
      <w:pPr>
        <w:ind w:right="40" w:firstLine="921"/>
        <w:spacing w:after="0" w:line="342" w:lineRule="auto"/>
        <w:tabs>
          <w:tab w:leader="none" w:pos="1168"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Stock Option Term</w:t>
      </w:r>
      <w:r>
        <w:rPr>
          <w:rFonts w:ascii="Arial" w:cs="Arial" w:eastAsia="Arial" w:hAnsi="Arial"/>
          <w:sz w:val="16"/>
          <w:szCs w:val="16"/>
          <w:color w:val="auto"/>
        </w:rPr>
        <w:t xml:space="preserve">. The term of each Stock Option shall be fixed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Stock Option shall be exercisable more than ten years after the date such Stock Option is granted (or, in the case of an Incentive Stock Option granted to a Ten Percent Stockholder, five years).</w:t>
      </w:r>
    </w:p>
    <w:p>
      <w:pPr>
        <w:spacing w:after="0" w:line="15" w:lineRule="exact"/>
        <w:rPr>
          <w:rFonts w:ascii="Arial" w:cs="Arial" w:eastAsia="Arial" w:hAnsi="Arial"/>
          <w:sz w:val="16"/>
          <w:szCs w:val="16"/>
          <w:color w:val="auto"/>
        </w:rPr>
      </w:pPr>
    </w:p>
    <w:p>
      <w:pPr>
        <w:ind w:left="1160" w:hanging="239"/>
        <w:spacing w:after="0"/>
        <w:tabs>
          <w:tab w:leader="none" w:pos="116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92"/>
        <w:spacing w:after="0" w:line="255" w:lineRule="auto"/>
        <w:tabs>
          <w:tab w:leader="none" w:pos="1698" w:val="left"/>
        </w:tabs>
        <w:numPr>
          <w:ilvl w:val="1"/>
          <w:numId w:val="406"/>
        </w:numPr>
        <w:rPr>
          <w:rFonts w:ascii="Arial" w:cs="Arial" w:eastAsia="Arial" w:hAnsi="Arial"/>
          <w:sz w:val="18"/>
          <w:szCs w:val="18"/>
          <w:color w:val="auto"/>
        </w:rPr>
      </w:pPr>
      <w:r>
        <w:rPr>
          <w:rFonts w:ascii="Arial" w:cs="Arial" w:eastAsia="Arial" w:hAnsi="Arial"/>
          <w:sz w:val="18"/>
          <w:szCs w:val="18"/>
          <w:color w:val="auto"/>
        </w:rPr>
        <w:t xml:space="preserve">Stock Options shall be exercisable at such time or times and subject to such terms and conditions as shall be determined by the Committee in the applicable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Stock Options shall be subject to a minimum vesting schedule of at least one year from the date of grant, except that the Committee may provide (but shall have no obligation to do so) for accelerated vesting before the completion of such one-year period upon a Change in Control or the Participant’s Disability or death. Notwithstanding the foregoing sentence, subject to the limitations set forth in Section 4, Awards with respect to up to five percent (5%) of the total number of shares of Common Stock reserved for Awards under the Plan may be granted to any Participant without regard to any minimum vesting requirements. The Committee may waive any limitations on exercisability at any time at or after grant in whole or in part, in its discretion.</w:t>
      </w:r>
    </w:p>
    <w:p>
      <w:pPr>
        <w:spacing w:after="0" w:line="81" w:lineRule="exact"/>
        <w:rPr>
          <w:rFonts w:ascii="Arial" w:cs="Arial" w:eastAsia="Arial" w:hAnsi="Arial"/>
          <w:sz w:val="18"/>
          <w:szCs w:val="18"/>
          <w:color w:val="auto"/>
        </w:rPr>
      </w:pPr>
    </w:p>
    <w:p>
      <w:pPr>
        <w:ind w:right="140" w:firstLine="1492"/>
        <w:spacing w:after="0" w:line="289" w:lineRule="auto"/>
        <w:tabs>
          <w:tab w:leader="none" w:pos="1748" w:val="left"/>
        </w:tabs>
        <w:numPr>
          <w:ilvl w:val="1"/>
          <w:numId w:val="406"/>
        </w:numPr>
        <w:rPr>
          <w:rFonts w:ascii="Arial" w:cs="Arial" w:eastAsia="Arial" w:hAnsi="Arial"/>
          <w:sz w:val="16"/>
          <w:szCs w:val="16"/>
          <w:color w:val="auto"/>
        </w:rPr>
      </w:pPr>
      <w:r>
        <w:rPr>
          <w:rFonts w:ascii="Arial" w:cs="Arial" w:eastAsia="Arial" w:hAnsi="Arial"/>
          <w:sz w:val="16"/>
          <w:szCs w:val="16"/>
          <w:color w:val="auto"/>
        </w:rPr>
        <w:t>Unless otherwise determined by the Committee in the applicable Award agreement, (A) in the event the Participant engages in Detrimental Activity before any exercise of the Stock Option, all Stock Options held by the Participant shall thereupon terminate and expire, (B) as a condition of the exercise of a Stock Option, the Participant shall be required to certify in a manner acceptable to the Company (or shall be deemed to have certified) that the Participant is in compliance with the terms and conditions of the Plan and that the Participant has not engaged in, and does not intend to engage in, any Detrimental Activity, and (C) in the event the Participant engages in Detrimental Activity during the one-year period commencing on the earlier of the date the Stock Option is exercised or the date of the Participant’s Termination, the Company shall be entitled to recover from the Participant at any time within one year after the date on which the Company becomes aware of Participant’s engagement in such Detrimental Activity, and the Participant shall pay over to the Company, an amount equal to any gain realized (whether at the time of exercise or thereafter) as a result of the exercise. Unless otherwise determined by the Committee in the applicable Award agreement, this Section 6.3(c)(ii) shall cease to apply upon a Change in Control.</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0" w:right="279" w:bottom="1440" w:gutter="0" w:footer="0" w:header="0"/>
        </w:sectPr>
      </w:pPr>
    </w:p>
    <w:bookmarkStart w:id="507" w:name="page508"/>
    <w:bookmarkEnd w:id="507"/>
    <w:p>
      <w:pPr>
        <w:ind w:left="-60" w:firstLine="921"/>
        <w:spacing w:after="0" w:line="289" w:lineRule="auto"/>
        <w:tabs>
          <w:tab w:leader="none" w:pos="1108" w:val="left"/>
        </w:tabs>
        <w:numPr>
          <w:ilvl w:val="0"/>
          <w:numId w:val="4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 of Exercise</w:t>
      </w:r>
      <w:r>
        <w:rPr>
          <w:rFonts w:ascii="Arial" w:cs="Arial" w:eastAsia="Arial" w:hAnsi="Arial"/>
          <w:sz w:val="16"/>
          <w:szCs w:val="16"/>
          <w:color w:val="auto"/>
        </w:rPr>
        <w:t>. To the extent vested, a Stock Option may be exercised in whole or in part at any time during the Option term, by giving written notice of exercise to the Committee (or its designee) specifying the number of shares of Common Stock to be purchased. Such notice shall be in a form acceptable to the Committee and shall be accompanied by payment in full of the purchase price as follows: (i) in cash or by check, bank draft, or money order payable to the order of the Company; (ii) solely to the extent permitted by applicable law and authorized by the Committee, if the Common Stock is traded on a national securities exchange or quoted on a national quotation system sponsored by the Financial Industry Regulatory Authority, through a procedure whereby the Participant delivers irrevocable instructions to a broker reasonably acceptable to the Committee to deliver promptly to the Company an amount equal to the purchase price; or (iii) on such other terms and conditions as may be acceptable to the Committee (including the relinquishment of Stock Options or by payment in full or in part in the form of Common Stock owned by the Participant (for which the Participant has good title, free and clear of any liens and encumbrances)). No shares of Common Stock shall be issued until payment therefor, as provided herein, has been made or provided for.</w:t>
      </w:r>
    </w:p>
    <w:p>
      <w:pPr>
        <w:spacing w:after="0" w:line="58" w:lineRule="exact"/>
        <w:rPr>
          <w:rFonts w:ascii="Arial" w:cs="Arial" w:eastAsia="Arial" w:hAnsi="Arial"/>
          <w:sz w:val="16"/>
          <w:szCs w:val="16"/>
          <w:color w:val="auto"/>
        </w:rPr>
      </w:pPr>
    </w:p>
    <w:p>
      <w:pPr>
        <w:ind w:left="-60" w:firstLine="921"/>
        <w:spacing w:after="0" w:line="271" w:lineRule="auto"/>
        <w:tabs>
          <w:tab w:leader="none" w:pos="1097" w:val="left"/>
        </w:tabs>
        <w:numPr>
          <w:ilvl w:val="0"/>
          <w:numId w:val="407"/>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Options</w:t>
      </w:r>
      <w:r>
        <w:rPr>
          <w:rFonts w:ascii="Arial" w:cs="Arial" w:eastAsia="Arial" w:hAnsi="Arial"/>
          <w:sz w:val="17"/>
          <w:szCs w:val="17"/>
          <w:color w:val="auto"/>
        </w:rPr>
        <w:t>. No Stock Option shall be Transferable by the Participant other than by will or by the laws of descent and distribution, and all Stock Options shall be exercisable, during the Participant’s lifetime, only by the Participant. Notwithstanding the foregoing, the Committee may determine that a Non-Qualified Stock Option that otherwise is not Transferable pursuant to this Section is Transferable to a Family Member in whole or in part, and in such circumstances, and under such conditions as specified by the Committee. A Non-Qualified Stock Option that is Transferred to a Family Member pursuant to the preceding sentence (i) may not be Transferred subsequently other than by will or by the laws of descent and distribution, and (ii) remains subject to the terms of the Plan and the applicable Award agreement. Any shares of Common Stock acquired upon the exercise of a Non-Qualified Stock Option by a permissible transferee of a Non-Qualified Stock Option or a permissible transferee pursuant to a Transfer after the exercise of the Non-Qualified Stock Option shall be subject to the terms of this Plan and the applicable Award agreement.</w:t>
      </w:r>
    </w:p>
    <w:p>
      <w:pPr>
        <w:spacing w:after="0" w:line="70" w:lineRule="exact"/>
        <w:rPr>
          <w:rFonts w:ascii="Arial" w:cs="Arial" w:eastAsia="Arial" w:hAnsi="Arial"/>
          <w:sz w:val="17"/>
          <w:szCs w:val="17"/>
          <w:color w:val="auto"/>
        </w:rPr>
      </w:pPr>
    </w:p>
    <w:p>
      <w:pPr>
        <w:ind w:left="-60" w:right="80" w:firstLine="921"/>
        <w:spacing w:after="0" w:line="257" w:lineRule="auto"/>
        <w:tabs>
          <w:tab w:leader="none" w:pos="1078"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Termination by Death or Disability</w:t>
      </w:r>
      <w:r>
        <w:rPr>
          <w:rFonts w:ascii="Arial" w:cs="Arial" w:eastAsia="Arial" w:hAnsi="Arial"/>
          <w:sz w:val="18"/>
          <w:szCs w:val="18"/>
          <w:color w:val="auto"/>
        </w:rPr>
        <w:t>. Unless otherwise determined by the Committee at grant (or, if no rights of the Participant (or, in the case of his death, his estate) are reduced, thereafter), if a Participant’s Termination is by reason of death or Disability, all Stock Options that are held by such Participant that are vested and exercisable on the date of the Participant’s Termination may be exercised by the Participant (or, in the case of death, by the legal representative of the Participant’s estate) at any time within a period of one year after the date of such Termination, but in no event beyond the expiration of the stated term of such Stock Options.</w:t>
      </w:r>
    </w:p>
    <w:p>
      <w:pPr>
        <w:spacing w:after="0" w:line="80" w:lineRule="exact"/>
        <w:rPr>
          <w:rFonts w:ascii="Arial" w:cs="Arial" w:eastAsia="Arial" w:hAnsi="Arial"/>
          <w:sz w:val="18"/>
          <w:szCs w:val="18"/>
          <w:color w:val="auto"/>
        </w:rPr>
      </w:pPr>
    </w:p>
    <w:p>
      <w:pPr>
        <w:ind w:left="-60" w:right="20" w:firstLine="921"/>
        <w:spacing w:after="0" w:line="257" w:lineRule="auto"/>
        <w:tabs>
          <w:tab w:leader="none" w:pos="1108"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Involuntary Termination Without Cause</w:t>
      </w:r>
      <w:r>
        <w:rPr>
          <w:rFonts w:ascii="Arial" w:cs="Arial" w:eastAsia="Arial" w:hAnsi="Arial"/>
          <w:sz w:val="18"/>
          <w:szCs w:val="18"/>
          <w:color w:val="auto"/>
        </w:rPr>
        <w:t>. Unless otherwise determined by the Committee at grant (or, if no rights of the Participant (or, in the case of his death, his estate) are reduced, thereafter), if a Participant’s Termination is by involuntary termination by the Company or an Affiliate without Cause, all Stock Options that are held by such Participant that are vested and exercisable on the date of the Participant’s Termination may be exercised by the Participant at any time within a period of 90 days after the date of such Termination, but in no event beyond the expiration of the stated term of such Stock Options.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300" w:top="273" w:right="299" w:bottom="1440" w:gutter="0" w:footer="0" w:header="0"/>
        </w:sectPr>
      </w:pPr>
    </w:p>
    <w:bookmarkStart w:id="508" w:name="page509"/>
    <w:bookmarkEnd w:id="508"/>
    <w:p>
      <w:pPr>
        <w:ind w:left="-20" w:firstLine="921"/>
        <w:spacing w:after="0" w:line="302" w:lineRule="auto"/>
        <w:tabs>
          <w:tab w:leader="none" w:pos="1148" w:val="left"/>
        </w:tabs>
        <w:numPr>
          <w:ilvl w:val="0"/>
          <w:numId w:val="4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Voluntary Termination</w:t>
      </w:r>
      <w:r>
        <w:rPr>
          <w:rFonts w:ascii="Arial" w:cs="Arial" w:eastAsia="Arial" w:hAnsi="Arial"/>
          <w:sz w:val="16"/>
          <w:szCs w:val="16"/>
          <w:color w:val="auto"/>
        </w:rPr>
        <w:t>. Unless otherwise determined by the Committee at grant (or, if no rights of the Participant (or, in the case of his death, his estate) are reduced, thereafter), if a Participant’s Termination is voluntary (other than a voluntary Termination described in subsection (i)(B) below), all Stock Options that are held by such Participant that are vested and exercisable on the date of the Participant’s Termination may be exercised by the Participant at any time within a period of 30 days after the date of such Termination, but in no event beyond the expiration of the stated term of such Stock Options.</w:t>
      </w:r>
    </w:p>
    <w:p>
      <w:pPr>
        <w:spacing w:after="0" w:line="46" w:lineRule="exact"/>
        <w:rPr>
          <w:rFonts w:ascii="Arial" w:cs="Arial" w:eastAsia="Arial" w:hAnsi="Arial"/>
          <w:sz w:val="16"/>
          <w:szCs w:val="16"/>
          <w:color w:val="auto"/>
        </w:rPr>
      </w:pPr>
    </w:p>
    <w:p>
      <w:pPr>
        <w:ind w:left="-20" w:firstLine="921"/>
        <w:spacing w:after="0" w:line="259" w:lineRule="auto"/>
        <w:tabs>
          <w:tab w:leader="none" w:pos="1108"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Unless otherwise determined by the Committee at grant (or, if no rights of the Participant (or, in the case of his death, his estate) are reduced, thereafter), if a Participant’s Termination (A) is for Cause or (B) is a voluntary Termination after the occurrence of an event that would be grounds for a Termination for Cause, all Stock Options, whether vested or not vested, that are held by such Participant shall terminate and expire on the date of such Termination.</w:t>
      </w:r>
    </w:p>
    <w:p>
      <w:pPr>
        <w:spacing w:after="0" w:line="78" w:lineRule="exact"/>
        <w:rPr>
          <w:rFonts w:ascii="Arial" w:cs="Arial" w:eastAsia="Arial" w:hAnsi="Arial"/>
          <w:sz w:val="18"/>
          <w:szCs w:val="18"/>
          <w:color w:val="auto"/>
        </w:rPr>
      </w:pPr>
    </w:p>
    <w:p>
      <w:pPr>
        <w:ind w:left="-20" w:right="260" w:firstLine="921"/>
        <w:spacing w:after="0" w:line="277" w:lineRule="auto"/>
        <w:tabs>
          <w:tab w:leader="none" w:pos="1108"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Unvested Stock Options</w:t>
      </w:r>
      <w:r>
        <w:rPr>
          <w:rFonts w:ascii="Arial" w:cs="Arial" w:eastAsia="Arial" w:hAnsi="Arial"/>
          <w:sz w:val="18"/>
          <w:szCs w:val="18"/>
          <w:color w:val="auto"/>
        </w:rPr>
        <w:t>. Unless otherwise determined by the Committee, Stock Options that are not vested as of the date of a Participant’s Termination for any reason shall terminate and expire on the date of such Termination.</w:t>
      </w:r>
    </w:p>
    <w:p>
      <w:pPr>
        <w:spacing w:after="0" w:line="62" w:lineRule="exact"/>
        <w:rPr>
          <w:rFonts w:ascii="Arial" w:cs="Arial" w:eastAsia="Arial" w:hAnsi="Arial"/>
          <w:sz w:val="18"/>
          <w:szCs w:val="18"/>
          <w:color w:val="auto"/>
        </w:rPr>
      </w:pPr>
    </w:p>
    <w:p>
      <w:pPr>
        <w:ind w:left="-20" w:right="120" w:firstLine="921"/>
        <w:spacing w:after="0" w:line="254" w:lineRule="auto"/>
        <w:tabs>
          <w:tab w:leader="none" w:pos="1148"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To the extent that the aggregate Fair Market Value (determined as of the date of grant) with respect to which Incentive Stock Options are exercisable for the first time by an Eligible Employee during any calendar year under the Plan and any other stock option plan of the Company, any Subsidiary, or any Parent exceeds $100,000, such Incentive Stock Options shall be treated as Non-Qualified Stock Options. In addition, if an Eligible Employee does not remain employed by the Company, any Subsidiary, or any Parent at all times from the date an Incentive Stock Option is granted until three months before the date of exercise thereof (or such other period as required by applicable law), such Stock Option shall be treated as a Non-Qualified Stock Option. Should any provision of the Plan not be necessary in order for the Stock Options to qualify as Incentive Stock Options, or should any additional provisions be required, the Committee may amend the Plan accordingly, without the necessity of obtaining the approval of the stockholders of the Company.</w:t>
      </w:r>
    </w:p>
    <w:p>
      <w:pPr>
        <w:spacing w:after="0" w:line="84" w:lineRule="exact"/>
        <w:rPr>
          <w:rFonts w:ascii="Arial" w:cs="Arial" w:eastAsia="Arial" w:hAnsi="Arial"/>
          <w:sz w:val="18"/>
          <w:szCs w:val="18"/>
          <w:color w:val="auto"/>
        </w:rPr>
      </w:pPr>
    </w:p>
    <w:p>
      <w:pPr>
        <w:ind w:left="-20" w:firstLine="921"/>
        <w:spacing w:after="0" w:line="255" w:lineRule="auto"/>
        <w:tabs>
          <w:tab w:leader="none" w:pos="1108"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Form, Modification, Extension, and Renewal of Stock Options</w:t>
      </w:r>
      <w:r>
        <w:rPr>
          <w:rFonts w:ascii="Arial" w:cs="Arial" w:eastAsia="Arial" w:hAnsi="Arial"/>
          <w:sz w:val="18"/>
          <w:szCs w:val="18"/>
          <w:color w:val="auto"/>
        </w:rPr>
        <w:t>. Stock Options may be evidenced by such form of agreement as is approved by the Committee. The Committee may (i) modify, extend, or renew outstanding Stock Options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rights of a Participant are not reduced without his consent, and (B) such action does not subject the Stock Options to Section 409A or otherwise extend the Stock Options beyond their stated term), and (ii) accept the surrender of outstanding Stock Options and authorize the granting of new Stock Options in substitution therefor. Notwithstanding anything herein to the contrary, an outstanding Option may not be modified to reduce the exercise price thereof nor may a new Option at a lower exercise price be substituted for a surrendered Option (other than adjustments or substitutions in accordance with Section 4.2), unless such action is approved by the stockholders of the Company.</w:t>
      </w:r>
    </w:p>
    <w:p>
      <w:pPr>
        <w:spacing w:after="0" w:line="81" w:lineRule="exact"/>
        <w:rPr>
          <w:rFonts w:ascii="Arial" w:cs="Arial" w:eastAsia="Arial" w:hAnsi="Arial"/>
          <w:sz w:val="18"/>
          <w:szCs w:val="18"/>
          <w:color w:val="auto"/>
        </w:rPr>
      </w:pPr>
    </w:p>
    <w:p>
      <w:pPr>
        <w:ind w:left="-20" w:right="520" w:firstLine="921"/>
        <w:spacing w:after="0" w:line="277" w:lineRule="auto"/>
        <w:tabs>
          <w:tab w:leader="none" w:pos="1198"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No Reload Options</w:t>
      </w:r>
      <w:r>
        <w:rPr>
          <w:rFonts w:ascii="Arial" w:cs="Arial" w:eastAsia="Arial" w:hAnsi="Arial"/>
          <w:sz w:val="18"/>
          <w:szCs w:val="18"/>
          <w:color w:val="auto"/>
        </w:rPr>
        <w:t>. Options shall not provide for the grant of the same number of Options as the number of shares used to pay for the exercise price of Options or shares used to pay withholding taxes (i.e., “reloads”).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74" w:right="259" w:bottom="1440" w:gutter="0" w:footer="0" w:header="0"/>
        </w:sectPr>
      </w:pPr>
    </w:p>
    <w:bookmarkStart w:id="509" w:name="page510"/>
    <w:bookmarkEnd w:id="5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7.1 Awards of Restricted Stock.</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Committee shall determine the Participants to whom, and the time or times at which, grants of Restricted Stock shall be made, the number of shares to be awarded, the purchase price (if any) to be paid by the Participant (subject to Section 7.2), the time or times at which such Awards may be subject to forfeiture or to restrictions on transfer, and all other terms and conditions of the Awards.</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otherwise determined by the Committee in the applicable Award agreement, (A) in the event the Participant engages in Detrimental Activity before any vesting of Restricted Stock, all unvested Restricted Stock shall be immediately forfeited, and (B) in the event the Participant engages in Detrimental Activity during the one-year period after any vesting of such Restricted Stock, the Committee shall be entitled to recover from the Participant (at any time within one year after such engagement in Detrimental Activity) an amount equal to the Fair Market Value as of the vesting date(s) of any Restricted Stock that had vested in the period referred to above. Unless otherwise determined by the Committee in the applicable Award agreement, this paragraph shall cease to apply upon a Change in Control.</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Committee may condition the grant or vesting of Restricted Stock upon the attainment of specified performance goals (including goals based on the Performance Criteria) or such other factors as the Committee may determine.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7.2 Awards and Certificates.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Committee may require, as a condition to the effectiveness of an Award of Restricted Stock, that the Participant execute and deliver to the Company an Award agreement or other documentation and comply with the terms of such Award agreement or other documentation. Further, Restricted Stock shall be subject to the following conditions:</w:t>
      </w:r>
    </w:p>
    <w:p>
      <w:pPr>
        <w:spacing w:after="0" w:line="73" w:lineRule="exact"/>
        <w:rPr>
          <w:sz w:val="20"/>
          <w:szCs w:val="20"/>
          <w:color w:val="auto"/>
        </w:rPr>
      </w:pPr>
    </w:p>
    <w:p>
      <w:pPr>
        <w:jc w:val="both"/>
        <w:ind w:right="80" w:firstLine="921"/>
        <w:spacing w:after="0" w:line="264" w:lineRule="auto"/>
        <w:tabs>
          <w:tab w:leader="none" w:pos="1157"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of Restricted Stock, if any, shall be fixed by the Committee. In accordance with Section 4.3, the purchase price for shares of Restricted Stock may be zero to the extent permitted by applicable law, and, to the extent not so permitted, such purchase price may not be less than the minimum purchase price required under applicable law.</w:t>
      </w:r>
    </w:p>
    <w:p>
      <w:pPr>
        <w:spacing w:after="0" w:line="73" w:lineRule="exact"/>
        <w:rPr>
          <w:rFonts w:ascii="Arial" w:cs="Arial" w:eastAsia="Arial" w:hAnsi="Arial"/>
          <w:sz w:val="18"/>
          <w:szCs w:val="18"/>
          <w:color w:val="auto"/>
        </w:rPr>
      </w:pPr>
    </w:p>
    <w:p>
      <w:pPr>
        <w:ind w:right="40" w:firstLine="921"/>
        <w:spacing w:after="0" w:line="279" w:lineRule="auto"/>
        <w:tabs>
          <w:tab w:leader="none" w:pos="1168"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Legend</w:t>
      </w:r>
      <w:r>
        <w:rPr>
          <w:rFonts w:ascii="Arial" w:cs="Arial" w:eastAsia="Arial" w:hAnsi="Arial"/>
          <w:sz w:val="17"/>
          <w:szCs w:val="17"/>
          <w:color w:val="auto"/>
        </w:rPr>
        <w:t>. Each Participant receiving Restricted Stock shall be issued a stock certificate in respect of such shares of Restricted Stock, unless the Committee elects to use another system, such as book entries by the transfer agent, as evidencing ownership of shares of Restricted Stock. Such certificate shall be registered in the name of such Participant, and shall, in addition to such legends required by applicable securities laws, if any, bear an appropriate legend referring to the terms, conditions, and restrictions applicable to such Award, substantially in the following form:</w:t>
      </w:r>
    </w:p>
    <w:p>
      <w:pPr>
        <w:spacing w:after="0" w:line="171" w:lineRule="exact"/>
        <w:rPr>
          <w:sz w:val="20"/>
          <w:szCs w:val="20"/>
          <w:color w:val="auto"/>
        </w:rPr>
      </w:pPr>
    </w:p>
    <w:p>
      <w:pPr>
        <w:ind w:left="920" w:right="1300"/>
        <w:spacing w:after="0" w:line="288" w:lineRule="auto"/>
        <w:rPr>
          <w:sz w:val="20"/>
          <w:szCs w:val="20"/>
          <w:color w:val="auto"/>
        </w:rPr>
      </w:pPr>
      <w:r>
        <w:rPr>
          <w:rFonts w:ascii="Arial" w:cs="Arial" w:eastAsia="Arial" w:hAnsi="Arial"/>
          <w:sz w:val="16"/>
          <w:szCs w:val="16"/>
          <w:color w:val="auto"/>
        </w:rPr>
        <w:t>“The anticipation, alienation, attachment, sale, transfer, assignment, pledge, encumbrance, or charge of the shares of stock represented hereby are subject to the terms and conditions (including forfeiture) of the Solid Biosciences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2018 Omnibus Incentive Plan (as amended from time to time,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and an Award Agreement entered into between the</w:t>
      </w:r>
    </w:p>
    <w:p>
      <w:pPr>
        <w:ind w:left="920" w:right="1040"/>
        <w:spacing w:after="0" w:line="261" w:lineRule="auto"/>
        <w:rPr>
          <w:sz w:val="20"/>
          <w:szCs w:val="20"/>
          <w:color w:val="auto"/>
        </w:rPr>
      </w:pPr>
      <w:r>
        <w:rPr>
          <w:rFonts w:ascii="Arial" w:cs="Arial" w:eastAsia="Arial" w:hAnsi="Arial"/>
          <w:sz w:val="18"/>
          <w:szCs w:val="18"/>
          <w:color w:val="auto"/>
        </w:rPr>
        <w:t>registered owner and the Company dated . Copies of such Plan and Award Agreement are on file at the principal office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2489200</wp:posOffset>
            </wp:positionH>
            <wp:positionV relativeFrom="paragraph">
              <wp:posOffset>-173990</wp:posOffset>
            </wp:positionV>
            <wp:extent cx="4572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510" w:name="page511"/>
    <w:bookmarkEnd w:id="510"/>
    <w:p>
      <w:pPr>
        <w:ind w:left="-20" w:right="180" w:firstLine="921"/>
        <w:spacing w:after="0" w:line="276" w:lineRule="auto"/>
        <w:tabs>
          <w:tab w:leader="none" w:pos="1137"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Custody</w:t>
      </w:r>
      <w:r>
        <w:rPr>
          <w:rFonts w:ascii="Arial" w:cs="Arial" w:eastAsia="Arial" w:hAnsi="Arial"/>
          <w:sz w:val="17"/>
          <w:szCs w:val="17"/>
          <w:color w:val="auto"/>
        </w:rPr>
        <w:t>. If stock certificates are issued in respect of shares of Restricted Stock, the Committee may require that any stock certificates evidencing such shares be held in custody by the Company until the restrictions thereon shall have lapsed, and that, as a condition of any grant of Restricted Stock, the Participant shall have delivered a duly signed stock power or other instruments of assignment (including a power of attorney), each endorsed in blank with a guarantee of signature if deemed necessary or appropriate by the Company, which would permit transfer to the Company of all or a portion of the shares subject to the Award of Restricted Stock in the event that such Award is forfeited in whole or part.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Restrictions and Conditions</w:t>
      </w:r>
      <w:r>
        <w:rPr>
          <w:rFonts w:ascii="Arial" w:cs="Arial" w:eastAsia="Arial" w:hAnsi="Arial"/>
          <w:sz w:val="18"/>
          <w:szCs w:val="18"/>
          <w:b w:val="1"/>
          <w:bCs w:val="1"/>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shall be subject to the following restrictions and conditions:</w:t>
      </w:r>
    </w:p>
    <w:p>
      <w:pPr>
        <w:spacing w:after="0" w:line="117" w:lineRule="exact"/>
        <w:rPr>
          <w:sz w:val="20"/>
          <w:szCs w:val="20"/>
          <w:color w:val="auto"/>
        </w:rPr>
      </w:pPr>
    </w:p>
    <w:p>
      <w:pPr>
        <w:ind w:left="1140" w:hanging="239"/>
        <w:spacing w:after="0"/>
        <w:tabs>
          <w:tab w:leader="none" w:pos="114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Restriction Period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40" w:firstLine="1492"/>
        <w:spacing w:after="0" w:line="257" w:lineRule="auto"/>
        <w:tabs>
          <w:tab w:leader="none" w:pos="1678"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Participant shall not be permitted to Transfer shares of Restricted Stock, and the Restricted Stock shall be subject to a risk of forfeiture (collectively, “restrictions”) during the period or periods set by the Committee (the “</w:t>
      </w:r>
      <w:r>
        <w:rPr>
          <w:rFonts w:ascii="Arial" w:cs="Arial" w:eastAsia="Arial" w:hAnsi="Arial"/>
          <w:sz w:val="18"/>
          <w:szCs w:val="18"/>
          <w:b w:val="1"/>
          <w:bCs w:val="1"/>
          <w:u w:val="single" w:color="auto"/>
          <w:color w:val="auto"/>
        </w:rPr>
        <w:t>Restriction Periods</w:t>
      </w:r>
      <w:r>
        <w:rPr>
          <w:rFonts w:ascii="Arial" w:cs="Arial" w:eastAsia="Arial" w:hAnsi="Arial"/>
          <w:sz w:val="18"/>
          <w:szCs w:val="18"/>
          <w:color w:val="auto"/>
        </w:rPr>
        <w:t>”), as set forth in the Restricted Stock Award agreement. The Committee may provide for the lapse of the restrictions in whole or in part (including in installments) based on service, attainment of performance goals, or such other factors or criteria as the Committee may determine, and may waive all or any part of the restrictions at any time subject to Section 7.3(a)(iii).</w:t>
      </w:r>
    </w:p>
    <w:p>
      <w:pPr>
        <w:spacing w:after="0" w:line="80" w:lineRule="exact"/>
        <w:rPr>
          <w:rFonts w:ascii="Arial" w:cs="Arial" w:eastAsia="Arial" w:hAnsi="Arial"/>
          <w:sz w:val="18"/>
          <w:szCs w:val="18"/>
          <w:color w:val="auto"/>
        </w:rPr>
      </w:pPr>
    </w:p>
    <w:p>
      <w:pPr>
        <w:ind w:left="-20" w:firstLine="1492"/>
        <w:spacing w:after="0" w:line="270" w:lineRule="auto"/>
        <w:tabs>
          <w:tab w:leader="none" w:pos="1728" w:val="left"/>
        </w:tabs>
        <w:numPr>
          <w:ilvl w:val="1"/>
          <w:numId w:val="411"/>
        </w:numPr>
        <w:rPr>
          <w:rFonts w:ascii="Arial" w:cs="Arial" w:eastAsia="Arial" w:hAnsi="Arial"/>
          <w:sz w:val="17"/>
          <w:szCs w:val="17"/>
          <w:color w:val="auto"/>
        </w:rPr>
      </w:pPr>
      <w:r>
        <w:rPr>
          <w:rFonts w:ascii="Arial" w:cs="Arial" w:eastAsia="Arial" w:hAnsi="Arial"/>
          <w:sz w:val="17"/>
          <w:szCs w:val="17"/>
          <w:color w:val="auto"/>
        </w:rPr>
        <w:t>If the grant of Restricted Stock or the lapse of restrictions is based on the attainment of performance goals, such performance goals shall be established by the Committee in writing on or before the date the grant of Restricted Stock is made and while the outcome of the performance goals is substantially uncertain and, following the Transition Period, that is permitted under Section 162(m) with regard to an Award of Restricted Stock that is intended to comply with Section 162(m). Such performance goals may incorporate provisions for disregarding (or adjusting for) changes in accounting methods, corporate transactions (including dispositions and acquisitions), and other similar events or circumstances. Following the Transition Period, with regard to an Award of Restricted Stock that is intended to comply with Section 162(m), (A) to the extent that any such provision set forth in the prior sentence would create impermissible discretion under Section 162(m) or otherwise violate Section 162(m), such provision shall be of no force or effect, and (B) the applicable performance goals shall be based on one or more of the Performance Criteria. For the avoidance of doubt, during the Transition Period, the Committee may establish such performance goals as it determines.</w:t>
      </w:r>
    </w:p>
    <w:p>
      <w:pPr>
        <w:spacing w:after="0" w:line="73" w:lineRule="exact"/>
        <w:rPr>
          <w:rFonts w:ascii="Arial" w:cs="Arial" w:eastAsia="Arial" w:hAnsi="Arial"/>
          <w:sz w:val="17"/>
          <w:szCs w:val="17"/>
          <w:color w:val="auto"/>
        </w:rPr>
      </w:pPr>
    </w:p>
    <w:p>
      <w:pPr>
        <w:ind w:left="-20" w:right="140" w:firstLine="1492"/>
        <w:spacing w:after="0" w:line="276" w:lineRule="auto"/>
        <w:tabs>
          <w:tab w:leader="none" w:pos="1778" w:val="left"/>
        </w:tabs>
        <w:numPr>
          <w:ilvl w:val="1"/>
          <w:numId w:val="411"/>
        </w:numPr>
        <w:rPr>
          <w:rFonts w:ascii="Arial" w:cs="Arial" w:eastAsia="Arial" w:hAnsi="Arial"/>
          <w:sz w:val="17"/>
          <w:szCs w:val="17"/>
          <w:color w:val="auto"/>
        </w:rPr>
      </w:pPr>
      <w:r>
        <w:rPr>
          <w:rFonts w:ascii="Arial" w:cs="Arial" w:eastAsia="Arial" w:hAnsi="Arial"/>
          <w:sz w:val="17"/>
          <w:szCs w:val="17"/>
          <w:color w:val="auto"/>
        </w:rPr>
        <w:t>Notwithstanding anything herein to the contrary, Awards of Restricted Stock shall be subject to a minimum vesting schedule of at least one year from the date of grant, except that the Committee may provide (but shall have no obligation to do so) for accelerated vesting before the completion of such one-year period upon a Change in Control or the Participant’s Disability or death. Notwithstanding the foregoing sentence, subject to the limitations set forth in Section 4, Awards with respect to up to five percent (5%) of the total number of shares of Common Stock reserved for Awards under the Plan may be granted to any Participant without regard to any minimum vesting requirements.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3" w:right="239" w:bottom="1440" w:gutter="0" w:footer="0" w:header="0"/>
        </w:sectPr>
      </w:pPr>
    </w:p>
    <w:bookmarkStart w:id="511" w:name="page512"/>
    <w:bookmarkEnd w:id="511"/>
    <w:p>
      <w:pPr>
        <w:ind w:firstLine="921"/>
        <w:spacing w:after="0" w:line="270" w:lineRule="auto"/>
        <w:tabs>
          <w:tab w:leader="none" w:pos="1168"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as a Stockholder</w:t>
      </w:r>
      <w:r>
        <w:rPr>
          <w:rFonts w:ascii="Arial" w:cs="Arial" w:eastAsia="Arial" w:hAnsi="Arial"/>
          <w:sz w:val="17"/>
          <w:szCs w:val="17"/>
          <w:color w:val="auto"/>
        </w:rPr>
        <w:t>. Except as otherwise determined by the Committee, the Participant shall have all the rights of a holder of shares of Common Stock of the Company with respect to Restricted Stock, subject to the following provisions of this Section 7.3(b). Except as otherwise determined by the Committee, (i) the Participant shall have no right to tender shares of Restricted Stock, (ii) Dividends on shares of Restricted Stock shall be withheld, in each case, while the Restricted Stock is subject to restrictions, and (iii) in no event shall Dividends payable thereunder be paid unless and until the shares of Restricted Stock to which they relate no longer are subject to a risk of forfeiture. Dividends that are not paid currently shall be credited to bookkeeping accounts on the Company’s records for purposes of the Plan and, except as otherwise determined by the Committee, shall not accrue interest. Such Dividends shall be paid to the Participant in the same form as paid on the Common Stock upon the lapse of the restrictions. The obligation of the Company to pay any Dividends hereunder upon lapse of the applicable restrictions shall be a general, unsecured obligation of the Company payable solely from the general assets of the Company. In no event shall the Company be required, or have any obligation, to set aside, or hold in escrow or trust, any funds for the purpose of paying such Dividends.</w:t>
      </w:r>
    </w:p>
    <w:p>
      <w:pPr>
        <w:spacing w:after="0" w:line="69" w:lineRule="exact"/>
        <w:rPr>
          <w:rFonts w:ascii="Arial" w:cs="Arial" w:eastAsia="Arial" w:hAnsi="Arial"/>
          <w:sz w:val="17"/>
          <w:szCs w:val="17"/>
          <w:color w:val="auto"/>
        </w:rPr>
      </w:pPr>
    </w:p>
    <w:p>
      <w:pPr>
        <w:ind w:firstLine="921"/>
        <w:spacing w:after="0" w:line="342" w:lineRule="auto"/>
        <w:tabs>
          <w:tab w:leader="none" w:pos="1157"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Upon a Participant’s Termination for any reason during the Restriction Period, all Restricted Stock still subject to restriction will vest or be forfeited in accordance with the terms and conditions established by the Committee at grant, or, if no rights of a Participant are reduced, thereafter.</w:t>
      </w:r>
    </w:p>
    <w:p>
      <w:pPr>
        <w:spacing w:after="0" w:line="15" w:lineRule="exact"/>
        <w:rPr>
          <w:rFonts w:ascii="Arial" w:cs="Arial" w:eastAsia="Arial" w:hAnsi="Arial"/>
          <w:sz w:val="16"/>
          <w:szCs w:val="16"/>
          <w:color w:val="auto"/>
        </w:rPr>
      </w:pPr>
    </w:p>
    <w:p>
      <w:pPr>
        <w:ind w:right="20" w:firstLine="921"/>
        <w:spacing w:after="0" w:line="312" w:lineRule="auto"/>
        <w:tabs>
          <w:tab w:leader="none" w:pos="1168"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Lapse of Restrictions</w:t>
      </w:r>
      <w:r>
        <w:rPr>
          <w:rFonts w:ascii="Arial" w:cs="Arial" w:eastAsia="Arial" w:hAnsi="Arial"/>
          <w:sz w:val="16"/>
          <w:szCs w:val="16"/>
          <w:color w:val="auto"/>
        </w:rPr>
        <w:t>. If and when the Restriction Period expires without a prior forfeiture of the Restricted Stock, the certificates for such shares shall be delivered to the Participant, and any and all unpaid distributions or Dividends payable thereunder shall be paid. All legends shall be removed from said certificates at the time of delivery to the Participant, except as otherwise required by applicable law or other limitations imposed by the Committee.</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STOCK-BASED AWARDS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Other Awards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The Committee is authorized to grant Other Stock-Based Awards that are payable in, valued in whole or in part by reference to, or otherwise based on or related to shares of Common Stock, including but not limited to, shares of Common Stock awarded purely as a bonus and not subject to any restrictions or conditions, shares of Common Stock in payment of the amounts due under an incentive or performance plan sponsored or maintained by the Company or an Affiliate, stock appreciation rights, stock equivalent units, restricted stock units, Performance Shares, Performance Units, and Awards valued by reference to book value of shares of Common Stock.</w:t>
      </w:r>
    </w:p>
    <w:p>
      <w:pPr>
        <w:spacing w:after="0" w:line="18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Committee shall have authority to determine the Participants to whom, and the time or times at which, Other Stock-Based Awards shall be made, the number of shares of Common Stock to be awarded pursuant to such Awards, and all other terms and conditions of the Awards.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3" w:right="279" w:bottom="1440" w:gutter="0" w:footer="0" w:header="0"/>
        </w:sectPr>
      </w:pPr>
    </w:p>
    <w:bookmarkStart w:id="512" w:name="page513"/>
    <w:bookmarkEnd w:id="51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Committee may condition the grant or vesting of Other Stock-Based Awards upon the attainment of performance goals (including,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goals based on the Performance Criteria) or such other factors as the Committee may determine. If the grant or vesting of an Other Stock-Based Award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the attainment of performance goals, such performance goals shall be established by the Committee in writing on or before the date the grant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Stock-Based Award is made and while the outcome of the performance goals is substantially uncertain and, following the Transition Period, that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under Section 162(m) with regard to an Other Stock-Based Award that is intended to comply with Section 162(m). Such performance goals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incorporate provisions for disregarding (or adjusting for) changes in accounting methods, corporate transactions (including dispositions and acquisitions),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similar events or circumstances. Following the Transition Period, with regard to an Other Stock-Based Award that is intended to comply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162(m), (a) to the extent any such provision set forth in the prior sentence would create impermissible discretion under Section 162(m) or otherwise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violate Section 162(m), such provision shall be of no force or effect, and (b) the applicable performance goals shall be based on one or more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Performance Criteria. For the avoidance of doubt, during the Transition Period, the Committee may establish such performance goals as it determines.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Terms and Conditions</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Stock-Based Awards made pursuant to this Article VIII shall be subject to the following terms and conditions:</w:t>
      </w:r>
    </w:p>
    <w:p>
      <w:pPr>
        <w:spacing w:after="0" w:line="117" w:lineRule="exact"/>
        <w:rPr>
          <w:sz w:val="20"/>
          <w:szCs w:val="20"/>
          <w:color w:val="auto"/>
        </w:rPr>
      </w:pPr>
    </w:p>
    <w:p>
      <w:pPr>
        <w:ind w:right="140" w:firstLine="921"/>
        <w:spacing w:after="0" w:line="264" w:lineRule="auto"/>
        <w:tabs>
          <w:tab w:leader="none" w:pos="1157"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The Participant may not Transfer Other Stock-Based Awards or the Common Stock underlying such Awards before the date on which the underlying Common Stock is issued, or, if later, the date on which any restriction, performance, or deferral period applicable to such Common Stock lapses.</w:t>
      </w:r>
    </w:p>
    <w:p>
      <w:pPr>
        <w:spacing w:after="0" w:line="73" w:lineRule="exact"/>
        <w:rPr>
          <w:rFonts w:ascii="Arial" w:cs="Arial" w:eastAsia="Arial" w:hAnsi="Arial"/>
          <w:sz w:val="18"/>
          <w:szCs w:val="18"/>
          <w:color w:val="auto"/>
        </w:rPr>
      </w:pPr>
    </w:p>
    <w:p>
      <w:pPr>
        <w:ind w:firstLine="921"/>
        <w:spacing w:after="0" w:line="271" w:lineRule="auto"/>
        <w:tabs>
          <w:tab w:leader="none" w:pos="1168"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The Committee shall determine to what extent, and under what conditions, the Participant shall have the right to receive Dividends with respect to shares of Common Stock covered by Other Stock-Based Awards. Except as otherwise determined by the Committee, Dividends with respect to unvested Other Stock-Based Awards shall be withheld until such Other Stock-Based Awards vest. Dividends that are not paid currently shall be credited to bookkeeping accounts on the Company’s records for purposes of the Plan and, except as otherwise determined by the Committee, shall not accrue interest. Such Dividends shall be paid to the Participant in the same form as paid on the Common Stock or such other form as is determined by the Committee upon the lapse of the restrictions. The obligation of the Company to pay any Dividends hereunder upon lapse of the applicable restrictions shall be a general, unsecured obligation of the Company payable solely from the general assets of the Company. In no event shall the Company be required, or have any obligation, to set aside, or hold in escrow or trust, any funds for the purpose of paying such Dividends.</w:t>
      </w:r>
    </w:p>
    <w:p>
      <w:pPr>
        <w:spacing w:after="0" w:line="70" w:lineRule="exact"/>
        <w:rPr>
          <w:rFonts w:ascii="Arial" w:cs="Arial" w:eastAsia="Arial" w:hAnsi="Arial"/>
          <w:sz w:val="17"/>
          <w:szCs w:val="17"/>
          <w:color w:val="auto"/>
        </w:rPr>
      </w:pPr>
    </w:p>
    <w:p>
      <w:pPr>
        <w:ind w:right="120" w:firstLine="921"/>
        <w:spacing w:after="0" w:line="255" w:lineRule="auto"/>
        <w:tabs>
          <w:tab w:leader="none" w:pos="1157"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Other Stock Based Awards and any underlying Common Stock shall vest or be forfeited to the extent set forth in the applicable Award agreement or as otherwise determined by the Committee. At the expiration of any applicable Performance Period, the Committee shall determine the extent to which the relevant performance goals are achieved and the portion of each Other Stock-Based Award that has been earned. The Committee may, at or after grant, accelerate the vesting of all or any part of any Other Stock-Based Award. Notwithstanding anything herein to the contrary, Other Stock-Based Awards shall be subject to a minimum vesting schedule of at least one year from the date of grant, except that the Committee may provide (but shall have no obligation to do so) for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3" w:right="259" w:bottom="1440" w:gutter="0" w:footer="0" w:header="0"/>
        </w:sectPr>
      </w:pPr>
    </w:p>
    <w:bookmarkStart w:id="513" w:name="page514"/>
    <w:bookmarkEnd w:id="513"/>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accelerated vesting before the completion of such one-year period upon a Change in Control or the Participant’s Disability or death. Notwithstanding the foregoing sentence, subject to the limitations set forth in Section 4, Awards with respect to up to five percent (5%) of the total number of shares of Common Stock reserved for Awards under the Plan may be granted to any Participant without regard to any minimum vesting requirements.</w:t>
      </w:r>
    </w:p>
    <w:p>
      <w:pPr>
        <w:spacing w:after="0" w:line="57" w:lineRule="exact"/>
        <w:rPr>
          <w:sz w:val="20"/>
          <w:szCs w:val="20"/>
          <w:color w:val="auto"/>
        </w:rPr>
      </w:pPr>
    </w:p>
    <w:p>
      <w:pPr>
        <w:ind w:right="40" w:firstLine="921"/>
        <w:spacing w:after="0" w:line="297" w:lineRule="auto"/>
        <w:tabs>
          <w:tab w:leader="none" w:pos="1168" w:val="left"/>
        </w:tabs>
        <w:numPr>
          <w:ilvl w:val="0"/>
          <w:numId w:val="414"/>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Following the Committee’s determination in accordance with subsection (c) above, shares of Common Stock or, as determined by the Committee, the cash equivalent of such shares, shall be delivered to the Participant, or his legal representative, in an amount equal to such individual’s earned Other Stock-Based Award. Notwithstanding the foregoing, the Committee may exercise negative discretion by providing in an Other Stock-Based Award the discretion to pay an amount less than otherwise would be provided under the applicable level of attainment of the performance goals or subject the payment of all or part of any Other Stock-Based Award to additional vesting, forfeiture, and deferral conditions as it deems appropriate.</w:t>
      </w:r>
    </w:p>
    <w:p>
      <w:pPr>
        <w:spacing w:after="0" w:line="50" w:lineRule="exact"/>
        <w:rPr>
          <w:rFonts w:ascii="Arial" w:cs="Arial" w:eastAsia="Arial" w:hAnsi="Arial"/>
          <w:sz w:val="16"/>
          <w:szCs w:val="16"/>
          <w:color w:val="auto"/>
        </w:rPr>
      </w:pPr>
    </w:p>
    <w:p>
      <w:pPr>
        <w:ind w:right="60" w:firstLine="921"/>
        <w:spacing w:after="0" w:line="273" w:lineRule="auto"/>
        <w:tabs>
          <w:tab w:leader="none" w:pos="1157" w:val="left"/>
        </w:tabs>
        <w:numPr>
          <w:ilvl w:val="0"/>
          <w:numId w:val="414"/>
        </w:numPr>
        <w:rPr>
          <w:rFonts w:ascii="Arial" w:cs="Arial" w:eastAsia="Arial" w:hAnsi="Arial"/>
          <w:sz w:val="17"/>
          <w:szCs w:val="17"/>
          <w:color w:val="auto"/>
        </w:rPr>
      </w:pPr>
      <w:r>
        <w:rPr>
          <w:rFonts w:ascii="Arial" w:cs="Arial" w:eastAsia="Arial" w:hAnsi="Arial"/>
          <w:sz w:val="17"/>
          <w:szCs w:val="17"/>
          <w:u w:val="single" w:color="auto"/>
          <w:color w:val="auto"/>
        </w:rPr>
        <w:t>Detrimental Activity</w:t>
      </w:r>
      <w:r>
        <w:rPr>
          <w:rFonts w:ascii="Arial" w:cs="Arial" w:eastAsia="Arial" w:hAnsi="Arial"/>
          <w:sz w:val="17"/>
          <w:szCs w:val="17"/>
          <w:color w:val="auto"/>
        </w:rPr>
        <w:t>. Unless otherwise determined by the Committee in the applicable Award agreement, (A) in the event the Participant engages in Detrimental Activity before any vesting of such Other Stock-Based Award, all unvested Other Stock-Based Award shall be immediately forfeited, and (B) in the event the Participant engages in Detrimental Activity during the one-year period after any vesting of such Other Stock-Based Award, the Committee shall be entitled to recover from the Participant (at any time within the one-year period after such engagement in Detrimental Activity) an amount equal to any gain the Participant realized from any Other Stock-Based Award that had vested in the period referred to above. Unless otherwise determined by the Committee in the applicable Award agreement, this Section 8.2(e) shall cease to apply upon a Change in Control.</w:t>
      </w:r>
    </w:p>
    <w:p>
      <w:pPr>
        <w:spacing w:after="0" w:line="70" w:lineRule="exact"/>
        <w:rPr>
          <w:rFonts w:ascii="Arial" w:cs="Arial" w:eastAsia="Arial" w:hAnsi="Arial"/>
          <w:sz w:val="17"/>
          <w:szCs w:val="17"/>
          <w:color w:val="auto"/>
        </w:rPr>
      </w:pPr>
    </w:p>
    <w:p>
      <w:pPr>
        <w:ind w:right="360" w:firstLine="921"/>
        <w:spacing w:after="0" w:line="277" w:lineRule="auto"/>
        <w:tabs>
          <w:tab w:leader="none" w:pos="1138"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Price</w:t>
      </w:r>
      <w:r>
        <w:rPr>
          <w:rFonts w:ascii="Arial" w:cs="Arial" w:eastAsia="Arial" w:hAnsi="Arial"/>
          <w:sz w:val="18"/>
          <w:szCs w:val="18"/>
          <w:color w:val="auto"/>
        </w:rPr>
        <w:t>. Common Stock issued on a bonus basis under this Article VIII may be issued for no cash consideration; Common Stock purchased pursuant to a purchase right awarded under this Article VIII shall be priced as determined by the Committee.</w:t>
      </w:r>
    </w:p>
    <w:p>
      <w:pPr>
        <w:spacing w:after="0" w:line="62" w:lineRule="exact"/>
        <w:rPr>
          <w:rFonts w:ascii="Arial" w:cs="Arial" w:eastAsia="Arial" w:hAnsi="Arial"/>
          <w:sz w:val="18"/>
          <w:szCs w:val="18"/>
          <w:color w:val="auto"/>
        </w:rPr>
      </w:pPr>
    </w:p>
    <w:p>
      <w:pPr>
        <w:ind w:right="160" w:firstLine="921"/>
        <w:spacing w:after="0" w:line="342" w:lineRule="auto"/>
        <w:tabs>
          <w:tab w:leader="none" w:pos="1168" w:val="left"/>
        </w:tabs>
        <w:numPr>
          <w:ilvl w:val="0"/>
          <w:numId w:val="41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Upon a Participant’s Termination for any reason during the Performance Period, the Other Stock-Based Awards will vest or be forfeited in accordance with the terms and conditions established by the Committee at grant or, if no rights of the Participant are reduced, thereafter.</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PERFORMANCE-BASED CASH AWARDS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Performance-Based Cash Awards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Committee shall have authority to determine the Eligible Employees and Consultants to whom, and the time or times at which, Performance-Based Cash Awards shall be made, the dollar amount to be awarded pursuant to such Performance-Based Cash Award, and all other conditions for the payment of the Performance-Based Cash Award.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otherwise provided herein, the Committee shall condition the right to payment of any Performance-Based Cash Award upon the attainment of specified performance goals (including performance goals based on the Performance Criteria) established pursuant to Section 9.2(c) and such other factors as the Committee may determine, including to comply with the requirements of Section 162(m). The Committee may establish different performance goals for different Participants.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514" w:name="page515"/>
    <w:bookmarkEnd w:id="514"/>
    <w:p>
      <w:pPr>
        <w:ind w:right="2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 9.2(c), for any Participant the Committee may specify a targeted Performance-Based Cash Award for a Performance Period (each an “</w:t>
      </w:r>
      <w:r>
        <w:rPr>
          <w:rFonts w:ascii="Arial" w:cs="Arial" w:eastAsia="Arial" w:hAnsi="Arial"/>
          <w:sz w:val="16"/>
          <w:szCs w:val="16"/>
          <w:b w:val="1"/>
          <w:bCs w:val="1"/>
          <w:u w:val="single" w:color="auto"/>
          <w:color w:val="auto"/>
        </w:rPr>
        <w:t>Individual Target Award</w:t>
      </w:r>
      <w:r>
        <w:rPr>
          <w:rFonts w:ascii="Arial" w:cs="Arial" w:eastAsia="Arial" w:hAnsi="Arial"/>
          <w:sz w:val="16"/>
          <w:szCs w:val="16"/>
          <w:color w:val="auto"/>
        </w:rPr>
        <w:t>”). An Individual Target Award may be expressed, at the Committee’s discretion, as a fixed dollar amount, a percentage of the Participant’s base pay, as a percentage of a bonus pool funded by a formula based on achievement of performance goals, or an amount determined pursuant to an objective formula or standard. The Committee’s establishment of an Individual Target Award for a Participant for a Performance Period shall not imply or require that the same level or any Individual Target Award be established for the Participant for any subsequent Performance Period or for any other Participant for that Performance Period or any subsequent Performance Period. At the time the performance goals are established (as provided in</w:t>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Section 9.2(c)), the Committee shall prescribe a formula to determine the maximum and minimum percentages (which may be greater or less than 100% of an Individual Target Award) that may be earned or payable based upon the degree of attainment of the performance goals during the Performance Period. Notwithstanding anything herein to the contrary, the Committee may exercise negative discretion by providing in an Individual Target Award the discretion to pay a Participant an amount that is less than the Participant’s Individual Target Award (or attained percentages thereof) regardless of the degree of attainment of the performance goals;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otherwise specified by the Committee with respect to an Individual Target Award, no discretion to reduce a Performance-Based Cash Award earned based on achievement of the applicable performance goals shall be permitted for any Performance Period in which a Change in Control occurs, or during such Performance Period with regard to the prior Performance Periods if the Performance-Based Cash Awards for the prior Performance Periods have not been paid by the time of the Change in Control, with regard to individuals who were Participants at the time of the Change in Control.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u w:val="single" w:color="auto"/>
          <w:color w:val="auto"/>
        </w:rPr>
        <w:t>Terms and Conditions</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Performance-Based Cash Awards shall be subject to the following terms and conditions:</w:t>
      </w:r>
    </w:p>
    <w:p>
      <w:pPr>
        <w:spacing w:after="0" w:line="117" w:lineRule="exact"/>
        <w:rPr>
          <w:sz w:val="20"/>
          <w:szCs w:val="20"/>
          <w:color w:val="auto"/>
        </w:rPr>
      </w:pPr>
    </w:p>
    <w:p>
      <w:pPr>
        <w:ind w:right="180" w:firstLine="921"/>
        <w:spacing w:after="0" w:line="264" w:lineRule="auto"/>
        <w:tabs>
          <w:tab w:leader="none" w:pos="1157"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Committee Certification</w:t>
      </w:r>
      <w:r>
        <w:rPr>
          <w:rFonts w:ascii="Arial" w:cs="Arial" w:eastAsia="Arial" w:hAnsi="Arial"/>
          <w:sz w:val="18"/>
          <w:szCs w:val="18"/>
          <w:color w:val="auto"/>
        </w:rPr>
        <w:t>. At the expiration of the applicable Performance Period, the Committee shall determine and certify in writing the extent to which the performance goals established pursuant to Section 9.2(c) are achieved and, if applicable, the percentage of the Performance-Based Cash Award that has been vested and earned.</w:t>
      </w:r>
    </w:p>
    <w:p>
      <w:pPr>
        <w:spacing w:after="0" w:line="73" w:lineRule="exact"/>
        <w:rPr>
          <w:rFonts w:ascii="Arial" w:cs="Arial" w:eastAsia="Arial" w:hAnsi="Arial"/>
          <w:sz w:val="18"/>
          <w:szCs w:val="18"/>
          <w:color w:val="auto"/>
        </w:rPr>
      </w:pPr>
    </w:p>
    <w:p>
      <w:pPr>
        <w:jc w:val="both"/>
        <w:ind w:right="140" w:firstLine="921"/>
        <w:spacing w:after="0" w:line="286" w:lineRule="auto"/>
        <w:tabs>
          <w:tab w:leader="none" w:pos="1168" w:val="left"/>
        </w:tabs>
        <w:numPr>
          <w:ilvl w:val="0"/>
          <w:numId w:val="415"/>
        </w:numPr>
        <w:rPr>
          <w:rFonts w:ascii="Arial" w:cs="Arial" w:eastAsia="Arial" w:hAnsi="Arial"/>
          <w:sz w:val="17"/>
          <w:szCs w:val="17"/>
          <w:color w:val="auto"/>
        </w:rPr>
      </w:pPr>
      <w:r>
        <w:rPr>
          <w:rFonts w:ascii="Arial" w:cs="Arial" w:eastAsia="Arial" w:hAnsi="Arial"/>
          <w:sz w:val="17"/>
          <w:szCs w:val="17"/>
          <w:u w:val="single" w:color="auto"/>
          <w:color w:val="auto"/>
        </w:rPr>
        <w:t>Waiver of Limitation</w:t>
      </w:r>
      <w:r>
        <w:rPr>
          <w:rFonts w:ascii="Arial" w:cs="Arial" w:eastAsia="Arial" w:hAnsi="Arial"/>
          <w:sz w:val="17"/>
          <w:szCs w:val="17"/>
          <w:color w:val="auto"/>
        </w:rPr>
        <w:t>. In the event of the Participant’s Disability or death, or in cases of special circumstances (to the extent permitted under Section 162(m) with regard to a Performance-Based Cash Award that is intended to comply with Section 162(m)), the Committee may waive in whole or in part any or all of the limitations imposed thereunder with respect to any or all of a Performance-Based Cash Award.</w:t>
      </w:r>
    </w:p>
    <w:p>
      <w:pPr>
        <w:spacing w:after="0" w:line="57" w:lineRule="exact"/>
        <w:rPr>
          <w:rFonts w:ascii="Arial" w:cs="Arial" w:eastAsia="Arial" w:hAnsi="Arial"/>
          <w:sz w:val="17"/>
          <w:szCs w:val="17"/>
          <w:color w:val="auto"/>
        </w:rPr>
      </w:pPr>
    </w:p>
    <w:p>
      <w:pPr>
        <w:ind w:right="120" w:firstLine="921"/>
        <w:spacing w:after="0" w:line="259" w:lineRule="auto"/>
        <w:tabs>
          <w:tab w:leader="none" w:pos="1157"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Performance Goals, Formulae, or Standards</w:t>
      </w:r>
      <w:r>
        <w:rPr>
          <w:rFonts w:ascii="Arial" w:cs="Arial" w:eastAsia="Arial" w:hAnsi="Arial"/>
          <w:sz w:val="18"/>
          <w:szCs w:val="18"/>
          <w:color w:val="auto"/>
        </w:rPr>
        <w:t>. The performance goals for the earning of Performance-Based Cash Awards shall be established by the Committee in writing on or before the date the grant of Performance-Based Cash Award is made and while the outcome of the performance goals is substantially uncertain and, following the Transition Period, that is permitted under Section 162(m) with regard to a Performance-Based Cash Award that is intended to comply with Section 162(m). Such performance goals may incorporate provisions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515" w:name="page516"/>
    <w:bookmarkEnd w:id="515"/>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disregarding (or adjusting for) changes in accounting methods, corporate transactions (including dispositions and acquisitions), and other similar events or circumstances. Following the Transition Period, with regard to a Performance-Based Cash Award that is intended to comply with Section 162(m), (i) to the extent any such provision set forth in the prior sentence would create impermissible discretion under Section 162(m) or otherwise violate Section 162(m), such provision shall be of no force or effect and (ii) the applicable performance goals shall be based on one or more of the Performance Criteria. For the avoidance of doubt, during the Transition Period, the Committee may establish such performance goals as it determines.</w:t>
      </w:r>
    </w:p>
    <w:p>
      <w:pPr>
        <w:spacing w:after="0" w:line="64" w:lineRule="exact"/>
        <w:rPr>
          <w:sz w:val="20"/>
          <w:szCs w:val="20"/>
          <w:color w:val="auto"/>
        </w:rPr>
      </w:pPr>
    </w:p>
    <w:p>
      <w:pPr>
        <w:ind w:firstLine="921"/>
        <w:spacing w:after="0" w:line="284" w:lineRule="auto"/>
        <w:tabs>
          <w:tab w:leader="none" w:pos="1168" w:val="left"/>
        </w:tabs>
        <w:numPr>
          <w:ilvl w:val="1"/>
          <w:numId w:val="416"/>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Following the Committee’s determination and certification in accordance with subsection (a) above, the earned Performance-Based Cash Award amount shall be paid to the Participant or his legal representative, in accordance with the terms and conditions set forth in the Performance-Based Cash Award agreement, but in no event, except as provided in the next sentence, shall such amount be paid later than the later of: (i) March 15 of the year following the year in which the applicable Performance Period ends (or, if later, the year in which the Award is earned); or (ii) two and one-half months after the expiration of the fiscal year of the Company in which the applicable Performance Period ends. Notwithstanding the foregoing, the Committee may place such conditions on the payment of all or any portion of any Performance-Based Cash Award as the Committee may determine and before the beginning of a Performance Period, the Committee may (A) provide that the payment of all or any portion of any Performance-Based Cash Award shall be deferred, and</w:t>
      </w:r>
    </w:p>
    <w:p>
      <w:pPr>
        <w:spacing w:after="0" w:line="2" w:lineRule="exact"/>
        <w:rPr>
          <w:rFonts w:ascii="Arial" w:cs="Arial" w:eastAsia="Arial" w:hAnsi="Arial"/>
          <w:sz w:val="16"/>
          <w:szCs w:val="16"/>
          <w:color w:val="auto"/>
        </w:rPr>
      </w:pPr>
    </w:p>
    <w:p>
      <w:pPr>
        <w:ind w:right="40" w:firstLine="8"/>
        <w:spacing w:after="0" w:line="269" w:lineRule="auto"/>
        <w:tabs>
          <w:tab w:leader="none" w:pos="285" w:val="left"/>
        </w:tabs>
        <w:numPr>
          <w:ilvl w:val="0"/>
          <w:numId w:val="417"/>
        </w:numPr>
        <w:rPr>
          <w:rFonts w:ascii="Arial" w:cs="Arial" w:eastAsia="Arial" w:hAnsi="Arial"/>
          <w:sz w:val="17"/>
          <w:szCs w:val="17"/>
          <w:color w:val="auto"/>
        </w:rPr>
      </w:pPr>
      <w:r>
        <w:rPr>
          <w:rFonts w:ascii="Arial" w:cs="Arial" w:eastAsia="Arial" w:hAnsi="Arial"/>
          <w:sz w:val="17"/>
          <w:szCs w:val="17"/>
          <w:color w:val="auto"/>
        </w:rPr>
        <w:t>permit a Participant to elect to defer receipt of all or a portion of any Performance-Based Cash Award. Any Performance-Based Cash Award deferred by a Participant in accordance with the terms and conditions established by the Committee shall not increase (between the date on which the Performance-Based Cash Award is credited to any deferred compensation program applicable to such Participant and the payment date) by an amount that would result in such deferral being deemed as an “increase in the amount of compensation” under Section 162(m). To the extent applicable, any deferral under this Section 9.2(d) shall be made in a manner intended to comply with or be exempt from the applicable requirements of Section 409A. Notwithstanding the foregoing, the Committee may exercise negative discretion by providing in a Performance-Based Cash Award the discretion to pay an amount less than otherwise would be provided under the applicable level of attainment of the performance goals.</w:t>
      </w:r>
    </w:p>
    <w:p>
      <w:pPr>
        <w:spacing w:after="0" w:line="72" w:lineRule="exact"/>
        <w:rPr>
          <w:rFonts w:ascii="Arial" w:cs="Arial" w:eastAsia="Arial" w:hAnsi="Arial"/>
          <w:sz w:val="17"/>
          <w:szCs w:val="17"/>
          <w:color w:val="auto"/>
        </w:rPr>
      </w:pPr>
    </w:p>
    <w:p>
      <w:pPr>
        <w:ind w:firstLine="921"/>
        <w:spacing w:after="0" w:line="259" w:lineRule="auto"/>
        <w:tabs>
          <w:tab w:leader="none" w:pos="1157"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Unless otherwise determined by the Committee at the time of grant (or, if no rights of the Participant (or, in the case of his death, his estate) are reduced, thereafter), no Performance-Based Cash Award or pro rata portion thereof shall be payable to any Participant who incurs a Termination before the date such Performance-Based Cash Award is paid and the Performance-Based Cash Awards only shall be deemed to be earned when actually paid.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3" w:right="239" w:bottom="1440" w:gutter="0" w:footer="0" w:header="0"/>
        </w:sectPr>
      </w:pPr>
    </w:p>
    <w:bookmarkStart w:id="516" w:name="page517"/>
    <w:bookmarkEnd w:id="516"/>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CHANGE IN CONTROL PROVISIONS</w:t>
      </w:r>
    </w:p>
    <w:p>
      <w:pPr>
        <w:spacing w:after="0" w:line="225"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In the event of a Change in Control of the Company, except as otherwise provided by the Committee in an Award agreement or otherwise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 Participant’s unvested Award shall not vest and a Participant’s Award shall be treated in accordance with one of the following methods as determined by the Committee:</w:t>
      </w:r>
    </w:p>
    <w:p>
      <w:pPr>
        <w:spacing w:after="0" w:line="72" w:lineRule="exact"/>
        <w:rPr>
          <w:sz w:val="20"/>
          <w:szCs w:val="20"/>
          <w:color w:val="auto"/>
        </w:rPr>
      </w:pPr>
    </w:p>
    <w:p>
      <w:pPr>
        <w:ind w:firstLine="921"/>
        <w:spacing w:after="0" w:line="297" w:lineRule="auto"/>
        <w:tabs>
          <w:tab w:leader="none" w:pos="1158" w:val="left"/>
        </w:tabs>
        <w:numPr>
          <w:ilvl w:val="0"/>
          <w:numId w:val="418"/>
        </w:numPr>
        <w:rPr>
          <w:rFonts w:ascii="Arial" w:cs="Arial" w:eastAsia="Arial" w:hAnsi="Arial"/>
          <w:sz w:val="16"/>
          <w:szCs w:val="16"/>
          <w:color w:val="auto"/>
        </w:rPr>
      </w:pPr>
      <w:r>
        <w:rPr>
          <w:rFonts w:ascii="Arial" w:cs="Arial" w:eastAsia="Arial" w:hAnsi="Arial"/>
          <w:sz w:val="16"/>
          <w:szCs w:val="16"/>
          <w:color w:val="auto"/>
        </w:rPr>
        <w:t xml:space="preserve">Awards, whether or not then vested, may be continued, assumed, have new rights substituted therefor, or be treated in accordance with Section 4.2(d), and Restricted Stock or other Awards may, where appropriate in the discretion of the Committee, receive the same distribution as other Common Stock on such terms as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Committee may decide to award additional Restricted Stock or any other Award in lieu of any cash distribution. Notwithstanding anything herein to the contrary, any assumption or substitution of Incentive Stock Options shall be structured in a manner intended to comply with the requirements of Treasury Regulation § 1.424-1 (and any amendments thereto).</w:t>
      </w:r>
    </w:p>
    <w:p>
      <w:pPr>
        <w:spacing w:after="0" w:line="50" w:lineRule="exact"/>
        <w:rPr>
          <w:rFonts w:ascii="Arial" w:cs="Arial" w:eastAsia="Arial" w:hAnsi="Arial"/>
          <w:sz w:val="16"/>
          <w:szCs w:val="16"/>
          <w:color w:val="auto"/>
        </w:rPr>
      </w:pPr>
    </w:p>
    <w:p>
      <w:pPr>
        <w:ind w:right="40" w:firstLine="921"/>
        <w:spacing w:after="0" w:line="286" w:lineRule="auto"/>
        <w:tabs>
          <w:tab w:leader="none" w:pos="1168" w:val="left"/>
        </w:tabs>
        <w:numPr>
          <w:ilvl w:val="0"/>
          <w:numId w:val="418"/>
        </w:numPr>
        <w:rPr>
          <w:rFonts w:ascii="Arial" w:cs="Arial" w:eastAsia="Arial" w:hAnsi="Arial"/>
          <w:sz w:val="17"/>
          <w:szCs w:val="17"/>
          <w:color w:val="auto"/>
        </w:rPr>
      </w:pPr>
      <w:r>
        <w:rPr>
          <w:rFonts w:ascii="Arial" w:cs="Arial" w:eastAsia="Arial" w:hAnsi="Arial"/>
          <w:sz w:val="17"/>
          <w:szCs w:val="17"/>
          <w:color w:val="auto"/>
        </w:rPr>
        <w:t>Awards may be canceled in exchange for an amount of cash equal to the Change in Control Price (as defined below) per share of Common Stock covered by such Awards), less, in the case of an Appreciation Award, the exercise price per share of Common Stock covered by such Award. The “</w:t>
      </w:r>
      <w:r>
        <w:rPr>
          <w:rFonts w:ascii="Arial" w:cs="Arial" w:eastAsia="Arial" w:hAnsi="Arial"/>
          <w:sz w:val="17"/>
          <w:szCs w:val="17"/>
          <w:b w:val="1"/>
          <w:bCs w:val="1"/>
          <w:u w:val="single" w:color="auto"/>
          <w:color w:val="auto"/>
        </w:rPr>
        <w:t>Change in Control Price</w:t>
      </w:r>
      <w:r>
        <w:rPr>
          <w:rFonts w:ascii="Arial" w:cs="Arial" w:eastAsia="Arial" w:hAnsi="Arial"/>
          <w:sz w:val="17"/>
          <w:szCs w:val="17"/>
          <w:color w:val="auto"/>
        </w:rPr>
        <w:t>” means the price per share of Common Stock paid in the Change in Control transaction.</w:t>
      </w:r>
    </w:p>
    <w:p>
      <w:pPr>
        <w:spacing w:after="0" w:line="57" w:lineRule="exact"/>
        <w:rPr>
          <w:rFonts w:ascii="Arial" w:cs="Arial" w:eastAsia="Arial" w:hAnsi="Arial"/>
          <w:sz w:val="17"/>
          <w:szCs w:val="17"/>
          <w:color w:val="auto"/>
        </w:rPr>
      </w:pPr>
    </w:p>
    <w:p>
      <w:pPr>
        <w:ind w:right="280" w:firstLine="921"/>
        <w:spacing w:after="0" w:line="277" w:lineRule="auto"/>
        <w:tabs>
          <w:tab w:leader="none" w:pos="1158"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Appreciation Awards may be cancelled without payment, if the Change in Control Price is less than the exercise price per share of such Appreciation Awards.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anything herein to the contrary, the Committee may provide for accelerated vesting or lapse of restrictions, of an Award at any time.</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270" w:right="459" w:bottom="1440" w:gutter="0" w:footer="0" w:header="0"/>
        </w:sectPr>
      </w:pPr>
    </w:p>
    <w:bookmarkStart w:id="517" w:name="page518"/>
    <w:bookmarkEnd w:id="5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OR AMENDMENT OF PLAN</w:t>
      </w:r>
    </w:p>
    <w:p>
      <w:pPr>
        <w:spacing w:after="0" w:line="229"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 xml:space="preserve">Notwithstanding anything herein to the contrary, the Board, or the Committee (to the extent permitted by law), may at any time, and from time to time, amend, in whole or in part, any or all of the provisions of the Plan (including any amendment deemed necessary or advisable to ensure that the Company may comply with any regulatory requirement referred to in Article XIII or Section 409A), or suspend or terminate it entirely, retroactively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otherwise required by law or specifically provided herein, the rights of a Participant with respect to Awards granted before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amendment, suspension, or termination may not be reduced in any material respect without the consent of such Participant and, </w:t>
      </w:r>
      <w:r>
        <w:rPr>
          <w:rFonts w:ascii="Arial" w:cs="Arial" w:eastAsia="Arial" w:hAnsi="Arial"/>
          <w:sz w:val="16"/>
          <w:szCs w:val="16"/>
          <w:i w:val="1"/>
          <w:iCs w:val="1"/>
          <w:color w:val="auto"/>
        </w:rPr>
        <w:t>provided further</w:t>
      </w:r>
      <w:r>
        <w:rPr>
          <w:rFonts w:ascii="Arial" w:cs="Arial" w:eastAsia="Arial" w:hAnsi="Arial"/>
          <w:sz w:val="16"/>
          <w:szCs w:val="16"/>
          <w:color w:val="auto"/>
        </w:rPr>
        <w:t>, without the approval of the holders of the Company’s Common Stock entitled to vote in accordance with applicable law, no amendment may be made that would</w:t>
      </w:r>
    </w:p>
    <w:p>
      <w:pPr>
        <w:spacing w:after="0" w:line="5" w:lineRule="exact"/>
        <w:rPr>
          <w:sz w:val="20"/>
          <w:szCs w:val="20"/>
          <w:color w:val="auto"/>
        </w:rPr>
      </w:pPr>
    </w:p>
    <w:p>
      <w:pPr>
        <w:ind w:right="220" w:firstLine="8"/>
        <w:spacing w:after="0" w:line="287" w:lineRule="auto"/>
        <w:tabs>
          <w:tab w:leader="none" w:pos="245" w:val="left"/>
        </w:tabs>
        <w:numPr>
          <w:ilvl w:val="0"/>
          <w:numId w:val="419"/>
        </w:numPr>
        <w:rPr>
          <w:rFonts w:ascii="Arial" w:cs="Arial" w:eastAsia="Arial" w:hAnsi="Arial"/>
          <w:sz w:val="16"/>
          <w:szCs w:val="16"/>
          <w:color w:val="auto"/>
        </w:rPr>
      </w:pPr>
      <w:r>
        <w:rPr>
          <w:rFonts w:ascii="Arial" w:cs="Arial" w:eastAsia="Arial" w:hAnsi="Arial"/>
          <w:sz w:val="16"/>
          <w:szCs w:val="16"/>
          <w:color w:val="auto"/>
        </w:rPr>
        <w:t>increase the aggregate number of shares of Common Stock that may be issued under the Plan (except by operation of Section 4.2); (b) increase the maximum individual Participant limits under Section 4.1(b) (except by operation of Section 4.2); (c) change the classification of individuals eligible to receive Awards under the Plan; (d) extend the maximum term of Options; (e) alter the Performance Criteria; (f) other than adjustments or substitutions in accordance with Section 4.2, amend the terms of outstanding Awards to reduce the exercise price of outstanding Stock Options or Appreciation Awards, or cancel outstanding Stock Options or Appreciation Awards (where, before the reduction or cancellation, the exercise price exceeds the Fair Market Value on the date of cancellation) in exchange for cash, other Awards, or Stock Options or Appreciation Awards with an exercise price that is less than the exercise price of the original Stock Options or Appreciation Awards; or (g) otherwise require stockholder approval in order for the Plan or any of the Awards issued hereunder to continue to comply with applicable law (including Sections 162(m) and 422 of the Code) or the rules of any applicable securities exchange or system on which the Company’s securities are listed or traded at the request of the Company.</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The Committee may amend the terms of any Award theretofore granted, prospectively or retroactively;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amendment reduces in any material respect the rights of any Participant without the Participant’s consent. Actions taken by the Committee in accordance with Article IV shall not be deemed to reduce the rights of any Participant.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Notwithstanding anything herein to the contrary, the Board or the Committee may amend the Plan or any Award at any time without a Participant’s consent to comply with Section 409A or any other applicable law.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UNFUNDED PLAN</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Plan is intended to constitute an “unfunded” plan for incentive and deferred compensation. With respect to any payments as to which a Participant has a fixed and vested interest but which are not yet made to a Participant by the Company, nothing contained herein shall give any such Participant any rights that are greater than those of a general unsecured creditor of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518" w:name="page519"/>
    <w:bookmarkEnd w:id="5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b w:val="1"/>
          <w:bCs w:val="1"/>
          <w:u w:val="single" w:color="auto"/>
          <w:color w:val="auto"/>
        </w:rPr>
        <w:t>Legend</w:t>
      </w:r>
      <w:r>
        <w:rPr>
          <w:rFonts w:ascii="Arial" w:cs="Arial" w:eastAsia="Arial" w:hAnsi="Arial"/>
          <w:sz w:val="18"/>
          <w:szCs w:val="18"/>
          <w:b w:val="1"/>
          <w:bCs w:val="1"/>
          <w:color w:val="auto"/>
        </w:rPr>
        <w:t>.</w:t>
      </w:r>
    </w:p>
    <w:p>
      <w:pPr>
        <w:spacing w:after="0" w:line="2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Committee may require each person receiving shares of Common Stock pursuant to an Award to represent to and agree with the Company in writing that the Participant is acquiring the shares without a view to distribution thereof and such other securities law-related representations as the Committee shall request. In addition to any legend required by the Plan, the certificates or book entry accounts for such shares may include any legend that the Committee deems appropriate to reflect any restrictions on Transfer.</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All certificates or book entry accounts for shares of Common Stock delivered under the Plan shall be subject to such stop transfer orders and other restrictions as the Committee may deem advisable under the rules, regulations, and other requirements of the Securities and Exchange Commission, any stock exchange upon which the Common Stock is then listed or any national automated quotation system on which the Common Stock is then quoted, any applicable Federal or state securities law, and any applicable corporate law, and the Committee may cause a legend or legends to be put on any such certificates to make appropriate reference to such restrictions. If necessary or advisable to prevent a violation of applicable securities laws or to avoid the imposition of public company reporting requirements, then, notwithstanding anything herein to the contrary, any stock-settled Awards shall be paid in cash in an amount equal to the Fair Market Value on the date of settlement of such Awards.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b w:val="1"/>
          <w:bCs w:val="1"/>
          <w:u w:val="single" w:color="auto"/>
          <w:color w:val="auto"/>
        </w:rPr>
        <w:t>Other Plans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Nothing contained in the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u w:val="single" w:color="auto"/>
          <w:color w:val="auto"/>
        </w:rPr>
        <w:t>No Right to Employment, Consultancy, or Directorship</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Neither the Plan nor the grant of any Award hereunder shall give any Participant or other person any right to employment, consultancy, or directorship by the Company or any Affiliate, or limit in any way the right of the Company or any Affiliate by which an employee is employed or a Consultant or Non-Employee Director is retained to terminate their employment, consultancy, or directorship at any time.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b w:val="1"/>
          <w:bCs w:val="1"/>
          <w:u w:val="single" w:color="auto"/>
          <w:color w:val="auto"/>
        </w:rPr>
        <w:t>Withholding of Taxes</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Company or any Affiliate shall have the right to deduct from any payment to be made pursuant to the Plan, or to otherwise require, before the issuance or delivery of any shares of Common Stock or the payment of any cash, payment by the Participant of any Federal, foreign, state, or local taxes required by law to be withheld. Upon the vesting of Restricted Stock (or other Award that is taxable upon vesting), or upon making an election under Section 83(b) of the Code, a Participant shall pay all required withholding to the Company or any Affiliate. Any statutorily required withholding obligation with regard to any Participant may be satisfied, subject to the consent of the Committee, by reducing the number of shares of Common Stock otherwise deliverable or by delivering shares of Common Stock already owned. Any fraction of a share of Common Stock required to satisfy such tax obligations shall be disregarded, and the amount due shall be paid instead in cash by the Participant.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0" w:right="279" w:bottom="1440" w:gutter="0" w:footer="0" w:header="0"/>
        </w:sectPr>
      </w:pPr>
    </w:p>
    <w:bookmarkStart w:id="519" w:name="page520"/>
    <w:bookmarkEnd w:id="51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13.5 </w:t>
      </w:r>
      <w:r>
        <w:rPr>
          <w:rFonts w:ascii="Arial" w:cs="Arial" w:eastAsia="Arial" w:hAnsi="Arial"/>
          <w:sz w:val="18"/>
          <w:szCs w:val="18"/>
          <w:b w:val="1"/>
          <w:bCs w:val="1"/>
          <w:u w:val="single" w:color="auto"/>
          <w:color w:val="auto"/>
        </w:rPr>
        <w:t>No Assignment of Benefits</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Award or other benefit payable under the Plan shall, except as otherwise specifically provided in the Plan or permitted by the Committee, be Transferable in any manner, and any attempt to Transfer any such benefit shall be null and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b w:val="1"/>
          <w:bCs w:val="1"/>
          <w:u w:val="single" w:color="auto"/>
          <w:color w:val="auto"/>
        </w:rPr>
        <w:t>Listing and Other Conditions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40" w:firstLine="921"/>
        <w:spacing w:after="0" w:line="279" w:lineRule="auto"/>
        <w:tabs>
          <w:tab w:leader="none" w:pos="1158" w:val="left"/>
        </w:tabs>
        <w:numPr>
          <w:ilvl w:val="0"/>
          <w:numId w:val="420"/>
        </w:numPr>
        <w:rPr>
          <w:rFonts w:ascii="Arial" w:cs="Arial" w:eastAsia="Arial" w:hAnsi="Arial"/>
          <w:sz w:val="17"/>
          <w:szCs w:val="17"/>
          <w:color w:val="auto"/>
        </w:rPr>
      </w:pPr>
      <w:r>
        <w:rPr>
          <w:rFonts w:ascii="Arial" w:cs="Arial" w:eastAsia="Arial" w:hAnsi="Arial"/>
          <w:sz w:val="17"/>
          <w:szCs w:val="17"/>
          <w:color w:val="auto"/>
        </w:rPr>
        <w:t>Unless otherwise determined by the Committee, as long as the Common Stock is listed on a national securities exchange or system sponsored by a national securities association, the issuance of shares of Common Stock pursuant to an Award shall be conditioned upon such shares being listed on such exchange or system. The Company shall have no obligation to issue such shares unless and until such shares are so listed, and the right to exercise any Stock Option or other Exercisable Award with respect to such shares shall be suspended until such listing has been effected.</w:t>
      </w:r>
    </w:p>
    <w:p>
      <w:pPr>
        <w:spacing w:after="0" w:line="63" w:lineRule="exact"/>
        <w:rPr>
          <w:rFonts w:ascii="Arial" w:cs="Arial" w:eastAsia="Arial" w:hAnsi="Arial"/>
          <w:sz w:val="17"/>
          <w:szCs w:val="17"/>
          <w:color w:val="auto"/>
        </w:rPr>
      </w:pPr>
    </w:p>
    <w:p>
      <w:pPr>
        <w:ind w:right="60" w:firstLine="921"/>
        <w:spacing w:after="0" w:line="273" w:lineRule="auto"/>
        <w:tabs>
          <w:tab w:leader="none" w:pos="1168" w:val="left"/>
        </w:tabs>
        <w:numPr>
          <w:ilvl w:val="0"/>
          <w:numId w:val="420"/>
        </w:numPr>
        <w:rPr>
          <w:rFonts w:ascii="Arial" w:cs="Arial" w:eastAsia="Arial" w:hAnsi="Arial"/>
          <w:sz w:val="17"/>
          <w:szCs w:val="17"/>
          <w:color w:val="auto"/>
        </w:rPr>
      </w:pPr>
      <w:r>
        <w:rPr>
          <w:rFonts w:ascii="Arial" w:cs="Arial" w:eastAsia="Arial" w:hAnsi="Arial"/>
          <w:sz w:val="17"/>
          <w:szCs w:val="17"/>
          <w:color w:val="auto"/>
        </w:rPr>
        <w:t>If at any time counsel to the Company shall be of the opinion that any offer or sale of Common Stock pursuant to an Award is or may be unlawful or prohibited, or will or may result in the imposition of excise taxes on the Company, under the statutes, rules, or regulations of any applicable jurisdiction or under the rules of the national securities exchange on which the Common Stock then is listed, the Company shall have no obligation to make such offer or sale, or to make any application or to effect or to maintain any qualification or registration under the Securities Act or otherwise, with respect to the Common Stock or Awards, and the right to exercise any Stock Option or other Exercisable Award shall be suspended until, in the opinion of said counsel, such offer or sale shall be lawful, permitted, or will not result in the imposition of excise taxes on the Company.</w:t>
      </w:r>
    </w:p>
    <w:p>
      <w:pPr>
        <w:spacing w:after="0" w:line="70" w:lineRule="exact"/>
        <w:rPr>
          <w:rFonts w:ascii="Arial" w:cs="Arial" w:eastAsia="Arial" w:hAnsi="Arial"/>
          <w:sz w:val="17"/>
          <w:szCs w:val="17"/>
          <w:color w:val="auto"/>
        </w:rPr>
      </w:pPr>
    </w:p>
    <w:p>
      <w:pPr>
        <w:ind w:firstLine="921"/>
        <w:spacing w:after="0" w:line="264" w:lineRule="auto"/>
        <w:tabs>
          <w:tab w:leader="none" w:pos="1158" w:val="left"/>
        </w:tabs>
        <w:numPr>
          <w:ilvl w:val="0"/>
          <w:numId w:val="420"/>
        </w:numPr>
        <w:rPr>
          <w:rFonts w:ascii="Arial" w:cs="Arial" w:eastAsia="Arial" w:hAnsi="Arial"/>
          <w:sz w:val="18"/>
          <w:szCs w:val="18"/>
          <w:color w:val="auto"/>
        </w:rPr>
      </w:pPr>
      <w:r>
        <w:rPr>
          <w:rFonts w:ascii="Arial" w:cs="Arial" w:eastAsia="Arial" w:hAnsi="Arial"/>
          <w:sz w:val="18"/>
          <w:szCs w:val="18"/>
          <w:color w:val="auto"/>
        </w:rPr>
        <w:t>Upon termination of any period of suspension under this Section 13.6, any Award affected by such suspension that shall not then have expired or terminated shall be reinstated as to all shares available before such suspension and as to shares that would otherwise have become available during the period of such suspension, but no such suspension shall extend the term of any Award.</w:t>
      </w:r>
    </w:p>
    <w:p>
      <w:pPr>
        <w:spacing w:after="0" w:line="73" w:lineRule="exact"/>
        <w:rPr>
          <w:rFonts w:ascii="Arial" w:cs="Arial" w:eastAsia="Arial" w:hAnsi="Arial"/>
          <w:sz w:val="18"/>
          <w:szCs w:val="18"/>
          <w:color w:val="auto"/>
        </w:rPr>
      </w:pPr>
    </w:p>
    <w:p>
      <w:pPr>
        <w:ind w:right="100" w:firstLine="921"/>
        <w:spacing w:after="0" w:line="264" w:lineRule="auto"/>
        <w:tabs>
          <w:tab w:leader="none" w:pos="1168"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 Participant shall be required to supply the Company with certificates, representations, and information that the Company requests and otherwise cooperate with the Company in obtaining any listing, registration, qualification, exemption, consent, or approval the Company deems necessary or appropriate.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Plan and matters arising under or related to it shall be governed by and construed in accordance with the internal laws of the State of Delaware without giving effect to its principles of conflicts of laws.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w:t>
      </w:r>
    </w:p>
    <w:p>
      <w:pPr>
        <w:spacing w:after="0" w:line="229"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Wherever any words are used in the Plan in the masculine, feminine, or neutral gender they shall be construed as though they were also used in the masculine, feminine, or neutral gender (as the case may be) in all cases where they would so apply. As used herein, (a) “or” shall mean “and/or,” and</w:t>
      </w:r>
    </w:p>
    <w:p>
      <w:pPr>
        <w:ind w:right="540" w:firstLine="8"/>
        <w:spacing w:after="0" w:line="261" w:lineRule="auto"/>
        <w:tabs>
          <w:tab w:leader="none" w:pos="25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“including” or “include” shall mean “including, without limitation.” Any reference herein to an agreement in writing shall be deemed to include an electronic writing to the extent permitted by applicable law.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0" w:right="259" w:bottom="1440" w:gutter="0" w:footer="0" w:header="0"/>
        </w:sectPr>
      </w:pPr>
    </w:p>
    <w:bookmarkStart w:id="520" w:name="page521"/>
    <w:bookmarkEnd w:id="52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13.9 </w:t>
      </w:r>
      <w:r>
        <w:rPr>
          <w:rFonts w:ascii="Arial" w:cs="Arial" w:eastAsia="Arial" w:hAnsi="Arial"/>
          <w:sz w:val="18"/>
          <w:szCs w:val="18"/>
          <w:b w:val="1"/>
          <w:bCs w:val="1"/>
          <w:u w:val="single" w:color="auto"/>
          <w:color w:val="auto"/>
        </w:rPr>
        <w:t>No Acquired Rights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By participating in the Plan, each Participant is deemed to acknowledge and accept that the Committee has the sole discretion to amend or terminate the Plan, to the extent permitted hereunder, at any time and that the opportunity given to a Participant to participate in the Plan is at the sole discretion of the Committee and does not obligate the Company or any Affiliate to offer such participation in the future (whether on the same or different terms). By participating in the Plan, each Participant is deemed further to acknowledge and accept that (i) such Participant’s participation in the Plan is not to be considered part of any normal or expected compensation, (ii) the value of Awards granted to a Participant shall not be used for purposes of determining any benefits or compensation payable to the Participant or the Participant’s beneficiaries or estate under any benefit arrangement of the Company or its Affiliates, and (iii) the termination of the Participant’s employment with the Company or an Affiliate under any circumstance whatsoever will not give the Participant any claim or right of action against the Company or any of its Affiliates in respect of any lost rights under the Plan that may arise as a result of such termination of employment.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13.10 </w:t>
      </w:r>
      <w:r>
        <w:rPr>
          <w:rFonts w:ascii="Arial" w:cs="Arial" w:eastAsia="Arial" w:hAnsi="Arial"/>
          <w:sz w:val="18"/>
          <w:szCs w:val="18"/>
          <w:b w:val="1"/>
          <w:bCs w:val="1"/>
          <w:u w:val="single" w:color="auto"/>
          <w:color w:val="auto"/>
        </w:rPr>
        <w:t>Data Protection</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By participating in the Plan, each Participant shall consent to the holding and processing of personal information provided by such Participant to the Company, any Affiliate, trustee, or third-party service provider for all purposes relating to the operation of the Plan. These include: (i) administering and maintaining Participant records; (ii) providing information to the Company, Affiliates, trustees of any employee benefit trust, registrars, brokers, or third-party administrators of the Plan; (iii) providing information to future purchasers or merger partners of the Company or any Affiliate or the business in which the Participant works; and (iv) transferring personal information about the Participant to any country or territory that may not provide the same protection for the information as the Participant’s home country. Such personal information may include the Participant’s name, home address, and telephone number; date of birth; social security or insurance number; other identification number; salary; nationality; job title; any shares or directorships held in the Company or an Affiliate; and details of all Awards or other entitlement to shares awarded, canceled, exercised, vested, unvested, or outstanding in a Participant’s favor.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13.11 </w:t>
      </w:r>
      <w:r>
        <w:rPr>
          <w:rFonts w:ascii="Arial" w:cs="Arial" w:eastAsia="Arial" w:hAnsi="Arial"/>
          <w:sz w:val="18"/>
          <w:szCs w:val="18"/>
          <w:b w:val="1"/>
          <w:bCs w:val="1"/>
          <w:u w:val="single" w:color="auto"/>
          <w:color w:val="auto"/>
        </w:rPr>
        <w:t>Costs</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shall bear all expenses associated with administering the Plan, including expenses of issuing Common Stock pursuant to any Awards.</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13.12 </w:t>
      </w:r>
      <w:r>
        <w:rPr>
          <w:rFonts w:ascii="Arial" w:cs="Arial" w:eastAsia="Arial" w:hAnsi="Arial"/>
          <w:sz w:val="18"/>
          <w:szCs w:val="18"/>
          <w:b w:val="1"/>
          <w:bCs w:val="1"/>
          <w:u w:val="single" w:color="auto"/>
          <w:color w:val="auto"/>
        </w:rPr>
        <w:t>No Right to Same Benefits</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provisions of Awards need not be the same with respect to each Participant, and each Award to an individual Participant need not be the same.</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13.13 </w:t>
      </w:r>
      <w:r>
        <w:rPr>
          <w:rFonts w:ascii="Arial" w:cs="Arial" w:eastAsia="Arial" w:hAnsi="Arial"/>
          <w:sz w:val="18"/>
          <w:szCs w:val="18"/>
          <w:b w:val="1"/>
          <w:bCs w:val="1"/>
          <w:u w:val="single" w:color="auto"/>
          <w:color w:val="auto"/>
        </w:rPr>
        <w:t>Death or Disability</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Committee may require the transferee of a Participant to supply it with written notice of the Participant’s death or Disability and to supply it with a copy of the will (in the case of the Participant’s death) or such other evidence as the Committee deems necessary or advisable to establish the validity of the transfer of an Award. The Committee also may require that the transferee agree to be bound by all of the terms and conditions of the Plan.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9" w:right="239" w:bottom="1440" w:gutter="0" w:footer="0" w:header="0"/>
        </w:sectPr>
      </w:pPr>
    </w:p>
    <w:bookmarkStart w:id="521" w:name="page522"/>
    <w:bookmarkEnd w:id="52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13.14 </w:t>
      </w:r>
      <w:r>
        <w:rPr>
          <w:rFonts w:ascii="Arial" w:cs="Arial" w:eastAsia="Arial" w:hAnsi="Arial"/>
          <w:sz w:val="18"/>
          <w:szCs w:val="18"/>
          <w:b w:val="1"/>
          <w:bCs w:val="1"/>
          <w:u w:val="single" w:color="auto"/>
          <w:color w:val="auto"/>
        </w:rPr>
        <w:t>Section 16(b) of the Exchange Act</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All elections and transactions under the Plan by persons subject to Section 16 of the Exchange Act involving shares of Common Stock are intended to comply with any applicable exemptive condition under Rule 16b-3. The Committee may establish and adopt written administrative guidelines, designed to facilitate compliance with Section 16(b) of the Exchange Act, as it may deem necessary or advisable for the administration and operation of the Plan and the transaction of business thereunder.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13.15 </w:t>
      </w: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Although the Company does not guarantee to a Participant the particular tax treatment of any Award, all Awards are intended to comply with, or be exempt from, the requirements of Section 409A, and the Plan and any Award agreement shall be limited, construed, and interpreted in accordance with such intent. To the extent that any Award constitutes “non-qualified deferred compensation” pursuant to Section 409A (a “</w:t>
      </w:r>
      <w:r>
        <w:rPr>
          <w:rFonts w:ascii="Arial" w:cs="Arial" w:eastAsia="Arial" w:hAnsi="Arial"/>
          <w:sz w:val="17"/>
          <w:szCs w:val="17"/>
          <w:b w:val="1"/>
          <w:bCs w:val="1"/>
          <w:u w:val="single" w:color="auto"/>
          <w:color w:val="auto"/>
        </w:rPr>
        <w:t>Section 409A Covered Award</w:t>
      </w:r>
      <w:r>
        <w:rPr>
          <w:rFonts w:ascii="Arial" w:cs="Arial" w:eastAsia="Arial" w:hAnsi="Arial"/>
          <w:sz w:val="17"/>
          <w:szCs w:val="17"/>
          <w:color w:val="auto"/>
        </w:rPr>
        <w:t>”), it is intended to be paid in a manner that will comply with Section 409A. In no event shall the Company be liable for any additional tax, interest, or penalties that may be imposed on a Participant by Section 409A or for any damages or other penalties or awards for failing to comply with Section 409A. Notwithstanding anything herein or in an Award to the contrary, the following provisions shall apply to Section 409A Covered Awards:</w:t>
      </w:r>
    </w:p>
    <w:p>
      <w:pPr>
        <w:spacing w:after="0" w:line="70" w:lineRule="exact"/>
        <w:rPr>
          <w:sz w:val="20"/>
          <w:szCs w:val="20"/>
          <w:color w:val="auto"/>
        </w:rPr>
      </w:pPr>
    </w:p>
    <w:p>
      <w:pPr>
        <w:ind w:firstLine="921"/>
        <w:spacing w:after="0" w:line="269" w:lineRule="auto"/>
        <w:tabs>
          <w:tab w:leader="none" w:pos="1158" w:val="left"/>
        </w:tabs>
        <w:numPr>
          <w:ilvl w:val="0"/>
          <w:numId w:val="422"/>
        </w:numPr>
        <w:rPr>
          <w:rFonts w:ascii="Arial" w:cs="Arial" w:eastAsia="Arial" w:hAnsi="Arial"/>
          <w:sz w:val="17"/>
          <w:szCs w:val="17"/>
          <w:color w:val="auto"/>
        </w:rPr>
      </w:pPr>
      <w:r>
        <w:rPr>
          <w:rFonts w:ascii="Arial" w:cs="Arial" w:eastAsia="Arial" w:hAnsi="Arial"/>
          <w:sz w:val="17"/>
          <w:szCs w:val="17"/>
          <w:color w:val="auto"/>
        </w:rPr>
        <w:t>A termination of employment shall not be deemed to have occurred for purposes of any provision of a Section 409A Covered Award providing for payment upon or following a termination of the Participant’s employment unless such termination is also a “separation from service” within the meaning of Section 409A and, for purposes of any such provision of a Section 409A Covered Award, references to a “termination,” “termination of employment,” or like terms shall mean separation from service within the meaning of Section 409A. Notwithstanding anything herein or in an Award to the contrary, if the Participant is deemed on the date of the Participant’s Termination to be a “specified employee” within the meaning of that term under Section 409A(a)(2)(B) of the Code and using the identification methodology selected by the Company from time to time, or if none, the default methodology set forth in Section 409A, then with regard to any such payment under a Section 409A Covered Award, to the extent required to be delayed in compliance with Section 409A(a)(2)(B) of the Code, such payment shall not be made before the earlier of (i) the expiration of the six-month period measured from the date of the Participant’s separation from service, and (ii) the date of the Participant’s death. All payments delayed pursuant to this Section 13.15(a) shall be paid to the Participant on the first day of the seventh month following the date of the Participant’s separation from service or, if earlier, on the date of the Participant’s death.</w:t>
      </w:r>
    </w:p>
    <w:p>
      <w:pPr>
        <w:spacing w:after="0" w:line="74" w:lineRule="exact"/>
        <w:rPr>
          <w:rFonts w:ascii="Arial" w:cs="Arial" w:eastAsia="Arial" w:hAnsi="Arial"/>
          <w:sz w:val="17"/>
          <w:szCs w:val="17"/>
          <w:color w:val="auto"/>
        </w:rPr>
      </w:pPr>
    </w:p>
    <w:p>
      <w:pPr>
        <w:ind w:right="140" w:firstLine="921"/>
        <w:spacing w:after="0" w:line="259" w:lineRule="auto"/>
        <w:tabs>
          <w:tab w:leader="none" w:pos="1168" w:val="left"/>
        </w:tabs>
        <w:numPr>
          <w:ilvl w:val="0"/>
          <w:numId w:val="422"/>
        </w:numPr>
        <w:rPr>
          <w:rFonts w:ascii="Arial" w:cs="Arial" w:eastAsia="Arial" w:hAnsi="Arial"/>
          <w:sz w:val="18"/>
          <w:szCs w:val="18"/>
          <w:color w:val="auto"/>
        </w:rPr>
      </w:pPr>
      <w:r>
        <w:rPr>
          <w:rFonts w:ascii="Arial" w:cs="Arial" w:eastAsia="Arial" w:hAnsi="Arial"/>
          <w:sz w:val="18"/>
          <w:szCs w:val="18"/>
          <w:color w:val="auto"/>
        </w:rPr>
        <w:t>With respect to any payment pursuant to a Section 409A Covered Award that is triggered upon a Change in Control, unless otherwise provided by the Committee in the applicable Award agreement, the settlement of such Award shall not occur until the earliest of (i) the Change in Control if such Change in Control constitutes a “change in the ownership of the corporation,” a “change in effective control of the corporation,” or a “change in the ownership of a substantial portion of the assets of the corporation,” within the meaning of</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0" w:right="299" w:bottom="1440" w:gutter="0" w:footer="0" w:header="0"/>
        </w:sectPr>
      </w:pPr>
    </w:p>
    <w:bookmarkStart w:id="522" w:name="page523"/>
    <w:bookmarkEnd w:id="5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409A(a)(2)(A)(v) of the Code, (ii) the date such Award otherwise would be settled pursuant to the terms of the applicable Award agreement, and</w:t>
      </w:r>
    </w:p>
    <w:p>
      <w:pPr>
        <w:spacing w:after="0" w:line="46" w:lineRule="exact"/>
        <w:rPr>
          <w:sz w:val="20"/>
          <w:szCs w:val="20"/>
          <w:color w:val="auto"/>
        </w:rPr>
      </w:pPr>
    </w:p>
    <w:p>
      <w:pPr>
        <w:ind w:left="320" w:hanging="312"/>
        <w:spacing w:after="0"/>
        <w:tabs>
          <w:tab w:leader="none" w:pos="3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Participant’s “separation from service” within the meaning of Section 409A, subject to Section 13.15(a).</w:t>
      </w:r>
    </w:p>
    <w:p>
      <w:pPr>
        <w:spacing w:after="0" w:line="102" w:lineRule="exact"/>
        <w:rPr>
          <w:rFonts w:ascii="Arial" w:cs="Arial" w:eastAsia="Arial" w:hAnsi="Arial"/>
          <w:sz w:val="18"/>
          <w:szCs w:val="18"/>
          <w:color w:val="auto"/>
        </w:rPr>
      </w:pPr>
    </w:p>
    <w:p>
      <w:pPr>
        <w:ind w:right="480" w:firstLine="921"/>
        <w:spacing w:after="0" w:line="277" w:lineRule="auto"/>
        <w:tabs>
          <w:tab w:leader="none" w:pos="1158" w:val="left"/>
        </w:tabs>
        <w:numPr>
          <w:ilvl w:val="1"/>
          <w:numId w:val="423"/>
        </w:numPr>
        <w:rPr>
          <w:rFonts w:ascii="Arial" w:cs="Arial" w:eastAsia="Arial" w:hAnsi="Arial"/>
          <w:sz w:val="18"/>
          <w:szCs w:val="18"/>
          <w:color w:val="auto"/>
        </w:rPr>
      </w:pPr>
      <w:r>
        <w:rPr>
          <w:rFonts w:ascii="Arial" w:cs="Arial" w:eastAsia="Arial" w:hAnsi="Arial"/>
          <w:sz w:val="18"/>
          <w:szCs w:val="18"/>
          <w:color w:val="auto"/>
        </w:rPr>
        <w:t>For purposes of Section 409A, a Participant’s right to receive any installment payments under the Plan or pursuant to an Award shall be treated as a right to receive a series of separate and distinct payments.</w:t>
      </w:r>
    </w:p>
    <w:p>
      <w:pPr>
        <w:spacing w:after="0" w:line="62" w:lineRule="exact"/>
        <w:rPr>
          <w:rFonts w:ascii="Arial" w:cs="Arial" w:eastAsia="Arial" w:hAnsi="Arial"/>
          <w:sz w:val="18"/>
          <w:szCs w:val="18"/>
          <w:color w:val="auto"/>
        </w:rPr>
      </w:pPr>
    </w:p>
    <w:p>
      <w:pPr>
        <w:jc w:val="both"/>
        <w:ind w:right="120" w:firstLine="921"/>
        <w:spacing w:after="0" w:line="264" w:lineRule="auto"/>
        <w:tabs>
          <w:tab w:leader="none" w:pos="1168" w:val="left"/>
        </w:tabs>
        <w:numPr>
          <w:ilvl w:val="1"/>
          <w:numId w:val="423"/>
        </w:numPr>
        <w:rPr>
          <w:rFonts w:ascii="Arial" w:cs="Arial" w:eastAsia="Arial" w:hAnsi="Arial"/>
          <w:sz w:val="18"/>
          <w:szCs w:val="18"/>
          <w:color w:val="auto"/>
        </w:rPr>
      </w:pPr>
      <w:r>
        <w:rPr>
          <w:rFonts w:ascii="Arial" w:cs="Arial" w:eastAsia="Arial" w:hAnsi="Arial"/>
          <w:sz w:val="18"/>
          <w:szCs w:val="18"/>
          <w:color w:val="auto"/>
        </w:rPr>
        <w:t>Whenever a payment under the Plan or pursuant to an Award specifies a payment period with reference to a number of days (e.g., “payment shall be made within 30 days following the date of termination”), the actual date of payment within the specified period shall be within the sole discretion of the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13.16 </w:t>
      </w:r>
      <w:r>
        <w:rPr>
          <w:rFonts w:ascii="Arial" w:cs="Arial" w:eastAsia="Arial" w:hAnsi="Arial"/>
          <w:sz w:val="18"/>
          <w:szCs w:val="18"/>
          <w:b w:val="1"/>
          <w:bCs w:val="1"/>
          <w:u w:val="single" w:color="auto"/>
          <w:color w:val="auto"/>
        </w:rPr>
        <w:t>Successor and Assigns</w:t>
      </w:r>
      <w:r>
        <w:rPr>
          <w:rFonts w:ascii="Arial" w:cs="Arial" w:eastAsia="Arial" w:hAnsi="Arial"/>
          <w:sz w:val="18"/>
          <w:szCs w:val="18"/>
          <w:b w:val="1"/>
          <w:bCs w:val="1"/>
          <w:color w:val="auto"/>
        </w:rPr>
        <w:t>.</w:t>
      </w:r>
    </w:p>
    <w:p>
      <w:pPr>
        <w:spacing w:after="0" w:line="229"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The Plan shall be binding on all successors and permitted assigns of a Participant, including the estate of such Participant and the executor, administrator, or trustee of such estate.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13.17 </w:t>
      </w:r>
      <w:r>
        <w:rPr>
          <w:rFonts w:ascii="Arial" w:cs="Arial" w:eastAsia="Arial" w:hAnsi="Arial"/>
          <w:sz w:val="18"/>
          <w:szCs w:val="18"/>
          <w:b w:val="1"/>
          <w:bCs w:val="1"/>
          <w:u w:val="single" w:color="auto"/>
          <w:color w:val="auto"/>
        </w:rPr>
        <w:t>Severability of Provisions</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any provision of the Plan shall be held invalid or unenforceable, such invalidity or unenforceability shall not affect any other provisions hereof, and the Plan shall be construed and enforced as if such provisions had not been included.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13.18 </w:t>
      </w:r>
      <w:r>
        <w:rPr>
          <w:rFonts w:ascii="Arial" w:cs="Arial" w:eastAsia="Arial" w:hAnsi="Arial"/>
          <w:sz w:val="18"/>
          <w:szCs w:val="18"/>
          <w:b w:val="1"/>
          <w:bCs w:val="1"/>
          <w:u w:val="single" w:color="auto"/>
          <w:color w:val="auto"/>
        </w:rPr>
        <w:t>Participants Subject to Taxation Outside the U.S.; No Tax Equalization</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With respect to a Participant who is subject to taxation in a country other than the United States, the Committee may grant Awards to such Participant on such terms and conditions as the Committee deems appropriate to comply with the laws of the applicable country, and the Committee may create such procedures, addenda, and subplans and make such modifications as may, in the Committee’s discretion, be necessary or desirable to comply with such laws. Neither the Company nor any Affiliate shall have any responsibility to such Participant with respect to any taxes owed or owing in or to any jurisdiction that such Participant incurs as a result of receiving an Award and becoming a Participant in the Plan, nor shall the Company or any Affiliate provide any tax equalization payment to any Participant in respect of taxes owed or owing in or to any jurisdiction by a Participant.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13.19 </w:t>
      </w:r>
      <w:r>
        <w:rPr>
          <w:rFonts w:ascii="Arial" w:cs="Arial" w:eastAsia="Arial" w:hAnsi="Arial"/>
          <w:sz w:val="18"/>
          <w:szCs w:val="18"/>
          <w:b w:val="1"/>
          <w:bCs w:val="1"/>
          <w:u w:val="single" w:color="auto"/>
          <w:color w:val="auto"/>
        </w:rPr>
        <w:t>Payments to Minors, Etc</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Any benefit payable to or for the benefit of a minor, an incompetent person, or other person incapable of receipt thereof shall be deemed paid when paid to such person’s guardian or to the party providing or reasonably appearing to provide for the care of such person, and such payment shall fully discharge the Committee, the Board, the Company, its Affiliates, and their employees, agents, and representatives with respect thereto.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13.20 </w:t>
      </w:r>
      <w:r>
        <w:rPr>
          <w:rFonts w:ascii="Arial" w:cs="Arial" w:eastAsia="Arial" w:hAnsi="Arial"/>
          <w:sz w:val="18"/>
          <w:szCs w:val="18"/>
          <w:b w:val="1"/>
          <w:bCs w:val="1"/>
          <w:u w:val="single" w:color="auto"/>
          <w:color w:val="auto"/>
        </w:rPr>
        <w:t>Headings and Captions</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headings and captions herein are provided for reference and convenience only, shall not be considered part of the Plan, and shall not be employed in the construction of the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3" w:right="259" w:bottom="1440" w:gutter="0" w:footer="0" w:header="0"/>
        </w:sectPr>
      </w:pPr>
    </w:p>
    <w:bookmarkStart w:id="523" w:name="page524"/>
    <w:bookmarkEnd w:id="52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13.21 </w:t>
      </w:r>
      <w:r>
        <w:rPr>
          <w:rFonts w:ascii="Arial" w:cs="Arial" w:eastAsia="Arial" w:hAnsi="Arial"/>
          <w:sz w:val="18"/>
          <w:szCs w:val="18"/>
          <w:b w:val="1"/>
          <w:bCs w:val="1"/>
          <w:u w:val="single" w:color="auto"/>
          <w:color w:val="auto"/>
        </w:rPr>
        <w:t>Recoupment</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addition to any recoupment provisions set forth herein relating to Detrimental Activity, all Awards granted or other compensation paid by the Company under the Plan, including any shares of Common Stock issued under any Award thereunder, will be subject to: (i) any compensation recapture policies established by the Board or the Committee from time to time and in effect at the time of grant of the Award, and (ii) any compensation recapture policies to the extent required pursuant to any applicable law (including, without limitation, the Dodd-Frank Act) or the rules and regulations of any national securities exchange on which the shares of Common Stock are then traded.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13.22 </w:t>
      </w:r>
      <w:r>
        <w:rPr>
          <w:rFonts w:ascii="Arial" w:cs="Arial" w:eastAsia="Arial" w:hAnsi="Arial"/>
          <w:sz w:val="18"/>
          <w:szCs w:val="18"/>
          <w:b w:val="1"/>
          <w:bCs w:val="1"/>
          <w:u w:val="single" w:color="auto"/>
          <w:color w:val="auto"/>
        </w:rPr>
        <w:t>Reformation</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any provision regarding Detrimental Activity or any other provision set forth in the Plan or an Award agreement is found by any court of competent jurisdiction or arbitrator to be invalid, null, void, or unenforceable or to be excessively broad as to duration, activity, geographic application, or subject, such provision or provisions shall be construed by limiting or reducing them to the extent legally permitted so as to be enforceable to the maximum extent compatible with then applicable law.</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13.23 </w:t>
      </w:r>
      <w:r>
        <w:rPr>
          <w:rFonts w:ascii="Arial" w:cs="Arial" w:eastAsia="Arial" w:hAnsi="Arial"/>
          <w:sz w:val="18"/>
          <w:szCs w:val="18"/>
          <w:b w:val="1"/>
          <w:bCs w:val="1"/>
          <w:u w:val="single" w:color="auto"/>
          <w:color w:val="auto"/>
        </w:rPr>
        <w:t>Electronic Communications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Notwithstanding anything herein or in any Award to the contrary, any Award agreement, notice of exercise of an Exercisable Award, or other document or notice required or permitted by the Plan or an Award that is required to be delivered in writing may, to the extent determined by the Committee, be delivered and accepted electronically. Signatures also may be electronic if permitted by the Committee. The term “written agreement” as used in the Plan shall include any document that is delivered or accepted electronically.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13.24 </w:t>
      </w: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condition to the grant of an Award, if requested by the Company and the lead underwriter of any public offering of the Common Stock (the “</w:t>
      </w:r>
      <w:r>
        <w:rPr>
          <w:rFonts w:ascii="Arial" w:cs="Arial" w:eastAsia="Arial" w:hAnsi="Arial"/>
          <w:sz w:val="16"/>
          <w:szCs w:val="16"/>
          <w:b w:val="1"/>
          <w:bCs w:val="1"/>
          <w:u w:val="single" w:color="auto"/>
          <w:color w:val="auto"/>
        </w:rPr>
        <w:t>Lead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Underwriter</w:t>
      </w:r>
      <w:r>
        <w:rPr>
          <w:rFonts w:ascii="Arial" w:cs="Arial" w:eastAsia="Arial" w:hAnsi="Arial"/>
          <w:sz w:val="16"/>
          <w:szCs w:val="16"/>
          <w:color w:val="auto"/>
        </w:rPr>
        <w:t>”), a Participant shall irrevocably agree, and by acceptance of an Award shall irrevocably be deemed to have agreed, not to sell, contract to sell,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 any option to purchase, transfer the economic risk of ownership in, make any short sale of, pledge, or otherwise Transfer or dispose of, any interest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Common Stock or any securities convertible into, derivative of, or exchangeable or exercisable for Common Stock, or any other rights to purchase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 Common Stock (except Common Stock included in such public offering or acquired on the public market after such offering) during such period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following the effective date of a registration statement of the Company filed under the Securities Act that the Lead Underwriter shall specify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Lock-up Period</w:t>
      </w:r>
      <w:r>
        <w:rPr>
          <w:rFonts w:ascii="Arial" w:cs="Arial" w:eastAsia="Arial" w:hAnsi="Arial"/>
          <w:sz w:val="16"/>
          <w:szCs w:val="16"/>
          <w:color w:val="auto"/>
        </w:rPr>
        <w:t>”). The Participant shall further agree to sign such documents as may be requested by the Lead Underwriter to effect the foregoing and agree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Company may impose stop-transfer instructions with respect to Common Stock acquired pursuant to an Award until the end of such Lock-up Period.</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13.25 </w:t>
      </w:r>
      <w:r>
        <w:rPr>
          <w:rFonts w:ascii="Arial" w:cs="Arial" w:eastAsia="Arial" w:hAnsi="Arial"/>
          <w:sz w:val="18"/>
          <w:szCs w:val="18"/>
          <w:b w:val="1"/>
          <w:bCs w:val="1"/>
          <w:u w:val="single" w:color="auto"/>
          <w:color w:val="auto"/>
        </w:rPr>
        <w:t>Transition Period</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Plan has been adopted by the Board before the occurrence of a Registration Date. The Plan is intended to constitute a plan described in Treasury Regulation § 1.162-27(f)(1).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69" w:right="239" w:bottom="1440" w:gutter="0" w:footer="0" w:header="0"/>
        </w:sectPr>
      </w:pPr>
    </w:p>
    <w:bookmarkStart w:id="524" w:name="page525"/>
    <w:bookmarkEnd w:id="5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EFFECTIVE DATE OF PLAN</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Plan was adopted by the Board on December 13, 2017, to be effective on the date of effectiveness of the registration statement on Form S-1 filed by the Company with the Securities and Exchange Commission for the initial public offering of the Common Stock (the “</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The Plan was approved by the stockholders of the Company on December 18, 2017.</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 OF PLAN</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No Award shall be granted on or after the tenth anniversary of the earlier of (a) the Effective Date or (b) the date of stockholder approval of the Plan,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Awards granted before the tenth anniversary of the Plan’s adoption by the Board may extend beyond that date in accordance with the terms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Following the Transition Period, the Company may seek stockholder re-approval of the Performance Criteria to the extent that such stockholder approval is obtained no later than the first stockholder meeting that occurs in the fifth year following the year in which such stockholders previously approved the Performance Criteria. Awards (other than Stock Options or stock appreciation rights) may be based on such Performance Criteria to qualify for the “performance-based compensation” exception under Section 162(m) of the Code.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525" w:name="page526"/>
    <w:bookmarkEnd w:id="5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OLID</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O</w:t>
      </w:r>
      <w:r>
        <w:rPr>
          <w:rFonts w:ascii="Arial" w:cs="Arial" w:eastAsia="Arial" w:hAnsi="Arial"/>
          <w:sz w:val="15"/>
          <w:szCs w:val="15"/>
          <w:b w:val="1"/>
          <w:bCs w:val="1"/>
          <w:color w:val="auto"/>
        </w:rPr>
        <w:t>MNIBUS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 P</w:t>
      </w:r>
      <w:r>
        <w:rPr>
          <w:rFonts w:ascii="Arial" w:cs="Arial" w:eastAsia="Arial" w:hAnsi="Arial"/>
          <w:sz w:val="15"/>
          <w:szCs w:val="15"/>
          <w:b w:val="1"/>
          <w:bCs w:val="1"/>
          <w:color w:val="auto"/>
        </w:rPr>
        <w:t>ERFORMANCE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RITERIA</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Performance goals established for purposes of the grant or vesting of performance-based Awards of Restricted Stock, Other Stock-Based Awards, or Performance-Based Cash Awards that are intended to be “performance-based” under Section 162(m) shall be based on one or more of the following performance criteria (“</w:t>
      </w:r>
      <w:r>
        <w:rPr>
          <w:rFonts w:ascii="Arial" w:cs="Arial" w:eastAsia="Arial" w:hAnsi="Arial"/>
          <w:sz w:val="18"/>
          <w:szCs w:val="18"/>
          <w:b w:val="1"/>
          <w:bCs w:val="1"/>
          <w:u w:val="single" w:color="auto"/>
          <w:color w:val="auto"/>
        </w:rPr>
        <w:t>Performance Criteria</w:t>
      </w:r>
      <w:r>
        <w:rPr>
          <w:rFonts w:ascii="Arial" w:cs="Arial" w:eastAsia="Arial" w:hAnsi="Arial"/>
          <w:sz w:val="18"/>
          <w:szCs w:val="18"/>
          <w:color w:val="auto"/>
        </w:rPr>
        <w:t>”):</w:t>
      </w:r>
    </w:p>
    <w:p>
      <w:pPr>
        <w:spacing w:after="0" w:line="87" w:lineRule="exact"/>
        <w:rPr>
          <w:sz w:val="20"/>
          <w:szCs w:val="20"/>
          <w:color w:val="auto"/>
        </w:rPr>
      </w:pPr>
    </w:p>
    <w:p>
      <w:pPr>
        <w:ind w:left="900" w:hanging="446"/>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enterprise value or value creation targets;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income or net income; operating income; net operating income or net operating income after tax; operating profit or net operating profit;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cash flow, including but not limited to, from operations or free cash flow;</w:t>
      </w:r>
    </w:p>
    <w:p>
      <w:pPr>
        <w:spacing w:after="0" w:line="130" w:lineRule="exact"/>
        <w:rPr>
          <w:rFonts w:ascii="Arial" w:cs="Arial" w:eastAsia="Arial" w:hAnsi="Arial"/>
          <w:sz w:val="18"/>
          <w:szCs w:val="18"/>
          <w:color w:val="auto"/>
        </w:rPr>
      </w:pPr>
    </w:p>
    <w:p>
      <w:pPr>
        <w:jc w:val="both"/>
        <w:ind w:left="900" w:right="80" w:hanging="446"/>
        <w:spacing w:after="0" w:line="264" w:lineRule="auto"/>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specified objectives with regard to limiting the level of increase in all or a portion of bank debt or other long-term or short-term public or private debt or other similar financial obligations, or other capital structure improvements, which may be calculated net of cash balances or other offsets and adjustments as may be established by the Committee;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net sales, revenues, net income, or earnings before income tax or other exclusions;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operating margin, return on operating revenue, or return on operating profit;</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return measures (after tax or pre-tax), including return on capital employed, return on invested capital, return on equity, return on assets, return on net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market capitalization, earnings per share, fair market value of the shares of the Company, franchise value (net of debt), economic value added;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total stockholder return or growth in total stockholder return (with or without dividend reinvestment);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financing and other capital raising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proprietary investment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estimated market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expansion of sales in additional geographies or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expense management/control or reduction (including, without limitation, compensation and benefits expense);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00"/>
          </w:cols>
          <w:pgMar w:left="240" w:top="269" w:right="259" w:bottom="1440" w:gutter="0" w:footer="0" w:header="0"/>
        </w:sectPr>
      </w:pPr>
    </w:p>
    <w:bookmarkStart w:id="526" w:name="page527"/>
    <w:bookmarkEnd w:id="526"/>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customer satisfaction;</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technological improvements/implementation, new product innovation;</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collections and recoveries;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property or asset purchases;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litigation and regulatory resolution/implementation goals;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leases, contracts, or financings (including renewals, overhead, savings, G&amp;A, and other expense control goals);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risk management/implementation;</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development and implementation of strategic plans or organizational restructuring goals;</w:t>
      </w:r>
    </w:p>
    <w:p>
      <w:pPr>
        <w:spacing w:after="0" w:line="130"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development and implementation of risk and crisis management programs; compliance requirements and compliance relief; productivity goals; workforce management and succession planning goals;</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employee satisfaction or staff development;</w:t>
      </w:r>
    </w:p>
    <w:p>
      <w:pPr>
        <w:spacing w:after="0" w:line="130" w:lineRule="exact"/>
        <w:rPr>
          <w:rFonts w:ascii="Arial" w:cs="Arial" w:eastAsia="Arial" w:hAnsi="Arial"/>
          <w:sz w:val="18"/>
          <w:szCs w:val="18"/>
          <w:color w:val="auto"/>
        </w:rPr>
      </w:pPr>
    </w:p>
    <w:p>
      <w:pPr>
        <w:ind w:left="446" w:right="220" w:hanging="446"/>
        <w:spacing w:after="0" w:line="277" w:lineRule="auto"/>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formations of joint ventures or partnerships or the completion of other similar transactions intended to enhance revenue or profitability or to enhance its customer base;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licensing or partnership arrangements;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progress of partnered programs and partner satisfaction;</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progress of internal research or development programs;</w:t>
      </w:r>
    </w:p>
    <w:p>
      <w:pPr>
        <w:spacing w:after="0" w:line="126"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submission of a new drug application (“</w:t>
      </w:r>
      <w:r>
        <w:rPr>
          <w:rFonts w:ascii="Arial" w:cs="Arial" w:eastAsia="Arial" w:hAnsi="Arial"/>
          <w:sz w:val="18"/>
          <w:szCs w:val="18"/>
          <w:b w:val="1"/>
          <w:bCs w:val="1"/>
          <w:u w:val="single" w:color="auto"/>
          <w:color w:val="auto"/>
        </w:rPr>
        <w:t>NDA</w:t>
      </w:r>
      <w:r>
        <w:rPr>
          <w:rFonts w:ascii="Arial" w:cs="Arial" w:eastAsia="Arial" w:hAnsi="Arial"/>
          <w:sz w:val="18"/>
          <w:szCs w:val="18"/>
          <w:color w:val="auto"/>
        </w:rPr>
        <w:t>”) or the approval of the NDA by the U.S. Food and Drug Administration (“</w:t>
      </w:r>
      <w:r>
        <w:rPr>
          <w:rFonts w:ascii="Arial" w:cs="Arial" w:eastAsia="Arial" w:hAnsi="Arial"/>
          <w:sz w:val="18"/>
          <w:szCs w:val="18"/>
          <w:b w:val="1"/>
          <w:bCs w:val="1"/>
          <w:u w:val="single" w:color="auto"/>
          <w:color w:val="auto"/>
        </w:rPr>
        <w:t>FDA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submission of an investigational new drug application (“</w:t>
      </w:r>
      <w:r>
        <w:rPr>
          <w:rFonts w:ascii="Arial" w:cs="Arial" w:eastAsia="Arial" w:hAnsi="Arial"/>
          <w:sz w:val="18"/>
          <w:szCs w:val="18"/>
          <w:b w:val="1"/>
          <w:bCs w:val="1"/>
          <w:u w:val="single" w:color="auto"/>
          <w:color w:val="auto"/>
        </w:rPr>
        <w:t>IND</w:t>
      </w:r>
      <w:r>
        <w:rPr>
          <w:rFonts w:ascii="Arial" w:cs="Arial" w:eastAsia="Arial" w:hAnsi="Arial"/>
          <w:sz w:val="18"/>
          <w:szCs w:val="18"/>
          <w:color w:val="auto"/>
        </w:rPr>
        <w:t>”) or the approval of the IND by the FDA;</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submission of a therapeutic biologics license application (“</w:t>
      </w:r>
      <w:r>
        <w:rPr>
          <w:rFonts w:ascii="Arial" w:cs="Arial" w:eastAsia="Arial" w:hAnsi="Arial"/>
          <w:sz w:val="18"/>
          <w:szCs w:val="18"/>
          <w:b w:val="1"/>
          <w:bCs w:val="1"/>
          <w:u w:val="single" w:color="auto"/>
          <w:color w:val="auto"/>
        </w:rPr>
        <w:t>BLA</w:t>
      </w:r>
      <w:r>
        <w:rPr>
          <w:rFonts w:ascii="Arial" w:cs="Arial" w:eastAsia="Arial" w:hAnsi="Arial"/>
          <w:sz w:val="18"/>
          <w:szCs w:val="18"/>
          <w:color w:val="auto"/>
        </w:rPr>
        <w:t>”) or the approval of the BLA by the FDA;</w:t>
      </w:r>
    </w:p>
    <w:p>
      <w:pPr>
        <w:spacing w:after="0" w:line="134"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submission to, or approval by, a foreign regulatory body of an applicable filing or a product;</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strategic partnerships or transactions (including in-licensing and out-licensing of intellectual property;</w:t>
      </w:r>
    </w:p>
    <w:p>
      <w:pPr>
        <w:spacing w:after="0" w:line="158" w:lineRule="exact"/>
        <w:rPr>
          <w:sz w:val="20"/>
          <w:szCs w:val="20"/>
          <w:color w:val="auto"/>
        </w:rPr>
      </w:pPr>
    </w:p>
    <w:p>
      <w:pPr>
        <w:jc w:val="center"/>
        <w:ind w:right="214"/>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0746"/>
          </w:cols>
          <w:pgMar w:left="694" w:top="274" w:right="459" w:bottom="1440" w:gutter="0" w:footer="0" w:header="0"/>
        </w:sectPr>
      </w:pPr>
    </w:p>
    <w:bookmarkStart w:id="527" w:name="page528"/>
    <w:bookmarkEnd w:id="527"/>
    <w:p>
      <w:pPr>
        <w:ind w:left="900" w:hanging="446"/>
        <w:spacing w:after="0"/>
        <w:tabs>
          <w:tab w:leader="none" w:pos="9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achievement of a launch of a new drug;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initiation or completion of a clinical trial phase;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implementation or completion of critical projects;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achievement of specified milestones in the discovery and development of one or more of the Company’s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achievement of specified milestones in the commercialization of one or more of the Company’s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achievement of specified milestones in the manufacturing of one or more of the Company’s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achievement of specified regulatory milestones relating to one or more of the Company’s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completion of a merger, acquisition, or any transaction that results in the sale of all or substantially all of the stock or assets.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All Performance Criteria may be based upon the attainment of specified levels of the Company (or Affiliate, division, other operational unit, business segment, or administrative department of the Company or any Affiliate) performance under one or more of the measures described above and may be measured relative to the performance of other corporations (or an affiliate, subsidiary, division, other operational unit, business segment, or administrative department of another corporation or its affiliates). Any goal may be expressed as a dollar figure, on a percentage basis (if applicable), or on a per share basis, and goals may be either absolute, relative to a selected peer group or index, or a combination of both. To the extent permitted under Section 162(m), (including compliance with any requirements for stockholder approval), the Committee may: (i) designate additional business criteria on which the Performance Criteria may be based or (ii) adjust, modify, or amend the aforementioned business criteria.</w:t>
      </w:r>
    </w:p>
    <w:p>
      <w:pPr>
        <w:spacing w:after="0" w:line="17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Except as otherwise determined by the Committee in the applicable Award agreement, the measures used in Performance Criteria set under the Plan shall be determined in accordance with generally accepted accounting principles (“</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and in a manner consistent with the methods used in the Company’s regular reports on Forms 10-K and 10-Q, without regard to any of the following unless otherwise determined by the Committee consistent with the requirements of Section 162(m)(4)(C) of the Code and the regulations thereunder:</w:t>
      </w:r>
    </w:p>
    <w:p>
      <w:pPr>
        <w:spacing w:after="0" w:line="18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(a) all items of gain, loss, or expense for the fiscal year or other applicable Performance Period that are related to special, unusual, or non-recurring items, events, or circumstances affecting the Company (or Affiliate, division, other operational unit, business segment, or administrative department of the Company or any Affiliate) or the financial statements of the Company (or Affiliate, division, other operational unit, business segment, or administrative department of the Company or any Affiliate);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1380"/>
          </w:cols>
          <w:pgMar w:left="240" w:top="273" w:right="279" w:bottom="1440" w:gutter="0" w:footer="0" w:header="0"/>
        </w:sectPr>
      </w:pPr>
    </w:p>
    <w:bookmarkStart w:id="528" w:name="page529"/>
    <w:bookmarkEnd w:id="528"/>
    <w:p>
      <w:pPr>
        <w:ind w:right="20" w:firstLine="921"/>
        <w:spacing w:after="0" w:line="286" w:lineRule="auto"/>
        <w:tabs>
          <w:tab w:leader="none" w:pos="1168" w:val="left"/>
        </w:tabs>
        <w:numPr>
          <w:ilvl w:val="0"/>
          <w:numId w:val="4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items of gain, loss, or expense for the fiscal year or other applicable Performance Period that are related to (i) the disposal of a business or discontinued operations or (ii) the operations of any business acquired by the Company (or Affiliate, division, other operational unit, business segment, or administrative department of the Company or any Affiliate) during the fiscal year or other applicable Performance Period; and</w:t>
      </w:r>
    </w:p>
    <w:p>
      <w:pPr>
        <w:spacing w:after="0" w:line="165" w:lineRule="exact"/>
        <w:rPr>
          <w:rFonts w:ascii="Arial" w:cs="Arial" w:eastAsia="Arial" w:hAnsi="Arial"/>
          <w:sz w:val="17"/>
          <w:szCs w:val="17"/>
          <w:color w:val="auto"/>
        </w:rPr>
      </w:pPr>
    </w:p>
    <w:p>
      <w:pPr>
        <w:ind w:right="660" w:firstLine="921"/>
        <w:spacing w:after="0" w:line="277" w:lineRule="auto"/>
        <w:tabs>
          <w:tab w:leader="none" w:pos="1158"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all items of gain, loss, or expense for the fiscal year or other applicable Performance Period that are related to changes in accounting principles or to changes in applicable law or regulations.</w:t>
      </w:r>
    </w:p>
    <w:p>
      <w:pPr>
        <w:spacing w:after="0" w:line="170"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To the extent any Performance Criteria are expressed using any measures that require deviations from GAAP, such deviations shall be at the discretion of the Committee as exercised at the time the Performance Criteria are set and, following the Transition Period, to the extent permitted under Section 162(m).</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 A-4</w:t>
      </w:r>
    </w:p>
    <w:p>
      <w:pPr>
        <w:sectPr>
          <w:pgSz w:w="11900" w:h="16838" w:orient="portrait"/>
          <w:cols w:equalWidth="0" w:num="1">
            <w:col w:w="11360"/>
          </w:cols>
          <w:pgMar w:left="240" w:top="274" w:right="299" w:bottom="1440" w:gutter="0" w:footer="0" w:header="0"/>
        </w:sectPr>
      </w:pPr>
    </w:p>
    <w:bookmarkStart w:id="529" w:name="page530"/>
    <w:bookmarkEnd w:id="529"/>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OLID</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2018 O</w:t>
      </w:r>
      <w:r>
        <w:rPr>
          <w:rFonts w:ascii="Arial" w:cs="Arial" w:eastAsia="Arial" w:hAnsi="Arial"/>
          <w:sz w:val="15"/>
          <w:szCs w:val="15"/>
          <w:b w:val="1"/>
          <w:bCs w:val="1"/>
          <w:color w:val="auto"/>
        </w:rPr>
        <w:t>MNIBUS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 U</w:t>
      </w:r>
      <w:r>
        <w:rPr>
          <w:rFonts w:ascii="Arial" w:cs="Arial" w:eastAsia="Arial" w:hAnsi="Arial"/>
          <w:sz w:val="15"/>
          <w:szCs w:val="15"/>
          <w:b w:val="1"/>
          <w:bCs w:val="1"/>
          <w:color w:val="auto"/>
        </w:rPr>
        <w:t>NITED</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INGDOM</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DDENDUM</w:t>
      </w:r>
    </w:p>
    <w:p>
      <w:pPr>
        <w:spacing w:after="0" w:line="252" w:lineRule="exact"/>
        <w:rPr>
          <w:sz w:val="20"/>
          <w:szCs w:val="20"/>
          <w:color w:val="auto"/>
        </w:rPr>
      </w:pPr>
    </w:p>
    <w:p>
      <w:pPr>
        <w:ind w:left="452" w:hanging="452"/>
        <w:spacing w:after="0"/>
        <w:tabs>
          <w:tab w:leader="none" w:pos="452"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p>
    <w:p>
      <w:pPr>
        <w:spacing w:after="0" w:line="252" w:lineRule="exact"/>
        <w:rPr>
          <w:sz w:val="20"/>
          <w:szCs w:val="20"/>
          <w:color w:val="auto"/>
        </w:rPr>
      </w:pPr>
    </w:p>
    <w:p>
      <w:pPr>
        <w:ind w:left="452" w:right="100" w:hanging="445"/>
        <w:spacing w:after="0" w:line="266" w:lineRule="auto"/>
        <w:tabs>
          <w:tab w:leader="none" w:pos="432" w:val="left"/>
        </w:tabs>
        <w:rPr>
          <w:sz w:val="20"/>
          <w:szCs w:val="20"/>
          <w:color w:val="auto"/>
        </w:rPr>
      </w:pPr>
      <w:r>
        <w:rPr>
          <w:rFonts w:ascii="Arial" w:cs="Arial" w:eastAsia="Arial" w:hAnsi="Arial"/>
          <w:sz w:val="18"/>
          <w:szCs w:val="18"/>
          <w:color w:val="auto"/>
        </w:rPr>
        <w:t>1.1</w:t>
        <w:tab/>
        <w:t>The purpose of this United Kingdom Addendum to the Plan (the “</w:t>
      </w:r>
      <w:r>
        <w:rPr>
          <w:rFonts w:ascii="Arial" w:cs="Arial" w:eastAsia="Arial" w:hAnsi="Arial"/>
          <w:sz w:val="18"/>
          <w:szCs w:val="18"/>
          <w:b w:val="1"/>
          <w:bCs w:val="1"/>
          <w:u w:val="single" w:color="auto"/>
          <w:color w:val="auto"/>
        </w:rPr>
        <w:t>UK Addendum</w:t>
      </w:r>
      <w:r>
        <w:rPr>
          <w:rFonts w:ascii="Arial" w:cs="Arial" w:eastAsia="Arial" w:hAnsi="Arial"/>
          <w:sz w:val="18"/>
          <w:szCs w:val="18"/>
          <w:color w:val="auto"/>
        </w:rPr>
        <w:t>”) is to enable the Committee to grant Awards (being Stock Options, Restricted Stock, Other Stock-Based Awards, or Performance-Based Cash Awards) to certain employees and full-time directors of the Company who are based in the United Kingdom (“</w:t>
      </w:r>
      <w:r>
        <w:rPr>
          <w:rFonts w:ascii="Arial" w:cs="Arial" w:eastAsia="Arial" w:hAnsi="Arial"/>
          <w:sz w:val="18"/>
          <w:szCs w:val="18"/>
          <w:b w:val="1"/>
          <w:bCs w:val="1"/>
          <w:u w:val="single" w:color="auto"/>
          <w:color w:val="auto"/>
        </w:rPr>
        <w:t>UK</w:t>
      </w:r>
      <w:r>
        <w:rPr>
          <w:rFonts w:ascii="Arial" w:cs="Arial" w:eastAsia="Arial" w:hAnsi="Arial"/>
          <w:sz w:val="18"/>
          <w:szCs w:val="18"/>
          <w:color w:val="auto"/>
        </w:rPr>
        <w:t>”) only.</w:t>
      </w:r>
    </w:p>
    <w:p>
      <w:pPr>
        <w:spacing w:after="0" w:line="207" w:lineRule="exact"/>
        <w:rPr>
          <w:sz w:val="20"/>
          <w:szCs w:val="20"/>
          <w:color w:val="auto"/>
        </w:rPr>
      </w:pPr>
    </w:p>
    <w:p>
      <w:pPr>
        <w:ind w:left="452" w:hanging="445"/>
        <w:spacing w:after="0" w:line="277" w:lineRule="auto"/>
        <w:tabs>
          <w:tab w:leader="none" w:pos="432" w:val="left"/>
        </w:tabs>
        <w:rPr>
          <w:sz w:val="20"/>
          <w:szCs w:val="20"/>
          <w:color w:val="auto"/>
        </w:rPr>
      </w:pPr>
      <w:r>
        <w:rPr>
          <w:rFonts w:ascii="Arial" w:cs="Arial" w:eastAsia="Arial" w:hAnsi="Arial"/>
          <w:sz w:val="18"/>
          <w:szCs w:val="18"/>
          <w:color w:val="auto"/>
        </w:rPr>
        <w:t>1.2</w:t>
        <w:tab/>
        <w:t>Awards granted pursuant to the UK Addendum will be non-tax advantaged for UK tax purposes and, to the extent relevant, Awards are granted pursuant to an “</w:t>
      </w:r>
      <w:r>
        <w:rPr>
          <w:rFonts w:ascii="Arial" w:cs="Arial" w:eastAsia="Arial" w:hAnsi="Arial"/>
          <w:sz w:val="18"/>
          <w:szCs w:val="18"/>
          <w:i w:val="1"/>
          <w:iCs w:val="1"/>
          <w:color w:val="auto"/>
        </w:rPr>
        <w:t>employee share scheme</w:t>
      </w:r>
      <w:r>
        <w:rPr>
          <w:rFonts w:ascii="Arial" w:cs="Arial" w:eastAsia="Arial" w:hAnsi="Arial"/>
          <w:sz w:val="18"/>
          <w:szCs w:val="18"/>
          <w:color w:val="auto"/>
        </w:rPr>
        <w:t>” for the purposes of the Financial Services and Markets Act 2000.</w:t>
      </w:r>
    </w:p>
    <w:p>
      <w:pPr>
        <w:spacing w:after="0" w:line="193" w:lineRule="exact"/>
        <w:rPr>
          <w:sz w:val="20"/>
          <w:szCs w:val="20"/>
          <w:color w:val="auto"/>
        </w:rPr>
      </w:pPr>
    </w:p>
    <w:p>
      <w:pPr>
        <w:ind w:left="452" w:hanging="452"/>
        <w:spacing w:after="0"/>
        <w:tabs>
          <w:tab w:leader="none" w:pos="452"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Any terms not defined in this UK Addendum will have the meaning set out in Article II of the Plan.</w:t>
      </w:r>
    </w:p>
    <w:p>
      <w:pPr>
        <w:spacing w:after="0" w:line="248" w:lineRule="exact"/>
        <w:rPr>
          <w:rFonts w:ascii="Arial" w:cs="Arial" w:eastAsia="Arial" w:hAnsi="Arial"/>
          <w:sz w:val="18"/>
          <w:szCs w:val="18"/>
          <w:b w:val="1"/>
          <w:bCs w:val="1"/>
          <w:color w:val="auto"/>
        </w:rPr>
      </w:pPr>
    </w:p>
    <w:p>
      <w:pPr>
        <w:ind w:left="452" w:hanging="452"/>
        <w:spacing w:after="0"/>
        <w:tabs>
          <w:tab w:leader="none" w:pos="452"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w:t>
      </w:r>
    </w:p>
    <w:p>
      <w:pPr>
        <w:spacing w:after="0" w:line="229" w:lineRule="exact"/>
        <w:rPr>
          <w:rFonts w:ascii="Arial" w:cs="Arial" w:eastAsia="Arial" w:hAnsi="Arial"/>
          <w:sz w:val="18"/>
          <w:szCs w:val="18"/>
          <w:b w:val="1"/>
          <w:bCs w:val="1"/>
          <w:color w:val="auto"/>
        </w:rPr>
      </w:pPr>
    </w:p>
    <w:p>
      <w:pPr>
        <w:ind w:left="452"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Awards granted pursuant to the UK Addendum shall be governed by the terms of the Plan, subject to any such amendments set out below and by the terms of the individual Award agreement entered into between the Company and the Participant.</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Obligations</w:t>
      </w:r>
    </w:p>
    <w:p>
      <w:pPr>
        <w:spacing w:after="0" w:line="256" w:lineRule="exact"/>
        <w:rPr>
          <w:sz w:val="20"/>
          <w:szCs w:val="20"/>
          <w:color w:val="auto"/>
        </w:rPr>
      </w:pPr>
    </w:p>
    <w:p>
      <w:pPr>
        <w:ind w:left="452" w:right="100" w:hanging="445"/>
        <w:spacing w:after="0" w:line="276" w:lineRule="auto"/>
        <w:tabs>
          <w:tab w:leader="none" w:pos="4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The Participant shall be accountable for any income tax and, subject to the following provisions, national insurance liability that is chargeable on any assessable income deriving from the grant, vesting, exercise, transfer, or cancellation (whether for consideration or otherwise) of an Award, or in respect of any additional share or cash consideration acquired as a result of distribution of a dividend, or otherwise in respect of the exercise of an Award. In respect of such assessable income, the Participant shall indemnify the Company and (at the direction of the Company) any Affiliate which is or may be treated as the employer of the Participant in respect of the following (together, the “</w:t>
      </w:r>
      <w:r>
        <w:rPr>
          <w:rFonts w:ascii="Arial" w:cs="Arial" w:eastAsia="Arial" w:hAnsi="Arial"/>
          <w:sz w:val="17"/>
          <w:szCs w:val="17"/>
          <w:b w:val="1"/>
          <w:bCs w:val="1"/>
          <w:u w:val="single" w:color="auto"/>
          <w:color w:val="auto"/>
        </w:rPr>
        <w:t>Tax Liabilities</w:t>
      </w:r>
      <w:r>
        <w:rPr>
          <w:rFonts w:ascii="Arial" w:cs="Arial" w:eastAsia="Arial" w:hAnsi="Arial"/>
          <w:sz w:val="17"/>
          <w:szCs w:val="17"/>
          <w:color w:val="auto"/>
        </w:rPr>
        <w:t>”):</w:t>
      </w:r>
    </w:p>
    <w:p>
      <w:pPr>
        <w:spacing w:after="0" w:line="196" w:lineRule="exact"/>
        <w:rPr>
          <w:sz w:val="20"/>
          <w:szCs w:val="20"/>
          <w:color w:val="auto"/>
        </w:rPr>
      </w:pPr>
    </w:p>
    <w:p>
      <w:pPr>
        <w:ind w:left="892" w:right="80" w:hanging="446"/>
        <w:spacing w:after="0" w:line="266" w:lineRule="auto"/>
        <w:tabs>
          <w:tab w:leader="none" w:pos="89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any income tax liability that falls to be paid to Her Majesty’s Revenue and Customs (“</w:t>
      </w:r>
      <w:r>
        <w:rPr>
          <w:rFonts w:ascii="Arial" w:cs="Arial" w:eastAsia="Arial" w:hAnsi="Arial"/>
          <w:sz w:val="18"/>
          <w:szCs w:val="18"/>
          <w:b w:val="1"/>
          <w:bCs w:val="1"/>
          <w:u w:val="single" w:color="auto"/>
          <w:color w:val="auto"/>
        </w:rPr>
        <w:t>HMRC</w:t>
      </w:r>
      <w:r>
        <w:rPr>
          <w:rFonts w:ascii="Arial" w:cs="Arial" w:eastAsia="Arial" w:hAnsi="Arial"/>
          <w:sz w:val="18"/>
          <w:szCs w:val="18"/>
          <w:color w:val="auto"/>
        </w:rPr>
        <w:t>”) by the Company (or the relevant employing Affiliate) under the PAYE system as it applies to income tax under the Income Tax (Earnings and Pensions) Act 2003 (“</w:t>
      </w:r>
      <w:r>
        <w:rPr>
          <w:rFonts w:ascii="Arial" w:cs="Arial" w:eastAsia="Arial" w:hAnsi="Arial"/>
          <w:sz w:val="18"/>
          <w:szCs w:val="18"/>
          <w:b w:val="1"/>
          <w:bCs w:val="1"/>
          <w:u w:val="single" w:color="auto"/>
          <w:color w:val="auto"/>
        </w:rPr>
        <w:t>ITEPA</w:t>
      </w:r>
      <w:r>
        <w:rPr>
          <w:rFonts w:ascii="Arial" w:cs="Arial" w:eastAsia="Arial" w:hAnsi="Arial"/>
          <w:sz w:val="18"/>
          <w:szCs w:val="18"/>
          <w:color w:val="auto"/>
        </w:rPr>
        <w:t>”) and the Pay As You Earn (“</w:t>
      </w:r>
      <w:r>
        <w:rPr>
          <w:rFonts w:ascii="Arial" w:cs="Arial" w:eastAsia="Arial" w:hAnsi="Arial"/>
          <w:sz w:val="18"/>
          <w:szCs w:val="18"/>
          <w:b w:val="1"/>
          <w:bCs w:val="1"/>
          <w:u w:val="single" w:color="auto"/>
          <w:color w:val="auto"/>
        </w:rPr>
        <w:t>PAYE</w:t>
      </w:r>
      <w:r>
        <w:rPr>
          <w:rFonts w:ascii="Arial" w:cs="Arial" w:eastAsia="Arial" w:hAnsi="Arial"/>
          <w:sz w:val="18"/>
          <w:szCs w:val="18"/>
          <w:color w:val="auto"/>
        </w:rPr>
        <w:t>”) regulations referred to therein; and</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1412"/>
          </w:cols>
          <w:pgMar w:left="248" w:top="270" w:right="239" w:bottom="1440" w:gutter="0" w:footer="0" w:header="0"/>
        </w:sectPr>
      </w:pPr>
    </w:p>
    <w:bookmarkStart w:id="530" w:name="page531"/>
    <w:bookmarkEnd w:id="530"/>
    <w:p>
      <w:pPr>
        <w:ind w:left="900" w:right="120" w:hanging="446"/>
        <w:spacing w:after="0" w:line="264" w:lineRule="auto"/>
        <w:tabs>
          <w:tab w:leader="none" w:pos="9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national insurance liability that falls to be paid to HMRC by the Company (or the relevant employing Affiliate) under the PAYE system as it applies for national insurance purposes under the Social Security Contributions and Benefits Act 1992 and regulations referred to therein, including:</w:t>
      </w:r>
    </w:p>
    <w:p>
      <w:pPr>
        <w:spacing w:after="0" w:line="208" w:lineRule="exact"/>
        <w:rPr>
          <w:rFonts w:ascii="Arial" w:cs="Arial" w:eastAsia="Arial" w:hAnsi="Arial"/>
          <w:sz w:val="18"/>
          <w:szCs w:val="18"/>
          <w:color w:val="auto"/>
        </w:rPr>
      </w:pPr>
    </w:p>
    <w:p>
      <w:pPr>
        <w:ind w:left="1480" w:hanging="567"/>
        <w:spacing w:after="0"/>
        <w:tabs>
          <w:tab w:leader="none" w:pos="148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all the employee’s primary Class 1 national insurance contributions; and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to the extent permitted by law, all of the employer’s secondary Class 1 national insurance contributions.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Pursuant to the indemnity referred to in clause 4.1 above, the Participant shall make such arrangements as the Company requires to meet the cost of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Liabilities, including, at the direction of the Company, any of the following:</w:t>
      </w:r>
    </w:p>
    <w:p>
      <w:pPr>
        <w:spacing w:after="0" w:line="238" w:lineRule="exact"/>
        <w:rPr>
          <w:sz w:val="20"/>
          <w:szCs w:val="20"/>
          <w:color w:val="auto"/>
        </w:rPr>
      </w:pPr>
    </w:p>
    <w:p>
      <w:pPr>
        <w:ind w:left="900" w:right="20" w:hanging="446"/>
        <w:spacing w:after="0" w:line="264" w:lineRule="auto"/>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making a cash payment of an appropriate amount to the relevant employing company whether by cheque, banker’s draft, or deduction from salary in time to enable the Company to remit such amount to HMRC before the 14th day following the end of the month in which the event giving rise to the Tax Liabilities occurred;</w:t>
      </w:r>
    </w:p>
    <w:p>
      <w:pPr>
        <w:spacing w:after="0" w:line="208"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appointing the Company as agent or attorney for the sale of sufficient Shares acquired pursuant to the exercise of any Stock Options or pursuant to the grant, exercise, or vesting of an Award to cover the Tax Liabilities and authorising the payment to the relevant company of the appropriate amount (including all reasonable fees, commissions, and expenses incurred by the relevant employing company in relation to such sale) out of the net proceeds of sale of such Shares; or</w:t>
      </w:r>
    </w:p>
    <w:p>
      <w:pPr>
        <w:spacing w:after="0" w:line="213" w:lineRule="exact"/>
        <w:rPr>
          <w:rFonts w:ascii="Arial" w:cs="Arial" w:eastAsia="Arial" w:hAnsi="Arial"/>
          <w:sz w:val="18"/>
          <w:szCs w:val="18"/>
          <w:color w:val="auto"/>
        </w:rPr>
      </w:pPr>
    </w:p>
    <w:p>
      <w:pPr>
        <w:ind w:left="900" w:hanging="446"/>
        <w:spacing w:after="0"/>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to the extent permitted by law, entering into:</w:t>
      </w:r>
    </w:p>
    <w:p>
      <w:pPr>
        <w:spacing w:after="0" w:line="252" w:lineRule="exact"/>
        <w:rPr>
          <w:rFonts w:ascii="Arial" w:cs="Arial" w:eastAsia="Arial" w:hAnsi="Arial"/>
          <w:sz w:val="18"/>
          <w:szCs w:val="18"/>
          <w:color w:val="auto"/>
        </w:rPr>
      </w:pPr>
    </w:p>
    <w:p>
      <w:pPr>
        <w:ind w:left="1480" w:right="260" w:hanging="567"/>
        <w:spacing w:after="0" w:line="277" w:lineRule="auto"/>
        <w:tabs>
          <w:tab w:leader="none" w:pos="148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an agreement that allows the Participant’s employer to recover the whole or any portion of any employer’s secondary Class 1 National Insurance Contributions in respect of the vesting or exercise of the Award from the Participant; or</w:t>
      </w:r>
    </w:p>
    <w:p>
      <w:pPr>
        <w:spacing w:after="0" w:line="197" w:lineRule="exact"/>
        <w:rPr>
          <w:rFonts w:ascii="Arial" w:cs="Arial" w:eastAsia="Arial" w:hAnsi="Arial"/>
          <w:sz w:val="18"/>
          <w:szCs w:val="18"/>
          <w:color w:val="auto"/>
        </w:rPr>
      </w:pPr>
    </w:p>
    <w:p>
      <w:pPr>
        <w:ind w:left="1480" w:right="320" w:hanging="567"/>
        <w:spacing w:after="0" w:line="277" w:lineRule="auto"/>
        <w:tabs>
          <w:tab w:leader="none" w:pos="148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an election whereby the employer’s liability for secondary Class 1 national insurance contributions is transferred to the Participant on terms set out in the election, as approved by HMRC.</w:t>
      </w:r>
    </w:p>
    <w:p>
      <w:pPr>
        <w:spacing w:after="0" w:line="197" w:lineRule="exact"/>
        <w:rPr>
          <w:sz w:val="20"/>
          <w:szCs w:val="20"/>
          <w:color w:val="auto"/>
        </w:rPr>
      </w:pPr>
    </w:p>
    <w:p>
      <w:pPr>
        <w:ind w:left="460" w:right="120" w:hanging="445"/>
        <w:spacing w:after="0" w:line="308" w:lineRule="auto"/>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The failure by a Participant to make arrangements in line with clause 4.2 above at the request of the Company shall result in the vesting of such Award (other than an Exercisable Award) or the exercise of such Exercisable Award (as applicable) being ineffective, null, and void.</w:t>
      </w:r>
    </w:p>
    <w:p>
      <w:pPr>
        <w:spacing w:after="0" w:line="170" w:lineRule="exact"/>
        <w:rPr>
          <w:sz w:val="20"/>
          <w:szCs w:val="20"/>
          <w:color w:val="auto"/>
        </w:rPr>
      </w:pPr>
    </w:p>
    <w:p>
      <w:pPr>
        <w:ind w:left="460" w:hanging="452"/>
        <w:spacing w:after="0"/>
        <w:tabs>
          <w:tab w:leader="none" w:pos="46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431 Elections</w:t>
      </w:r>
    </w:p>
    <w:p>
      <w:pPr>
        <w:spacing w:after="0" w:line="229"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Where Shares to be acquired on the exercise or vesting of an Award are considered (at the sole discretion of the Company) to be “restricted securities” for the purposes of Part 7 of ITEPA, it is a condition of exercise that the Participant (if so directed by the Company) enter into a joint election with the Company (or, if different, the relevant employing Affiliate) pursuant to Section 431 of ITEPA electing that the market value of the shares to be acquired on the exercise or vesting of the Award be calculated as if the Shares were not “restricted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B-2</w:t>
      </w:r>
    </w:p>
    <w:p>
      <w:pPr>
        <w:sectPr>
          <w:pgSz w:w="11900" w:h="16838" w:orient="portrait"/>
          <w:cols w:equalWidth="0" w:num="1">
            <w:col w:w="11420"/>
          </w:cols>
          <w:pgMar w:left="240" w:top="274" w:right="239" w:bottom="1440" w:gutter="0" w:footer="0" w:header="0"/>
        </w:sectPr>
      </w:pPr>
    </w:p>
    <w:bookmarkStart w:id="531" w:name="page532"/>
    <w:bookmarkEnd w:id="531"/>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OLID</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w:t>
      </w:r>
      <w:r>
        <w:rPr>
          <w:rFonts w:ascii="Arial" w:cs="Arial" w:eastAsia="Arial" w:hAnsi="Arial"/>
          <w:sz w:val="15"/>
          <w:szCs w:val="15"/>
          <w:b w:val="1"/>
          <w:bCs w:val="1"/>
          <w:color w:val="auto"/>
        </w:rPr>
        <w:t>MNIBUS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ORM OF</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-10160</wp:posOffset>
            </wp:positionV>
            <wp:extent cx="174307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-10160</wp:posOffset>
            </wp:positionV>
            <wp:extent cx="174307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Per Share Exercise Price: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-10160</wp:posOffset>
            </wp:positionV>
            <wp:extent cx="2286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subject to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-10160</wp:posOffset>
            </wp:positionV>
            <wp:extent cx="174307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Vesting schedule:</w:t>
      </w:r>
    </w:p>
    <w:p>
      <w:pPr>
        <w:spacing w:after="0" w:line="225"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This Option may be exercised with respect to the first 25% of the shares subject to this Option on the first anniversary date of the Grant Date and an additional 25% of the shares subject to this Option upon each subsequent anniversary date thereafter until the fourth anniversary of the Grant Date (in each case, subject to the Participant’s continued service with the Company or any of its Subsidiaries through the applicable vesting date).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w:t>
      </w:r>
    </w:p>
    <w:p>
      <w:pPr>
        <w:spacing w:after="0" w:line="221" w:lineRule="exact"/>
        <w:rPr>
          <w:sz w:val="20"/>
          <w:szCs w:val="20"/>
          <w:color w:val="auto"/>
        </w:rPr>
      </w:pPr>
    </w:p>
    <w:p>
      <w:pPr>
        <w:ind w:right="220" w:firstLine="456"/>
        <w:spacing w:after="0" w:line="289"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HIS</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dated as of the Grant Date specified above, is entered into by and</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Solid Biosciences Inc.,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the Participant specified above, pursuant to the Solid Biosciences Inc. 2018 Omnibus Incentive Plan, as in effect and as amended from time to time (the “</w:t>
      </w:r>
      <w:r>
        <w:rPr>
          <w:rFonts w:ascii="Arial" w:cs="Arial" w:eastAsia="Arial" w:hAnsi="Arial"/>
          <w:sz w:val="17"/>
          <w:szCs w:val="17"/>
          <w:b w:val="1"/>
          <w:bCs w:val="1"/>
          <w:u w:val="single" w:color="auto"/>
          <w:color w:val="auto"/>
        </w:rPr>
        <w:t>Plan</w:t>
      </w:r>
      <w:r>
        <w:rPr>
          <w:rFonts w:ascii="Arial" w:cs="Arial" w:eastAsia="Arial" w:hAnsi="Arial"/>
          <w:sz w:val="17"/>
          <w:szCs w:val="17"/>
          <w:color w:val="auto"/>
        </w:rPr>
        <w:t>”), which is administered by the Committee; and</w:t>
      </w:r>
    </w:p>
    <w:p>
      <w:pPr>
        <w:spacing w:after="0" w:line="158"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it has been determined that it would be in the best interests of the Company to grant the incentive stock option provided for herein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w:t>
      </w:r>
    </w:p>
    <w:p>
      <w:pPr>
        <w:spacing w:after="0" w:line="162"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mutual covenants and promises hereinafter set forth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hereby mutually covenant and agree as follows:</w:t>
      </w:r>
    </w:p>
    <w:p>
      <w:pPr>
        <w:spacing w:after="0" w:line="162" w:lineRule="exact"/>
        <w:rPr>
          <w:sz w:val="20"/>
          <w:szCs w:val="20"/>
          <w:color w:val="auto"/>
        </w:rPr>
      </w:pPr>
    </w:p>
    <w:p>
      <w:pPr>
        <w:ind w:right="40" w:firstLine="464"/>
        <w:spacing w:after="0" w:line="274" w:lineRule="auto"/>
        <w:tabs>
          <w:tab w:leader="none" w:pos="771" w:val="left"/>
        </w:tabs>
        <w:numPr>
          <w:ilvl w:val="0"/>
          <w:numId w:val="4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w:t>
      </w:r>
      <w:r>
        <w:rPr>
          <w:rFonts w:ascii="Arial" w:cs="Arial" w:eastAsia="Arial" w:hAnsi="Arial"/>
          <w:sz w:val="14"/>
          <w:szCs w:val="14"/>
          <w:b w:val="1"/>
          <w:bCs w:val="1"/>
          <w:u w:val="single" w:color="auto"/>
          <w:color w:val="auto"/>
        </w:rPr>
        <w:t>NCORPORATION BY</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w:t>
      </w:r>
      <w:r>
        <w:rPr>
          <w:rFonts w:ascii="Arial" w:cs="Arial" w:eastAsia="Arial" w:hAnsi="Arial"/>
          <w:sz w:val="14"/>
          <w:szCs w:val="14"/>
          <w:b w:val="1"/>
          <w:bCs w:val="1"/>
          <w:u w:val="single" w:color="auto"/>
          <w:color w:val="auto"/>
        </w:rPr>
        <w:t>EFERENCE</w:t>
      </w:r>
      <w:r>
        <w:rPr>
          <w:rFonts w:ascii="Arial" w:cs="Arial" w:eastAsia="Arial" w:hAnsi="Arial"/>
          <w:sz w:val="17"/>
          <w:szCs w:val="17"/>
          <w:b w:val="1"/>
          <w:bCs w:val="1"/>
          <w:u w:val="single" w:color="auto"/>
          <w:color w:val="auto"/>
        </w:rPr>
        <w:t>; P</w:t>
      </w:r>
      <w:r>
        <w:rPr>
          <w:rFonts w:ascii="Arial" w:cs="Arial" w:eastAsia="Arial" w:hAnsi="Arial"/>
          <w:sz w:val="14"/>
          <w:szCs w:val="14"/>
          <w:b w:val="1"/>
          <w:bCs w:val="1"/>
          <w:u w:val="single" w:color="auto"/>
          <w:color w:val="auto"/>
        </w:rPr>
        <w:t>LAN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w:t>
      </w:r>
      <w:r>
        <w:rPr>
          <w:rFonts w:ascii="Arial" w:cs="Arial" w:eastAsia="Arial" w:hAnsi="Arial"/>
          <w:sz w:val="14"/>
          <w:szCs w:val="14"/>
          <w:b w:val="1"/>
          <w:bCs w:val="1"/>
          <w:u w:val="single" w:color="auto"/>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w:t>
      </w:r>
      <w:r>
        <w:rPr>
          <w:rFonts w:ascii="Arial" w:cs="Arial" w:eastAsia="Arial" w:hAnsi="Arial"/>
          <w:sz w:val="14"/>
          <w:szCs w:val="14"/>
          <w:b w:val="1"/>
          <w:bCs w:val="1"/>
          <w:u w:val="single" w:color="auto"/>
          <w:color w:val="auto"/>
        </w:rPr>
        <w:t>ECEIPT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subject in all respects to the terms and provisions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any amendments thereto adopted at any time and from time to time unless such amendments are expressly intended not to apply to the award provided hereunder), all of which terms and provisions are made a part of and incorporated in this Agreement as if they were each expressly set forth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32" w:name="page533"/>
    <w:bookmarkEnd w:id="532"/>
    <w:p>
      <w:pPr>
        <w:ind w:left="780" w:hanging="316"/>
        <w:spacing w:after="0"/>
        <w:tabs>
          <w:tab w:leader="none" w:pos="780" w:val="left"/>
        </w:tabs>
        <w:numPr>
          <w:ilvl w:val="0"/>
          <w:numId w:val="4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w:t>
      </w:r>
      <w:r>
        <w:rPr>
          <w:rFonts w:ascii="Arial" w:cs="Arial" w:eastAsia="Arial" w:hAnsi="Arial"/>
          <w:sz w:val="14"/>
          <w:szCs w:val="14"/>
          <w:b w:val="1"/>
          <w:bCs w:val="1"/>
          <w:u w:val="single" w:color="auto"/>
          <w:color w:val="auto"/>
        </w:rPr>
        <w:t>RANT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w:t>
      </w:r>
      <w:r>
        <w:rPr>
          <w:rFonts w:ascii="Arial" w:cs="Arial" w:eastAsia="Arial" w:hAnsi="Arial"/>
          <w:sz w:val="14"/>
          <w:szCs w:val="14"/>
          <w:b w:val="1"/>
          <w:bCs w:val="1"/>
          <w:u w:val="single" w:color="auto"/>
          <w:color w:val="auto"/>
        </w:rPr>
        <w:t>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hereby grants to the Participant, as of the Grant Date specified above, an incentive stock option (this</w:t>
      </w:r>
    </w:p>
    <w:p>
      <w:pPr>
        <w:spacing w:after="0" w:line="3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Option</w:t>
      </w:r>
      <w:r>
        <w:rPr>
          <w:rFonts w:ascii="Arial" w:cs="Arial" w:eastAsia="Arial" w:hAnsi="Arial"/>
          <w:sz w:val="16"/>
          <w:szCs w:val="16"/>
          <w:color w:val="auto"/>
        </w:rPr>
        <w:t>”) to acquire from the Company at the Per Share Exercise Price specified above, the aggregate number of shares of Common Stock specified above (the “</w:t>
      </w:r>
      <w:r>
        <w:rPr>
          <w:rFonts w:ascii="Arial" w:cs="Arial" w:eastAsia="Arial" w:hAnsi="Arial"/>
          <w:sz w:val="16"/>
          <w:szCs w:val="16"/>
          <w:b w:val="1"/>
          <w:bCs w:val="1"/>
          <w:u w:val="single" w:color="auto"/>
          <w:color w:val="auto"/>
        </w:rPr>
        <w:t>Option Shares</w:t>
      </w:r>
      <w:r>
        <w:rPr>
          <w:rFonts w:ascii="Arial" w:cs="Arial" w:eastAsia="Arial" w:hAnsi="Arial"/>
          <w:sz w:val="16"/>
          <w:szCs w:val="16"/>
          <w:color w:val="auto"/>
        </w:rPr>
        <w:t>”).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The Participant shall have no rights as a stockholder with respect to any shares of Common Stock covered by this Option unless and until the Participant has become the holder of record of the shares of Common Stock, and no adjustments shall be made for dividends in cash or other property, distributions, or other rights in respect of any such shares, except as otherwise specifically provided for in the Plan or this Agreement.</w:t>
      </w:r>
    </w:p>
    <w:p>
      <w:pPr>
        <w:spacing w:after="0" w:line="160" w:lineRule="exact"/>
        <w:rPr>
          <w:sz w:val="20"/>
          <w:szCs w:val="20"/>
          <w:color w:val="auto"/>
        </w:rPr>
      </w:pPr>
    </w:p>
    <w:p>
      <w:pPr>
        <w:ind w:right="40" w:firstLine="464"/>
        <w:spacing w:after="0" w:line="287" w:lineRule="auto"/>
        <w:tabs>
          <w:tab w:leader="none" w:pos="771" w:val="left"/>
        </w:tabs>
        <w:numPr>
          <w:ilvl w:val="0"/>
          <w:numId w:val="4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w:t>
      </w:r>
      <w:r>
        <w:rPr>
          <w:rFonts w:ascii="Arial" w:cs="Arial" w:eastAsia="Arial" w:hAnsi="Arial"/>
          <w:sz w:val="13"/>
          <w:szCs w:val="13"/>
          <w:b w:val="1"/>
          <w:bCs w:val="1"/>
          <w:u w:val="single" w:color="auto"/>
          <w:color w:val="auto"/>
        </w:rPr>
        <w:t>AX</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M</w:t>
      </w:r>
      <w:r>
        <w:rPr>
          <w:rFonts w:ascii="Arial" w:cs="Arial" w:eastAsia="Arial" w:hAnsi="Arial"/>
          <w:sz w:val="13"/>
          <w:szCs w:val="13"/>
          <w:b w:val="1"/>
          <w:bCs w:val="1"/>
          <w:u w:val="single" w:color="auto"/>
          <w:color w:val="auto"/>
        </w:rPr>
        <w:t>ATTERS</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granted hereby is intended to qualify as an “incentive stock option” under Section 422 of the Code. Notwithstanding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foregoing, the Option will not qualify as an “incentive stock option,” among other events, (a) if the Participant disposes of the Option Shares at any time during the two-year period following the date of this Agreement or the one-year period following the date of any exercise of the Option; (b) except in the event of the Participant’s death or Disability, if the Participant is not employed by the Company, a Parent, or a Subsidiary at all times during the period beginning on the date of this Agreement and ending on the day that is three months before the date of any exercise of the Option; or (c) to the extent the aggregate fair market value of the Common Stock subject to “incentive stock options” held by the Participant that become exercisable for the first time in any calendar year (under all plans of the Company, a Parent, or a Subsidiary) exceeds $100,000. For purposes of clause (c) above, the “fair market value” of the Common Stock shall be determined as of the Grant Date. To the extent that the Option does not qualify as an “incentive stock option,” it shall not affect the validity of the Option and shall constitute a separate non-qualified stock option. In the event that the Participant disposes of the Option Shares within either two years following the Grant Date or one year following the date of exercise of the Option, the Participant must deliver to the Company, within seven days following such disposition, a written notice specifying the date on which such shares were disposed of, the number of shares of Common Stock so disposed, and, if such disposition was by a sale or exchange, the amount of consideration received.</w:t>
      </w:r>
    </w:p>
    <w:p>
      <w:pPr>
        <w:spacing w:after="0" w:line="276" w:lineRule="exact"/>
        <w:rPr>
          <w:rFonts w:ascii="Arial" w:cs="Arial" w:eastAsia="Arial" w:hAnsi="Arial"/>
          <w:sz w:val="16"/>
          <w:szCs w:val="16"/>
          <w:b w:val="1"/>
          <w:bCs w:val="1"/>
          <w:color w:val="auto"/>
        </w:rPr>
      </w:pPr>
    </w:p>
    <w:p>
      <w:pPr>
        <w:ind w:left="780" w:hanging="316"/>
        <w:spacing w:after="0"/>
        <w:tabs>
          <w:tab w:leader="none" w:pos="780"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ETRIMENTAL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CTIVITY</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XPIRATION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80" w:firstLine="921"/>
        <w:spacing w:after="0" w:line="312" w:lineRule="auto"/>
        <w:tabs>
          <w:tab w:leader="none" w:pos="1293" w:val="left"/>
        </w:tabs>
        <w:numPr>
          <w:ilvl w:val="1"/>
          <w:numId w:val="436"/>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The Option subject to this grant shall become vested in accordance with the vesting schedule above. All vesting of the Option granted hereunder shall occur only on the appropriate vesting date specified above, subject to the Participant’s continued service with the Company or any of its Subsidiaries through each applicable vesting date. There shall be no proportionate or partial vesting in the periods before each vesting date.</w:t>
      </w:r>
    </w:p>
    <w:p>
      <w:pPr>
        <w:spacing w:after="0" w:line="146" w:lineRule="exact"/>
        <w:rPr>
          <w:rFonts w:ascii="Arial" w:cs="Arial" w:eastAsia="Arial" w:hAnsi="Arial"/>
          <w:sz w:val="16"/>
          <w:szCs w:val="16"/>
          <w:color w:val="auto"/>
        </w:rPr>
      </w:pPr>
    </w:p>
    <w:p>
      <w:pPr>
        <w:ind w:firstLine="921"/>
        <w:spacing w:after="0" w:line="277" w:lineRule="auto"/>
        <w:tabs>
          <w:tab w:leader="none" w:pos="1303" w:val="left"/>
        </w:tabs>
        <w:numPr>
          <w:ilvl w:val="1"/>
          <w:numId w:val="436"/>
        </w:numPr>
        <w:rPr>
          <w:rFonts w:ascii="Arial" w:cs="Arial" w:eastAsia="Arial" w:hAnsi="Arial"/>
          <w:sz w:val="18"/>
          <w:szCs w:val="18"/>
          <w:color w:val="auto"/>
        </w:rPr>
      </w:pPr>
      <w:r>
        <w:rPr>
          <w:rFonts w:ascii="Arial" w:cs="Arial" w:eastAsia="Arial" w:hAnsi="Arial"/>
          <w:sz w:val="18"/>
          <w:szCs w:val="18"/>
          <w:u w:val="single" w:color="auto"/>
          <w:color w:val="auto"/>
        </w:rPr>
        <w:t>Effect of Detrimental Activity</w:t>
      </w:r>
      <w:r>
        <w:rPr>
          <w:rFonts w:ascii="Arial" w:cs="Arial" w:eastAsia="Arial" w:hAnsi="Arial"/>
          <w:sz w:val="18"/>
          <w:szCs w:val="18"/>
          <w:color w:val="auto"/>
        </w:rPr>
        <w:t>. The provisions of Section 6.3(c)(ii) of the Plan regarding Detrimental Activity shall apply to the Option. The Participant acknowledges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69" w:right="259" w:bottom="1440" w:gutter="0" w:footer="0" w:header="0"/>
        </w:sectPr>
      </w:pPr>
    </w:p>
    <w:bookmarkStart w:id="533" w:name="page534"/>
    <w:bookmarkEnd w:id="53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agrees that the restrictions herein and in the Plan regarding Detrimental Activity are necessary for the protection of the business and goodwill of the Company and its Affiliates, and are considered by the Participant to be reasonable for such purposes. Without intending to limit the legal or equitable remedies available in the Plan and in this Agreement, the Participant acknowledges that engaging in Detrimental Activity will cause the Company and its Affiliates material irreparable injury for which there is no adequate remedy at law, that it will not be possible to measure damages for such injuries precisely and that, in the event of such activity or threat thereof, the Company shall be entitled, in addition to the remedies provided under the Plan, to obtain from any court of competent jurisdiction a temporary restraining order or a preliminary or permanent injunction restraining the Participant from engaging in Detrimental Activity or such other relief as may be required to specifically enforce any of the covenants in the Plan and this Agreement without the necessity of posting a bond, and in the case of a temporary restraining order or a preliminary injunction, without having to prove special damages.</w:t>
      </w:r>
    </w:p>
    <w:p>
      <w:pPr>
        <w:spacing w:after="0" w:line="166" w:lineRule="exact"/>
        <w:rPr>
          <w:sz w:val="20"/>
          <w:szCs w:val="20"/>
          <w:color w:val="auto"/>
        </w:rPr>
      </w:pPr>
    </w:p>
    <w:p>
      <w:pPr>
        <w:ind w:right="540" w:firstLine="921"/>
        <w:spacing w:after="0" w:line="259" w:lineRule="auto"/>
        <w:tabs>
          <w:tab w:leader="none" w:pos="1293" w:val="left"/>
        </w:tabs>
        <w:numPr>
          <w:ilvl w:val="1"/>
          <w:numId w:val="437"/>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The term of the Option shall be until the tenth anniversary of the Grant Date, after which time it shall expire (such tenth anniversary date, the “</w:t>
      </w:r>
      <w:r>
        <w:rPr>
          <w:rFonts w:ascii="Arial" w:cs="Arial" w:eastAsia="Arial" w:hAnsi="Arial"/>
          <w:sz w:val="18"/>
          <w:szCs w:val="18"/>
          <w:b w:val="1"/>
          <w:bCs w:val="1"/>
          <w:u w:val="single" w:color="auto"/>
          <w:color w:val="auto"/>
        </w:rPr>
        <w:t>Expiration Date</w:t>
      </w:r>
      <w:r>
        <w:rPr>
          <w:rFonts w:ascii="Arial" w:cs="Arial" w:eastAsia="Arial" w:hAnsi="Arial"/>
          <w:sz w:val="18"/>
          <w:szCs w:val="18"/>
          <w:color w:val="auto"/>
        </w:rPr>
        <w:t>”), subject to earlier termination in the event of the Participant’s Termination as specified in the Plan and this Agreement. Upon the Expiration Date, the Option (whether vested or not) shall automatically be cancelled for no consideration, shall no longer be exercisable, and shall cease to be outstanding.</w:t>
      </w:r>
    </w:p>
    <w:p>
      <w:pPr>
        <w:spacing w:after="0" w:line="182" w:lineRule="exact"/>
        <w:rPr>
          <w:rFonts w:ascii="Arial" w:cs="Arial" w:eastAsia="Arial" w:hAnsi="Arial"/>
          <w:sz w:val="18"/>
          <w:szCs w:val="18"/>
          <w:color w:val="auto"/>
        </w:rPr>
      </w:pPr>
    </w:p>
    <w:p>
      <w:pPr>
        <w:ind w:right="100" w:firstLine="464"/>
        <w:spacing w:after="0" w:line="282" w:lineRule="auto"/>
        <w:tabs>
          <w:tab w:leader="none" w:pos="771"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the Plan and this Agreement, the Option, to the extent vested at the time of the Participant’s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remain exercisable as follows:</w:t>
      </w:r>
    </w:p>
    <w:p>
      <w:pPr>
        <w:spacing w:after="0" w:line="165" w:lineRule="exact"/>
        <w:rPr>
          <w:rFonts w:ascii="Arial" w:cs="Arial" w:eastAsia="Arial" w:hAnsi="Arial"/>
          <w:sz w:val="18"/>
          <w:szCs w:val="18"/>
          <w:b w:val="1"/>
          <w:bCs w:val="1"/>
          <w:color w:val="auto"/>
        </w:rPr>
      </w:pPr>
    </w:p>
    <w:p>
      <w:pPr>
        <w:ind w:right="80" w:firstLine="921"/>
        <w:spacing w:after="0" w:line="308" w:lineRule="auto"/>
        <w:tabs>
          <w:tab w:leader="none" w:pos="1293" w:val="left"/>
        </w:tabs>
        <w:numPr>
          <w:ilvl w:val="1"/>
          <w:numId w:val="438"/>
        </w:numPr>
        <w:rPr>
          <w:rFonts w:ascii="Arial" w:cs="Arial" w:eastAsia="Arial" w:hAnsi="Arial"/>
          <w:sz w:val="17"/>
          <w:szCs w:val="17"/>
          <w:color w:val="auto"/>
        </w:rPr>
      </w:pPr>
      <w:r>
        <w:rPr>
          <w:rFonts w:ascii="Arial" w:cs="Arial" w:eastAsia="Arial" w:hAnsi="Arial"/>
          <w:sz w:val="17"/>
          <w:szCs w:val="17"/>
          <w:u w:val="single" w:color="auto"/>
          <w:color w:val="auto"/>
        </w:rPr>
        <w:t>Termination due to Death or Disability</w:t>
      </w:r>
      <w:r>
        <w:rPr>
          <w:rFonts w:ascii="Arial" w:cs="Arial" w:eastAsia="Arial" w:hAnsi="Arial"/>
          <w:sz w:val="17"/>
          <w:szCs w:val="17"/>
          <w:color w:val="auto"/>
        </w:rPr>
        <w:t>. In the event of the Participant’s Termination by reason of death or Disability, the vested portion of this Option shall remain exercisable until the earlier of (i) one year from the date of such Termination, and (ii) the Expiration Date.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534" w:name="page535"/>
    <w:bookmarkEnd w:id="534"/>
    <w:p>
      <w:pPr>
        <w:ind w:right="80" w:firstLine="921"/>
        <w:spacing w:after="0" w:line="308" w:lineRule="auto"/>
        <w:tabs>
          <w:tab w:leader="none" w:pos="1303" w:val="left"/>
        </w:tabs>
        <w:numPr>
          <w:ilvl w:val="1"/>
          <w:numId w:val="43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Without Cause</w:t>
      </w:r>
      <w:r>
        <w:rPr>
          <w:rFonts w:ascii="Arial" w:cs="Arial" w:eastAsia="Arial" w:hAnsi="Arial"/>
          <w:sz w:val="17"/>
          <w:szCs w:val="17"/>
          <w:color w:val="auto"/>
        </w:rPr>
        <w:t>. In the event of the Participant’s involuntary Termination by the Company without Cause, the vested portion of this Option shall remain exercisable until the earlier of (i) ninety days from the date of such Termination, and (ii) the Expiration Date.</w:t>
      </w:r>
    </w:p>
    <w:p>
      <w:pPr>
        <w:spacing w:after="0" w:line="146" w:lineRule="exact"/>
        <w:rPr>
          <w:rFonts w:ascii="Arial" w:cs="Arial" w:eastAsia="Arial" w:hAnsi="Arial"/>
          <w:sz w:val="17"/>
          <w:szCs w:val="17"/>
          <w:color w:val="auto"/>
        </w:rPr>
      </w:pPr>
    </w:p>
    <w:p>
      <w:pPr>
        <w:ind w:right="280" w:firstLine="921"/>
        <w:spacing w:after="0" w:line="277" w:lineRule="auto"/>
        <w:tabs>
          <w:tab w:leader="none" w:pos="1293" w:val="left"/>
        </w:tabs>
        <w:numPr>
          <w:ilvl w:val="1"/>
          <w:numId w:val="439"/>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In the event of the Participant’s voluntary Termination, the vested portion of this Option shall remain exercisable until the earlier of (i) thirty days from the date of such Termination, and (ii) the Expiration Date.</w:t>
      </w:r>
    </w:p>
    <w:p>
      <w:pPr>
        <w:spacing w:after="0" w:line="170" w:lineRule="exact"/>
        <w:rPr>
          <w:rFonts w:ascii="Arial" w:cs="Arial" w:eastAsia="Arial" w:hAnsi="Arial"/>
          <w:sz w:val="18"/>
          <w:szCs w:val="18"/>
          <w:color w:val="auto"/>
        </w:rPr>
      </w:pPr>
    </w:p>
    <w:p>
      <w:pPr>
        <w:jc w:val="both"/>
        <w:ind w:right="140" w:firstLine="921"/>
        <w:spacing w:after="0" w:line="264" w:lineRule="auto"/>
        <w:tabs>
          <w:tab w:leader="none" w:pos="1303" w:val="left"/>
        </w:tabs>
        <w:numPr>
          <w:ilvl w:val="1"/>
          <w:numId w:val="439"/>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xml:space="preserve"> In the event of the Participant’s Termination by the Company for Cause (or in the event of a voluntary Termination by the Participant after the occurrence of an event that would be grounds for a Termination for Cause), the Option granted hereunder (whether or not vested) shall terminate and expire upon such Termination.</w:t>
      </w:r>
    </w:p>
    <w:p>
      <w:pPr>
        <w:spacing w:after="0" w:line="181" w:lineRule="exact"/>
        <w:rPr>
          <w:rFonts w:ascii="Arial" w:cs="Arial" w:eastAsia="Arial" w:hAnsi="Arial"/>
          <w:sz w:val="18"/>
          <w:szCs w:val="18"/>
          <w:color w:val="auto"/>
        </w:rPr>
      </w:pPr>
    </w:p>
    <w:p>
      <w:pPr>
        <w:ind w:right="920" w:firstLine="921"/>
        <w:spacing w:after="0" w:line="277" w:lineRule="auto"/>
        <w:tabs>
          <w:tab w:leader="none" w:pos="1293" w:val="left"/>
        </w:tabs>
        <w:numPr>
          <w:ilvl w:val="1"/>
          <w:numId w:val="439"/>
        </w:numPr>
        <w:rPr>
          <w:rFonts w:ascii="Arial" w:cs="Arial" w:eastAsia="Arial" w:hAnsi="Arial"/>
          <w:sz w:val="18"/>
          <w:szCs w:val="18"/>
          <w:color w:val="auto"/>
        </w:rPr>
      </w:pPr>
      <w:r>
        <w:rPr>
          <w:rFonts w:ascii="Arial" w:cs="Arial" w:eastAsia="Arial" w:hAnsi="Arial"/>
          <w:sz w:val="18"/>
          <w:szCs w:val="18"/>
          <w:u w:val="single" w:color="auto"/>
          <w:color w:val="auto"/>
        </w:rPr>
        <w:t>Treatment of Unvested Option upon Termination</w:t>
      </w:r>
      <w:r>
        <w:rPr>
          <w:rFonts w:ascii="Arial" w:cs="Arial" w:eastAsia="Arial" w:hAnsi="Arial"/>
          <w:sz w:val="18"/>
          <w:szCs w:val="18"/>
          <w:color w:val="auto"/>
        </w:rPr>
        <w:t>. Any portion of this Option that is not vested as of the date of the Participant’s Termination for any reason shall terminate and expire as of the date of such Termination.</w:t>
      </w:r>
    </w:p>
    <w:p>
      <w:pPr>
        <w:spacing w:after="0" w:line="166" w:lineRule="exact"/>
        <w:rPr>
          <w:rFonts w:ascii="Arial" w:cs="Arial" w:eastAsia="Arial" w:hAnsi="Arial"/>
          <w:sz w:val="18"/>
          <w:szCs w:val="18"/>
          <w:color w:val="auto"/>
        </w:rPr>
      </w:pPr>
    </w:p>
    <w:p>
      <w:pPr>
        <w:ind w:right="20" w:firstLine="464"/>
        <w:spacing w:after="0" w:line="258" w:lineRule="auto"/>
        <w:tabs>
          <w:tab w:leader="none" w:pos="771"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ETHOD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XERCISE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AYMENT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9 hereof, to the extent that the Option has become vested and exercisable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 number of shares of Common Stock as provided herein, the Option may thereafter be exercised by the Participant, in whole or in part, at any time or from time to time before the expiration of the Option as provided herein and in accordance with Section 6.3 of the Plan, including, without limitation, by the delivery of any form of exercise notice as may be required by the Committee and payment in full of the Per Share Exercise Price multiplied by the number of shares of Common Stock underlying the portion of the Option exercised.</w:t>
      </w:r>
    </w:p>
    <w:p>
      <w:pPr>
        <w:spacing w:after="0" w:line="183" w:lineRule="exact"/>
        <w:rPr>
          <w:rFonts w:ascii="Arial" w:cs="Arial" w:eastAsia="Arial" w:hAnsi="Arial"/>
          <w:sz w:val="18"/>
          <w:szCs w:val="18"/>
          <w:b w:val="1"/>
          <w:bCs w:val="1"/>
          <w:color w:val="auto"/>
        </w:rPr>
      </w:pPr>
    </w:p>
    <w:p>
      <w:pPr>
        <w:jc w:val="both"/>
        <w:ind w:right="60" w:firstLine="464"/>
        <w:spacing w:after="0" w:line="277" w:lineRule="auto"/>
        <w:tabs>
          <w:tab w:leader="none" w:pos="816" w:val="left"/>
        </w:tabs>
        <w:numPr>
          <w:ilvl w:val="0"/>
          <w:numId w:val="4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w:t>
      </w:r>
      <w:r>
        <w:rPr>
          <w:rFonts w:ascii="Arial" w:cs="Arial" w:eastAsia="Arial" w:hAnsi="Arial"/>
          <w:sz w:val="14"/>
          <w:szCs w:val="14"/>
          <w:b w:val="1"/>
          <w:bCs w:val="1"/>
          <w:u w:val="single" w:color="auto"/>
          <w:color w:val="auto"/>
        </w:rPr>
        <w:t>ON</w:t>
      </w:r>
      <w:r>
        <w:rPr>
          <w:rFonts w:ascii="Arial" w:cs="Arial" w:eastAsia="Arial" w:hAnsi="Arial"/>
          <w:sz w:val="17"/>
          <w:szCs w:val="17"/>
          <w:b w:val="1"/>
          <w:bCs w:val="1"/>
          <w:u w:val="single" w:color="auto"/>
          <w:color w:val="auto"/>
        </w:rPr>
        <w:t>-</w:t>
      </w:r>
      <w:r>
        <w:rPr>
          <w:rFonts w:ascii="Arial" w:cs="Arial" w:eastAsia="Arial" w:hAnsi="Arial"/>
          <w:sz w:val="14"/>
          <w:szCs w:val="14"/>
          <w:b w:val="1"/>
          <w:bCs w:val="1"/>
          <w:u w:val="single" w:color="auto"/>
          <w:color w:val="auto"/>
        </w:rPr>
        <w:t>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and any rights and interests with respect thereto, issued under this Agreement and the Plan shall not,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vesting, be sold, exchanged, Transferred, assigned, or otherwise disposed of in any way by the Participant (or any beneficiary(ies) of the Participant), other than by testamentary disposition by the Participant or the laws of descent and distribution. Any attempt to sell, exchange, Transfer, assign, pledge, encumber, or otherwise dispose of or hypothecate in any way the Option, or the levy of any execution, attachment, or similar legal process upon the Option, contrary to the terms and provisions of this Agreement and/or the Plan shall be null and void and without legal force or effect.</w:t>
      </w:r>
    </w:p>
    <w:p>
      <w:pPr>
        <w:spacing w:after="0" w:line="168" w:lineRule="exact"/>
        <w:rPr>
          <w:rFonts w:ascii="Arial" w:cs="Arial" w:eastAsia="Arial" w:hAnsi="Arial"/>
          <w:sz w:val="17"/>
          <w:szCs w:val="17"/>
          <w:b w:val="1"/>
          <w:bCs w:val="1"/>
          <w:color w:val="auto"/>
        </w:rPr>
      </w:pPr>
    </w:p>
    <w:p>
      <w:pPr>
        <w:ind w:right="60" w:firstLine="464"/>
        <w:spacing w:after="0" w:line="282" w:lineRule="auto"/>
        <w:tabs>
          <w:tab w:leader="none" w:pos="771"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w:t>
      </w:r>
      <w:r>
        <w:rPr>
          <w:rFonts w:ascii="Arial" w:cs="Arial" w:eastAsia="Arial" w:hAnsi="Arial"/>
          <w:sz w:val="15"/>
          <w:szCs w:val="15"/>
          <w:b w:val="1"/>
          <w:bCs w:val="1"/>
          <w:u w:val="single" w:color="auto"/>
          <w:color w:val="auto"/>
        </w:rPr>
        <w:t>OVERNING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All questions concerning the construction, validity, and interpretation of this Agreement shall be governed by and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internal laws of the State of Delaware without giving effect to its principles of conflicts of laws.</w:t>
      </w:r>
    </w:p>
    <w:p>
      <w:pPr>
        <w:spacing w:after="0" w:line="161" w:lineRule="exact"/>
        <w:rPr>
          <w:rFonts w:ascii="Arial" w:cs="Arial" w:eastAsia="Arial" w:hAnsi="Arial"/>
          <w:sz w:val="18"/>
          <w:szCs w:val="18"/>
          <w:b w:val="1"/>
          <w:bCs w:val="1"/>
          <w:color w:val="auto"/>
        </w:rPr>
      </w:pPr>
    </w:p>
    <w:p>
      <w:pPr>
        <w:ind w:firstLine="464"/>
        <w:spacing w:after="0" w:line="261" w:lineRule="auto"/>
        <w:tabs>
          <w:tab w:leader="none" w:pos="771"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w:t>
      </w:r>
      <w:r>
        <w:rPr>
          <w:rFonts w:ascii="Arial" w:cs="Arial" w:eastAsia="Arial" w:hAnsi="Arial"/>
          <w:sz w:val="15"/>
          <w:szCs w:val="15"/>
          <w:b w:val="1"/>
          <w:bCs w:val="1"/>
          <w:u w:val="single" w:color="auto"/>
          <w:color w:val="auto"/>
        </w:rPr>
        <w:t>ITHHOLDING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any Affiliate shall have the power and the right to deduct or withhold, require the Participant to remit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such Affiliate, or make any other arrangements as it considers appropriate to ensure that it has received an amount sufficient to satisfy any federal, state, local, and foreign taxes of any kind (including, but not limited to, the Participant’s FICA and SDI obligations) that the Company, in its sole discretion, deems necessary to be withheld or remitted to comply with the Code and/or any other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535" w:name="page536"/>
    <w:bookmarkEnd w:id="535"/>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law, rule, or regulation with respect to the Option and, if the Participant fails to do so, the Company may otherwise refuse to issue or Transfer any shares of Common Stock otherwise required to be issued pursuant to this Agreement.</w:t>
      </w:r>
    </w:p>
    <w:p>
      <w:pPr>
        <w:spacing w:after="0" w:line="166" w:lineRule="exact"/>
        <w:rPr>
          <w:sz w:val="20"/>
          <w:szCs w:val="20"/>
          <w:color w:val="auto"/>
        </w:rPr>
      </w:pPr>
    </w:p>
    <w:p>
      <w:pPr>
        <w:jc w:val="both"/>
        <w:ind w:right="60" w:firstLine="464"/>
        <w:spacing w:after="0" w:line="261" w:lineRule="auto"/>
        <w:tabs>
          <w:tab w:leader="none" w:pos="861"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ECOUPMENT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OLICY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acknowledges and agrees that this Option (including any shares of Common Stock issued upon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shall be subject to the terms and provisions of any “clawback” or recoupment policy that may be adopted by the Company or its Affiliates from time to time or as may be required by any applicable law (including, without limitation, the Dodd-Frank Wall Street Reform and Consumer Protection Act and implementing rules and regulations thereunder).</w:t>
      </w:r>
    </w:p>
    <w:p>
      <w:pPr>
        <w:spacing w:after="0" w:line="180" w:lineRule="exact"/>
        <w:rPr>
          <w:rFonts w:ascii="Arial" w:cs="Arial" w:eastAsia="Arial" w:hAnsi="Arial"/>
          <w:sz w:val="18"/>
          <w:szCs w:val="18"/>
          <w:b w:val="1"/>
          <w:bCs w:val="1"/>
          <w:color w:val="auto"/>
        </w:rPr>
      </w:pPr>
    </w:p>
    <w:p>
      <w:pPr>
        <w:ind w:firstLine="464"/>
        <w:spacing w:after="0" w:line="261" w:lineRule="auto"/>
        <w:tabs>
          <w:tab w:leader="none" w:pos="852"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w:t>
      </w:r>
      <w:r>
        <w:rPr>
          <w:rFonts w:ascii="Arial" w:cs="Arial" w:eastAsia="Arial" w:hAnsi="Arial"/>
          <w:sz w:val="15"/>
          <w:szCs w:val="15"/>
          <w:b w:val="1"/>
          <w:bCs w:val="1"/>
          <w:u w:val="single" w:color="auto"/>
          <w:color w:val="auto"/>
        </w:rPr>
        <w:t>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or communication given hereunder shall be in writing and shall be deemed to have been duly given: (i) when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(ii) two days after being sent by United States mail; or (iii) on the first business day following the date of deposit if delivered by a nationally recognized overnight delivery service, in each case, to the appropriate party at the address set forth below (or such other address as the party may from time to time specify):</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Solid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126365</wp:posOffset>
            </wp:positionV>
            <wp:extent cx="174307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743075"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263525</wp:posOffset>
            </wp:positionV>
            <wp:extent cx="174307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Chief Executive Officer</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Proskauer Rose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Eleven Times Square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10036-8299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Julie M. Allen, Esq.</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Participant, to the address on file with the Company.</w:t>
      </w:r>
    </w:p>
    <w:p>
      <w:pPr>
        <w:spacing w:after="0" w:line="221" w:lineRule="exact"/>
        <w:rPr>
          <w:sz w:val="20"/>
          <w:szCs w:val="20"/>
          <w:color w:val="auto"/>
        </w:rPr>
      </w:pPr>
    </w:p>
    <w:p>
      <w:pPr>
        <w:ind w:firstLine="464"/>
        <w:spacing w:after="0" w:line="295" w:lineRule="auto"/>
        <w:tabs>
          <w:tab w:leader="none" w:pos="861" w:val="left"/>
        </w:tabs>
        <w:numPr>
          <w:ilvl w:val="0"/>
          <w:numId w:val="4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w:t>
      </w:r>
      <w:r>
        <w:rPr>
          <w:rFonts w:ascii="Arial" w:cs="Arial" w:eastAsia="Arial" w:hAnsi="Arial"/>
          <w:sz w:val="13"/>
          <w:szCs w:val="13"/>
          <w:b w:val="1"/>
          <w:bCs w:val="1"/>
          <w:u w:val="single" w:color="auto"/>
          <w:color w:val="auto"/>
        </w:rPr>
        <w: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3"/>
          <w:szCs w:val="13"/>
          <w:b w:val="1"/>
          <w:bCs w:val="1"/>
          <w:u w:val="single" w:color="auto"/>
          <w:color w:val="auto"/>
        </w:rPr>
        <w:t>IGHT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w:t>
      </w:r>
      <w:r>
        <w:rPr>
          <w:rFonts w:ascii="Arial" w:cs="Arial" w:eastAsia="Arial" w:hAnsi="Arial"/>
          <w:sz w:val="13"/>
          <w:szCs w:val="13"/>
          <w:b w:val="1"/>
          <w:bCs w:val="1"/>
          <w:u w:val="single" w:color="auto"/>
          <w:color w:val="auto"/>
        </w:rPr>
        <w:t>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the right of the Company or any of its Affiliates to terminate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employment at any time, with or without Cause, or shall be deemed to create any rights to employment or continued employment. The rights and obligations arising under this Agreement are not intended to and do not affect the Participant’s employment relationship that otherwise exists between the Participant and the Company or any of its Affiliates, whether such employment relationship is at will or defined by an employment contract. Moreover, this Agreement is not intended to and does not amend any existing employment contract between the Participant and the Company or any of its Affiliates; to the extent there is a conflict between this Agreement and such an employment contract, the employment contract shall govern and take priority.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536" w:name="page537"/>
    <w:bookmarkEnd w:id="536"/>
    <w:p>
      <w:pPr>
        <w:ind w:left="-20" w:right="40" w:firstLine="464"/>
        <w:spacing w:after="0" w:line="274" w:lineRule="auto"/>
        <w:tabs>
          <w:tab w:leader="none" w:pos="841" w:val="left"/>
        </w:tabs>
        <w:numPr>
          <w:ilvl w:val="0"/>
          <w:numId w:val="4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w:t>
      </w:r>
      <w:r>
        <w:rPr>
          <w:rFonts w:ascii="Arial" w:cs="Arial" w:eastAsia="Arial" w:hAnsi="Arial"/>
          <w:sz w:val="14"/>
          <w:szCs w:val="14"/>
          <w:b w:val="1"/>
          <w:bCs w:val="1"/>
          <w:u w:val="single" w:color="auto"/>
          <w:color w:val="auto"/>
        </w:rPr>
        <w:t>ATA</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w:t>
      </w:r>
      <w:r>
        <w:rPr>
          <w:rFonts w:ascii="Arial" w:cs="Arial" w:eastAsia="Arial" w:hAnsi="Arial"/>
          <w:sz w:val="14"/>
          <w:szCs w:val="14"/>
          <w:b w:val="1"/>
          <w:bCs w:val="1"/>
          <w:u w:val="single" w:color="auto"/>
          <w:color w:val="auto"/>
        </w:rPr>
        <w:t>ROTECTION</w:t>
      </w:r>
      <w:r>
        <w:rPr>
          <w:rFonts w:ascii="Arial" w:cs="Arial" w:eastAsia="Arial" w:hAnsi="Arial"/>
          <w:sz w:val="17"/>
          <w:szCs w:val="17"/>
          <w:b w:val="1"/>
          <w:bCs w:val="1"/>
          <w:color w:val="auto"/>
        </w:rPr>
        <w:t xml:space="preserve">. </w:t>
      </w:r>
      <w:r>
        <w:rPr>
          <w:rFonts w:ascii="Arial" w:cs="Arial" w:eastAsia="Arial" w:hAnsi="Arial"/>
          <w:sz w:val="17"/>
          <w:szCs w:val="17"/>
          <w:color w:val="auto"/>
        </w:rPr>
        <w:t>By executing this Agreement, the Participant hereby consents to the holding and processing of personal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the Participant to the Company, any Affiliate thereof, trustee, or third party service provider, for all purposes relating to the operation of the Plan. These include, but are not limited to: (i) administering and maintaining Participant records; (ii) providing information to the Company, its Affiliates, trustees of any employee benefit trust, registrars, brokers, or third-party administrators of the Plan; (iii) providing information to future purchasers or merger partners of the Company or any Affiliate thereof, or the business in which the Participant works; and (iv) transferring information about the Participant to any country or territory that may not provide the same protection for the information as the Participant’s home country.</w:t>
      </w:r>
    </w:p>
    <w:p>
      <w:pPr>
        <w:spacing w:after="0" w:line="173" w:lineRule="exact"/>
        <w:rPr>
          <w:rFonts w:ascii="Arial" w:cs="Arial" w:eastAsia="Arial" w:hAnsi="Arial"/>
          <w:sz w:val="17"/>
          <w:szCs w:val="17"/>
          <w:b w:val="1"/>
          <w:bCs w:val="1"/>
          <w:color w:val="auto"/>
        </w:rPr>
      </w:pPr>
    </w:p>
    <w:p>
      <w:pPr>
        <w:ind w:left="-20" w:firstLine="464"/>
        <w:spacing w:after="0" w:line="271" w:lineRule="auto"/>
        <w:tabs>
          <w:tab w:leader="none" w:pos="841" w:val="left"/>
        </w:tabs>
        <w:numPr>
          <w:ilvl w:val="0"/>
          <w:numId w:val="4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w:t>
      </w:r>
      <w:r>
        <w:rPr>
          <w:rFonts w:ascii="Arial" w:cs="Arial" w:eastAsia="Arial" w:hAnsi="Arial"/>
          <w:sz w:val="14"/>
          <w:szCs w:val="14"/>
          <w:b w:val="1"/>
          <w:bCs w:val="1"/>
          <w:u w:val="single" w:color="auto"/>
          <w:color w:val="auto"/>
        </w:rPr>
        <w:t>ARKET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4"/>
          <w:szCs w:val="14"/>
          <w:b w:val="1"/>
          <w:bCs w:val="1"/>
          <w:u w:val="single" w:color="auto"/>
          <w:color w:val="auto"/>
        </w:rPr>
        <w:t>TAND</w:t>
      </w:r>
      <w:r>
        <w:rPr>
          <w:rFonts w:ascii="Arial" w:cs="Arial" w:eastAsia="Arial" w:hAnsi="Arial"/>
          <w:sz w:val="17"/>
          <w:szCs w:val="17"/>
          <w:b w:val="1"/>
          <w:bCs w:val="1"/>
          <w:u w:val="single" w:color="auto"/>
          <w:color w:val="auto"/>
        </w:rPr>
        <w:t>-O</w:t>
      </w:r>
      <w:r>
        <w:rPr>
          <w:rFonts w:ascii="Arial" w:cs="Arial" w:eastAsia="Arial" w:hAnsi="Arial"/>
          <w:sz w:val="14"/>
          <w:szCs w:val="14"/>
          <w:b w:val="1"/>
          <w:bCs w:val="1"/>
          <w:u w:val="single" w:color="auto"/>
          <w:color w:val="auto"/>
        </w:rPr>
        <w:t>FF</w:t>
      </w:r>
      <w:r>
        <w:rPr>
          <w:rFonts w:ascii="Arial" w:cs="Arial" w:eastAsia="Arial" w:hAnsi="Arial"/>
          <w:sz w:val="17"/>
          <w:szCs w:val="17"/>
          <w:b w:val="1"/>
          <w:bCs w:val="1"/>
          <w:color w:val="auto"/>
        </w:rPr>
        <w:t xml:space="preserve">. </w:t>
      </w:r>
      <w:r>
        <w:rPr>
          <w:rFonts w:ascii="Arial" w:cs="Arial" w:eastAsia="Arial" w:hAnsi="Arial"/>
          <w:sz w:val="17"/>
          <w:szCs w:val="17"/>
          <w:color w:val="auto"/>
        </w:rPr>
        <w:t>If requested by the Company, any Affiliate, or a lead underwriter of any public offering of the shares of Common Stock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Lead Underwriter</w:t>
      </w:r>
      <w:r>
        <w:rPr>
          <w:rFonts w:ascii="Arial" w:cs="Arial" w:eastAsia="Arial" w:hAnsi="Arial"/>
          <w:sz w:val="17"/>
          <w:szCs w:val="17"/>
          <w:color w:val="auto"/>
        </w:rPr>
        <w:t>”), the Participant shall irrevocably agree, and by execution of this Agreement shall irrevocably be deemed to have agreed, not to sell, contract to sell, grant any option to purchase, transfer the economic risk of ownership in, make any short sale of, pledge, or otherwise Transfer or dispose of, any interest in any shares of Common Stock or any securities convertible into, derivative of, or exchangeable or exercisable for shares of Common Stock, or any other rights to purchase or acquire shares of Common Stock (except shares of Common Stock included in such public offering or acquired on the public market after such offering) during such period of time following the effective date of a registration statement of the Company filed under the Securities Act that a Lead Underwriter shall specify (the “</w:t>
      </w:r>
      <w:r>
        <w:rPr>
          <w:rFonts w:ascii="Arial" w:cs="Arial" w:eastAsia="Arial" w:hAnsi="Arial"/>
          <w:sz w:val="17"/>
          <w:szCs w:val="17"/>
          <w:b w:val="1"/>
          <w:bCs w:val="1"/>
          <w:u w:val="single" w:color="auto"/>
          <w:color w:val="auto"/>
        </w:rPr>
        <w:t>Lock-up Period</w:t>
      </w:r>
      <w:r>
        <w:rPr>
          <w:rFonts w:ascii="Arial" w:cs="Arial" w:eastAsia="Arial" w:hAnsi="Arial"/>
          <w:sz w:val="17"/>
          <w:szCs w:val="17"/>
          <w:color w:val="auto"/>
        </w:rPr>
        <w:t>”). The Participant hereby further agrees to sign such documents as may be requested by a Lead Underwriter, the Company, or any Affiliate to effect the foregoing and agree that the Company or an Affiliate may impose stop transfer instructions with respect to shares of Common Stock acquired pursuant to an Award until the end of such Lock-up Period.</w:t>
      </w:r>
    </w:p>
    <w:p>
      <w:pPr>
        <w:spacing w:after="0" w:line="174" w:lineRule="exact"/>
        <w:rPr>
          <w:rFonts w:ascii="Arial" w:cs="Arial" w:eastAsia="Arial" w:hAnsi="Arial"/>
          <w:sz w:val="17"/>
          <w:szCs w:val="17"/>
          <w:b w:val="1"/>
          <w:bCs w:val="1"/>
          <w:color w:val="auto"/>
        </w:rPr>
      </w:pPr>
    </w:p>
    <w:p>
      <w:pPr>
        <w:ind w:left="-20" w:right="180" w:firstLine="464"/>
        <w:spacing w:after="0" w:line="277" w:lineRule="auto"/>
        <w:tabs>
          <w:tab w:leader="none" w:pos="841" w:val="left"/>
        </w:tabs>
        <w:numPr>
          <w:ilvl w:val="0"/>
          <w:numId w:val="4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w:t>
      </w:r>
      <w:r>
        <w:rPr>
          <w:rFonts w:ascii="Arial" w:cs="Arial" w:eastAsia="Arial" w:hAnsi="Arial"/>
          <w:sz w:val="14"/>
          <w:szCs w:val="14"/>
          <w:b w:val="1"/>
          <w:bCs w:val="1"/>
          <w:u w:val="single" w:color="auto"/>
          <w:color w:val="auto"/>
        </w:rPr>
        <w:t>OMPLIANCE WITH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L</w:t>
      </w:r>
      <w:r>
        <w:rPr>
          <w:rFonts w:ascii="Arial" w:cs="Arial" w:eastAsia="Arial" w:hAnsi="Arial"/>
          <w:sz w:val="14"/>
          <w:szCs w:val="14"/>
          <w:b w:val="1"/>
          <w:bCs w:val="1"/>
          <w:u w:val="single" w:color="auto"/>
          <w:color w:val="auto"/>
        </w:rPr>
        <w:t>AWS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of this Option (and the shares of Common Stock upon exercise of this Option)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subject to, and shall comply with, any applicable requirements of any foreign and U.S. federal and state securities laws, rules, and regulations (including, without limitation, the provisions of the Securities Act, the Exchange Act, and in each case any respective rules and regulations promulgated thereunder) and any other law or regulation applicable thereto. The Company shall not be obligated to issue this Option or any of the shares of Common Stock pursuant to this Agreement if any such issuance would violate any such requirements.</w:t>
      </w:r>
    </w:p>
    <w:p>
      <w:pPr>
        <w:spacing w:after="0" w:line="168" w:lineRule="exact"/>
        <w:rPr>
          <w:rFonts w:ascii="Arial" w:cs="Arial" w:eastAsia="Arial" w:hAnsi="Arial"/>
          <w:sz w:val="17"/>
          <w:szCs w:val="17"/>
          <w:b w:val="1"/>
          <w:bCs w:val="1"/>
          <w:color w:val="auto"/>
        </w:rPr>
      </w:pPr>
    </w:p>
    <w:p>
      <w:pPr>
        <w:ind w:left="-20" w:right="700" w:firstLine="464"/>
        <w:spacing w:after="0" w:line="282" w:lineRule="auto"/>
        <w:tabs>
          <w:tab w:leader="none" w:pos="841"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409A</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herein or in the Plan to the contrary, the Option is intended to be exempt from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Section 409A and shall be limited, construed, and interpreted in accordance with such intent.</w:t>
      </w:r>
    </w:p>
    <w:p>
      <w:pPr>
        <w:spacing w:after="0" w:line="161" w:lineRule="exact"/>
        <w:rPr>
          <w:rFonts w:ascii="Arial" w:cs="Arial" w:eastAsia="Arial" w:hAnsi="Arial"/>
          <w:sz w:val="18"/>
          <w:szCs w:val="18"/>
          <w:b w:val="1"/>
          <w:bCs w:val="1"/>
          <w:color w:val="auto"/>
        </w:rPr>
      </w:pPr>
    </w:p>
    <w:p>
      <w:pPr>
        <w:ind w:left="-20" w:right="180" w:firstLine="464"/>
        <w:spacing w:after="0" w:line="347" w:lineRule="auto"/>
        <w:tabs>
          <w:tab w:leader="none" w:pos="841" w:val="left"/>
        </w:tabs>
        <w:numPr>
          <w:ilvl w:val="0"/>
          <w:numId w:val="4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w:t>
      </w:r>
      <w:r>
        <w:rPr>
          <w:rFonts w:ascii="Arial" w:cs="Arial" w:eastAsia="Arial" w:hAnsi="Arial"/>
          <w:sz w:val="13"/>
          <w:szCs w:val="13"/>
          <w:b w:val="1"/>
          <w:bCs w:val="1"/>
          <w:u w:val="single" w:color="auto"/>
          <w:color w:val="auto"/>
        </w:rPr>
        <w:t>INDING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3"/>
          <w:szCs w:val="13"/>
          <w:b w:val="1"/>
          <w:bCs w:val="1"/>
          <w:u w:val="single" w:color="auto"/>
          <w:color w:val="auto"/>
        </w:rPr>
        <w:t>GREEMENT</w:t>
      </w:r>
      <w:r>
        <w:rPr>
          <w:rFonts w:ascii="Arial" w:cs="Arial" w:eastAsia="Arial" w:hAnsi="Arial"/>
          <w:sz w:val="16"/>
          <w:szCs w:val="16"/>
          <w:b w:val="1"/>
          <w:bCs w:val="1"/>
          <w:u w:val="single" w:color="auto"/>
          <w:color w:val="auto"/>
        </w:rPr>
        <w:t>; A</w:t>
      </w:r>
      <w:r>
        <w:rPr>
          <w:rFonts w:ascii="Arial" w:cs="Arial" w:eastAsia="Arial" w:hAnsi="Arial"/>
          <w:sz w:val="13"/>
          <w:szCs w:val="13"/>
          <w:b w:val="1"/>
          <w:bCs w:val="1"/>
          <w:u w:val="single" w:color="auto"/>
          <w:color w:val="auto"/>
        </w:rPr>
        <w:t>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inure to the benefit of, be binding upon, and be enforceable by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its successors and assigns. The Participant shall not assign any part of this Agreement without the prior express written consent of the Company.</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0" w:right="259" w:bottom="1440" w:gutter="0" w:footer="0" w:header="0"/>
        </w:sectPr>
      </w:pPr>
    </w:p>
    <w:bookmarkStart w:id="537" w:name="page538"/>
    <w:bookmarkEnd w:id="537"/>
    <w:p>
      <w:pPr>
        <w:ind w:left="-20" w:right="120" w:firstLine="464"/>
        <w:spacing w:after="0" w:line="282" w:lineRule="auto"/>
        <w:tabs>
          <w:tab w:leader="none" w:pos="841"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w:t>
      </w:r>
      <w:r>
        <w:rPr>
          <w:rFonts w:ascii="Arial" w:cs="Arial" w:eastAsia="Arial" w:hAnsi="Arial"/>
          <w:sz w:val="15"/>
          <w:szCs w:val="15"/>
          <w:b w:val="1"/>
          <w:bCs w:val="1"/>
          <w:u w:val="single" w:color="auto"/>
          <w:color w:val="auto"/>
        </w:rPr>
        <w:t>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titles and headings of the various sections of this Agreement have been inserted for convenience of reference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a part of this Agreement.</w:t>
      </w:r>
    </w:p>
    <w:p>
      <w:pPr>
        <w:spacing w:after="0" w:line="161" w:lineRule="exact"/>
        <w:rPr>
          <w:rFonts w:ascii="Arial" w:cs="Arial" w:eastAsia="Arial" w:hAnsi="Arial"/>
          <w:sz w:val="18"/>
          <w:szCs w:val="18"/>
          <w:b w:val="1"/>
          <w:bCs w:val="1"/>
          <w:color w:val="auto"/>
        </w:rPr>
      </w:pPr>
    </w:p>
    <w:p>
      <w:pPr>
        <w:ind w:left="-20" w:firstLine="464"/>
        <w:spacing w:after="0" w:line="282" w:lineRule="auto"/>
        <w:tabs>
          <w:tab w:leader="none" w:pos="841"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one or more counterparts, each of which shall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the same instrument.</w:t>
      </w:r>
    </w:p>
    <w:p>
      <w:pPr>
        <w:spacing w:after="0" w:line="161" w:lineRule="exact"/>
        <w:rPr>
          <w:rFonts w:ascii="Arial" w:cs="Arial" w:eastAsia="Arial" w:hAnsi="Arial"/>
          <w:sz w:val="18"/>
          <w:szCs w:val="18"/>
          <w:b w:val="1"/>
          <w:bCs w:val="1"/>
          <w:color w:val="auto"/>
        </w:rPr>
      </w:pPr>
    </w:p>
    <w:p>
      <w:pPr>
        <w:ind w:left="-20" w:right="40" w:firstLine="464"/>
        <w:spacing w:after="0" w:line="289" w:lineRule="auto"/>
        <w:tabs>
          <w:tab w:leader="none" w:pos="841" w:val="left"/>
        </w:tabs>
        <w:numPr>
          <w:ilvl w:val="0"/>
          <w:numId w:val="4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w:t>
      </w:r>
      <w:r>
        <w:rPr>
          <w:rFonts w:ascii="Arial" w:cs="Arial" w:eastAsia="Arial" w:hAnsi="Arial"/>
          <w:sz w:val="14"/>
          <w:szCs w:val="14"/>
          <w:b w:val="1"/>
          <w:bCs w:val="1"/>
          <w:u w:val="single" w:color="auto"/>
          <w:color w:val="auto"/>
        </w:rPr>
        <w:t>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invalidity or unenforceability of any provisions of this Agreement in any jurisdiction shall not affect the validity, legality, or</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enforceability of the remainder of this Agreement in such jurisdiction or the validity, legality, or enforceability of any provision of this Agreement in any other jurisdiction, it being intended that all rights and obligations of the parties hereunder shall be enforceable to the fullest extent permitted by law.</w:t>
      </w:r>
    </w:p>
    <w:p>
      <w:pPr>
        <w:spacing w:after="0" w:line="158" w:lineRule="exact"/>
        <w:rPr>
          <w:rFonts w:ascii="Arial" w:cs="Arial" w:eastAsia="Arial" w:hAnsi="Arial"/>
          <w:sz w:val="17"/>
          <w:szCs w:val="17"/>
          <w:b w:val="1"/>
          <w:bCs w:val="1"/>
          <w:color w:val="auto"/>
        </w:rPr>
      </w:pPr>
    </w:p>
    <w:p>
      <w:pPr>
        <w:ind w:left="-20" w:right="40" w:firstLine="464"/>
        <w:spacing w:after="0" w:line="298" w:lineRule="auto"/>
        <w:tabs>
          <w:tab w:leader="none" w:pos="841" w:val="left"/>
        </w:tabs>
        <w:numPr>
          <w:ilvl w:val="0"/>
          <w:numId w:val="4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w:t>
      </w:r>
      <w:r>
        <w:rPr>
          <w:rFonts w:ascii="Arial" w:cs="Arial" w:eastAsia="Arial" w:hAnsi="Arial"/>
          <w:sz w:val="13"/>
          <w:szCs w:val="13"/>
          <w:b w:val="1"/>
          <w:bCs w:val="1"/>
          <w:u w:val="single" w:color="auto"/>
          <w:color w:val="auto"/>
        </w:rPr>
        <w:t>NTIRE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3"/>
          <w:szCs w:val="13"/>
          <w:b w:val="1"/>
          <w:bCs w:val="1"/>
          <w:u w:val="single" w:color="auto"/>
          <w:color w:val="auto"/>
        </w:rPr>
        <w:t>GREEMENT</w:t>
      </w:r>
      <w:r>
        <w:rPr>
          <w:rFonts w:ascii="Arial" w:cs="Arial" w:eastAsia="Arial" w:hAnsi="Arial"/>
          <w:sz w:val="16"/>
          <w:szCs w:val="16"/>
          <w:b w:val="1"/>
          <w:bCs w:val="1"/>
          <w:u w:val="single" w:color="auto"/>
          <w:color w:val="auto"/>
        </w:rPr>
        <w:t>; A</w:t>
      </w:r>
      <w:r>
        <w:rPr>
          <w:rFonts w:ascii="Arial" w:cs="Arial" w:eastAsia="Arial" w:hAnsi="Arial"/>
          <w:sz w:val="13"/>
          <w:szCs w:val="13"/>
          <w:b w:val="1"/>
          <w:bCs w:val="1"/>
          <w:u w:val="single" w:color="auto"/>
          <w:color w:val="auto"/>
        </w:rPr>
        <w:t>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together with the Plan, contains the entire agreement between the parties hereto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subject matter contained herein, and supersedes all prior agreements or prior understandings, whether written or oral, between the parties relating to such subject matter. The Committee shall have the right, in its sole discretion, to modify or amend this Agreement from time to time in accordance with and as provided in the Plan. The Company shall give written notice to the Participant of any such modification or amendment of this Agreement as soon as practicable after the adoption thereof. This Agreement may also be modified or amended by a writing signed by both the Company and the Participant.</w:t>
      </w:r>
    </w:p>
    <w:p>
      <w:pPr>
        <w:spacing w:after="0" w:line="154" w:lineRule="exact"/>
        <w:rPr>
          <w:rFonts w:ascii="Arial" w:cs="Arial" w:eastAsia="Arial" w:hAnsi="Arial"/>
          <w:sz w:val="16"/>
          <w:szCs w:val="16"/>
          <w:b w:val="1"/>
          <w:bCs w:val="1"/>
          <w:color w:val="auto"/>
        </w:rPr>
      </w:pPr>
    </w:p>
    <w:p>
      <w:pPr>
        <w:ind w:left="-20" w:right="120" w:firstLine="464"/>
        <w:spacing w:after="0" w:line="277" w:lineRule="auto"/>
        <w:tabs>
          <w:tab w:leader="none" w:pos="841" w:val="left"/>
        </w:tabs>
        <w:numPr>
          <w:ilvl w:val="0"/>
          <w:numId w:val="4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w:t>
      </w:r>
      <w:r>
        <w:rPr>
          <w:rFonts w:ascii="Arial" w:cs="Arial" w:eastAsia="Arial" w:hAnsi="Arial"/>
          <w:sz w:val="14"/>
          <w:szCs w:val="14"/>
          <w:b w:val="1"/>
          <w:bCs w:val="1"/>
          <w:u w:val="single" w:color="auto"/>
          <w:color w:val="auto"/>
        </w:rPr>
        <w:t>ODE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w:t>
      </w:r>
      <w:r>
        <w:rPr>
          <w:rFonts w:ascii="Arial" w:cs="Arial" w:eastAsia="Arial" w:hAnsi="Arial"/>
          <w:sz w:val="14"/>
          <w:szCs w:val="14"/>
          <w:b w:val="1"/>
          <w:bCs w:val="1"/>
          <w:u w:val="single" w:color="auto"/>
          <w:color w:val="auto"/>
        </w:rPr>
        <w:t>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agrees, to the fullest extent permitted by applicable law, in lieu of receiving documents in paper</w:t>
      </w:r>
      <w:r>
        <w:rPr>
          <w:rFonts w:ascii="Arial" w:cs="Arial" w:eastAsia="Arial" w:hAnsi="Arial"/>
          <w:sz w:val="17"/>
          <w:szCs w:val="17"/>
          <w:b w:val="1"/>
          <w:bCs w:val="1"/>
          <w:color w:val="auto"/>
        </w:rPr>
        <w:t xml:space="preserve"> </w:t>
      </w:r>
      <w:r>
        <w:rPr>
          <w:rFonts w:ascii="Arial" w:cs="Arial" w:eastAsia="Arial" w:hAnsi="Arial"/>
          <w:sz w:val="17"/>
          <w:szCs w:val="17"/>
          <w:color w:val="auto"/>
        </w:rPr>
        <w:t>format, to accept electronic delivery of any documents that the Company or any of its Affiliates may deliver in connection with this Option grant and any other grants offered by the Company or its Affiliates, including, without limitation, prospectuses, grant notifications, account statements, annual or quarterly reports, and other communications. Electronic delivery of a document may be made via the Company’s email system or by reference to a location on the Company’s intranet, an internet website, or the online brokerage account system.</w:t>
      </w:r>
    </w:p>
    <w:p>
      <w:pPr>
        <w:spacing w:after="0" w:line="168" w:lineRule="exact"/>
        <w:rPr>
          <w:rFonts w:ascii="Arial" w:cs="Arial" w:eastAsia="Arial" w:hAnsi="Arial"/>
          <w:sz w:val="17"/>
          <w:szCs w:val="17"/>
          <w:b w:val="1"/>
          <w:bCs w:val="1"/>
          <w:color w:val="auto"/>
        </w:rPr>
      </w:pPr>
    </w:p>
    <w:p>
      <w:pPr>
        <w:ind w:left="-20" w:right="20" w:firstLine="464"/>
        <w:spacing w:after="0" w:line="258" w:lineRule="auto"/>
        <w:tabs>
          <w:tab w:leader="none" w:pos="841"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CQUIRED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acknowledges and agrees that: (a) the Company may terminate or amend the Plan at any time; (b)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Option made under this Agreement is completely independent of any other award or grant and is made at the sole discretion of the Company; (c) no past grants or awards (including, without limitation, the Option awarded hereunder) give the Participant any right to any grants or awards in the future whatsoever; and (d) any benefits granted under this Agreement are not part of the Participant’s ordinary salary and shall not be considered as part of such salary in the event of severance, redundancy, or resignation.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69" w:right="259" w:bottom="1440" w:gutter="0" w:footer="0" w:header="0"/>
        </w:sectPr>
      </w:pPr>
    </w:p>
    <w:bookmarkStart w:id="538" w:name="page539"/>
    <w:bookmarkEnd w:id="53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hereto have executed this Agreement as of the date first written above.</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OLID</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IOSCIENCES</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48729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48729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48729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292100</wp:posOffset>
            </wp:positionV>
            <wp:extent cx="289877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48729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-10160</wp:posOffset>
            </wp:positionV>
            <wp:extent cx="134302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1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759"/>
          </w:cols>
          <w:pgMar w:left="700" w:top="269" w:right="1440" w:bottom="1440" w:gutter="0" w:footer="0" w:header="0"/>
        </w:sectPr>
      </w:pPr>
    </w:p>
    <w:bookmarkStart w:id="539" w:name="page540"/>
    <w:bookmarkEnd w:id="539"/>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OLID</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w:t>
      </w:r>
      <w:r>
        <w:rPr>
          <w:rFonts w:ascii="Arial" w:cs="Arial" w:eastAsia="Arial" w:hAnsi="Arial"/>
          <w:sz w:val="15"/>
          <w:szCs w:val="15"/>
          <w:b w:val="1"/>
          <w:bCs w:val="1"/>
          <w:color w:val="auto"/>
        </w:rPr>
        <w:t>MNIBUS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ORM OF</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ONQUALIFIED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-10160</wp:posOffset>
            </wp:positionV>
            <wp:extent cx="174307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-10160</wp:posOffset>
            </wp:positionV>
            <wp:extent cx="174307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Per Share Exercise Price: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-10160</wp:posOffset>
            </wp:positionV>
            <wp:extent cx="2286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subject to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-10160</wp:posOffset>
            </wp:positionV>
            <wp:extent cx="174307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Vesting schedule:</w:t>
      </w:r>
    </w:p>
    <w:p>
      <w:pPr>
        <w:spacing w:after="0" w:line="225"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This Option may be exercised with respect to the first 25% of the shares subject to this Option on the first anniversary date of the Grant Date and an additional 25% of the shares subject to this Option upon each subsequent anniversary date thereafter until the fourth anniversary of the Grant Date (in each case, subject to the Participant’s continued service with the Company or any of its Subsidiaries through the applicable vesting date).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w:t>
      </w:r>
    </w:p>
    <w:p>
      <w:pPr>
        <w:spacing w:after="0" w:line="221" w:lineRule="exact"/>
        <w:rPr>
          <w:sz w:val="20"/>
          <w:szCs w:val="20"/>
          <w:color w:val="auto"/>
        </w:rPr>
      </w:pPr>
    </w:p>
    <w:p>
      <w:pPr>
        <w:jc w:val="both"/>
        <w:ind w:right="140" w:firstLine="456"/>
        <w:spacing w:after="0" w:line="289"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HIS</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ONQUALIFIED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dated as of the Grant Date specified above, is entered into by and</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Solid Biosciences Inc.,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the Participant specified above, pursuant to the Solid Biosciences Inc. 2018 Omnibus Incentive Plan, as in effect and as amended from time to time (the “</w:t>
      </w:r>
      <w:r>
        <w:rPr>
          <w:rFonts w:ascii="Arial" w:cs="Arial" w:eastAsia="Arial" w:hAnsi="Arial"/>
          <w:sz w:val="17"/>
          <w:szCs w:val="17"/>
          <w:b w:val="1"/>
          <w:bCs w:val="1"/>
          <w:u w:val="single" w:color="auto"/>
          <w:color w:val="auto"/>
        </w:rPr>
        <w:t>Plan</w:t>
      </w:r>
      <w:r>
        <w:rPr>
          <w:rFonts w:ascii="Arial" w:cs="Arial" w:eastAsia="Arial" w:hAnsi="Arial"/>
          <w:sz w:val="17"/>
          <w:szCs w:val="17"/>
          <w:color w:val="auto"/>
        </w:rPr>
        <w:t>”), which is administered by the Committee; and</w:t>
      </w:r>
    </w:p>
    <w:p>
      <w:pPr>
        <w:spacing w:after="0" w:line="15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it has been determined that it would be in the best interests of the Company to grant the nonqualified stock option provided for herein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w:t>
      </w:r>
    </w:p>
    <w:p>
      <w:pPr>
        <w:spacing w:after="0" w:line="162"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mutual covenants and promises hereinafter set forth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hereby mutually covenant and agree as follows:</w:t>
      </w:r>
    </w:p>
    <w:p>
      <w:pPr>
        <w:spacing w:after="0" w:line="162" w:lineRule="exact"/>
        <w:rPr>
          <w:sz w:val="20"/>
          <w:szCs w:val="20"/>
          <w:color w:val="auto"/>
        </w:rPr>
      </w:pPr>
    </w:p>
    <w:p>
      <w:pPr>
        <w:ind w:right="40" w:firstLine="464"/>
        <w:spacing w:after="0" w:line="277" w:lineRule="auto"/>
        <w:tabs>
          <w:tab w:leader="none" w:pos="771" w:val="left"/>
        </w:tabs>
        <w:numPr>
          <w:ilvl w:val="0"/>
          <w:numId w:val="4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w:t>
      </w:r>
      <w:r>
        <w:rPr>
          <w:rFonts w:ascii="Arial" w:cs="Arial" w:eastAsia="Arial" w:hAnsi="Arial"/>
          <w:sz w:val="14"/>
          <w:szCs w:val="14"/>
          <w:b w:val="1"/>
          <w:bCs w:val="1"/>
          <w:u w:val="single" w:color="auto"/>
          <w:color w:val="auto"/>
        </w:rPr>
        <w:t>NCORPORATION BY</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w:t>
      </w:r>
      <w:r>
        <w:rPr>
          <w:rFonts w:ascii="Arial" w:cs="Arial" w:eastAsia="Arial" w:hAnsi="Arial"/>
          <w:sz w:val="14"/>
          <w:szCs w:val="14"/>
          <w:b w:val="1"/>
          <w:bCs w:val="1"/>
          <w:u w:val="single" w:color="auto"/>
          <w:color w:val="auto"/>
        </w:rPr>
        <w:t>EFERENCE</w:t>
      </w:r>
      <w:r>
        <w:rPr>
          <w:rFonts w:ascii="Arial" w:cs="Arial" w:eastAsia="Arial" w:hAnsi="Arial"/>
          <w:sz w:val="17"/>
          <w:szCs w:val="17"/>
          <w:b w:val="1"/>
          <w:bCs w:val="1"/>
          <w:u w:val="single" w:color="auto"/>
          <w:color w:val="auto"/>
        </w:rPr>
        <w:t>; P</w:t>
      </w:r>
      <w:r>
        <w:rPr>
          <w:rFonts w:ascii="Arial" w:cs="Arial" w:eastAsia="Arial" w:hAnsi="Arial"/>
          <w:sz w:val="14"/>
          <w:szCs w:val="14"/>
          <w:b w:val="1"/>
          <w:bCs w:val="1"/>
          <w:u w:val="single" w:color="auto"/>
          <w:color w:val="auto"/>
        </w:rPr>
        <w:t>LAN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w:t>
      </w:r>
      <w:r>
        <w:rPr>
          <w:rFonts w:ascii="Arial" w:cs="Arial" w:eastAsia="Arial" w:hAnsi="Arial"/>
          <w:sz w:val="14"/>
          <w:szCs w:val="14"/>
          <w:b w:val="1"/>
          <w:bCs w:val="1"/>
          <w:u w:val="single" w:color="auto"/>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w:t>
      </w:r>
      <w:r>
        <w:rPr>
          <w:rFonts w:ascii="Arial" w:cs="Arial" w:eastAsia="Arial" w:hAnsi="Arial"/>
          <w:sz w:val="14"/>
          <w:szCs w:val="14"/>
          <w:b w:val="1"/>
          <w:bCs w:val="1"/>
          <w:u w:val="single" w:color="auto"/>
          <w:color w:val="auto"/>
        </w:rPr>
        <w:t>ECEIPT</w:t>
      </w: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subject in all respects to the terms and provisions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any amendments thereto adopted at any time and from time to time unless such amendments are expressly intended not to apply to the award provided hereunder), all of which terms and provisions are made a part of and incorporated in this Agreement as if they were each expressly set forth herein. Any capitalized term not defined in this Agreement shall have the same meaning as is ascribed thereto in the Plan. The Participant hereby acknowledges receipt of a true copy of the Plan and that the Participant has read the Plan carefully and fully understands its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40" w:name="page541"/>
    <w:bookmarkEnd w:id="540"/>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content. In the event of any conflict between the terms of this Agreement and the terms of the Plan, the terms of the Plan shall control. No part of the Option granted hereby is intended to qualify as an “incentive stock option” under Section 422 of the Code.</w:t>
      </w:r>
    </w:p>
    <w:p>
      <w:pPr>
        <w:spacing w:after="0" w:line="166" w:lineRule="exact"/>
        <w:rPr>
          <w:sz w:val="20"/>
          <w:szCs w:val="20"/>
          <w:color w:val="auto"/>
        </w:rPr>
      </w:pPr>
    </w:p>
    <w:p>
      <w:pPr>
        <w:ind w:left="780" w:hanging="316"/>
        <w:spacing w:after="0"/>
        <w:tabs>
          <w:tab w:leader="none" w:pos="780" w:val="left"/>
        </w:tabs>
        <w:numPr>
          <w:ilvl w:val="0"/>
          <w:numId w:val="4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w:t>
      </w:r>
      <w:r>
        <w:rPr>
          <w:rFonts w:ascii="Arial" w:cs="Arial" w:eastAsia="Arial" w:hAnsi="Arial"/>
          <w:sz w:val="14"/>
          <w:szCs w:val="14"/>
          <w:b w:val="1"/>
          <w:bCs w:val="1"/>
          <w:u w:val="single" w:color="auto"/>
          <w:color w:val="auto"/>
        </w:rPr>
        <w:t>RANT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w:t>
      </w:r>
      <w:r>
        <w:rPr>
          <w:rFonts w:ascii="Arial" w:cs="Arial" w:eastAsia="Arial" w:hAnsi="Arial"/>
          <w:sz w:val="14"/>
          <w:szCs w:val="14"/>
          <w:b w:val="1"/>
          <w:bCs w:val="1"/>
          <w:u w:val="single" w:color="auto"/>
          <w:color w:val="auto"/>
        </w:rPr>
        <w:t>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hereby grants to the Participant, as of the Grant Date specified above, a nonqualified stock option (this</w:t>
      </w:r>
    </w:p>
    <w:p>
      <w:pPr>
        <w:spacing w:after="0" w:line="3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Option</w:t>
      </w:r>
      <w:r>
        <w:rPr>
          <w:rFonts w:ascii="Arial" w:cs="Arial" w:eastAsia="Arial" w:hAnsi="Arial"/>
          <w:sz w:val="16"/>
          <w:szCs w:val="16"/>
          <w:color w:val="auto"/>
        </w:rPr>
        <w:t>”) to acquire from the Company at the Per Share Exercise Price specified above, the aggregate number of shares of Common Stock specified above (the “</w:t>
      </w:r>
      <w:r>
        <w:rPr>
          <w:rFonts w:ascii="Arial" w:cs="Arial" w:eastAsia="Arial" w:hAnsi="Arial"/>
          <w:sz w:val="16"/>
          <w:szCs w:val="16"/>
          <w:b w:val="1"/>
          <w:bCs w:val="1"/>
          <w:u w:val="single" w:color="auto"/>
          <w:color w:val="auto"/>
        </w:rPr>
        <w:t>Option Shares</w:t>
      </w:r>
      <w:r>
        <w:rPr>
          <w:rFonts w:ascii="Arial" w:cs="Arial" w:eastAsia="Arial" w:hAnsi="Arial"/>
          <w:sz w:val="16"/>
          <w:szCs w:val="16"/>
          <w:color w:val="auto"/>
        </w:rPr>
        <w:t>”).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The Participant shall have no rights as a stockholder with respect to any shares of Common Stock covered by this Option unless and until the Participant has become the holder of record of the shares of Common Stock, and no adjustments shall be made for dividends in cash or other property, distributions, or other rights in respect of any such shares, except as otherwise specifically provided for in the Plan or this Agreement.</w:t>
      </w:r>
    </w:p>
    <w:p>
      <w:pPr>
        <w:spacing w:after="0" w:line="268" w:lineRule="exact"/>
        <w:rPr>
          <w:sz w:val="20"/>
          <w:szCs w:val="20"/>
          <w:color w:val="auto"/>
        </w:rPr>
      </w:pPr>
    </w:p>
    <w:p>
      <w:pPr>
        <w:ind w:left="780" w:hanging="316"/>
        <w:spacing w:after="0"/>
        <w:tabs>
          <w:tab w:leader="none" w:pos="780"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ETRIMENTAL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CTIVITY</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XPIRATION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80" w:firstLine="921"/>
        <w:spacing w:after="0" w:line="312" w:lineRule="auto"/>
        <w:tabs>
          <w:tab w:leader="none" w:pos="1293" w:val="left"/>
        </w:tabs>
        <w:numPr>
          <w:ilvl w:val="1"/>
          <w:numId w:val="447"/>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The Option subject to this grant shall become vested in accordance with the vesting schedule above. All vesting of the Option granted hereunder shall occur only on the appropriate vesting date specified above, subject to the Participant’s continued service with the Company or any of its Subsidiaries through each applicable vesting date. There shall be no proportionate or partial vesting in the periods before each vesting date.</w:t>
      </w:r>
    </w:p>
    <w:p>
      <w:pPr>
        <w:spacing w:after="0" w:line="146" w:lineRule="exact"/>
        <w:rPr>
          <w:rFonts w:ascii="Arial" w:cs="Arial" w:eastAsia="Arial" w:hAnsi="Arial"/>
          <w:sz w:val="16"/>
          <w:szCs w:val="16"/>
          <w:color w:val="auto"/>
        </w:rPr>
      </w:pPr>
    </w:p>
    <w:p>
      <w:pPr>
        <w:ind w:firstLine="921"/>
        <w:spacing w:after="0" w:line="289" w:lineRule="auto"/>
        <w:tabs>
          <w:tab w:leader="none" w:pos="1303" w:val="left"/>
        </w:tabs>
        <w:numPr>
          <w:ilvl w:val="1"/>
          <w:numId w:val="447"/>
        </w:numPr>
        <w:rPr>
          <w:rFonts w:ascii="Arial" w:cs="Arial" w:eastAsia="Arial" w:hAnsi="Arial"/>
          <w:sz w:val="16"/>
          <w:szCs w:val="16"/>
          <w:color w:val="auto"/>
        </w:rPr>
      </w:pPr>
      <w:r>
        <w:rPr>
          <w:rFonts w:ascii="Arial" w:cs="Arial" w:eastAsia="Arial" w:hAnsi="Arial"/>
          <w:sz w:val="16"/>
          <w:szCs w:val="16"/>
          <w:u w:val="single" w:color="auto"/>
          <w:color w:val="auto"/>
        </w:rPr>
        <w:t>Effect of Detrimental Activity</w:t>
      </w:r>
      <w:r>
        <w:rPr>
          <w:rFonts w:ascii="Arial" w:cs="Arial" w:eastAsia="Arial" w:hAnsi="Arial"/>
          <w:sz w:val="16"/>
          <w:szCs w:val="16"/>
          <w:color w:val="auto"/>
        </w:rPr>
        <w:t>. The provisions of Section 6.3(c)(ii) of the Plan regarding Detrimental Activity shall apply to the Option. The Participant acknowledges and agrees that the restrictions herein and in the Plan regarding Detrimental Activity are necessary for the protection of the business and goodwill of the Company and its Affiliates, and are considered by the Participant to be reasonable for such purposes. Without intending to limit the legal or equitable remedies available in the Plan and in this Agreement, the Participant acknowledges that engaging in Detrimental Activity will cause the Company and its Affiliates material irreparable injury for which there is no adequate remedy at law, that it will not be possible to measure damages for such injuries precisely and that, in the event of such activity or threat thereof, the Company shall be entitled, in addition to the remedies provided under the Plan, to obtain from any court of competent jurisdiction a temporary restraining order or a preliminary or permanent injunction restraining the Participant from engaging in Detrimental Activity or such other relief as may be required to specifically enforce any of the covenants in the Plan and this Agreement without the necessity of posting a bond, and in the case of a temporary restraining order or a preliminary injunction, without having to prove special damages.</w:t>
      </w:r>
    </w:p>
    <w:p>
      <w:pPr>
        <w:spacing w:after="0" w:line="166" w:lineRule="exact"/>
        <w:rPr>
          <w:rFonts w:ascii="Arial" w:cs="Arial" w:eastAsia="Arial" w:hAnsi="Arial"/>
          <w:sz w:val="16"/>
          <w:szCs w:val="16"/>
          <w:color w:val="auto"/>
        </w:rPr>
      </w:pPr>
    </w:p>
    <w:p>
      <w:pPr>
        <w:ind w:right="620" w:firstLine="921"/>
        <w:spacing w:after="0" w:line="259" w:lineRule="auto"/>
        <w:tabs>
          <w:tab w:leader="none" w:pos="1293" w:val="left"/>
        </w:tabs>
        <w:numPr>
          <w:ilvl w:val="1"/>
          <w:numId w:val="447"/>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The term of the Option shall be until the tenth anniversary of the Grant Date, after which time it shall expire (such tenth anniversary date, the “</w:t>
      </w:r>
      <w:r>
        <w:rPr>
          <w:rFonts w:ascii="Arial" w:cs="Arial" w:eastAsia="Arial" w:hAnsi="Arial"/>
          <w:sz w:val="18"/>
          <w:szCs w:val="18"/>
          <w:b w:val="1"/>
          <w:bCs w:val="1"/>
          <w:u w:val="single" w:color="auto"/>
          <w:color w:val="auto"/>
        </w:rPr>
        <w:t>Expiration Date</w:t>
      </w:r>
      <w:r>
        <w:rPr>
          <w:rFonts w:ascii="Arial" w:cs="Arial" w:eastAsia="Arial" w:hAnsi="Arial"/>
          <w:sz w:val="18"/>
          <w:szCs w:val="18"/>
          <w:color w:val="auto"/>
        </w:rPr>
        <w:t>”), subject to earlier termination in the event of the Participant’s Termination as specified in the Plan and this Agreement. Upon the Expiration Date, the Option (whether vested or not) shall automatically be cancelled for no consideration, shall no longer be exercisable, and shall cease to be outstanding.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41" w:name="page542"/>
    <w:bookmarkEnd w:id="541"/>
    <w:p>
      <w:pPr>
        <w:ind w:left="-40" w:right="180" w:firstLine="464"/>
        <w:spacing w:after="0" w:line="282" w:lineRule="auto"/>
        <w:tabs>
          <w:tab w:leader="none" w:pos="731"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u w:val="single" w:color="auto"/>
          <w:color w:val="auto"/>
        </w:rPr>
        <w: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the Plan and this Agreement, the Option, to the extent vested at the time of the Participant’s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remain exercisable as follows:</w:t>
      </w:r>
    </w:p>
    <w:p>
      <w:pPr>
        <w:spacing w:after="0" w:line="165" w:lineRule="exact"/>
        <w:rPr>
          <w:rFonts w:ascii="Arial" w:cs="Arial" w:eastAsia="Arial" w:hAnsi="Arial"/>
          <w:sz w:val="18"/>
          <w:szCs w:val="18"/>
          <w:b w:val="1"/>
          <w:bCs w:val="1"/>
          <w:color w:val="auto"/>
        </w:rPr>
      </w:pPr>
    </w:p>
    <w:p>
      <w:pPr>
        <w:ind w:left="-40" w:right="160" w:firstLine="921"/>
        <w:spacing w:after="0" w:line="308" w:lineRule="auto"/>
        <w:tabs>
          <w:tab w:leader="none" w:pos="1253" w:val="left"/>
        </w:tabs>
        <w:numPr>
          <w:ilvl w:val="1"/>
          <w:numId w:val="448"/>
        </w:numPr>
        <w:rPr>
          <w:rFonts w:ascii="Arial" w:cs="Arial" w:eastAsia="Arial" w:hAnsi="Arial"/>
          <w:sz w:val="17"/>
          <w:szCs w:val="17"/>
          <w:color w:val="auto"/>
        </w:rPr>
      </w:pPr>
      <w:r>
        <w:rPr>
          <w:rFonts w:ascii="Arial" w:cs="Arial" w:eastAsia="Arial" w:hAnsi="Arial"/>
          <w:sz w:val="17"/>
          <w:szCs w:val="17"/>
          <w:u w:val="single" w:color="auto"/>
          <w:color w:val="auto"/>
        </w:rPr>
        <w:t>Termination due to Death or Disability</w:t>
      </w:r>
      <w:r>
        <w:rPr>
          <w:rFonts w:ascii="Arial" w:cs="Arial" w:eastAsia="Arial" w:hAnsi="Arial"/>
          <w:sz w:val="17"/>
          <w:szCs w:val="17"/>
          <w:color w:val="auto"/>
        </w:rPr>
        <w:t>. In the event of the Participant’s Termination by reason of death or Disability, the vested portion of this Option shall remain exercisable until the earlier of (i) one year from the date of such Termination, and (ii) the Expiration Date.</w:t>
      </w:r>
    </w:p>
    <w:p>
      <w:pPr>
        <w:spacing w:after="0" w:line="146" w:lineRule="exact"/>
        <w:rPr>
          <w:rFonts w:ascii="Arial" w:cs="Arial" w:eastAsia="Arial" w:hAnsi="Arial"/>
          <w:sz w:val="17"/>
          <w:szCs w:val="17"/>
          <w:color w:val="auto"/>
        </w:rPr>
      </w:pPr>
    </w:p>
    <w:p>
      <w:pPr>
        <w:ind w:left="-40" w:right="60" w:firstLine="921"/>
        <w:spacing w:after="0" w:line="308" w:lineRule="auto"/>
        <w:tabs>
          <w:tab w:leader="none" w:pos="1263" w:val="left"/>
        </w:tabs>
        <w:numPr>
          <w:ilvl w:val="1"/>
          <w:numId w:val="448"/>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w:t>
      </w:r>
      <w:r>
        <w:rPr>
          <w:rFonts w:ascii="Arial" w:cs="Arial" w:eastAsia="Arial" w:hAnsi="Arial"/>
          <w:sz w:val="17"/>
          <w:szCs w:val="17"/>
          <w:color w:val="auto"/>
        </w:rPr>
        <w:t>. In the event of the Participant’s involuntary Termination by the Company without Cause, the vested portion of this Option shall remain exercisable until the earlier of (i) ninety days from the date of such Termination, and (ii) the Expiration Date.</w:t>
      </w:r>
    </w:p>
    <w:p>
      <w:pPr>
        <w:spacing w:after="0" w:line="146" w:lineRule="exact"/>
        <w:rPr>
          <w:rFonts w:ascii="Arial" w:cs="Arial" w:eastAsia="Arial" w:hAnsi="Arial"/>
          <w:sz w:val="17"/>
          <w:szCs w:val="17"/>
          <w:color w:val="auto"/>
        </w:rPr>
      </w:pPr>
    </w:p>
    <w:p>
      <w:pPr>
        <w:ind w:left="-40" w:right="260" w:firstLine="921"/>
        <w:spacing w:after="0" w:line="277" w:lineRule="auto"/>
        <w:tabs>
          <w:tab w:leader="none" w:pos="1253" w:val="left"/>
        </w:tabs>
        <w:numPr>
          <w:ilvl w:val="1"/>
          <w:numId w:val="448"/>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In the event of the Participant’s voluntary Termination, the vested portion of this Option shall remain exercisable until the earlier of (i) thirty days from the date of such Termination, and (ii) the Expiration Date.</w:t>
      </w:r>
    </w:p>
    <w:p>
      <w:pPr>
        <w:spacing w:after="0" w:line="170" w:lineRule="exact"/>
        <w:rPr>
          <w:rFonts w:ascii="Arial" w:cs="Arial" w:eastAsia="Arial" w:hAnsi="Arial"/>
          <w:sz w:val="18"/>
          <w:szCs w:val="18"/>
          <w:color w:val="auto"/>
        </w:rPr>
      </w:pPr>
    </w:p>
    <w:p>
      <w:pPr>
        <w:jc w:val="both"/>
        <w:ind w:left="-40" w:right="120" w:firstLine="921"/>
        <w:spacing w:after="0" w:line="264" w:lineRule="auto"/>
        <w:tabs>
          <w:tab w:leader="none" w:pos="1263" w:val="left"/>
        </w:tabs>
        <w:numPr>
          <w:ilvl w:val="1"/>
          <w:numId w:val="448"/>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xml:space="preserve"> In the event of the Participant’s Termination by the Company for Cause (or in the event of a voluntary Termination by the Participant after the occurrence of an event that would be grounds for a Termination for Cause), the Option granted hereunder (whether or not vested) shall terminate and expire upon such Termination.</w:t>
      </w:r>
    </w:p>
    <w:p>
      <w:pPr>
        <w:spacing w:after="0" w:line="181" w:lineRule="exact"/>
        <w:rPr>
          <w:rFonts w:ascii="Arial" w:cs="Arial" w:eastAsia="Arial" w:hAnsi="Arial"/>
          <w:sz w:val="18"/>
          <w:szCs w:val="18"/>
          <w:color w:val="auto"/>
        </w:rPr>
      </w:pPr>
    </w:p>
    <w:p>
      <w:pPr>
        <w:ind w:left="-40" w:right="900" w:firstLine="921"/>
        <w:spacing w:after="0" w:line="277" w:lineRule="auto"/>
        <w:tabs>
          <w:tab w:leader="none" w:pos="1253" w:val="left"/>
        </w:tabs>
        <w:numPr>
          <w:ilvl w:val="1"/>
          <w:numId w:val="448"/>
        </w:numPr>
        <w:rPr>
          <w:rFonts w:ascii="Arial" w:cs="Arial" w:eastAsia="Arial" w:hAnsi="Arial"/>
          <w:sz w:val="18"/>
          <w:szCs w:val="18"/>
          <w:color w:val="auto"/>
        </w:rPr>
      </w:pPr>
      <w:r>
        <w:rPr>
          <w:rFonts w:ascii="Arial" w:cs="Arial" w:eastAsia="Arial" w:hAnsi="Arial"/>
          <w:sz w:val="18"/>
          <w:szCs w:val="18"/>
          <w:u w:val="single" w:color="auto"/>
          <w:color w:val="auto"/>
        </w:rPr>
        <w:t>Treatment of Unvested Option upon Termination</w:t>
      </w:r>
      <w:r>
        <w:rPr>
          <w:rFonts w:ascii="Arial" w:cs="Arial" w:eastAsia="Arial" w:hAnsi="Arial"/>
          <w:sz w:val="18"/>
          <w:szCs w:val="18"/>
          <w:color w:val="auto"/>
        </w:rPr>
        <w:t>. Any portion of this Option that is not vested as of the date of the Participant’s Termination for any reason shall terminate and expire as of the date of such Termination.</w:t>
      </w:r>
    </w:p>
    <w:p>
      <w:pPr>
        <w:spacing w:after="0" w:line="166" w:lineRule="exact"/>
        <w:rPr>
          <w:rFonts w:ascii="Arial" w:cs="Arial" w:eastAsia="Arial" w:hAnsi="Arial"/>
          <w:sz w:val="18"/>
          <w:szCs w:val="18"/>
          <w:color w:val="auto"/>
        </w:rPr>
      </w:pPr>
    </w:p>
    <w:p>
      <w:pPr>
        <w:ind w:left="-40" w:firstLine="464"/>
        <w:spacing w:after="0" w:line="258" w:lineRule="auto"/>
        <w:tabs>
          <w:tab w:leader="none" w:pos="731"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ETHOD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XERCISE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AYMENT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8 hereof, to the extent that the Option has become vested and exercisable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 number of shares of Common Stock as provided herein, the Option may thereafter be exercised by the Participant, in whole or in part, at any time or from time to time before the expiration of the Option as provided herein and in accordance with Section 6.3 of the Plan, including, without limitation, by the delivery of any form of exercise notice as may be required by the Committee and payment in full of the Per Share Exercise Price multiplied by the number of shares of Common Stock underlying the portion of the Option exercised.</w:t>
      </w:r>
    </w:p>
    <w:p>
      <w:pPr>
        <w:spacing w:after="0" w:line="183" w:lineRule="exact"/>
        <w:rPr>
          <w:rFonts w:ascii="Arial" w:cs="Arial" w:eastAsia="Arial" w:hAnsi="Arial"/>
          <w:sz w:val="18"/>
          <w:szCs w:val="18"/>
          <w:b w:val="1"/>
          <w:bCs w:val="1"/>
          <w:color w:val="auto"/>
        </w:rPr>
      </w:pPr>
    </w:p>
    <w:p>
      <w:pPr>
        <w:ind w:left="-40" w:right="40" w:firstLine="464"/>
        <w:spacing w:after="0" w:line="256" w:lineRule="auto"/>
        <w:tabs>
          <w:tab w:leader="none" w:pos="776"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w:t>
      </w:r>
      <w:r>
        <w:rPr>
          <w:rFonts w:ascii="Arial" w:cs="Arial" w:eastAsia="Arial" w:hAnsi="Arial"/>
          <w:sz w:val="15"/>
          <w:szCs w:val="15"/>
          <w:b w:val="1"/>
          <w:bCs w:val="1"/>
          <w:u w:val="single" w:color="auto"/>
          <w:color w:val="auto"/>
        </w:rPr>
        <w:t>ON</w:t>
      </w:r>
      <w:r>
        <w:rPr>
          <w:rFonts w:ascii="Arial" w:cs="Arial" w:eastAsia="Arial" w:hAnsi="Arial"/>
          <w:sz w:val="18"/>
          <w:szCs w:val="18"/>
          <w:b w:val="1"/>
          <w:bCs w:val="1"/>
          <w:u w:val="single" w:color="auto"/>
          <w:color w:val="auto"/>
        </w:rPr>
        <w:t>-</w:t>
      </w:r>
      <w:r>
        <w:rPr>
          <w:rFonts w:ascii="Arial" w:cs="Arial" w:eastAsia="Arial" w:hAnsi="Arial"/>
          <w:sz w:val="15"/>
          <w:szCs w:val="15"/>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and any rights and interests with respect thereto, issued under this Agreement and the Plan shall not,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vesting, be sold, exchanged, Transferred, assigned, or otherwise disposed of in any way by the Participant (or any beneficiary(ies) of the Participant), other than by testamentary disposition by the Participant or the laws of descent and distribution. Notwithstanding the foregoing, the Committee may, in its sole discretion, permit the Option to be Transferred to a Family Member for no value, provided that such Transfer shall only be valid upon execution of a written instrument in form and substance acceptable to the Committee in its sole discretion evidencing such Transfer and the transferee’s acceptance thereof signed by the Participant and the transferee, and provided,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0" w:right="259" w:bottom="1440" w:gutter="0" w:footer="0" w:header="0"/>
        </w:sectPr>
      </w:pPr>
    </w:p>
    <w:bookmarkStart w:id="542" w:name="page543"/>
    <w:bookmarkEnd w:id="54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that the Option may not be subsequently Transferred otherwise than by will or by the laws of descent and distribution or to another Family Member (as permitted by the Committee in its sole discretion) in accordance with the terms of the Plan and this Agreement, and shall remain subject to the terms of the Plan and this Agreement. Any attempt to sell, exchange, Transfer, assign, pledge, encumber, or otherwise dispose of or hypothecate in any way the Option, or the levy of any execution, attachment, or similar legal process upon the Option, contrary to the terms and provisions of this Agreement and/or the Plan shall be null and void and without legal force or effect.</w:t>
      </w:r>
    </w:p>
    <w:p>
      <w:pPr>
        <w:spacing w:after="0" w:line="184" w:lineRule="exact"/>
        <w:rPr>
          <w:sz w:val="20"/>
          <w:szCs w:val="20"/>
          <w:color w:val="auto"/>
        </w:rPr>
      </w:pPr>
    </w:p>
    <w:p>
      <w:pPr>
        <w:ind w:right="80" w:firstLine="464"/>
        <w:spacing w:after="0" w:line="282" w:lineRule="auto"/>
        <w:tabs>
          <w:tab w:leader="none" w:pos="771"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w:t>
      </w:r>
      <w:r>
        <w:rPr>
          <w:rFonts w:ascii="Arial" w:cs="Arial" w:eastAsia="Arial" w:hAnsi="Arial"/>
          <w:sz w:val="15"/>
          <w:szCs w:val="15"/>
          <w:b w:val="1"/>
          <w:bCs w:val="1"/>
          <w:u w:val="single" w:color="auto"/>
          <w:color w:val="auto"/>
        </w:rPr>
        <w:t>OVERNING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All questions concerning the construction, validity, and interpretation of this Agreement shall be governed by and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internal laws of the State of Delaware without giving effect to its principles of conflicts of laws.</w:t>
      </w:r>
    </w:p>
    <w:p>
      <w:pPr>
        <w:spacing w:after="0" w:line="161" w:lineRule="exact"/>
        <w:rPr>
          <w:rFonts w:ascii="Arial" w:cs="Arial" w:eastAsia="Arial" w:hAnsi="Arial"/>
          <w:sz w:val="18"/>
          <w:szCs w:val="18"/>
          <w:b w:val="1"/>
          <w:bCs w:val="1"/>
          <w:color w:val="auto"/>
        </w:rPr>
      </w:pPr>
    </w:p>
    <w:p>
      <w:pPr>
        <w:ind w:firstLine="464"/>
        <w:spacing w:after="0" w:line="256" w:lineRule="auto"/>
        <w:tabs>
          <w:tab w:leader="none" w:pos="771"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w:t>
      </w:r>
      <w:r>
        <w:rPr>
          <w:rFonts w:ascii="Arial" w:cs="Arial" w:eastAsia="Arial" w:hAnsi="Arial"/>
          <w:sz w:val="15"/>
          <w:szCs w:val="15"/>
          <w:b w:val="1"/>
          <w:bCs w:val="1"/>
          <w:u w:val="single" w:color="auto"/>
          <w:color w:val="auto"/>
        </w:rPr>
        <w:t>ITHHOLDING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any Affiliate shall have the power and the right to deduct or withhold, require the Participant to remit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such Affiliate, or make any other arrangements as it considers appropriate to ensure that it has received an amount sufficient to satisfy any federal, state, local, and foreign taxes of any kind (including, but not limited to, the Participant’s FICA and SDI obligations) that the Company, in its sole discretion, deems necessary to be withheld or remitted to comply with the Code and/or any other applicable law, rule, or regulation with respect to the Option and, if the Participant fails to do so, the Company may otherwise refuse to issue or Transfer any shares of Common Stock otherwise required to be issued pursuant to this Agreement.</w:t>
      </w:r>
    </w:p>
    <w:p>
      <w:pPr>
        <w:spacing w:after="0" w:line="187" w:lineRule="exact"/>
        <w:rPr>
          <w:rFonts w:ascii="Arial" w:cs="Arial" w:eastAsia="Arial" w:hAnsi="Arial"/>
          <w:sz w:val="18"/>
          <w:szCs w:val="18"/>
          <w:b w:val="1"/>
          <w:bCs w:val="1"/>
          <w:color w:val="auto"/>
        </w:rPr>
      </w:pPr>
    </w:p>
    <w:p>
      <w:pPr>
        <w:ind w:right="100" w:firstLine="464"/>
        <w:spacing w:after="0" w:line="261" w:lineRule="auto"/>
        <w:tabs>
          <w:tab w:leader="none" w:pos="771"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ECOUPMENT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OLICY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acknowledges and agrees that this Option (including any shares of Common Stock issued upon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shall be subject to the terms and provisions of any “clawback” or recoupment policy that may be adopted by the Company or its Affiliates from time to time or as may be required by any applicable law (including, without limitation, the Dodd-Frank Wall Street Reform and Consumer Protection Act and implementing rules and regulations thereunder).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543" w:name="page544"/>
    <w:bookmarkEnd w:id="543"/>
    <w:p>
      <w:pPr>
        <w:ind w:left="-20" w:firstLine="464"/>
        <w:spacing w:after="0" w:line="261" w:lineRule="auto"/>
        <w:tabs>
          <w:tab w:leader="none" w:pos="841"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w:t>
      </w:r>
      <w:r>
        <w:rPr>
          <w:rFonts w:ascii="Arial" w:cs="Arial" w:eastAsia="Arial" w:hAnsi="Arial"/>
          <w:sz w:val="15"/>
          <w:szCs w:val="15"/>
          <w:b w:val="1"/>
          <w:bCs w:val="1"/>
          <w:u w:val="single" w:color="auto"/>
          <w:color w:val="auto"/>
        </w:rPr>
        <w:t>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or communication given hereunder shall be in writing and shall be deemed to have been duly given: (i) when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(ii) two days after being sent by United States mail; or (iii) on the first business day following the date of deposit if delivered by a nationally recognized overnight delivery service, in each case, to the appropriate party at the address set forth below (or such other address as the party may from time to time specify):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Solid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126365</wp:posOffset>
            </wp:positionV>
            <wp:extent cx="174307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743075" cy="8890"/>
                    </a:xfrm>
                    <a:prstGeom prst="rect">
                      <a:avLst/>
                    </a:prstGeom>
                    <a:noFill/>
                  </pic:spPr>
                </pic:pic>
              </a:graphicData>
            </a:graphic>
          </wp:anchor>
        </w:drawing>
        <w:drawing>
          <wp:anchor simplePos="0" relativeHeight="251657728" behindDoc="1" locked="0" layoutInCell="0" allowOverlap="1">
            <wp:simplePos x="0" y="0"/>
            <wp:positionH relativeFrom="column">
              <wp:posOffset>934720</wp:posOffset>
            </wp:positionH>
            <wp:positionV relativeFrom="paragraph">
              <wp:posOffset>263525</wp:posOffset>
            </wp:positionV>
            <wp:extent cx="174307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Chief Executive Officer</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Proskauer Rose LLP</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Eleven Times Square</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New York, NY 10036-8299</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Julie M. Allen, Esq.</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the Participant, to the address on file with the Company.</w:t>
      </w:r>
    </w:p>
    <w:p>
      <w:pPr>
        <w:spacing w:after="0" w:line="221" w:lineRule="exact"/>
        <w:rPr>
          <w:sz w:val="20"/>
          <w:szCs w:val="20"/>
          <w:color w:val="auto"/>
        </w:rPr>
      </w:pPr>
    </w:p>
    <w:p>
      <w:pPr>
        <w:ind w:left="-20" w:firstLine="464"/>
        <w:spacing w:after="0" w:line="295" w:lineRule="auto"/>
        <w:tabs>
          <w:tab w:leader="none" w:pos="832" w:val="left"/>
        </w:tabs>
        <w:numPr>
          <w:ilvl w:val="0"/>
          <w:numId w:val="4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w:t>
      </w:r>
      <w:r>
        <w:rPr>
          <w:rFonts w:ascii="Arial" w:cs="Arial" w:eastAsia="Arial" w:hAnsi="Arial"/>
          <w:sz w:val="13"/>
          <w:szCs w:val="13"/>
          <w:b w:val="1"/>
          <w:bCs w:val="1"/>
          <w:u w:val="single" w:color="auto"/>
          <w:color w:val="auto"/>
        </w:rPr>
        <w: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3"/>
          <w:szCs w:val="13"/>
          <w:b w:val="1"/>
          <w:bCs w:val="1"/>
          <w:u w:val="single" w:color="auto"/>
          <w:color w:val="auto"/>
        </w:rPr>
        <w:t>IGHT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w:t>
      </w:r>
      <w:r>
        <w:rPr>
          <w:rFonts w:ascii="Arial" w:cs="Arial" w:eastAsia="Arial" w:hAnsi="Arial"/>
          <w:sz w:val="13"/>
          <w:szCs w:val="13"/>
          <w:b w:val="1"/>
          <w:bCs w:val="1"/>
          <w:u w:val="single" w:color="auto"/>
          <w:color w:val="auto"/>
        </w:rPr>
        <w:t>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the right of the Company or any of its Affiliates to terminate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employment at any time, with or without Cause, or shall be deemed to create any rights to employment or continued employment. The rights and obligations arising under this Agreement are not intended to and do not affect the Participant’s employment relationship that otherwise exists between the Participant and the Company or any of its Affiliates, whether such employment relationship is at will or defined by an employment contract. Moreover, this Agreement is not intended to and does not amend any existing employment contract between the Participant and the Company or any of its Affiliates; to the extent there is a conflict between this Agreement and such an employment contract, the employment contract shall govern and take priority.</w:t>
      </w:r>
    </w:p>
    <w:p>
      <w:pPr>
        <w:spacing w:after="0" w:line="155" w:lineRule="exact"/>
        <w:rPr>
          <w:rFonts w:ascii="Arial" w:cs="Arial" w:eastAsia="Arial" w:hAnsi="Arial"/>
          <w:sz w:val="16"/>
          <w:szCs w:val="16"/>
          <w:b w:val="1"/>
          <w:bCs w:val="1"/>
          <w:color w:val="auto"/>
        </w:rPr>
      </w:pPr>
    </w:p>
    <w:p>
      <w:pPr>
        <w:ind w:left="-20" w:right="40" w:firstLine="464"/>
        <w:spacing w:after="0" w:line="274" w:lineRule="auto"/>
        <w:tabs>
          <w:tab w:leader="none" w:pos="841" w:val="left"/>
        </w:tabs>
        <w:numPr>
          <w:ilvl w:val="0"/>
          <w:numId w:val="4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w:t>
      </w:r>
      <w:r>
        <w:rPr>
          <w:rFonts w:ascii="Arial" w:cs="Arial" w:eastAsia="Arial" w:hAnsi="Arial"/>
          <w:sz w:val="14"/>
          <w:szCs w:val="14"/>
          <w:b w:val="1"/>
          <w:bCs w:val="1"/>
          <w:u w:val="single" w:color="auto"/>
          <w:color w:val="auto"/>
        </w:rPr>
        <w:t>ATA</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w:t>
      </w:r>
      <w:r>
        <w:rPr>
          <w:rFonts w:ascii="Arial" w:cs="Arial" w:eastAsia="Arial" w:hAnsi="Arial"/>
          <w:sz w:val="14"/>
          <w:szCs w:val="14"/>
          <w:b w:val="1"/>
          <w:bCs w:val="1"/>
          <w:u w:val="single" w:color="auto"/>
          <w:color w:val="auto"/>
        </w:rPr>
        <w:t>ROTECTION</w:t>
      </w:r>
      <w:r>
        <w:rPr>
          <w:rFonts w:ascii="Arial" w:cs="Arial" w:eastAsia="Arial" w:hAnsi="Arial"/>
          <w:sz w:val="17"/>
          <w:szCs w:val="17"/>
          <w:b w:val="1"/>
          <w:bCs w:val="1"/>
          <w:color w:val="auto"/>
        </w:rPr>
        <w:t xml:space="preserve">. </w:t>
      </w:r>
      <w:r>
        <w:rPr>
          <w:rFonts w:ascii="Arial" w:cs="Arial" w:eastAsia="Arial" w:hAnsi="Arial"/>
          <w:sz w:val="17"/>
          <w:szCs w:val="17"/>
          <w:color w:val="auto"/>
        </w:rPr>
        <w:t>By executing this Agreement, the Participant hereby consents to the holding and processing of personal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the Participant to the Company, any Affiliate thereof, trustee, or third party service provider, for all purposes relating to the operation of the Plan. These include, but are not limited to: (i) administering and maintaining Participant records; (ii) providing information to the Company, its Affiliates, trustees of any employee benefit trust, registrars, brokers, or third-party administrators of the Plan; (iii) providing information to future purchasers or merger partners of the Company or any Affiliate thereof, or the business in which the Participant works; and (iv) transferring information about the Participant to any country or territory that may not provide the same protection for the information as the Participant’s home country.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69" w:right="259" w:bottom="1440" w:gutter="0" w:footer="0" w:header="0"/>
        </w:sectPr>
      </w:pPr>
    </w:p>
    <w:bookmarkStart w:id="544" w:name="page545"/>
    <w:bookmarkEnd w:id="544"/>
    <w:p>
      <w:pPr>
        <w:ind w:left="-20" w:firstLine="464"/>
        <w:spacing w:after="0" w:line="271" w:lineRule="auto"/>
        <w:tabs>
          <w:tab w:leader="none" w:pos="841" w:val="left"/>
        </w:tabs>
        <w:numPr>
          <w:ilvl w:val="0"/>
          <w:numId w:val="4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w:t>
      </w:r>
      <w:r>
        <w:rPr>
          <w:rFonts w:ascii="Arial" w:cs="Arial" w:eastAsia="Arial" w:hAnsi="Arial"/>
          <w:sz w:val="14"/>
          <w:szCs w:val="14"/>
          <w:b w:val="1"/>
          <w:bCs w:val="1"/>
          <w:u w:val="single" w:color="auto"/>
          <w:color w:val="auto"/>
        </w:rPr>
        <w:t>ARKET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4"/>
          <w:szCs w:val="14"/>
          <w:b w:val="1"/>
          <w:bCs w:val="1"/>
          <w:u w:val="single" w:color="auto"/>
          <w:color w:val="auto"/>
        </w:rPr>
        <w:t>TAND</w:t>
      </w:r>
      <w:r>
        <w:rPr>
          <w:rFonts w:ascii="Arial" w:cs="Arial" w:eastAsia="Arial" w:hAnsi="Arial"/>
          <w:sz w:val="17"/>
          <w:szCs w:val="17"/>
          <w:b w:val="1"/>
          <w:bCs w:val="1"/>
          <w:u w:val="single" w:color="auto"/>
          <w:color w:val="auto"/>
        </w:rPr>
        <w:t>-O</w:t>
      </w:r>
      <w:r>
        <w:rPr>
          <w:rFonts w:ascii="Arial" w:cs="Arial" w:eastAsia="Arial" w:hAnsi="Arial"/>
          <w:sz w:val="14"/>
          <w:szCs w:val="14"/>
          <w:b w:val="1"/>
          <w:bCs w:val="1"/>
          <w:u w:val="single" w:color="auto"/>
          <w:color w:val="auto"/>
        </w:rPr>
        <w:t>FF</w:t>
      </w:r>
      <w:r>
        <w:rPr>
          <w:rFonts w:ascii="Arial" w:cs="Arial" w:eastAsia="Arial" w:hAnsi="Arial"/>
          <w:sz w:val="17"/>
          <w:szCs w:val="17"/>
          <w:b w:val="1"/>
          <w:bCs w:val="1"/>
          <w:color w:val="auto"/>
        </w:rPr>
        <w:t xml:space="preserve">. </w:t>
      </w:r>
      <w:r>
        <w:rPr>
          <w:rFonts w:ascii="Arial" w:cs="Arial" w:eastAsia="Arial" w:hAnsi="Arial"/>
          <w:sz w:val="17"/>
          <w:szCs w:val="17"/>
          <w:color w:val="auto"/>
        </w:rPr>
        <w:t>If requested by the Company, any Affiliate, or a lead underwriter of any public offering of the shares of Common Stock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Lead Underwriter</w:t>
      </w:r>
      <w:r>
        <w:rPr>
          <w:rFonts w:ascii="Arial" w:cs="Arial" w:eastAsia="Arial" w:hAnsi="Arial"/>
          <w:sz w:val="17"/>
          <w:szCs w:val="17"/>
          <w:color w:val="auto"/>
        </w:rPr>
        <w:t>”), the Participant shall irrevocably agree, and by execution of this Agreement shall irrevocably be deemed to have agreed, not to sell, contract to sell, grant any option to purchase, transfer the economic risk of ownership in, make any short sale of, pledge, or otherwise Transfer or dispose of, any interest in any shares of Common Stock or any securities convertible into, derivative of, or exchangeable or exercisable for shares of Common Stock, or any other rights to purchase or acquire shares of Common Stock (except shares of Common Stock included in such public offering or acquired on the public market after such offering) during such period of time following the effective date of a registration statement of the Company filed under the Securities Act that a Lead Underwriter shall specify (the “</w:t>
      </w:r>
      <w:r>
        <w:rPr>
          <w:rFonts w:ascii="Arial" w:cs="Arial" w:eastAsia="Arial" w:hAnsi="Arial"/>
          <w:sz w:val="17"/>
          <w:szCs w:val="17"/>
          <w:b w:val="1"/>
          <w:bCs w:val="1"/>
          <w:u w:val="single" w:color="auto"/>
          <w:color w:val="auto"/>
        </w:rPr>
        <w:t>Lock-up Period</w:t>
      </w:r>
      <w:r>
        <w:rPr>
          <w:rFonts w:ascii="Arial" w:cs="Arial" w:eastAsia="Arial" w:hAnsi="Arial"/>
          <w:sz w:val="17"/>
          <w:szCs w:val="17"/>
          <w:color w:val="auto"/>
        </w:rPr>
        <w:t>”). The Participant hereby further agrees to sign such documents as may be requested by a Lead Underwriter, the Company, or any Affiliate to effect the foregoing and agree that the Company or an Affiliate may impose stop transfer instructions with respect to shares of Common Stock acquired pursuant to an Award until the end of such Lock-up Period.</w:t>
      </w:r>
    </w:p>
    <w:p>
      <w:pPr>
        <w:spacing w:after="0" w:line="174" w:lineRule="exact"/>
        <w:rPr>
          <w:rFonts w:ascii="Arial" w:cs="Arial" w:eastAsia="Arial" w:hAnsi="Arial"/>
          <w:sz w:val="17"/>
          <w:szCs w:val="17"/>
          <w:b w:val="1"/>
          <w:bCs w:val="1"/>
          <w:color w:val="auto"/>
        </w:rPr>
      </w:pPr>
    </w:p>
    <w:p>
      <w:pPr>
        <w:ind w:left="-20" w:right="180" w:firstLine="464"/>
        <w:spacing w:after="0" w:line="277" w:lineRule="auto"/>
        <w:tabs>
          <w:tab w:leader="none" w:pos="841" w:val="left"/>
        </w:tabs>
        <w:numPr>
          <w:ilvl w:val="0"/>
          <w:numId w:val="4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w:t>
      </w:r>
      <w:r>
        <w:rPr>
          <w:rFonts w:ascii="Arial" w:cs="Arial" w:eastAsia="Arial" w:hAnsi="Arial"/>
          <w:sz w:val="14"/>
          <w:szCs w:val="14"/>
          <w:b w:val="1"/>
          <w:bCs w:val="1"/>
          <w:u w:val="single" w:color="auto"/>
          <w:color w:val="auto"/>
        </w:rPr>
        <w:t>OMPLIANCE WITH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L</w:t>
      </w:r>
      <w:r>
        <w:rPr>
          <w:rFonts w:ascii="Arial" w:cs="Arial" w:eastAsia="Arial" w:hAnsi="Arial"/>
          <w:sz w:val="14"/>
          <w:szCs w:val="14"/>
          <w:b w:val="1"/>
          <w:bCs w:val="1"/>
          <w:u w:val="single" w:color="auto"/>
          <w:color w:val="auto"/>
        </w:rPr>
        <w:t>AWS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of this Option (and the shares of Common Stock upon exercise of this Option)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subject to, and shall comply with, any applicable requirements of any foreign and U.S. federal and state securities laws, rules, and regulations (including, without limitation, the provisions of the Securities Act, the Exchange Act, and in each case any respective rules and regulations promulgated thereunder) and any other law or regulation applicable thereto. The Company shall not be obligated to issue this Option or any of the shares of Common Stock pursuant to this Agreement if any such issuance would violate any such requirements.</w:t>
      </w:r>
    </w:p>
    <w:p>
      <w:pPr>
        <w:spacing w:after="0" w:line="168" w:lineRule="exact"/>
        <w:rPr>
          <w:rFonts w:ascii="Arial" w:cs="Arial" w:eastAsia="Arial" w:hAnsi="Arial"/>
          <w:sz w:val="17"/>
          <w:szCs w:val="17"/>
          <w:b w:val="1"/>
          <w:bCs w:val="1"/>
          <w:color w:val="auto"/>
        </w:rPr>
      </w:pPr>
    </w:p>
    <w:p>
      <w:pPr>
        <w:ind w:left="-20" w:right="700" w:firstLine="464"/>
        <w:spacing w:after="0" w:line="282" w:lineRule="auto"/>
        <w:tabs>
          <w:tab w:leader="none" w:pos="841"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409A</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herein or in the Plan to the contrary, the Option is intended to be exempt from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Section 409A and shall be limited, construed, and interpreted in accordance with such intent.</w:t>
      </w:r>
    </w:p>
    <w:p>
      <w:pPr>
        <w:spacing w:after="0" w:line="161" w:lineRule="exact"/>
        <w:rPr>
          <w:rFonts w:ascii="Arial" w:cs="Arial" w:eastAsia="Arial" w:hAnsi="Arial"/>
          <w:sz w:val="18"/>
          <w:szCs w:val="18"/>
          <w:b w:val="1"/>
          <w:bCs w:val="1"/>
          <w:color w:val="auto"/>
        </w:rPr>
      </w:pPr>
    </w:p>
    <w:p>
      <w:pPr>
        <w:ind w:left="-20" w:right="180" w:firstLine="464"/>
        <w:spacing w:after="0" w:line="347" w:lineRule="auto"/>
        <w:tabs>
          <w:tab w:leader="none" w:pos="841" w:val="left"/>
        </w:tabs>
        <w:numPr>
          <w:ilvl w:val="0"/>
          <w:numId w:val="4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w:t>
      </w:r>
      <w:r>
        <w:rPr>
          <w:rFonts w:ascii="Arial" w:cs="Arial" w:eastAsia="Arial" w:hAnsi="Arial"/>
          <w:sz w:val="13"/>
          <w:szCs w:val="13"/>
          <w:b w:val="1"/>
          <w:bCs w:val="1"/>
          <w:u w:val="single" w:color="auto"/>
          <w:color w:val="auto"/>
        </w:rPr>
        <w:t>INDING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3"/>
          <w:szCs w:val="13"/>
          <w:b w:val="1"/>
          <w:bCs w:val="1"/>
          <w:u w:val="single" w:color="auto"/>
          <w:color w:val="auto"/>
        </w:rPr>
        <w:t>GREEMENT</w:t>
      </w:r>
      <w:r>
        <w:rPr>
          <w:rFonts w:ascii="Arial" w:cs="Arial" w:eastAsia="Arial" w:hAnsi="Arial"/>
          <w:sz w:val="16"/>
          <w:szCs w:val="16"/>
          <w:b w:val="1"/>
          <w:bCs w:val="1"/>
          <w:u w:val="single" w:color="auto"/>
          <w:color w:val="auto"/>
        </w:rPr>
        <w:t>; A</w:t>
      </w:r>
      <w:r>
        <w:rPr>
          <w:rFonts w:ascii="Arial" w:cs="Arial" w:eastAsia="Arial" w:hAnsi="Arial"/>
          <w:sz w:val="13"/>
          <w:szCs w:val="13"/>
          <w:b w:val="1"/>
          <w:bCs w:val="1"/>
          <w:u w:val="single" w:color="auto"/>
          <w:color w:val="auto"/>
        </w:rPr>
        <w:t>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inure to the benefit of, be binding upon, and be enforceable by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its successors and assigns. The Participant shall not assign any part of this Agreement without the prior express written consent of the Company.</w:t>
      </w:r>
    </w:p>
    <w:p>
      <w:pPr>
        <w:spacing w:after="0" w:line="116" w:lineRule="exact"/>
        <w:rPr>
          <w:rFonts w:ascii="Arial" w:cs="Arial" w:eastAsia="Arial" w:hAnsi="Arial"/>
          <w:sz w:val="16"/>
          <w:szCs w:val="16"/>
          <w:b w:val="1"/>
          <w:bCs w:val="1"/>
          <w:color w:val="auto"/>
        </w:rPr>
      </w:pPr>
    </w:p>
    <w:p>
      <w:pPr>
        <w:ind w:left="-20" w:right="120" w:firstLine="464"/>
        <w:spacing w:after="0" w:line="282" w:lineRule="auto"/>
        <w:tabs>
          <w:tab w:leader="none" w:pos="841"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w:t>
      </w:r>
      <w:r>
        <w:rPr>
          <w:rFonts w:ascii="Arial" w:cs="Arial" w:eastAsia="Arial" w:hAnsi="Arial"/>
          <w:sz w:val="15"/>
          <w:szCs w:val="15"/>
          <w:b w:val="1"/>
          <w:bCs w:val="1"/>
          <w:u w:val="single" w:color="auto"/>
          <w:color w:val="auto"/>
        </w:rPr>
        <w:t>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titles and headings of the various sections of this Agreement have been inserted for convenience of reference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a part of this Agreement.</w:t>
      </w:r>
    </w:p>
    <w:p>
      <w:pPr>
        <w:spacing w:after="0" w:line="161" w:lineRule="exact"/>
        <w:rPr>
          <w:rFonts w:ascii="Arial" w:cs="Arial" w:eastAsia="Arial" w:hAnsi="Arial"/>
          <w:sz w:val="18"/>
          <w:szCs w:val="18"/>
          <w:b w:val="1"/>
          <w:bCs w:val="1"/>
          <w:color w:val="auto"/>
        </w:rPr>
      </w:pPr>
    </w:p>
    <w:p>
      <w:pPr>
        <w:ind w:left="-20" w:firstLine="464"/>
        <w:spacing w:after="0" w:line="282" w:lineRule="auto"/>
        <w:tabs>
          <w:tab w:leader="none" w:pos="841"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one or more counterparts, each of which shall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the same instrument.</w:t>
      </w:r>
    </w:p>
    <w:p>
      <w:pPr>
        <w:spacing w:after="0" w:line="161" w:lineRule="exact"/>
        <w:rPr>
          <w:rFonts w:ascii="Arial" w:cs="Arial" w:eastAsia="Arial" w:hAnsi="Arial"/>
          <w:sz w:val="18"/>
          <w:szCs w:val="18"/>
          <w:b w:val="1"/>
          <w:bCs w:val="1"/>
          <w:color w:val="auto"/>
        </w:rPr>
      </w:pPr>
    </w:p>
    <w:p>
      <w:pPr>
        <w:ind w:left="-20" w:right="40" w:firstLine="464"/>
        <w:spacing w:after="0" w:line="289" w:lineRule="auto"/>
        <w:tabs>
          <w:tab w:leader="none" w:pos="841" w:val="left"/>
        </w:tabs>
        <w:numPr>
          <w:ilvl w:val="0"/>
          <w:numId w:val="4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w:t>
      </w:r>
      <w:r>
        <w:rPr>
          <w:rFonts w:ascii="Arial" w:cs="Arial" w:eastAsia="Arial" w:hAnsi="Arial"/>
          <w:sz w:val="14"/>
          <w:szCs w:val="14"/>
          <w:b w:val="1"/>
          <w:bCs w:val="1"/>
          <w:u w:val="single" w:color="auto"/>
          <w:color w:val="auto"/>
        </w:rPr>
        <w:t>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invalidity or unenforceability of any provisions of this Agreement in any jurisdiction shall not affect the validity, legality, or</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enforceability of the remainder of this Agreement in such jurisdiction or the validity, legality, or enforceability of any provision of this Agreement in any other jurisdiction, it being intended that all rights and obligations of the parties hereunder shall be enforceable to the fullest extent permitted by law.</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0" w:right="259" w:bottom="1440" w:gutter="0" w:footer="0" w:header="0"/>
        </w:sectPr>
      </w:pPr>
    </w:p>
    <w:bookmarkStart w:id="545" w:name="page546"/>
    <w:bookmarkEnd w:id="545"/>
    <w:p>
      <w:pPr>
        <w:ind w:left="-60" w:right="20" w:firstLine="464"/>
        <w:spacing w:after="0" w:line="298" w:lineRule="auto"/>
        <w:tabs>
          <w:tab w:leader="none" w:pos="801" w:val="left"/>
        </w:tabs>
        <w:numPr>
          <w:ilvl w:val="0"/>
          <w:numId w:val="4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3"/>
          <w:szCs w:val="13"/>
          <w:b w:val="1"/>
          <w:bCs w:val="1"/>
          <w:u w:val="single" w:color="auto"/>
          <w:color w:val="auto"/>
        </w:rPr>
        <w:t>NTIRE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3"/>
          <w:szCs w:val="13"/>
          <w:b w:val="1"/>
          <w:bCs w:val="1"/>
          <w:u w:val="single" w:color="auto"/>
          <w:color w:val="auto"/>
        </w:rPr>
        <w:t>GREEMENT</w:t>
      </w:r>
      <w:r>
        <w:rPr>
          <w:rFonts w:ascii="Arial" w:cs="Arial" w:eastAsia="Arial" w:hAnsi="Arial"/>
          <w:sz w:val="16"/>
          <w:szCs w:val="16"/>
          <w:b w:val="1"/>
          <w:bCs w:val="1"/>
          <w:u w:val="single" w:color="auto"/>
          <w:color w:val="auto"/>
        </w:rPr>
        <w:t>; A</w:t>
      </w:r>
      <w:r>
        <w:rPr>
          <w:rFonts w:ascii="Arial" w:cs="Arial" w:eastAsia="Arial" w:hAnsi="Arial"/>
          <w:sz w:val="13"/>
          <w:szCs w:val="13"/>
          <w:b w:val="1"/>
          <w:bCs w:val="1"/>
          <w:u w:val="single" w:color="auto"/>
          <w:color w:val="auto"/>
        </w:rPr>
        <w:t>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together with the Plan, contains the entire agreement between the parties hereto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subject matter contained herein, and supersedes all prior agreements or prior understandings, whether written or oral, between the parties relating to such subject matter. The Committee shall have the right, in its sole discretion, to modify or amend this Agreement from time to time in accordance with and as provided in the Plan. The Company shall give written notice to the Participant of any such modification or amendment of this Agreement as soon as practicable after the adoption thereof. This Agreement may also be modified or amended by a writing signed by both the Company and the Participant.</w:t>
      </w:r>
    </w:p>
    <w:p>
      <w:pPr>
        <w:spacing w:after="0" w:line="154" w:lineRule="exact"/>
        <w:rPr>
          <w:rFonts w:ascii="Arial" w:cs="Arial" w:eastAsia="Arial" w:hAnsi="Arial"/>
          <w:sz w:val="16"/>
          <w:szCs w:val="16"/>
          <w:b w:val="1"/>
          <w:bCs w:val="1"/>
          <w:color w:val="auto"/>
        </w:rPr>
      </w:pPr>
    </w:p>
    <w:p>
      <w:pPr>
        <w:ind w:left="-60" w:right="100" w:firstLine="464"/>
        <w:spacing w:after="0" w:line="277" w:lineRule="auto"/>
        <w:tabs>
          <w:tab w:leader="none" w:pos="801" w:val="left"/>
        </w:tabs>
        <w:numPr>
          <w:ilvl w:val="0"/>
          <w:numId w:val="4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w:t>
      </w:r>
      <w:r>
        <w:rPr>
          <w:rFonts w:ascii="Arial" w:cs="Arial" w:eastAsia="Arial" w:hAnsi="Arial"/>
          <w:sz w:val="14"/>
          <w:szCs w:val="14"/>
          <w:b w:val="1"/>
          <w:bCs w:val="1"/>
          <w:u w:val="single" w:color="auto"/>
          <w:color w:val="auto"/>
        </w:rPr>
        <w:t>ODE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w:t>
      </w:r>
      <w:r>
        <w:rPr>
          <w:rFonts w:ascii="Arial" w:cs="Arial" w:eastAsia="Arial" w:hAnsi="Arial"/>
          <w:sz w:val="14"/>
          <w:szCs w:val="14"/>
          <w:b w:val="1"/>
          <w:bCs w:val="1"/>
          <w:u w:val="single" w:color="auto"/>
          <w:color w:val="auto"/>
        </w:rPr>
        <w:t>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agrees, to the fullest extent permitted by applicable law, in lieu of receiving documents in paper</w:t>
      </w:r>
      <w:r>
        <w:rPr>
          <w:rFonts w:ascii="Arial" w:cs="Arial" w:eastAsia="Arial" w:hAnsi="Arial"/>
          <w:sz w:val="17"/>
          <w:szCs w:val="17"/>
          <w:b w:val="1"/>
          <w:bCs w:val="1"/>
          <w:color w:val="auto"/>
        </w:rPr>
        <w:t xml:space="preserve"> </w:t>
      </w:r>
      <w:r>
        <w:rPr>
          <w:rFonts w:ascii="Arial" w:cs="Arial" w:eastAsia="Arial" w:hAnsi="Arial"/>
          <w:sz w:val="17"/>
          <w:szCs w:val="17"/>
          <w:color w:val="auto"/>
        </w:rPr>
        <w:t>format, to accept electronic delivery of any documents that the Company or any of its Affiliates may deliver in connection with this Option grant and any other grants offered by the Company or its Affiliates, including, without limitation, prospectuses, grant notifications, account statements, annual or quarterly reports, and other communications. Electronic delivery of a document may be made via the Company’s email system or by reference to a location on the Company’s intranet, an internet website, or the online brokerage account system.</w:t>
      </w:r>
    </w:p>
    <w:p>
      <w:pPr>
        <w:spacing w:after="0" w:line="168" w:lineRule="exact"/>
        <w:rPr>
          <w:rFonts w:ascii="Arial" w:cs="Arial" w:eastAsia="Arial" w:hAnsi="Arial"/>
          <w:sz w:val="17"/>
          <w:szCs w:val="17"/>
          <w:b w:val="1"/>
          <w:bCs w:val="1"/>
          <w:color w:val="auto"/>
        </w:rPr>
      </w:pPr>
    </w:p>
    <w:p>
      <w:pPr>
        <w:ind w:left="-60" w:firstLine="464"/>
        <w:spacing w:after="0" w:line="258" w:lineRule="auto"/>
        <w:tabs>
          <w:tab w:leader="none" w:pos="801"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CQUIRED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acknowledges and agrees that: (a) the Company may terminate or amend the Plan at any time; (b)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Option made under this Agreement is completely independent of any other award or grant and is made at the sole discretion of the Company; (c) no past grants or awards (including, without limitation, the Option awarded hereunder) give the Participant any right to any grants or awards in the future whatsoever; and (d) any benefits granted under this Agreement are not part of the Participant’s ordinary salary and shall not be considered as part of such salary in the event of severance, redundancy, or resignation.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00" w:top="269" w:right="279" w:bottom="1440" w:gutter="0" w:footer="0" w:header="0"/>
        </w:sectPr>
      </w:pPr>
    </w:p>
    <w:bookmarkStart w:id="546" w:name="page547"/>
    <w:bookmarkEnd w:id="54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7"/>
          <w:szCs w:val="17"/>
          <w:color w:val="auto"/>
        </w:rPr>
        <w:t>, the parties hereto have executed this Agreement as of the date first written above.</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OLID</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IOSCIENCES</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292100</wp:posOffset>
            </wp:positionV>
            <wp:extent cx="289877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14605</wp:posOffset>
            </wp:positionV>
            <wp:extent cx="153479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1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759"/>
          </w:cols>
          <w:pgMar w:left="700" w:top="270" w:right="1440" w:bottom="1440" w:gutter="0" w:footer="0" w:header="0"/>
        </w:sectPr>
      </w:pPr>
    </w:p>
    <w:bookmarkStart w:id="547" w:name="page548"/>
    <w:bookmarkEnd w:id="547"/>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OLID</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IOSCIENCES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w:t>
      </w:r>
      <w:r>
        <w:rPr>
          <w:rFonts w:ascii="Arial" w:cs="Arial" w:eastAsia="Arial" w:hAnsi="Arial"/>
          <w:sz w:val="15"/>
          <w:szCs w:val="15"/>
          <w:b w:val="1"/>
          <w:bCs w:val="1"/>
          <w:color w:val="auto"/>
        </w:rPr>
        <w:t>MNIBUS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ORM OF</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-10160</wp:posOffset>
            </wp:positionV>
            <wp:extent cx="174307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-10160</wp:posOffset>
            </wp:positionV>
            <wp:extent cx="174307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Restricted Stock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-10160</wp:posOffset>
            </wp:positionV>
            <wp:extent cx="174307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Vesting schedule: </w:t>
      </w:r>
      <w:r>
        <w:rPr>
          <w:rFonts w:ascii="Arial" w:cs="Arial" w:eastAsia="Arial" w:hAnsi="Arial"/>
          <w:sz w:val="18"/>
          <w:szCs w:val="18"/>
          <w:b w:val="1"/>
          <w:bCs w:val="1"/>
          <w:color w:val="auto"/>
        </w:rPr>
        <w:t>[TBD]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w:t>
      </w:r>
    </w:p>
    <w:p>
      <w:pPr>
        <w:spacing w:after="0" w:line="22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HIS</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dated as of the Grant Date specified above, is entered into by and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Solid Biosciences Inc.,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the Participant specified above, pursuant to the Solid Biosciences Inc. 2018 Omnibus Incentive Plan, as in effect and as amended from time to time (the “</w:t>
      </w:r>
      <w:r>
        <w:rPr>
          <w:rFonts w:ascii="Arial" w:cs="Arial" w:eastAsia="Arial" w:hAnsi="Arial"/>
          <w:sz w:val="17"/>
          <w:szCs w:val="17"/>
          <w:b w:val="1"/>
          <w:bCs w:val="1"/>
          <w:u w:val="single" w:color="auto"/>
          <w:color w:val="auto"/>
        </w:rPr>
        <w:t>Plan</w:t>
      </w:r>
      <w:r>
        <w:rPr>
          <w:rFonts w:ascii="Arial" w:cs="Arial" w:eastAsia="Arial" w:hAnsi="Arial"/>
          <w:sz w:val="17"/>
          <w:szCs w:val="17"/>
          <w:color w:val="auto"/>
        </w:rPr>
        <w:t>”), which is administered by the Committee; and</w:t>
      </w:r>
    </w:p>
    <w:p>
      <w:pPr>
        <w:spacing w:after="0" w:line="158"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it has been determined that it would be in the best interests of the Company to grant the shares of Restricted Stock provided for herein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w:t>
      </w:r>
    </w:p>
    <w:p>
      <w:pPr>
        <w:spacing w:after="0" w:line="162"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mutual covenants and promises hereinafter set forth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hereby mutually covenant and agree as follows:</w:t>
      </w:r>
    </w:p>
    <w:p>
      <w:pPr>
        <w:spacing w:after="0" w:line="162" w:lineRule="exact"/>
        <w:rPr>
          <w:sz w:val="20"/>
          <w:szCs w:val="20"/>
          <w:color w:val="auto"/>
        </w:rPr>
      </w:pPr>
    </w:p>
    <w:p>
      <w:pPr>
        <w:ind w:right="40" w:firstLine="464"/>
        <w:spacing w:after="0" w:line="274" w:lineRule="auto"/>
        <w:tabs>
          <w:tab w:leader="none" w:pos="771" w:val="left"/>
        </w:tabs>
        <w:numPr>
          <w:ilvl w:val="0"/>
          <w:numId w:val="4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w:t>
      </w:r>
      <w:r>
        <w:rPr>
          <w:rFonts w:ascii="Arial" w:cs="Arial" w:eastAsia="Arial" w:hAnsi="Arial"/>
          <w:sz w:val="14"/>
          <w:szCs w:val="14"/>
          <w:b w:val="1"/>
          <w:bCs w:val="1"/>
          <w:u w:val="single" w:color="auto"/>
          <w:color w:val="auto"/>
        </w:rPr>
        <w:t>NCORPORATION BY</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w:t>
      </w:r>
      <w:r>
        <w:rPr>
          <w:rFonts w:ascii="Arial" w:cs="Arial" w:eastAsia="Arial" w:hAnsi="Arial"/>
          <w:sz w:val="14"/>
          <w:szCs w:val="14"/>
          <w:b w:val="1"/>
          <w:bCs w:val="1"/>
          <w:u w:val="single" w:color="auto"/>
          <w:color w:val="auto"/>
        </w:rPr>
        <w:t>EFERENCE</w:t>
      </w:r>
      <w:r>
        <w:rPr>
          <w:rFonts w:ascii="Arial" w:cs="Arial" w:eastAsia="Arial" w:hAnsi="Arial"/>
          <w:sz w:val="17"/>
          <w:szCs w:val="17"/>
          <w:b w:val="1"/>
          <w:bCs w:val="1"/>
          <w:u w:val="single" w:color="auto"/>
          <w:color w:val="auto"/>
        </w:rPr>
        <w:t>; P</w:t>
      </w:r>
      <w:r>
        <w:rPr>
          <w:rFonts w:ascii="Arial" w:cs="Arial" w:eastAsia="Arial" w:hAnsi="Arial"/>
          <w:sz w:val="14"/>
          <w:szCs w:val="14"/>
          <w:b w:val="1"/>
          <w:bCs w:val="1"/>
          <w:u w:val="single" w:color="auto"/>
          <w:color w:val="auto"/>
        </w:rPr>
        <w:t>LAN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w:t>
      </w:r>
      <w:r>
        <w:rPr>
          <w:rFonts w:ascii="Arial" w:cs="Arial" w:eastAsia="Arial" w:hAnsi="Arial"/>
          <w:sz w:val="14"/>
          <w:szCs w:val="14"/>
          <w:b w:val="1"/>
          <w:bCs w:val="1"/>
          <w:u w:val="single" w:color="auto"/>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w:t>
      </w:r>
      <w:r>
        <w:rPr>
          <w:rFonts w:ascii="Arial" w:cs="Arial" w:eastAsia="Arial" w:hAnsi="Arial"/>
          <w:sz w:val="14"/>
          <w:szCs w:val="14"/>
          <w:b w:val="1"/>
          <w:bCs w:val="1"/>
          <w:u w:val="single" w:color="auto"/>
          <w:color w:val="auto"/>
        </w:rPr>
        <w:t>ECEIPT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subject in all respects to the terms and provisions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any amendments thereto adopted at any time and from time to time unless such amendments are expressly intended not to apply to the award provided hereunder), all of which terms and provisions are made a part of and incorporated in this Agreement as if they were each expressly set forth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73" w:lineRule="exact"/>
        <w:rPr>
          <w:rFonts w:ascii="Arial" w:cs="Arial" w:eastAsia="Arial" w:hAnsi="Arial"/>
          <w:sz w:val="17"/>
          <w:szCs w:val="17"/>
          <w:b w:val="1"/>
          <w:bCs w:val="1"/>
          <w:color w:val="auto"/>
        </w:rPr>
      </w:pPr>
    </w:p>
    <w:p>
      <w:pPr>
        <w:ind w:right="140" w:firstLine="464"/>
        <w:spacing w:after="0" w:line="314" w:lineRule="auto"/>
        <w:tabs>
          <w:tab w:leader="none" w:pos="771" w:val="left"/>
        </w:tabs>
        <w:numPr>
          <w:ilvl w:val="0"/>
          <w:numId w:val="4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w:t>
      </w:r>
      <w:r>
        <w:rPr>
          <w:rFonts w:ascii="Arial" w:cs="Arial" w:eastAsia="Arial" w:hAnsi="Arial"/>
          <w:sz w:val="13"/>
          <w:szCs w:val="13"/>
          <w:b w:val="1"/>
          <w:bCs w:val="1"/>
          <w:u w:val="single" w:color="auto"/>
          <w:color w:val="auto"/>
        </w:rPr>
        <w:t>RANT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3"/>
          <w:szCs w:val="13"/>
          <w:b w:val="1"/>
          <w:bCs w:val="1"/>
          <w:u w:val="single" w:color="auto"/>
          <w:color w:val="auto"/>
        </w:rPr>
        <w:t>ESTRICTED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w:t>
      </w:r>
      <w:r>
        <w:rPr>
          <w:rFonts w:ascii="Arial" w:cs="Arial" w:eastAsia="Arial" w:hAnsi="Arial"/>
          <w:sz w:val="13"/>
          <w:szCs w:val="13"/>
          <w:b w:val="1"/>
          <w:bCs w:val="1"/>
          <w:u w:val="single" w:color="auto"/>
          <w:color w:val="auto"/>
        </w:rPr>
        <w:t>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grants to the Participant, as of the Grant Date specified above, the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specified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w:t>
      </w:r>
    </w:p>
    <w:p>
      <w:pPr>
        <w:sectPr>
          <w:pgSz w:w="11900" w:h="16838" w:orient="portrait"/>
          <w:cols w:equalWidth="0" w:num="1">
            <w:col w:w="11420"/>
          </w:cols>
          <w:pgMar w:left="240" w:top="121" w:right="239" w:bottom="1440" w:gutter="0" w:footer="0" w:header="0"/>
        </w:sectPr>
      </w:pPr>
    </w:p>
    <w:bookmarkStart w:id="548" w:name="page549"/>
    <w:bookmarkEnd w:id="548"/>
    <w:p>
      <w:pPr>
        <w:ind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 Subject to Section 4 hereof, the Participant shall have no rights as a stockholder with respect to any shares of Common Stock underlying this Award unless and until such shares are delivered to the Participant in accordance with the terms of the Plan and this Agreement.</w:t>
      </w:r>
    </w:p>
    <w:p>
      <w:pPr>
        <w:spacing w:after="0" w:line="251" w:lineRule="exact"/>
        <w:rPr>
          <w:sz w:val="20"/>
          <w:szCs w:val="20"/>
          <w:color w:val="auto"/>
        </w:rPr>
      </w:pPr>
    </w:p>
    <w:p>
      <w:pPr>
        <w:ind w:left="780" w:hanging="316"/>
        <w:spacing w:after="0"/>
        <w:tabs>
          <w:tab w:leader="none" w:pos="780"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ETRIMENTAL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CTIVITY</w:t>
      </w:r>
      <w:r>
        <w:rPr>
          <w:rFonts w:ascii="Arial" w:cs="Arial" w:eastAsia="Arial" w:hAnsi="Arial"/>
          <w:sz w:val="18"/>
          <w:szCs w:val="18"/>
          <w:b w:val="1"/>
          <w:bCs w:val="1"/>
          <w:u w:val="single" w:color="auto"/>
          <w:color w:val="auto"/>
        </w:rPr>
        <w:t>; F</w:t>
      </w:r>
      <w:r>
        <w:rPr>
          <w:rFonts w:ascii="Arial" w:cs="Arial" w:eastAsia="Arial" w:hAnsi="Arial"/>
          <w:sz w:val="15"/>
          <w:szCs w:val="15"/>
          <w:b w:val="1"/>
          <w:bCs w:val="1"/>
          <w:u w:val="single" w:color="auto"/>
          <w:color w:val="auto"/>
        </w:rPr>
        <w:t>ORFEITURE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100" w:firstLine="921"/>
        <w:spacing w:after="0" w:line="259" w:lineRule="auto"/>
        <w:tabs>
          <w:tab w:leader="none" w:pos="1293" w:val="left"/>
        </w:tabs>
        <w:numPr>
          <w:ilvl w:val="1"/>
          <w:numId w:val="45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Restricted Stock subject to this grant shall become unrestricted and vested in accordance with the vesting schedule above. All vesting of the Restricted Stock granted hereunder shall occur only on the appropriate vesting date specified above, subject to the Participant’s continued service with the Company or any of its Subsidiaries through each applicable vesting date. There shall be no proportionate or partial vesting in the periods before each vesting date.</w:t>
      </w:r>
    </w:p>
    <w:p>
      <w:pPr>
        <w:spacing w:after="0" w:line="186" w:lineRule="exact"/>
        <w:rPr>
          <w:rFonts w:ascii="Arial" w:cs="Arial" w:eastAsia="Arial" w:hAnsi="Arial"/>
          <w:sz w:val="18"/>
          <w:szCs w:val="18"/>
          <w:color w:val="auto"/>
        </w:rPr>
      </w:pPr>
    </w:p>
    <w:p>
      <w:pPr>
        <w:ind w:firstLine="921"/>
        <w:spacing w:after="0" w:line="289" w:lineRule="auto"/>
        <w:tabs>
          <w:tab w:leader="none" w:pos="1303" w:val="left"/>
        </w:tabs>
        <w:numPr>
          <w:ilvl w:val="1"/>
          <w:numId w:val="455"/>
        </w:numPr>
        <w:rPr>
          <w:rFonts w:ascii="Arial" w:cs="Arial" w:eastAsia="Arial" w:hAnsi="Arial"/>
          <w:sz w:val="16"/>
          <w:szCs w:val="16"/>
          <w:color w:val="auto"/>
        </w:rPr>
      </w:pPr>
      <w:r>
        <w:rPr>
          <w:rFonts w:ascii="Arial" w:cs="Arial" w:eastAsia="Arial" w:hAnsi="Arial"/>
          <w:sz w:val="16"/>
          <w:szCs w:val="16"/>
          <w:u w:val="single" w:color="auto"/>
          <w:color w:val="auto"/>
        </w:rPr>
        <w:t>Effect of Detrimental Activity</w:t>
      </w:r>
      <w:r>
        <w:rPr>
          <w:rFonts w:ascii="Arial" w:cs="Arial" w:eastAsia="Arial" w:hAnsi="Arial"/>
          <w:sz w:val="16"/>
          <w:szCs w:val="16"/>
          <w:color w:val="auto"/>
        </w:rPr>
        <w:t>. The provisions of Section 7.1 of the Plan regarding Detrimental Activity shall apply to the Restricted Stock. The Participant acknowledges and agrees that the restrictions herein and in the Plan regarding Detrimental Activity are necessary for the protection of the business and goodwill of the Company and its Affiliates, and are considered by the Participant to be reasonable for such purposes. Without intending to limit the legal or equitable remedies available in the Plan and in this Agreement, the Participant acknowledges that engaging in Detrimental Activity will cause the Company and its Affiliates material irreparable injury for which there is no adequate remedy at law, that it will not be possible to measure damages for such injuries precisely and that, in the event of such activity or threat thereof, the Company shall be entitled, in addition to the remedies provided under the Plan, to obtain from any court of competent jurisdiction a temporary restraining order or a preliminary or permanent injunction restraining the Participant from engaging in Detrimental Activity or such other relief as may be required to specifically enforce any of the covenants in the Plan and this Agreement without the necessity of posting a bond, and in the case of a temporary restraining order or a preliminary injunction, without having to prove special damages.</w:t>
      </w:r>
    </w:p>
    <w:p>
      <w:pPr>
        <w:spacing w:after="0" w:line="166" w:lineRule="exact"/>
        <w:rPr>
          <w:rFonts w:ascii="Arial" w:cs="Arial" w:eastAsia="Arial" w:hAnsi="Arial"/>
          <w:sz w:val="16"/>
          <w:szCs w:val="16"/>
          <w:color w:val="auto"/>
        </w:rPr>
      </w:pPr>
    </w:p>
    <w:p>
      <w:pPr>
        <w:ind w:left="1300" w:hanging="379"/>
        <w:spacing w:after="0"/>
        <w:tabs>
          <w:tab w:leader="none" w:pos="1300" w:val="left"/>
        </w:tabs>
        <w:numPr>
          <w:ilvl w:val="1"/>
          <w:numId w:val="455"/>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All unvested shares of Restricted Stock shall be immediately forfeited upon the Participant’s Termination for any reason.</w:t>
      </w:r>
    </w:p>
    <w:p>
      <w:pPr>
        <w:spacing w:after="0" w:line="232" w:lineRule="exact"/>
        <w:rPr>
          <w:rFonts w:ascii="Arial" w:cs="Arial" w:eastAsia="Arial" w:hAnsi="Arial"/>
          <w:sz w:val="17"/>
          <w:szCs w:val="17"/>
          <w:color w:val="auto"/>
        </w:rPr>
      </w:pPr>
    </w:p>
    <w:p>
      <w:pPr>
        <w:ind w:left="780" w:hanging="316"/>
        <w:spacing w:after="0"/>
        <w:tabs>
          <w:tab w:leader="none" w:pos="780" w:val="left"/>
        </w:tabs>
        <w:numPr>
          <w:ilvl w:val="0"/>
          <w:numId w:val="4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w:t>
      </w:r>
      <w:r>
        <w:rPr>
          <w:rFonts w:ascii="Arial" w:cs="Arial" w:eastAsia="Arial" w:hAnsi="Arial"/>
          <w:sz w:val="14"/>
          <w:szCs w:val="14"/>
          <w:b w:val="1"/>
          <w:bCs w:val="1"/>
          <w:u w:val="single" w:color="auto"/>
          <w:color w:val="auto"/>
        </w:rPr>
        <w:t>IVIDENDS 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w:t>
      </w:r>
      <w:r>
        <w:rPr>
          <w:rFonts w:ascii="Arial" w:cs="Arial" w:eastAsia="Arial" w:hAnsi="Arial"/>
          <w:sz w:val="14"/>
          <w:szCs w:val="14"/>
          <w:b w:val="1"/>
          <w:bCs w:val="1"/>
          <w:u w:val="single" w:color="auto"/>
          <w:color w:val="auto"/>
        </w:rPr>
        <w:t>THER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w:t>
      </w:r>
      <w:r>
        <w:rPr>
          <w:rFonts w:ascii="Arial" w:cs="Arial" w:eastAsia="Arial" w:hAnsi="Arial"/>
          <w:sz w:val="14"/>
          <w:szCs w:val="14"/>
          <w:b w:val="1"/>
          <w:bCs w:val="1"/>
          <w:u w:val="single" w:color="auto"/>
          <w:color w:val="auto"/>
        </w:rPr>
        <w:t>ISTRIBUTIONS</w:t>
      </w:r>
      <w:r>
        <w:rPr>
          <w:rFonts w:ascii="Arial" w:cs="Arial" w:eastAsia="Arial" w:hAnsi="Arial"/>
          <w:sz w:val="17"/>
          <w:szCs w:val="17"/>
          <w:b w:val="1"/>
          <w:bCs w:val="1"/>
          <w:u w:val="single" w:color="auto"/>
          <w:color w:val="auto"/>
        </w:rPr>
        <w:t>; V</w:t>
      </w:r>
      <w:r>
        <w:rPr>
          <w:rFonts w:ascii="Arial" w:cs="Arial" w:eastAsia="Arial" w:hAnsi="Arial"/>
          <w:sz w:val="14"/>
          <w:szCs w:val="14"/>
          <w:b w:val="1"/>
          <w:bCs w:val="1"/>
          <w:u w:val="single" w:color="auto"/>
          <w:color w:val="auto"/>
        </w:rPr>
        <w:t>OTING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holding Restricted Stock shall be entitled to receive all dividends and other</w:t>
      </w:r>
    </w:p>
    <w:p>
      <w:pPr>
        <w:spacing w:after="0" w:line="3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distributions paid with respect to such shares, provided that any such dividends or other distributions will be subject to the same vesting requirements as the underlying shares of Restricted Stock and shall be paid at the time the Restricted Stock becomes vested pursuant to Section 3 hereof. If any dividends or distributions are paid in shares, the shares shall be deposited with the Company and shall be subject to the same restrictions on transferability and forfeitability as the Restricted Stock with respect to which they were paid. For the avoidance of doubt, in no event shall dividends or other distributions payable hereunder be paid unless and until the shares of Restricted Stock to which they relate are no longer subject to a risk of forfeiture. The Participant may exercise full voting rights with respect to the Restricted Stock granted hereunder.</w:t>
      </w:r>
    </w:p>
    <w:p>
      <w:pPr>
        <w:spacing w:after="0" w:line="175" w:lineRule="exact"/>
        <w:rPr>
          <w:sz w:val="20"/>
          <w:szCs w:val="20"/>
          <w:color w:val="auto"/>
        </w:rPr>
      </w:pPr>
    </w:p>
    <w:p>
      <w:pPr>
        <w:ind w:right="140" w:firstLine="464"/>
        <w:spacing w:after="0" w:line="282" w:lineRule="auto"/>
        <w:tabs>
          <w:tab w:leader="none" w:pos="816"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w:t>
      </w:r>
      <w:r>
        <w:rPr>
          <w:rFonts w:ascii="Arial" w:cs="Arial" w:eastAsia="Arial" w:hAnsi="Arial"/>
          <w:sz w:val="15"/>
          <w:szCs w:val="15"/>
          <w:b w:val="1"/>
          <w:bCs w:val="1"/>
          <w:u w:val="single" w:color="auto"/>
          <w:color w:val="auto"/>
        </w:rPr>
        <w:t>ON</w:t>
      </w:r>
      <w:r>
        <w:rPr>
          <w:rFonts w:ascii="Arial" w:cs="Arial" w:eastAsia="Arial" w:hAnsi="Arial"/>
          <w:sz w:val="18"/>
          <w:szCs w:val="18"/>
          <w:b w:val="1"/>
          <w:bCs w:val="1"/>
          <w:u w:val="single" w:color="auto"/>
          <w:color w:val="auto"/>
        </w:rPr>
        <w:t>-</w:t>
      </w:r>
      <w:r>
        <w:rPr>
          <w:rFonts w:ascii="Arial" w:cs="Arial" w:eastAsia="Arial" w:hAnsi="Arial"/>
          <w:sz w:val="15"/>
          <w:szCs w:val="15"/>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and any rights and interests with respect thereto, issued under this Agreement and the Plan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prior to vesting, be sold,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549" w:name="page550"/>
    <w:bookmarkEnd w:id="549"/>
    <w:p>
      <w:pPr>
        <w:ind w:right="4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exchanged, Transferred, assigned, or otherwise disposed of in any way by the Participant (or any beneficiary(ies) of the Participant), other than by testamentary disposition by the Participant or the laws of descent and distribution. Any attempt to sell, exchange, Transfer, assign, pledge, encumber, or otherwise dispose of or hypothecate in any way any of the Restricted Stock, or the levy of any execution, attachment, or similar legal process upon the Restricted Stock, contrary to the terms and provisions of this Agreement and/or the Plan shall be null and void and without legal force or effect.</w:t>
      </w:r>
    </w:p>
    <w:p>
      <w:pPr>
        <w:spacing w:after="0" w:line="150" w:lineRule="exact"/>
        <w:rPr>
          <w:sz w:val="20"/>
          <w:szCs w:val="20"/>
          <w:color w:val="auto"/>
        </w:rPr>
      </w:pPr>
    </w:p>
    <w:p>
      <w:pPr>
        <w:ind w:right="60" w:firstLine="464"/>
        <w:spacing w:after="0" w:line="282" w:lineRule="auto"/>
        <w:tabs>
          <w:tab w:leader="none" w:pos="771" w:val="left"/>
        </w:tabs>
        <w:numPr>
          <w:ilvl w:val="0"/>
          <w:numId w:val="4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w:t>
      </w:r>
      <w:r>
        <w:rPr>
          <w:rFonts w:ascii="Arial" w:cs="Arial" w:eastAsia="Arial" w:hAnsi="Arial"/>
          <w:sz w:val="15"/>
          <w:szCs w:val="15"/>
          <w:b w:val="1"/>
          <w:bCs w:val="1"/>
          <w:u w:val="single" w:color="auto"/>
          <w:color w:val="auto"/>
        </w:rPr>
        <w:t>OVERNING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All questions concerning the construction, validity, and interpretation of this Agreement shall be governed by and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internal laws of the State of Delaware without giving effect to its principles of conflicts of laws.</w:t>
      </w:r>
    </w:p>
    <w:p>
      <w:pPr>
        <w:spacing w:after="0" w:line="161" w:lineRule="exact"/>
        <w:rPr>
          <w:rFonts w:ascii="Arial" w:cs="Arial" w:eastAsia="Arial" w:hAnsi="Arial"/>
          <w:sz w:val="18"/>
          <w:szCs w:val="18"/>
          <w:b w:val="1"/>
          <w:bCs w:val="1"/>
          <w:color w:val="auto"/>
        </w:rPr>
      </w:pPr>
    </w:p>
    <w:p>
      <w:pPr>
        <w:ind w:firstLine="464"/>
        <w:spacing w:after="0" w:line="256" w:lineRule="auto"/>
        <w:tabs>
          <w:tab w:leader="none" w:pos="771" w:val="left"/>
        </w:tabs>
        <w:numPr>
          <w:ilvl w:val="0"/>
          <w:numId w:val="4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w:t>
      </w:r>
      <w:r>
        <w:rPr>
          <w:rFonts w:ascii="Arial" w:cs="Arial" w:eastAsia="Arial" w:hAnsi="Arial"/>
          <w:sz w:val="15"/>
          <w:szCs w:val="15"/>
          <w:b w:val="1"/>
          <w:bCs w:val="1"/>
          <w:u w:val="single" w:color="auto"/>
          <w:color w:val="auto"/>
        </w:rPr>
        <w:t>ITHHOLDING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any Affiliate shall have the power and the right to deduct or withhold, require the Participant to remit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such Affiliate, or make any other arrangements as it considers appropriate to ensure that it has received an amount sufficient to satisfy any federal, state, local, and foreign taxes of any kind (including, but not limited to, the Participant’s FICA and SDI obligations) that the Company, in its sole discretion, deems necessary to be withheld or remitted to comply with the Code and/or any other applicable law, rule, or regulation with respect to the Restricted Stock and, if the Participant fails to do so, the Company may otherwise refuse to issue or Transfer any shares of Common Stock otherwise required to be issued pursuant to this Agreement.</w:t>
      </w:r>
    </w:p>
    <w:p>
      <w:pPr>
        <w:spacing w:after="0" w:line="187" w:lineRule="exact"/>
        <w:rPr>
          <w:rFonts w:ascii="Arial" w:cs="Arial" w:eastAsia="Arial" w:hAnsi="Arial"/>
          <w:sz w:val="18"/>
          <w:szCs w:val="18"/>
          <w:b w:val="1"/>
          <w:bCs w:val="1"/>
          <w:color w:val="auto"/>
        </w:rPr>
      </w:pPr>
    </w:p>
    <w:p>
      <w:pPr>
        <w:ind w:right="360" w:firstLine="464"/>
        <w:spacing w:after="0" w:line="314" w:lineRule="auto"/>
        <w:tabs>
          <w:tab w:leader="none" w:pos="771" w:val="left"/>
        </w:tabs>
        <w:numPr>
          <w:ilvl w:val="0"/>
          <w:numId w:val="4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w:t>
      </w:r>
      <w:r>
        <w:rPr>
          <w:rFonts w:ascii="Arial" w:cs="Arial" w:eastAsia="Arial" w:hAnsi="Arial"/>
          <w:sz w:val="13"/>
          <w:szCs w:val="13"/>
          <w:b w:val="1"/>
          <w:bCs w:val="1"/>
          <w:u w:val="single" w:color="auto"/>
          <w:color w:val="auto"/>
        </w:rPr>
        <w:t>ECOUPMENT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w:t>
      </w:r>
      <w:r>
        <w:rPr>
          <w:rFonts w:ascii="Arial" w:cs="Arial" w:eastAsia="Arial" w:hAnsi="Arial"/>
          <w:sz w:val="13"/>
          <w:szCs w:val="13"/>
          <w:b w:val="1"/>
          <w:bCs w:val="1"/>
          <w:u w:val="single" w:color="auto"/>
          <w:color w:val="auto"/>
        </w:rPr>
        <w:t>OLICY</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acknowledges and agrees that the Restricted Stock shall be subject to the terms and provisions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“clawback” or recoupment policy that may be adopted by the Company or its Affiliates from time to time or as may be required by any applicable law (including, without limitation, the Dodd-Frank Wall Street Reform and Consumer Protection Act and implementing rules and regulations thereunder).</w:t>
      </w:r>
    </w:p>
    <w:p>
      <w:pPr>
        <w:spacing w:after="0" w:line="142" w:lineRule="exact"/>
        <w:rPr>
          <w:rFonts w:ascii="Arial" w:cs="Arial" w:eastAsia="Arial" w:hAnsi="Arial"/>
          <w:sz w:val="16"/>
          <w:szCs w:val="16"/>
          <w:b w:val="1"/>
          <w:bCs w:val="1"/>
          <w:color w:val="auto"/>
        </w:rPr>
      </w:pPr>
    </w:p>
    <w:p>
      <w:pPr>
        <w:ind w:right="100" w:firstLine="464"/>
        <w:spacing w:after="0" w:line="285" w:lineRule="auto"/>
        <w:tabs>
          <w:tab w:leader="none" w:pos="771" w:val="left"/>
        </w:tabs>
        <w:numPr>
          <w:ilvl w:val="0"/>
          <w:numId w:val="4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w:t>
      </w:r>
      <w:r>
        <w:rPr>
          <w:rFonts w:ascii="Arial" w:cs="Arial" w:eastAsia="Arial" w:hAnsi="Arial"/>
          <w:sz w:val="13"/>
          <w:szCs w:val="13"/>
          <w:b w:val="1"/>
          <w:bCs w:val="1"/>
          <w:u w:val="single" w:color="auto"/>
          <w:color w:val="auto"/>
        </w:rPr>
        <w:t>ECTION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83(</w:t>
      </w:r>
      <w:r>
        <w:rPr>
          <w:rFonts w:ascii="Arial" w:cs="Arial" w:eastAsia="Arial" w:hAnsi="Arial"/>
          <w:sz w:val="13"/>
          <w:szCs w:val="13"/>
          <w:b w:val="1"/>
          <w:bCs w:val="1"/>
          <w:u w:val="single" w:color="auto"/>
          <w:color w:val="auto"/>
        </w:rPr>
        <w:t>B</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the Participant properly elects (as required by Section 83(b) of the Code) within 30 days after the issuance of the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to include in gross income for federal income tax purposes in the year of issuance the fair market value of such shares of Restricted Stock, the Participant shall pay to the Company, or make arrangements satisfactory to the Company to pay to the Company upon such election, any federal, state, or local taxes required to be withheld with respect to the Restricted Stock. If the Participant fails to make such payment, the Company shall, to the extent permitted by law, have the right to deduct from any payment of any kind otherwise due to the Participant any federal, state, or local taxes of any kind that are required by law to be withheld with respect to the Restricted Stock, as well as the rights set forth in Section 8 hereof. T</w:t>
      </w:r>
      <w:r>
        <w:rPr>
          <w:rFonts w:ascii="Arial" w:cs="Arial" w:eastAsia="Arial" w:hAnsi="Arial"/>
          <w:sz w:val="13"/>
          <w:szCs w:val="13"/>
          <w:color w:val="auto"/>
        </w:rPr>
        <w:t>HE</w:t>
      </w:r>
      <w:r>
        <w:rPr>
          <w:rFonts w:ascii="Arial" w:cs="Arial" w:eastAsia="Arial" w:hAnsi="Arial"/>
          <w:sz w:val="16"/>
          <w:szCs w:val="16"/>
          <w:color w:val="auto"/>
        </w:rPr>
        <w:t xml:space="preserve"> P</w:t>
      </w:r>
      <w:r>
        <w:rPr>
          <w:rFonts w:ascii="Arial" w:cs="Arial" w:eastAsia="Arial" w:hAnsi="Arial"/>
          <w:sz w:val="13"/>
          <w:szCs w:val="13"/>
          <w:color w:val="auto"/>
        </w:rPr>
        <w:t>ARTICIPANT ACKNOWLEDGES</w:t>
      </w:r>
    </w:p>
    <w:p>
      <w:pPr>
        <w:spacing w:after="0" w:line="4" w:lineRule="exact"/>
        <w:rPr>
          <w:sz w:val="20"/>
          <w:szCs w:val="20"/>
          <w:color w:val="auto"/>
        </w:rPr>
      </w:pPr>
    </w:p>
    <w:p>
      <w:pPr>
        <w:ind w:right="140"/>
        <w:spacing w:after="0" w:line="277" w:lineRule="auto"/>
        <w:rPr>
          <w:sz w:val="20"/>
          <w:szCs w:val="20"/>
          <w:color w:val="auto"/>
        </w:rPr>
      </w:pPr>
      <w:r>
        <w:rPr>
          <w:rFonts w:ascii="Arial" w:cs="Arial" w:eastAsia="Arial" w:hAnsi="Arial"/>
          <w:sz w:val="14"/>
          <w:szCs w:val="14"/>
          <w:color w:val="auto"/>
        </w:rPr>
        <w:t xml:space="preserve">AND AGREES THAT IT IS THE </w:t>
      </w:r>
      <w:r>
        <w:rPr>
          <w:rFonts w:ascii="Arial" w:cs="Arial" w:eastAsia="Arial" w:hAnsi="Arial"/>
          <w:sz w:val="17"/>
          <w:szCs w:val="17"/>
          <w:color w:val="auto"/>
        </w:rPr>
        <w:t>P</w:t>
      </w:r>
      <w:r>
        <w:rPr>
          <w:rFonts w:ascii="Arial" w:cs="Arial" w:eastAsia="Arial" w:hAnsi="Arial"/>
          <w:sz w:val="14"/>
          <w:szCs w:val="14"/>
          <w:color w:val="auto"/>
        </w:rPr>
        <w:t>ARTICIPANT</w:t>
      </w:r>
      <w:r>
        <w:rPr>
          <w:rFonts w:ascii="Arial" w:cs="Arial" w:eastAsia="Arial" w:hAnsi="Arial"/>
          <w:sz w:val="17"/>
          <w:szCs w:val="17"/>
          <w:color w:val="auto"/>
        </w:rPr>
        <w:t>’</w:t>
      </w:r>
      <w:r>
        <w:rPr>
          <w:rFonts w:ascii="Arial" w:cs="Arial" w:eastAsia="Arial" w:hAnsi="Arial"/>
          <w:sz w:val="14"/>
          <w:szCs w:val="14"/>
          <w:color w:val="auto"/>
        </w:rPr>
        <w:t>S SOLE RESPONSIBILITY</w:t>
      </w:r>
      <w:r>
        <w:rPr>
          <w:rFonts w:ascii="Arial" w:cs="Arial" w:eastAsia="Arial" w:hAnsi="Arial"/>
          <w:sz w:val="17"/>
          <w:szCs w:val="17"/>
          <w:color w:val="auto"/>
        </w:rPr>
        <w:t>,</w:t>
      </w:r>
      <w:r>
        <w:rPr>
          <w:rFonts w:ascii="Arial" w:cs="Arial" w:eastAsia="Arial" w:hAnsi="Arial"/>
          <w:sz w:val="14"/>
          <w:szCs w:val="14"/>
          <w:color w:val="auto"/>
        </w:rPr>
        <w:t xml:space="preserve"> AND NOT THE </w:t>
      </w:r>
      <w:r>
        <w:rPr>
          <w:rFonts w:ascii="Arial" w:cs="Arial" w:eastAsia="Arial" w:hAnsi="Arial"/>
          <w:sz w:val="17"/>
          <w:szCs w:val="17"/>
          <w:color w:val="auto"/>
        </w:rPr>
        <w:t>C</w:t>
      </w:r>
      <w:r>
        <w:rPr>
          <w:rFonts w:ascii="Arial" w:cs="Arial" w:eastAsia="Arial" w:hAnsi="Arial"/>
          <w:sz w:val="14"/>
          <w:szCs w:val="14"/>
          <w:color w:val="auto"/>
        </w:rPr>
        <w:t>OMPANY</w:t>
      </w:r>
      <w:r>
        <w:rPr>
          <w:rFonts w:ascii="Arial" w:cs="Arial" w:eastAsia="Arial" w:hAnsi="Arial"/>
          <w:sz w:val="17"/>
          <w:szCs w:val="17"/>
          <w:color w:val="auto"/>
        </w:rPr>
        <w:t>’</w:t>
      </w:r>
      <w:r>
        <w:rPr>
          <w:rFonts w:ascii="Arial" w:cs="Arial" w:eastAsia="Arial" w:hAnsi="Arial"/>
          <w:sz w:val="14"/>
          <w:szCs w:val="14"/>
          <w:color w:val="auto"/>
        </w:rPr>
        <w:t xml:space="preserve">S OR ANY </w:t>
      </w:r>
      <w:r>
        <w:rPr>
          <w:rFonts w:ascii="Arial" w:cs="Arial" w:eastAsia="Arial" w:hAnsi="Arial"/>
          <w:sz w:val="17"/>
          <w:szCs w:val="17"/>
          <w:color w:val="auto"/>
        </w:rPr>
        <w:t>A</w:t>
      </w:r>
      <w:r>
        <w:rPr>
          <w:rFonts w:ascii="Arial" w:cs="Arial" w:eastAsia="Arial" w:hAnsi="Arial"/>
          <w:sz w:val="14"/>
          <w:szCs w:val="14"/>
          <w:color w:val="auto"/>
        </w:rPr>
        <w:t>FFILIATE</w:t>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w:t>
      </w:r>
      <w:r>
        <w:rPr>
          <w:rFonts w:ascii="Arial" w:cs="Arial" w:eastAsia="Arial" w:hAnsi="Arial"/>
          <w:sz w:val="14"/>
          <w:szCs w:val="14"/>
          <w:color w:val="auto"/>
        </w:rPr>
        <w:t xml:space="preserve"> TO FILE TIMELY AND PROPERLY THE ELECTION UNDER </w:t>
      </w:r>
      <w:r>
        <w:rPr>
          <w:rFonts w:ascii="Arial" w:cs="Arial" w:eastAsia="Arial" w:hAnsi="Arial"/>
          <w:sz w:val="17"/>
          <w:szCs w:val="17"/>
          <w:color w:val="auto"/>
        </w:rPr>
        <w:t>S</w:t>
      </w:r>
      <w:r>
        <w:rPr>
          <w:rFonts w:ascii="Arial" w:cs="Arial" w:eastAsia="Arial" w:hAnsi="Arial"/>
          <w:sz w:val="14"/>
          <w:szCs w:val="14"/>
          <w:color w:val="auto"/>
        </w:rPr>
        <w:t xml:space="preserve">ECTION </w:t>
      </w:r>
      <w:r>
        <w:rPr>
          <w:rFonts w:ascii="Arial" w:cs="Arial" w:eastAsia="Arial" w:hAnsi="Arial"/>
          <w:sz w:val="17"/>
          <w:szCs w:val="17"/>
          <w:color w:val="auto"/>
        </w:rPr>
        <w:t>83(</w:t>
      </w:r>
      <w:r>
        <w:rPr>
          <w:rFonts w:ascii="Arial" w:cs="Arial" w:eastAsia="Arial" w:hAnsi="Arial"/>
          <w:sz w:val="14"/>
          <w:szCs w:val="14"/>
          <w:color w:val="auto"/>
        </w:rPr>
        <w:t>B</w:t>
      </w:r>
      <w:r>
        <w:rPr>
          <w:rFonts w:ascii="Arial" w:cs="Arial" w:eastAsia="Arial" w:hAnsi="Arial"/>
          <w:sz w:val="17"/>
          <w:szCs w:val="17"/>
          <w:color w:val="auto"/>
        </w:rPr>
        <w:t>)</w:t>
      </w:r>
      <w:r>
        <w:rPr>
          <w:rFonts w:ascii="Arial" w:cs="Arial" w:eastAsia="Arial" w:hAnsi="Arial"/>
          <w:sz w:val="14"/>
          <w:szCs w:val="14"/>
          <w:color w:val="auto"/>
        </w:rPr>
        <w:t xml:space="preserve"> OF THE </w:t>
      </w:r>
      <w:r>
        <w:rPr>
          <w:rFonts w:ascii="Arial" w:cs="Arial" w:eastAsia="Arial" w:hAnsi="Arial"/>
          <w:sz w:val="17"/>
          <w:szCs w:val="17"/>
          <w:color w:val="auto"/>
        </w:rPr>
        <w:t>C</w:t>
      </w:r>
      <w:r>
        <w:rPr>
          <w:rFonts w:ascii="Arial" w:cs="Arial" w:eastAsia="Arial" w:hAnsi="Arial"/>
          <w:sz w:val="14"/>
          <w:szCs w:val="14"/>
          <w:color w:val="auto"/>
        </w:rPr>
        <w:t xml:space="preserve">ODE </w:t>
      </w:r>
      <w:r>
        <w:rPr>
          <w:rFonts w:ascii="Arial" w:cs="Arial" w:eastAsia="Arial" w:hAnsi="Arial"/>
          <w:sz w:val="17"/>
          <w:szCs w:val="17"/>
          <w:color w:val="auto"/>
        </w:rPr>
        <w:t>(</w:t>
      </w:r>
      <w:r>
        <w:rPr>
          <w:rFonts w:ascii="Arial" w:cs="Arial" w:eastAsia="Arial" w:hAnsi="Arial"/>
          <w:sz w:val="14"/>
          <w:szCs w:val="14"/>
          <w:color w:val="auto"/>
        </w:rPr>
        <w:t>AND UNDER ANY CORRESPONDING PROVISION OF STATE LAW</w:t>
      </w:r>
      <w:r>
        <w:rPr>
          <w:rFonts w:ascii="Arial" w:cs="Arial" w:eastAsia="Arial" w:hAnsi="Arial"/>
          <w:sz w:val="17"/>
          <w:szCs w:val="17"/>
          <w:color w:val="auto"/>
        </w:rPr>
        <w:t>)</w:t>
      </w:r>
      <w:r>
        <w:rPr>
          <w:rFonts w:ascii="Arial" w:cs="Arial" w:eastAsia="Arial" w:hAnsi="Arial"/>
          <w:sz w:val="14"/>
          <w:szCs w:val="14"/>
          <w:color w:val="auto"/>
        </w:rPr>
        <w:t xml:space="preserve"> IF THE </w:t>
      </w:r>
      <w:r>
        <w:rPr>
          <w:rFonts w:ascii="Arial" w:cs="Arial" w:eastAsia="Arial" w:hAnsi="Arial"/>
          <w:sz w:val="17"/>
          <w:szCs w:val="17"/>
          <w:color w:val="auto"/>
        </w:rPr>
        <w:t>P</w:t>
      </w:r>
      <w:r>
        <w:rPr>
          <w:rFonts w:ascii="Arial" w:cs="Arial" w:eastAsia="Arial" w:hAnsi="Arial"/>
          <w:sz w:val="14"/>
          <w:szCs w:val="14"/>
          <w:color w:val="auto"/>
        </w:rPr>
        <w:t>ARTICIPANT ELECTS TO MAKE SUCH AN ELECTION</w:t>
      </w:r>
      <w:r>
        <w:rPr>
          <w:rFonts w:ascii="Arial" w:cs="Arial" w:eastAsia="Arial" w:hAnsi="Arial"/>
          <w:sz w:val="17"/>
          <w:szCs w:val="17"/>
          <w:color w:val="auto"/>
        </w:rPr>
        <w:t>,</w:t>
      </w:r>
      <w:r>
        <w:rPr>
          <w:rFonts w:ascii="Arial" w:cs="Arial" w:eastAsia="Arial" w:hAnsi="Arial"/>
          <w:sz w:val="14"/>
          <w:szCs w:val="14"/>
          <w:color w:val="auto"/>
        </w:rPr>
        <w:t xml:space="preserve"> EVEN IF THE </w:t>
      </w:r>
      <w:r>
        <w:rPr>
          <w:rFonts w:ascii="Arial" w:cs="Arial" w:eastAsia="Arial" w:hAnsi="Arial"/>
          <w:sz w:val="17"/>
          <w:szCs w:val="17"/>
          <w:color w:val="auto"/>
        </w:rPr>
        <w:t>P</w:t>
      </w:r>
      <w:r>
        <w:rPr>
          <w:rFonts w:ascii="Arial" w:cs="Arial" w:eastAsia="Arial" w:hAnsi="Arial"/>
          <w:sz w:val="14"/>
          <w:szCs w:val="14"/>
          <w:color w:val="auto"/>
        </w:rPr>
        <w:t xml:space="preserve">ARTICIPANT REQUESTS THE </w:t>
      </w:r>
      <w:r>
        <w:rPr>
          <w:rFonts w:ascii="Arial" w:cs="Arial" w:eastAsia="Arial" w:hAnsi="Arial"/>
          <w:sz w:val="17"/>
          <w:szCs w:val="17"/>
          <w:color w:val="auto"/>
        </w:rPr>
        <w:t>C</w:t>
      </w:r>
      <w:r>
        <w:rPr>
          <w:rFonts w:ascii="Arial" w:cs="Arial" w:eastAsia="Arial" w:hAnsi="Arial"/>
          <w:sz w:val="14"/>
          <w:szCs w:val="14"/>
          <w:color w:val="auto"/>
        </w:rPr>
        <w:t xml:space="preserve">OMPANY OR ITS REPRESENTATIVES TO MAKE A FILING ON THE </w:t>
      </w:r>
      <w:r>
        <w:rPr>
          <w:rFonts w:ascii="Arial" w:cs="Arial" w:eastAsia="Arial" w:hAnsi="Arial"/>
          <w:sz w:val="17"/>
          <w:szCs w:val="17"/>
          <w:color w:val="auto"/>
        </w:rPr>
        <w:t>P</w:t>
      </w:r>
      <w:r>
        <w:rPr>
          <w:rFonts w:ascii="Arial" w:cs="Arial" w:eastAsia="Arial" w:hAnsi="Arial"/>
          <w:sz w:val="14"/>
          <w:szCs w:val="14"/>
          <w:color w:val="auto"/>
        </w:rPr>
        <w:t>ARTICIPANT</w:t>
      </w:r>
      <w:r>
        <w:rPr>
          <w:rFonts w:ascii="Arial" w:cs="Arial" w:eastAsia="Arial" w:hAnsi="Arial"/>
          <w:sz w:val="17"/>
          <w:szCs w:val="17"/>
          <w:color w:val="auto"/>
        </w:rPr>
        <w:t>’</w:t>
      </w:r>
      <w:r>
        <w:rPr>
          <w:rFonts w:ascii="Arial" w:cs="Arial" w:eastAsia="Arial" w:hAnsi="Arial"/>
          <w:sz w:val="14"/>
          <w:szCs w:val="14"/>
          <w:color w:val="auto"/>
        </w:rPr>
        <w:t>S BEHALF</w:t>
      </w:r>
      <w:r>
        <w:rPr>
          <w:rFonts w:ascii="Arial" w:cs="Arial" w:eastAsia="Arial" w:hAnsi="Arial"/>
          <w:sz w:val="17"/>
          <w:szCs w:val="17"/>
          <w:color w:val="auto"/>
        </w:rPr>
        <w:t>.</w:t>
      </w:r>
    </w:p>
    <w:p>
      <w:pPr>
        <w:spacing w:after="0" w:line="169" w:lineRule="exact"/>
        <w:rPr>
          <w:sz w:val="20"/>
          <w:szCs w:val="20"/>
          <w:color w:val="auto"/>
        </w:rPr>
      </w:pPr>
    </w:p>
    <w:p>
      <w:pPr>
        <w:ind w:right="180" w:firstLine="464"/>
        <w:spacing w:after="0" w:line="282" w:lineRule="auto"/>
        <w:tabs>
          <w:tab w:leader="none" w:pos="861"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w:t>
      </w:r>
      <w:r>
        <w:rPr>
          <w:rFonts w:ascii="Arial" w:cs="Arial" w:eastAsia="Arial" w:hAnsi="Arial"/>
          <w:sz w:val="15"/>
          <w:szCs w:val="15"/>
          <w:b w:val="1"/>
          <w:bCs w:val="1"/>
          <w:u w:val="single" w:color="auto"/>
          <w:color w:val="auto"/>
        </w:rPr>
        <w:t>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or communication given hereunder shall be in writing and shall be deemed to have been duly given: (i) when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(ii) two days after being sent by United States mail; or (iii) on the first business day following the date of deposit if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50" w:name="page551"/>
    <w:bookmarkEnd w:id="550"/>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by a nationally recognized overnight delivery service, in each case, to the appropriate party at the address set forth below (or such other address as the party may from time to time specify):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Solid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126365</wp:posOffset>
            </wp:positionV>
            <wp:extent cx="151447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514475"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263525</wp:posOffset>
            </wp:positionV>
            <wp:extent cx="151447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Chief Executive Officer</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Proskauer Rose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Eleven Times Square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10036-8299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Julie M. Allen, Esq.</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Participant, to the address on file with the Company.</w:t>
      </w:r>
    </w:p>
    <w:p>
      <w:pPr>
        <w:spacing w:after="0" w:line="221" w:lineRule="exact"/>
        <w:rPr>
          <w:sz w:val="20"/>
          <w:szCs w:val="20"/>
          <w:color w:val="auto"/>
        </w:rPr>
      </w:pPr>
    </w:p>
    <w:p>
      <w:pPr>
        <w:ind w:firstLine="464"/>
        <w:spacing w:after="0" w:line="295" w:lineRule="auto"/>
        <w:tabs>
          <w:tab w:leader="none" w:pos="852" w:val="left"/>
        </w:tabs>
        <w:numPr>
          <w:ilvl w:val="0"/>
          <w:numId w:val="4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w:t>
      </w:r>
      <w:r>
        <w:rPr>
          <w:rFonts w:ascii="Arial" w:cs="Arial" w:eastAsia="Arial" w:hAnsi="Arial"/>
          <w:sz w:val="13"/>
          <w:szCs w:val="13"/>
          <w:b w:val="1"/>
          <w:bCs w:val="1"/>
          <w:u w:val="single" w:color="auto"/>
          <w:color w:val="auto"/>
        </w:rPr>
        <w: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3"/>
          <w:szCs w:val="13"/>
          <w:b w:val="1"/>
          <w:bCs w:val="1"/>
          <w:u w:val="single" w:color="auto"/>
          <w:color w:val="auto"/>
        </w:rPr>
        <w:t>IGHT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w:t>
      </w:r>
      <w:r>
        <w:rPr>
          <w:rFonts w:ascii="Arial" w:cs="Arial" w:eastAsia="Arial" w:hAnsi="Arial"/>
          <w:sz w:val="13"/>
          <w:szCs w:val="13"/>
          <w:b w:val="1"/>
          <w:bCs w:val="1"/>
          <w:u w:val="single" w:color="auto"/>
          <w:color w:val="auto"/>
        </w:rPr>
        <w:t>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the right of the Company or any of its Affiliates to terminate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employment at any time, with or without Cause, or shall be deemed to create any rights to employment or continued employment. The rights and obligations arising under this Agreement are not intended to and do not affect the Participant’s employment relationship that otherwise exists between the Participant and the Company or any of its Affiliates, whether such employment relationship is at will or defined by an employment contract. Moreover, this Agreement is not intended to and does not amend any existing employment contract between the Participant and the Company or any of its Affiliates; to the extent there is a conflict between this Agreement and such an employment contract, the employment contract shall govern and take priority.</w:t>
      </w:r>
    </w:p>
    <w:p>
      <w:pPr>
        <w:spacing w:after="0" w:line="155" w:lineRule="exact"/>
        <w:rPr>
          <w:rFonts w:ascii="Arial" w:cs="Arial" w:eastAsia="Arial" w:hAnsi="Arial"/>
          <w:sz w:val="16"/>
          <w:szCs w:val="16"/>
          <w:b w:val="1"/>
          <w:bCs w:val="1"/>
          <w:color w:val="auto"/>
        </w:rPr>
      </w:pPr>
    </w:p>
    <w:p>
      <w:pPr>
        <w:ind w:right="40" w:firstLine="464"/>
        <w:spacing w:after="0" w:line="274" w:lineRule="auto"/>
        <w:tabs>
          <w:tab w:leader="none" w:pos="861" w:val="left"/>
        </w:tabs>
        <w:numPr>
          <w:ilvl w:val="0"/>
          <w:numId w:val="4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w:t>
      </w:r>
      <w:r>
        <w:rPr>
          <w:rFonts w:ascii="Arial" w:cs="Arial" w:eastAsia="Arial" w:hAnsi="Arial"/>
          <w:sz w:val="14"/>
          <w:szCs w:val="14"/>
          <w:b w:val="1"/>
          <w:bCs w:val="1"/>
          <w:u w:val="single" w:color="auto"/>
          <w:color w:val="auto"/>
        </w:rPr>
        <w:t>ATA</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w:t>
      </w:r>
      <w:r>
        <w:rPr>
          <w:rFonts w:ascii="Arial" w:cs="Arial" w:eastAsia="Arial" w:hAnsi="Arial"/>
          <w:sz w:val="14"/>
          <w:szCs w:val="14"/>
          <w:b w:val="1"/>
          <w:bCs w:val="1"/>
          <w:u w:val="single" w:color="auto"/>
          <w:color w:val="auto"/>
        </w:rPr>
        <w:t>ROTECTION</w:t>
      </w:r>
      <w:r>
        <w:rPr>
          <w:rFonts w:ascii="Arial" w:cs="Arial" w:eastAsia="Arial" w:hAnsi="Arial"/>
          <w:sz w:val="17"/>
          <w:szCs w:val="17"/>
          <w:b w:val="1"/>
          <w:bCs w:val="1"/>
          <w:color w:val="auto"/>
        </w:rPr>
        <w:t xml:space="preserve">. </w:t>
      </w:r>
      <w:r>
        <w:rPr>
          <w:rFonts w:ascii="Arial" w:cs="Arial" w:eastAsia="Arial" w:hAnsi="Arial"/>
          <w:sz w:val="17"/>
          <w:szCs w:val="17"/>
          <w:color w:val="auto"/>
        </w:rPr>
        <w:t>By executing this Agreement, the Participant hereby consents to the holding and processing of personal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the Participant to the Company, any Affiliate thereof, trustee, or third party service provider, for all purposes relating to the operation of the Plan. These include, but are not limited to: (i) administering and maintaining Participant records; (ii) providing information to the Company, its Affiliates, trustees of any employee benefit trust, registrars, brokers, or third-party administrators of the Plan; (iii) providing information to future purchasers or merger partners of the Company or any Affiliate thereof, or the business in which the Participant works; and (iv) transferring information about the Participant to any country or territory that may not provide the same protection for the information as the Participant’s home country.</w:t>
      </w:r>
    </w:p>
    <w:p>
      <w:pPr>
        <w:spacing w:after="0" w:line="173" w:lineRule="exact"/>
        <w:rPr>
          <w:rFonts w:ascii="Arial" w:cs="Arial" w:eastAsia="Arial" w:hAnsi="Arial"/>
          <w:sz w:val="17"/>
          <w:szCs w:val="17"/>
          <w:b w:val="1"/>
          <w:bCs w:val="1"/>
          <w:color w:val="auto"/>
        </w:rPr>
      </w:pPr>
    </w:p>
    <w:p>
      <w:pPr>
        <w:ind w:firstLine="464"/>
        <w:spacing w:after="0" w:line="281" w:lineRule="auto"/>
        <w:tabs>
          <w:tab w:leader="none" w:pos="861" w:val="left"/>
        </w:tabs>
        <w:numPr>
          <w:ilvl w:val="0"/>
          <w:numId w:val="4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w:t>
      </w:r>
      <w:r>
        <w:rPr>
          <w:rFonts w:ascii="Arial" w:cs="Arial" w:eastAsia="Arial" w:hAnsi="Arial"/>
          <w:sz w:val="14"/>
          <w:szCs w:val="14"/>
          <w:b w:val="1"/>
          <w:bCs w:val="1"/>
          <w:u w:val="single" w:color="auto"/>
          <w:color w:val="auto"/>
        </w:rPr>
        <w:t>ARKET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4"/>
          <w:szCs w:val="14"/>
          <w:b w:val="1"/>
          <w:bCs w:val="1"/>
          <w:u w:val="single" w:color="auto"/>
          <w:color w:val="auto"/>
        </w:rPr>
        <w:t>TAND</w:t>
      </w:r>
      <w:r>
        <w:rPr>
          <w:rFonts w:ascii="Arial" w:cs="Arial" w:eastAsia="Arial" w:hAnsi="Arial"/>
          <w:sz w:val="17"/>
          <w:szCs w:val="17"/>
          <w:b w:val="1"/>
          <w:bCs w:val="1"/>
          <w:u w:val="single" w:color="auto"/>
          <w:color w:val="auto"/>
        </w:rPr>
        <w:t>-O</w:t>
      </w:r>
      <w:r>
        <w:rPr>
          <w:rFonts w:ascii="Arial" w:cs="Arial" w:eastAsia="Arial" w:hAnsi="Arial"/>
          <w:sz w:val="14"/>
          <w:szCs w:val="14"/>
          <w:b w:val="1"/>
          <w:bCs w:val="1"/>
          <w:u w:val="single" w:color="auto"/>
          <w:color w:val="auto"/>
        </w:rPr>
        <w:t>FF</w:t>
      </w:r>
      <w:r>
        <w:rPr>
          <w:rFonts w:ascii="Arial" w:cs="Arial" w:eastAsia="Arial" w:hAnsi="Arial"/>
          <w:sz w:val="17"/>
          <w:szCs w:val="17"/>
          <w:b w:val="1"/>
          <w:bCs w:val="1"/>
          <w:color w:val="auto"/>
        </w:rPr>
        <w:t xml:space="preserve">. </w:t>
      </w:r>
      <w:r>
        <w:rPr>
          <w:rFonts w:ascii="Arial" w:cs="Arial" w:eastAsia="Arial" w:hAnsi="Arial"/>
          <w:sz w:val="17"/>
          <w:szCs w:val="17"/>
          <w:color w:val="auto"/>
        </w:rPr>
        <w:t>If requested by the Company, any Affiliate, or a lead underwriter of any public offering of the shares of Common Stock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Lead Underwriter</w:t>
      </w:r>
      <w:r>
        <w:rPr>
          <w:rFonts w:ascii="Arial" w:cs="Arial" w:eastAsia="Arial" w:hAnsi="Arial"/>
          <w:sz w:val="17"/>
          <w:szCs w:val="17"/>
          <w:color w:val="auto"/>
        </w:rPr>
        <w:t>”), the Participant shall irrevocably agree, and by execution of this Agreement shall irrevocably be deemed to have agreed, not to sell, contract to sell, grant any option to purchase, transfer the economic risk of ownership in, make any short sale of, pledge, or otherwise Transfer or dispose of, any interest in any shares of Common Stock or any securities convertible into, derivative 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51" w:name="page552"/>
    <w:bookmarkEnd w:id="551"/>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exchangeable or exercisable for shares of Common Stock, or any other rights to purchase or acquire shares of Common Stock (except shares of Common Stock included in such public offering or acquired on the public market after such offering) during such period of time following the effective date of a registration statement of the Company filed under the Securities Act that a Lead Underwriter shall specify (the “</w:t>
      </w:r>
      <w:r>
        <w:rPr>
          <w:rFonts w:ascii="Arial" w:cs="Arial" w:eastAsia="Arial" w:hAnsi="Arial"/>
          <w:sz w:val="18"/>
          <w:szCs w:val="18"/>
          <w:b w:val="1"/>
          <w:bCs w:val="1"/>
          <w:u w:val="single" w:color="auto"/>
          <w:color w:val="auto"/>
        </w:rPr>
        <w:t>Lock-up Period</w:t>
      </w:r>
      <w:r>
        <w:rPr>
          <w:rFonts w:ascii="Arial" w:cs="Arial" w:eastAsia="Arial" w:hAnsi="Arial"/>
          <w:sz w:val="18"/>
          <w:szCs w:val="18"/>
          <w:color w:val="auto"/>
        </w:rPr>
        <w:t>”). The Participant hereby further agrees to sign such documents as may be requested by a Lead Underwriter, the Company, or any Affiliate to effect the foregoing and agree that the Company or an Affiliate may impose stop transfer instructions with respect to shares of Common Stock acquired pursuant to an Award until the end of such Lock-up Period.</w:t>
      </w:r>
    </w:p>
    <w:p>
      <w:pPr>
        <w:spacing w:after="0" w:line="189" w:lineRule="exact"/>
        <w:rPr>
          <w:sz w:val="20"/>
          <w:szCs w:val="20"/>
          <w:color w:val="auto"/>
        </w:rPr>
      </w:pPr>
    </w:p>
    <w:p>
      <w:pPr>
        <w:jc w:val="both"/>
        <w:ind w:right="140" w:firstLine="464"/>
        <w:spacing w:after="0" w:line="258" w:lineRule="auto"/>
        <w:tabs>
          <w:tab w:leader="none" w:pos="861"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OMPLIANCE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AWS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the Restricted Stock or unrestricted shares pursuant to this Agreement shall be subject to,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any applicable requirements of any foreign and U.S. federal and state securities laws, rules, and regulations (including, without limitation, the provisions of the Securities Act, the Exchange Act, and in each case any respective rules and regulations promulgated thereunder) and any other law or regulation applicable thereto. The Company shall not be obligated to issue the Restricted Stock or any of the shares of Common Stock pursuant to this Agreement if any such issuance would violate any such requirements.</w:t>
      </w:r>
    </w:p>
    <w:p>
      <w:pPr>
        <w:spacing w:after="0" w:line="183" w:lineRule="exact"/>
        <w:rPr>
          <w:rFonts w:ascii="Arial" w:cs="Arial" w:eastAsia="Arial" w:hAnsi="Arial"/>
          <w:sz w:val="18"/>
          <w:szCs w:val="18"/>
          <w:b w:val="1"/>
          <w:bCs w:val="1"/>
          <w:color w:val="auto"/>
        </w:rPr>
      </w:pPr>
    </w:p>
    <w:p>
      <w:pPr>
        <w:ind w:firstLine="464"/>
        <w:spacing w:after="0" w:line="313" w:lineRule="auto"/>
        <w:tabs>
          <w:tab w:leader="none" w:pos="861" w:val="left"/>
        </w:tabs>
        <w:numPr>
          <w:ilvl w:val="0"/>
          <w:numId w:val="4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w:t>
      </w:r>
      <w:r>
        <w:rPr>
          <w:rFonts w:ascii="Arial" w:cs="Arial" w:eastAsia="Arial" w:hAnsi="Arial"/>
          <w:sz w:val="14"/>
          <w:szCs w:val="14"/>
          <w:b w:val="1"/>
          <w:bCs w:val="1"/>
          <w:u w:val="single" w:color="auto"/>
          <w:color w:val="auto"/>
        </w:rPr>
        <w:t>ECTION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409A</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herein or in the Plan to the contrary, the shares of Restricted Stock are intended to be exempt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requirements of Section 409A of the Code and shall be limited, construed, and interpreted in accordance with such intent.</w:t>
      </w:r>
    </w:p>
    <w:p>
      <w:pPr>
        <w:spacing w:after="0" w:line="138" w:lineRule="exact"/>
        <w:rPr>
          <w:rFonts w:ascii="Arial" w:cs="Arial" w:eastAsia="Arial" w:hAnsi="Arial"/>
          <w:sz w:val="17"/>
          <w:szCs w:val="17"/>
          <w:b w:val="1"/>
          <w:bCs w:val="1"/>
          <w:color w:val="auto"/>
        </w:rPr>
      </w:pPr>
    </w:p>
    <w:p>
      <w:pPr>
        <w:ind w:right="180" w:firstLine="464"/>
        <w:spacing w:after="0" w:line="347" w:lineRule="auto"/>
        <w:tabs>
          <w:tab w:leader="none" w:pos="861" w:val="left"/>
        </w:tabs>
        <w:numPr>
          <w:ilvl w:val="0"/>
          <w:numId w:val="4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w:t>
      </w:r>
      <w:r>
        <w:rPr>
          <w:rFonts w:ascii="Arial" w:cs="Arial" w:eastAsia="Arial" w:hAnsi="Arial"/>
          <w:sz w:val="13"/>
          <w:szCs w:val="13"/>
          <w:b w:val="1"/>
          <w:bCs w:val="1"/>
          <w:u w:val="single" w:color="auto"/>
          <w:color w:val="auto"/>
        </w:rPr>
        <w:t>INDING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3"/>
          <w:szCs w:val="13"/>
          <w:b w:val="1"/>
          <w:bCs w:val="1"/>
          <w:u w:val="single" w:color="auto"/>
          <w:color w:val="auto"/>
        </w:rPr>
        <w:t>GREEMENT</w:t>
      </w:r>
      <w:r>
        <w:rPr>
          <w:rFonts w:ascii="Arial" w:cs="Arial" w:eastAsia="Arial" w:hAnsi="Arial"/>
          <w:sz w:val="16"/>
          <w:szCs w:val="16"/>
          <w:b w:val="1"/>
          <w:bCs w:val="1"/>
          <w:u w:val="single" w:color="auto"/>
          <w:color w:val="auto"/>
        </w:rPr>
        <w:t>; A</w:t>
      </w:r>
      <w:r>
        <w:rPr>
          <w:rFonts w:ascii="Arial" w:cs="Arial" w:eastAsia="Arial" w:hAnsi="Arial"/>
          <w:sz w:val="13"/>
          <w:szCs w:val="13"/>
          <w:b w:val="1"/>
          <w:bCs w:val="1"/>
          <w:u w:val="single" w:color="auto"/>
          <w:color w:val="auto"/>
        </w:rPr>
        <w:t>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inure to the benefit of, be binding upon, and be enforceable by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its successors and assigns. The Participant shall not assign any part of this Agreement without the prior express written consent of the Company.</w:t>
      </w:r>
    </w:p>
    <w:p>
      <w:pPr>
        <w:spacing w:after="0" w:line="116" w:lineRule="exact"/>
        <w:rPr>
          <w:rFonts w:ascii="Arial" w:cs="Arial" w:eastAsia="Arial" w:hAnsi="Arial"/>
          <w:sz w:val="16"/>
          <w:szCs w:val="16"/>
          <w:b w:val="1"/>
          <w:bCs w:val="1"/>
          <w:color w:val="auto"/>
        </w:rPr>
      </w:pPr>
    </w:p>
    <w:p>
      <w:pPr>
        <w:ind w:right="120" w:firstLine="464"/>
        <w:spacing w:after="0" w:line="282" w:lineRule="auto"/>
        <w:tabs>
          <w:tab w:leader="none" w:pos="861"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w:t>
      </w:r>
      <w:r>
        <w:rPr>
          <w:rFonts w:ascii="Arial" w:cs="Arial" w:eastAsia="Arial" w:hAnsi="Arial"/>
          <w:sz w:val="15"/>
          <w:szCs w:val="15"/>
          <w:b w:val="1"/>
          <w:bCs w:val="1"/>
          <w:u w:val="single" w:color="auto"/>
          <w:color w:val="auto"/>
        </w:rPr>
        <w:t>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titles and headings of the various sections of this Agreement have been inserted for convenience of reference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a part of this Agreement.</w:t>
      </w:r>
    </w:p>
    <w:p>
      <w:pPr>
        <w:spacing w:after="0" w:line="161" w:lineRule="exact"/>
        <w:rPr>
          <w:rFonts w:ascii="Arial" w:cs="Arial" w:eastAsia="Arial" w:hAnsi="Arial"/>
          <w:sz w:val="18"/>
          <w:szCs w:val="18"/>
          <w:b w:val="1"/>
          <w:bCs w:val="1"/>
          <w:color w:val="auto"/>
        </w:rPr>
      </w:pPr>
    </w:p>
    <w:p>
      <w:pPr>
        <w:ind w:firstLine="464"/>
        <w:spacing w:after="0" w:line="282" w:lineRule="auto"/>
        <w:tabs>
          <w:tab w:leader="none" w:pos="861"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one or more counterparts, each of which shall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the same instrument.</w:t>
      </w:r>
    </w:p>
    <w:p>
      <w:pPr>
        <w:spacing w:after="0" w:line="161" w:lineRule="exact"/>
        <w:rPr>
          <w:rFonts w:ascii="Arial" w:cs="Arial" w:eastAsia="Arial" w:hAnsi="Arial"/>
          <w:sz w:val="18"/>
          <w:szCs w:val="18"/>
          <w:b w:val="1"/>
          <w:bCs w:val="1"/>
          <w:color w:val="auto"/>
        </w:rPr>
      </w:pPr>
    </w:p>
    <w:p>
      <w:pPr>
        <w:ind w:right="40" w:firstLine="464"/>
        <w:spacing w:after="0" w:line="289" w:lineRule="auto"/>
        <w:tabs>
          <w:tab w:leader="none" w:pos="861" w:val="left"/>
        </w:tabs>
        <w:numPr>
          <w:ilvl w:val="0"/>
          <w:numId w:val="4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w:t>
      </w:r>
      <w:r>
        <w:rPr>
          <w:rFonts w:ascii="Arial" w:cs="Arial" w:eastAsia="Arial" w:hAnsi="Arial"/>
          <w:sz w:val="14"/>
          <w:szCs w:val="14"/>
          <w:b w:val="1"/>
          <w:bCs w:val="1"/>
          <w:u w:val="single" w:color="auto"/>
          <w:color w:val="auto"/>
        </w:rPr>
        <w:t>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invalidity or unenforceability of any provisions of this Agreement in any jurisdiction shall not affect the validity, legality, or</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enforceability of the remainder of this Agreement in such jurisdiction or the validity, legality, or enforceability of any provision of this Agreement in any other jurisdiction, it being intended that all rights and obligations of the parties hereunder shall be enforceable to the fullest extent permitted by law.</w:t>
      </w:r>
    </w:p>
    <w:p>
      <w:pPr>
        <w:spacing w:after="0" w:line="158" w:lineRule="exact"/>
        <w:rPr>
          <w:rFonts w:ascii="Arial" w:cs="Arial" w:eastAsia="Arial" w:hAnsi="Arial"/>
          <w:sz w:val="17"/>
          <w:szCs w:val="17"/>
          <w:b w:val="1"/>
          <w:bCs w:val="1"/>
          <w:color w:val="auto"/>
        </w:rPr>
      </w:pPr>
    </w:p>
    <w:p>
      <w:pPr>
        <w:ind w:right="320" w:firstLine="464"/>
        <w:spacing w:after="0" w:line="266" w:lineRule="auto"/>
        <w:tabs>
          <w:tab w:leader="none" w:pos="861"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NTIRE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GREEMENT</w:t>
      </w:r>
      <w:r>
        <w:rPr>
          <w:rFonts w:ascii="Arial" w:cs="Arial" w:eastAsia="Arial" w:hAnsi="Arial"/>
          <w:sz w:val="18"/>
          <w:szCs w:val="18"/>
          <w:b w:val="1"/>
          <w:bCs w:val="1"/>
          <w:u w:val="single" w:color="auto"/>
          <w:color w:val="auto"/>
        </w:rPr>
        <w:t>; A</w:t>
      </w:r>
      <w:r>
        <w:rPr>
          <w:rFonts w:ascii="Arial" w:cs="Arial" w:eastAsia="Arial" w:hAnsi="Arial"/>
          <w:sz w:val="15"/>
          <w:szCs w:val="15"/>
          <w:b w:val="1"/>
          <w:bCs w:val="1"/>
          <w:u w:val="single" w:color="auto"/>
          <w:color w:val="auto"/>
        </w:rPr>
        <w:t>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together with the Plan, contains the entire agreement between the parties hereto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contained herein, and supersedes all prior agreements or prior understandings, whether written or oral, between the parties relating to such subject matter. The Committee shall have the right,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552" w:name="page553"/>
    <w:bookmarkEnd w:id="55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sole discretion, to modify or amend this Agreement from time to time in accordance with and as provided in the Plan. The Company shall give written notice to the Participant of any such modification or amendment of this Agreement as soon as practicable after the adoption thereof. This Agreement may also be modified or amended by a writing signed by both the Company and the Participant.</w:t>
      </w:r>
    </w:p>
    <w:p>
      <w:pPr>
        <w:spacing w:after="0" w:line="177" w:lineRule="exact"/>
        <w:rPr>
          <w:sz w:val="20"/>
          <w:szCs w:val="20"/>
          <w:color w:val="auto"/>
        </w:rPr>
      </w:pPr>
    </w:p>
    <w:p>
      <w:pPr>
        <w:ind w:right="80" w:firstLine="464"/>
        <w:spacing w:after="0" w:line="277" w:lineRule="auto"/>
        <w:tabs>
          <w:tab w:leader="none" w:pos="861" w:val="left"/>
        </w:tabs>
        <w:numPr>
          <w:ilvl w:val="1"/>
          <w:numId w:val="4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w:t>
      </w:r>
      <w:r>
        <w:rPr>
          <w:rFonts w:ascii="Arial" w:cs="Arial" w:eastAsia="Arial" w:hAnsi="Arial"/>
          <w:sz w:val="14"/>
          <w:szCs w:val="14"/>
          <w:b w:val="1"/>
          <w:bCs w:val="1"/>
          <w:u w:val="single" w:color="auto"/>
          <w:color w:val="auto"/>
        </w:rPr>
        <w:t>ODE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w:t>
      </w:r>
      <w:r>
        <w:rPr>
          <w:rFonts w:ascii="Arial" w:cs="Arial" w:eastAsia="Arial" w:hAnsi="Arial"/>
          <w:sz w:val="14"/>
          <w:szCs w:val="14"/>
          <w:b w:val="1"/>
          <w:bCs w:val="1"/>
          <w:u w:val="single" w:color="auto"/>
          <w:color w:val="auto"/>
        </w:rPr>
        <w:t>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agrees, to the fullest extent permitted by applicable law, in lieu of receiving documents in paper</w:t>
      </w:r>
      <w:r>
        <w:rPr>
          <w:rFonts w:ascii="Arial" w:cs="Arial" w:eastAsia="Arial" w:hAnsi="Arial"/>
          <w:sz w:val="17"/>
          <w:szCs w:val="17"/>
          <w:b w:val="1"/>
          <w:bCs w:val="1"/>
          <w:color w:val="auto"/>
        </w:rPr>
        <w:t xml:space="preserve"> </w:t>
      </w:r>
      <w:r>
        <w:rPr>
          <w:rFonts w:ascii="Arial" w:cs="Arial" w:eastAsia="Arial" w:hAnsi="Arial"/>
          <w:sz w:val="17"/>
          <w:szCs w:val="17"/>
          <w:color w:val="auto"/>
        </w:rPr>
        <w:t>format, to accept electronic delivery of any documents that the Company or any of its Affiliates may deliver in connection with the Restricted Stock awarded hereunder and any other grants offered by the Company or its Affiliates, including, without limitation, prospectuses, grant notifications, account statements, annual or quarterly reports, and other communications. Electronic delivery of a document may be made via the Company’s email system or by reference to a location on the Company’s intranet, an internet website, or the online brokerage account system.</w:t>
      </w:r>
    </w:p>
    <w:p>
      <w:pPr>
        <w:spacing w:after="0" w:line="168" w:lineRule="exact"/>
        <w:rPr>
          <w:rFonts w:ascii="Arial" w:cs="Arial" w:eastAsia="Arial" w:hAnsi="Arial"/>
          <w:sz w:val="17"/>
          <w:szCs w:val="17"/>
          <w:b w:val="1"/>
          <w:bCs w:val="1"/>
          <w:color w:val="auto"/>
        </w:rPr>
      </w:pPr>
    </w:p>
    <w:p>
      <w:pPr>
        <w:ind w:right="20" w:firstLine="464"/>
        <w:spacing w:after="0" w:line="293" w:lineRule="auto"/>
        <w:tabs>
          <w:tab w:leader="none" w:pos="861" w:val="left"/>
        </w:tabs>
        <w:numPr>
          <w:ilvl w:val="1"/>
          <w:numId w:val="4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w:t>
      </w:r>
      <w:r>
        <w:rPr>
          <w:rFonts w:ascii="Arial" w:cs="Arial" w:eastAsia="Arial" w:hAnsi="Arial"/>
          <w:sz w:val="13"/>
          <w:szCs w:val="13"/>
          <w:b w:val="1"/>
          <w:bCs w:val="1"/>
          <w:u w:val="single" w:color="auto"/>
          <w:color w:val="auto"/>
        </w:rPr>
        <w:t>CQUIRED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3"/>
          <w:szCs w:val="13"/>
          <w:b w:val="1"/>
          <w:bCs w:val="1"/>
          <w:u w:val="single" w:color="auto"/>
          <w:color w:val="auto"/>
        </w:rPr>
        <w:t>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acknowledges and agrees that: (a) the Company may terminate or amend the Plan at any time; (b) the award</w:t>
      </w:r>
      <w:r>
        <w:rPr>
          <w:rFonts w:ascii="Arial" w:cs="Arial" w:eastAsia="Arial" w:hAnsi="Arial"/>
          <w:sz w:val="16"/>
          <w:szCs w:val="16"/>
          <w:b w:val="1"/>
          <w:bCs w:val="1"/>
          <w:color w:val="auto"/>
        </w:rPr>
        <w:t xml:space="preserve"> </w:t>
      </w:r>
      <w:r>
        <w:rPr>
          <w:rFonts w:ascii="Arial" w:cs="Arial" w:eastAsia="Arial" w:hAnsi="Arial"/>
          <w:sz w:val="16"/>
          <w:szCs w:val="16"/>
          <w:color w:val="auto"/>
        </w:rPr>
        <w:t>of Restricted Stock made under this Agreement is completely independent of any other award or grant and is made at the sole discretion of the Company;</w:t>
      </w:r>
    </w:p>
    <w:p>
      <w:pPr>
        <w:spacing w:after="0" w:line="1" w:lineRule="exact"/>
        <w:rPr>
          <w:rFonts w:ascii="Arial" w:cs="Arial" w:eastAsia="Arial" w:hAnsi="Arial"/>
          <w:sz w:val="16"/>
          <w:szCs w:val="16"/>
          <w:b w:val="1"/>
          <w:bCs w:val="1"/>
          <w:color w:val="auto"/>
        </w:rPr>
      </w:pPr>
    </w:p>
    <w:p>
      <w:pPr>
        <w:ind w:firstLine="8"/>
        <w:spacing w:after="0" w:line="255" w:lineRule="auto"/>
        <w:tabs>
          <w:tab w:leader="none" w:pos="24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no past grants or awards (including, without limitation, the Restricted Stock awarded hereunder) give the Participant any right to any grants or awards in the future whatsoever; and (d) any benefits granted under this Agreement are not part of the Participant’s ordinary salary and shall not be considered as part of such salary in the event of severance, redundancy, or resignation.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3" w:right="259" w:bottom="1440" w:gutter="0" w:footer="0" w:header="0"/>
        </w:sectPr>
      </w:pPr>
    </w:p>
    <w:bookmarkStart w:id="553" w:name="page554"/>
    <w:bookmarkEnd w:id="55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hereto have executed this Agreement as of the date first written above.</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OLID</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IOSCIENCES</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48729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48729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48729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292100</wp:posOffset>
            </wp:positionV>
            <wp:extent cx="289877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48729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-10160</wp:posOffset>
            </wp:positionV>
            <wp:extent cx="134302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1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759"/>
          </w:cols>
          <w:pgMar w:left="700" w:top="269" w:right="1440" w:bottom="1440" w:gutter="0" w:footer="0" w:header="0"/>
        </w:sectPr>
      </w:pPr>
    </w:p>
    <w:bookmarkStart w:id="554" w:name="page555"/>
    <w:bookmarkEnd w:id="554"/>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PATENT LICENSE AGREEMENT</w:t>
      </w:r>
    </w:p>
    <w:p>
      <w:pPr>
        <w:spacing w:after="0" w:line="229"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This exclusive patent license agreement (“Agreement”) is dated and effective as of the date of last signature (the “Effective Date”), and is made between the University of Washington, a public institution of higher education and an agency of the state of Washington, acting through UW CoMotion (“University”), and Solid GT, LLC, a limited liability company under the laws of the state of Delaware (“Company”), (individually “Party” or collectively “Parties”).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Certain inventions related to Novel micro-dystrophins under muscle-specific promoters for the treatment of Duchenne Muscular Dystrophy were made in the laboratory of Dr. Jeffrey Chamberlain (“Principal Investigator”);</w:t>
      </w:r>
    </w:p>
    <w:p>
      <w:pPr>
        <w:spacing w:after="0" w:line="170" w:lineRule="exact"/>
        <w:rPr>
          <w:sz w:val="20"/>
          <w:szCs w:val="20"/>
          <w:color w:val="auto"/>
        </w:rPr>
      </w:pPr>
    </w:p>
    <w:p>
      <w:pPr>
        <w:ind w:right="560" w:firstLine="913"/>
        <w:spacing w:after="0" w:line="342" w:lineRule="auto"/>
        <w:rPr>
          <w:sz w:val="20"/>
          <w:szCs w:val="20"/>
          <w:color w:val="auto"/>
        </w:rPr>
      </w:pPr>
      <w:r>
        <w:rPr>
          <w:rFonts w:ascii="Arial" w:cs="Arial" w:eastAsia="Arial" w:hAnsi="Arial"/>
          <w:sz w:val="16"/>
          <w:szCs w:val="16"/>
          <w:color w:val="auto"/>
        </w:rPr>
        <w:t>As assignee of the inventions, University owns the patents and patent applications as listed in Section A1 “Licensed Patents” of Exhibit A “Exclusive Patent License Schedule” and University has the right to license to others certain rights to such patents and patent applications;</w:t>
      </w:r>
    </w:p>
    <w:p>
      <w:pPr>
        <w:spacing w:after="0" w:line="124"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Whereas University and Company entered into a confidentiality agreement with the effective date of June 16</w:t>
      </w:r>
      <w:r>
        <w:rPr>
          <w:rFonts w:ascii="Arial" w:cs="Arial" w:eastAsia="Arial" w:hAnsi="Arial"/>
          <w:sz w:val="15"/>
          <w:szCs w:val="15"/>
          <w:color w:val="auto"/>
        </w:rPr>
        <w:t>th</w:t>
      </w:r>
      <w:r>
        <w:rPr>
          <w:rFonts w:ascii="Arial" w:cs="Arial" w:eastAsia="Arial" w:hAnsi="Arial"/>
          <w:sz w:val="18"/>
          <w:szCs w:val="18"/>
          <w:color w:val="auto"/>
        </w:rPr>
        <w:t>, 2014 with University reference number 35111A;</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Whereas University and Company entered into an exclusive option agreement for Licensed Patents with the effective date of February 5, 2015 with University reference number 36201A;</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Company desires that University grant it an exclusive license to use, develop, and commercialize the inventions claimed in the Licensed Patents;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University is willing to grant a license on the terms set forth below.</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Parties therefore agree as follows:</w:t>
      </w:r>
    </w:p>
    <w:p>
      <w:pPr>
        <w:spacing w:after="0" w:line="370" w:lineRule="exact"/>
        <w:rPr>
          <w:sz w:val="20"/>
          <w:szCs w:val="20"/>
          <w:color w:val="auto"/>
        </w:rPr>
      </w:pPr>
    </w:p>
    <w:p>
      <w:pPr>
        <w:ind w:left="460" w:hanging="452"/>
        <w:spacing w:after="0"/>
        <w:tabs>
          <w:tab w:leader="none" w:pos="460" w:val="left"/>
        </w:tabs>
        <w:numPr>
          <w:ilvl w:val="0"/>
          <w:numId w:val="46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For purposes of interpreting this Agreement, the following terms have the following meanings ascribed to them:</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1.1. “Assignment” means (A) the sale by Company of all but no less than all of its assets to an arm’s length Third Party, (B) the sale, transfer, or exchange by the shareholders, partners, or equity owners of Company of a majority interest in Company to an arm’s length Third Party, or (C) the merger of Company into an arm’s length Third Party.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“Assignment Consideration” means all consideration received by Company for an Assignment.</w:t>
      </w:r>
    </w:p>
    <w:p>
      <w:pPr>
        <w:spacing w:after="0" w:line="158"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Page 1 of 21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46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122" w:right="239" w:bottom="1440" w:gutter="0" w:footer="0" w:header="0"/>
        </w:sectPr>
      </w:pPr>
    </w:p>
    <w:bookmarkStart w:id="555" w:name="page556"/>
    <w:bookmarkEnd w:id="5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1.3. “Confidential Information” means any information or materials (biological, chemical, or otherwise) of the Parties not generally known to the public, including any information comprised of those materials, and including without limitation the inventions covered by the Licensed Patents and Company’s business plans or reports. Confidential Information does not include any information that:</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1.3.1. is or becomes part of the public domain through no fault of receiving Party;</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1.3.2. is known to receiving Party prior to the disclosure by the disclosing Party, as evidenced by documentation;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1.3.3. is publicly released as authorized under this Agreement by University, its employees or agents;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1.3.4. is subsequently obtained by a Party from a Third Party who is authorized to have such information; or</w:t>
      </w:r>
    </w:p>
    <w:p>
      <w:pPr>
        <w:spacing w:after="0" w:line="117" w:lineRule="exact"/>
        <w:rPr>
          <w:sz w:val="20"/>
          <w:szCs w:val="20"/>
          <w:color w:val="auto"/>
        </w:rPr>
      </w:pPr>
    </w:p>
    <w:p>
      <w:pPr>
        <w:ind w:left="460" w:right="160" w:firstLine="438"/>
        <w:spacing w:after="0" w:line="277" w:lineRule="auto"/>
        <w:rPr>
          <w:sz w:val="20"/>
          <w:szCs w:val="20"/>
          <w:color w:val="auto"/>
        </w:rPr>
      </w:pPr>
      <w:r>
        <w:rPr>
          <w:rFonts w:ascii="Arial" w:cs="Arial" w:eastAsia="Arial" w:hAnsi="Arial"/>
          <w:sz w:val="18"/>
          <w:szCs w:val="18"/>
          <w:color w:val="auto"/>
        </w:rPr>
        <w:t>1.3.5. is independently developed by a Party without reliance on any portion of the Confidential Information received from the disclosing Party and without any breach of this Agreement as evidenced by documentation.</w:t>
      </w:r>
    </w:p>
    <w:p>
      <w:pPr>
        <w:spacing w:after="0" w:line="170"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1.4. “Event of Force Majeure” means an unforeseeable act that wholly prevents a Party from performing one or more of its material duties under this Agreement and that is outside of the reasonable control of the Party. An Event of Force Majeure includes acts of war or of Nature, insurrection and riot, and labor strikes. An Event of Force Majeure does not mean a Party’s inability to obtain a Third Party’s consent to any act or omission.</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 “Field of Use” means Treatment of Duchenne Muscular Dystrophy and related disease indications caused by a lack of functional dystrophin.</w:t>
      </w:r>
    </w:p>
    <w:p>
      <w:pPr>
        <w:spacing w:after="0" w:line="23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1.6. “Licensed Patents” means the patents and patent applications (including all provisional, nonprovisional, and PCT patent applications, and all national stage and foreign equivalents of the foregoing, accordingly) listed in Section A1 “Licensed Patents” of attached Exhibit A “Exclusive Patent License Schedule”, all divisionals and continuations of these patent applications, all patents issuing from these applications, divisionals, and continuations and any reissues, reexaminations, supplementary protection certificates and extensions of these patents, and any corresponding foreign applications or patents thereof. Claims in continuations-in-part applications are included in Licensed Patents only to the extent such claims are supported by a patent or patent application set forth in Section A1 “Licensed Patents” of Exhibit A “Exclusive Patent License Schedule” to benefit from the priority date of such patent or patent application and to the extent such claims are not encumbered by Third Party rights.</w:t>
      </w:r>
    </w:p>
    <w:p>
      <w:pPr>
        <w:spacing w:after="0" w:line="178"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1.7. “Licensed Product” means any product or good that is used, made by, made for, sold, transferred, offered for sale, imported or otherwise disposed of during the term of this Agreement and for which use, manufacture, sale, transfer is covered by one or more Valid Claims of the Licensed Patents.</w:t>
      </w:r>
    </w:p>
    <w:p>
      <w:pPr>
        <w:spacing w:after="0" w:line="12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1.8. “Net Sales” means the gross amount invoiced or otherwise received by Company or Sublicensee for sales, leases, and other dispositions of Licensed Products less (i) all trade, quantity, and cash discounts actually allowed, (ii) all credits and allowances actually granted due to rejections, returns, billing errors, and retroactive price reductions, (iii) duties, and (iv) excise, sale and use taxes, and equivalent taxes to the extent not reimbursable. On sales of Licensed Products by Company to Sublicensees or on sales made in other than an arm’s length transactions, the value of the Net Sales attributed to such transaction shall be that which would have been received in an arm’s length transaction, based on sales of like quantity and quality products on or about the time of this transaction.</w:t>
      </w:r>
    </w:p>
    <w:p>
      <w:pPr>
        <w:spacing w:after="0" w:line="126"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Page 2 of 21</w:t>
      </w:r>
    </w:p>
    <w:p>
      <w:pPr>
        <w:spacing w:after="0" w:line="158" w:lineRule="exact"/>
        <w:rPr>
          <w:sz w:val="20"/>
          <w:szCs w:val="20"/>
          <w:color w:val="auto"/>
        </w:rPr>
      </w:pPr>
    </w:p>
    <w:p>
      <w:pPr>
        <w:ind w:left="1580" w:right="1340" w:hanging="191"/>
        <w:spacing w:after="0" w:line="308" w:lineRule="auto"/>
        <w:tabs>
          <w:tab w:leader="none" w:pos="1945" w:val="left"/>
        </w:tabs>
        <w:numPr>
          <w:ilvl w:val="0"/>
          <w:numId w:val="46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556" w:name="page557"/>
    <w:bookmarkEnd w:id="5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1.9. “Patent Expenses” means all reasonable costs (including attorneys’ and application fees) incurred by University to apply for, prosecute, enforce, and maintain Licensed Patents including the costs of interferences, oppositions, re-examinations, and patent litigation. For clarity, patent litigation may result in a positive cash position from damages and therefore is subject to distribution rights of the Parties of Article 7.</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1.10. “Sublicense” means the grant by Company to a Third Party of any license, option, first right to negotiate, or other right granted under the Licensed Patents, in whole or in part. For the avoidance of doubt, any arm’s length Third Party distributor (“Distributor”) to which Company or any of its Sublicensees sells a Licensed Product for resale of Licensed Product by the Distributor, and where Distributor has no other rights other than to resell Licensed Product, and for which resale Company and Sublicensees receive no further consideration (including but not limited to royalties and/or commissions) beyond the price for the initial sale to the Distributor shall not be a considered a Sublicense.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1.11. “Sublicensee” means a Third Party holding a Sublicense under the Licensed Patents.</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1.12. “Sublicensing Consideration” means all consideration, including but not limited to upfront fees, milestone payments, maintenance fees, non cash consideration, and premiums over Fair Market Value of stock, but excluding royalties, payable by each Sublicensee and attributable to the grant of a Sublicense. For avoidance of doubt, the following are not deemed to be Sublicensing Consideration: (A) consideration paid to Company by Sublicensees for the performance of bona fide product development work, research work, clinical studies and regulatory approvals performed by Company, pursuant to and as supported by an express agreement including a performance plan and commensurate budget; (B) payments made as consideration for the issuance of equity or debt securities of Company at fair market value; and (C) contractually required reimbursement of payment amounts otherwise due under this Agreement from Company to University for Patent Expenses pursuant to Section A4 (Patent Expense Payment); and (D) to the extent a milestone under Section A3.5 (Financial Milestones) of this Agreement is met by the Sublicensee, any pass-through payment to Company that ultimately comes to University for such milestone payment.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“Territory” means worldwide.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 “Third Party” means an individual or entity other than University and Company.</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1.15. “Valid Claim” means (i) a claim in an issued and unexpired patent included in the Licensed Patents that: (a) has not been held unenforceable, unpatentable or invalid by a decision of a court or other governmental agency of competent jurisdiction, and not subject to appeal, (b) has not been admitted to be invalid or unenforceable through reissue or disclaimer or otherwise, (c) has not been lost through an interference, reexamination, or reissue proceeding; or (ii) a claim of a pending patent application included in the Licensed Patents that has not been abandoned or finally rejected without the possibility of appeal or refiling and that has been pending for less than five (5) years from its priority date.</w:t>
      </w:r>
    </w:p>
    <w:p>
      <w:pPr>
        <w:spacing w:after="0" w:line="317" w:lineRule="exact"/>
        <w:rPr>
          <w:sz w:val="20"/>
          <w:szCs w:val="20"/>
          <w:color w:val="auto"/>
        </w:rPr>
      </w:pPr>
    </w:p>
    <w:p>
      <w:pPr>
        <w:ind w:left="460" w:hanging="452"/>
        <w:spacing w:after="0"/>
        <w:tabs>
          <w:tab w:leader="none" w:pos="460"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2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 term of this Agreement will commence on the Effective Date and, unless terminated earlier as provided in Article 9 “Termination”, will expire on the date on which no Valid Claim in a Licensed Patent is pending or subsisting in any country in the Territory.</w:t>
      </w:r>
    </w:p>
    <w:p>
      <w:pPr>
        <w:spacing w:after="0" w:line="103"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Page 3 of 21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46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557" w:name="page558"/>
    <w:bookmarkEnd w:id="5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460" w:hanging="452"/>
        <w:spacing w:after="0"/>
        <w:tabs>
          <w:tab w:leader="none" w:pos="460"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Grant of License.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Company’s Rights</w:t>
      </w:r>
      <w:r>
        <w:rPr>
          <w:rFonts w:ascii="Arial" w:cs="Arial" w:eastAsia="Arial" w:hAnsi="Arial"/>
          <w:sz w:val="18"/>
          <w:szCs w:val="18"/>
          <w:color w:val="auto"/>
        </w:rPr>
        <w:t>.</w:t>
      </w:r>
    </w:p>
    <w:p>
      <w:pPr>
        <w:spacing w:after="0" w:line="117" w:lineRule="exact"/>
        <w:rPr>
          <w:sz w:val="20"/>
          <w:szCs w:val="20"/>
          <w:color w:val="auto"/>
        </w:rPr>
      </w:pPr>
    </w:p>
    <w:p>
      <w:pPr>
        <w:ind w:left="460" w:right="20" w:firstLine="438"/>
        <w:spacing w:after="0" w:line="297"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License Grant</w:t>
      </w:r>
      <w:r>
        <w:rPr>
          <w:rFonts w:ascii="Arial" w:cs="Arial" w:eastAsia="Arial" w:hAnsi="Arial"/>
          <w:sz w:val="16"/>
          <w:szCs w:val="16"/>
          <w:color w:val="auto"/>
        </w:rPr>
        <w:t>. Subject to the terms and conditions of this Agreement, University hereby grants to Company, and Company hereby accepts, an exclusive license to make, have made on Company’s behalf, use, offer to sell or sell, offer to lease or lease, import, or otherwise offer to dispose or dispose of Licensed Products in the Territory in the Field of Use. The license granted in this Agreement is limited to the inventions that are expressly claimed in the Licensed Patents. No provision of this Agreement grants Company, by implication, estoppel or otherwise, any rights other than the rights expressly granted it in this Agreement to the Licensed Patents, or to any other University-owned technology, patent applications, or patents.</w:t>
      </w:r>
    </w:p>
    <w:p>
      <w:pPr>
        <w:spacing w:after="0" w:line="50"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Sublicenses</w:t>
      </w:r>
      <w:r>
        <w:rPr>
          <w:rFonts w:ascii="Arial" w:cs="Arial" w:eastAsia="Arial" w:hAnsi="Arial"/>
          <w:sz w:val="16"/>
          <w:szCs w:val="16"/>
          <w:color w:val="auto"/>
        </w:rPr>
        <w:t>. Company has the right, exercisable from time to time during the term of this Agreement, to Sublicense its rights under this Agreement; Company may grant Sublicensees the right to grant sublicenses but not the right to enforce Licensed Patents. Company shall remain responsible for its obligations under this Agreement, and shall ensure that the Sublicense agreement: i) contains terms and conditions requesting Sublicensee to comply with the applicable terms and conditions under this Agreement (including a release substantially similar to that provided by Company in Section 10.1 “Company’s Release”; a warranty substantially similar to that provided by Company in Section 11.1 “Authority”; University disclaimers and exclusions of warranties under Subsections 11.2 “Disclaimers”; and limitations of remedies and damages substantially similar to those provided by Company in Sections 12.1 “Remedy Limitation” and 12.2 “Damage Cap”); and (ii) specifically incorporates provisions of this Agreement regarding obligations pertaining to indemnification, use of names and insurance. Company shall deliver to University a true, correct, and complete copy of any Sublicense agreement or other agreement under which Company purports or intends to grant Sublicense rights at least 20 business days prior to the execution of the agreement, along with a request for review within 20 days pursuant to this Subsection 3.1.2 “Sublicenses”. University will review the unexecuted Sublicense and will, within 20 business days of receipt of the proposed Sublicense, either provide express written approval for the Sublicense as presented or decline consent for the transaction. Such approval will not be unreasonably withheld. If approval is granted, Company will provide University copies of the Sublicense agreement within 30 days of its execution. Company shall not enter into such agreement if the terms of the agreement are inconsistent in any respect with the material terms of this Agreement. Any Sublicense made in violation of this Subsection will be void and will constitute an event of default under Subsection 9.1.1 “Breach by Company”.</w:t>
      </w:r>
    </w:p>
    <w:p>
      <w:pPr>
        <w:spacing w:after="0" w:line="16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The United States Government’s Rights</w:t>
      </w:r>
      <w:r>
        <w:rPr>
          <w:rFonts w:ascii="Arial" w:cs="Arial" w:eastAsia="Arial" w:hAnsi="Arial"/>
          <w:sz w:val="18"/>
          <w:szCs w:val="18"/>
          <w:color w:val="auto"/>
        </w:rPr>
        <w:t>. The inventions covered in the Licensed Patents arose, in whole or in part, from federally supported research and the federal government of the United States of America has certain rights in and to the Licensed Patents as those rights are described in Chapter 18, Title 35 of the United States Code and accompanying regulations, including Part 401, Chapter 37 of the Code of Federal Regulation. The Parties’ rights and obligations under this Agreement to any government-funded inventions, including the grant of license set forth in Subsection 3.1.1, are subject to the applicable terms of the aforementioned United States laws.</w:t>
      </w:r>
    </w:p>
    <w:p>
      <w:pPr>
        <w:spacing w:after="0" w:line="188"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University’s Reservation of Rights</w:t>
      </w:r>
      <w:r>
        <w:rPr>
          <w:rFonts w:ascii="Arial" w:cs="Arial" w:eastAsia="Arial" w:hAnsi="Arial"/>
          <w:sz w:val="16"/>
          <w:szCs w:val="16"/>
          <w:color w:val="auto"/>
        </w:rPr>
        <w:t>. University reserves all rights not expressly granted to Company under this Agreement. University retains for itself an irrevocable, nonexclusive license to make, have made, and use products, processes, and other subject matter covered by the Licensed</w:t>
      </w:r>
    </w:p>
    <w:p>
      <w:pPr>
        <w:spacing w:after="0" w:line="56"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Page 4 of 21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46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558" w:name="page559"/>
    <w:bookmarkEnd w:id="5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Patents in the Field of Use for academic research, medical, instructional, or any other academic purpose. Expressly included within this University reservation of rights is the right (i) to use the Licensed Patents in sponsored research or collaborative research with any Third Party but only to the extent no such Third Party is granted any rights to the Licensed Patents or to commercialize Licensed Products, (ii) to grant material transfer agreements to materials whose composition of matter is covered by the Licensed Patents where the use of such materials is restricted to academic research, medical, instructional, or any other academic purpose, and (iii) to publish any information included in the Licensed Patents or any other information that may result from University’s research.</w:t>
      </w:r>
    </w:p>
    <w:p>
      <w:pPr>
        <w:spacing w:after="0" w:line="19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Reservation of Rights for Humanitarian Purposes</w:t>
      </w:r>
      <w:r>
        <w:rPr>
          <w:rFonts w:ascii="Arial" w:cs="Arial" w:eastAsia="Arial" w:hAnsi="Arial"/>
          <w:sz w:val="16"/>
          <w:szCs w:val="16"/>
          <w:color w:val="auto"/>
        </w:rPr>
        <w:t>. Consistent with 35 U.S.C. §200 et seq., University retains the right to require Company to grant Sublicenses to responsible applicants in the Field of Use under the Licensed Patents on terms that are reasonable under the circumstances; or, if Company fails to grant a license, to grant the license itself. The exercise of these rights by University will only be in exceptional circumstances and only if University determines (i) the action is necessary to meet health or safety needs that are not reasonably satisfied by Company; or (ii) the action is necessary to meet requirements for public use specified by federal regulations, and such requirements are not reasonably satisfied by Company. University shall not require the granting of a sublicense, and shall not grant the license itself, unless the responsible applicant has first negotiated in good faith with Company.</w:t>
      </w:r>
    </w:p>
    <w:p>
      <w:pPr>
        <w:spacing w:after="0" w:line="309" w:lineRule="exact"/>
        <w:rPr>
          <w:sz w:val="20"/>
          <w:szCs w:val="20"/>
          <w:color w:val="auto"/>
        </w:rPr>
      </w:pPr>
    </w:p>
    <w:p>
      <w:pPr>
        <w:ind w:left="460" w:hanging="452"/>
        <w:spacing w:after="0"/>
        <w:tabs>
          <w:tab w:leader="none" w:pos="460"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Applications and Patents.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Pre-Agreement Patent Filings and Licensed Product Sales</w:t>
      </w:r>
      <w:r>
        <w:rPr>
          <w:rFonts w:ascii="Arial" w:cs="Arial" w:eastAsia="Arial" w:hAnsi="Arial"/>
          <w:sz w:val="18"/>
          <w:szCs w:val="18"/>
          <w:color w:val="auto"/>
        </w:rPr>
        <w:t>. Company has reviewed the Licensed Patents and represents that it is not aware of any basis to challenge or dispute the inventorship, validity, or enforceability of any of the claims made in the Licensed Patents in existence as of the Effective Date. Company further represents that, as of the Effective Date, it has not and does not manufacture, have manufactured, use, offer to sell or sell, offer to lease or lease, import, or otherwise offer to dispose or dispose of (a) any product or good that infringes (including under the doctrine of equivalents) a claim in any Licensed Patent, or (b) any product or good that is made using a process or machine that infringes (including under the doctrine of equivalents) a claim in a Licensed Patent.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Patent Application Filings during the Term of this Agreement</w:t>
      </w:r>
      <w:r>
        <w:rPr>
          <w:rFonts w:ascii="Arial" w:cs="Arial" w:eastAsia="Arial" w:hAnsi="Arial"/>
          <w:sz w:val="18"/>
          <w:szCs w:val="18"/>
          <w:color w:val="auto"/>
        </w:rPr>
        <w:t>.</w:t>
      </w:r>
    </w:p>
    <w:p>
      <w:pPr>
        <w:spacing w:after="0" w:line="117" w:lineRule="exact"/>
        <w:rPr>
          <w:sz w:val="20"/>
          <w:szCs w:val="20"/>
          <w:color w:val="auto"/>
        </w:rPr>
      </w:pPr>
    </w:p>
    <w:p>
      <w:pPr>
        <w:ind w:left="460" w:right="520" w:firstLine="438"/>
        <w:spacing w:after="0" w:line="312"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University Prosecutes Patents</w:t>
      </w:r>
      <w:r>
        <w:rPr>
          <w:rFonts w:ascii="Arial" w:cs="Arial" w:eastAsia="Arial" w:hAnsi="Arial"/>
          <w:sz w:val="16"/>
          <w:szCs w:val="16"/>
          <w:color w:val="auto"/>
        </w:rPr>
        <w:t>. University retains the sole and exclusive right to file or otherwise prosecute Licensed Patents, in consultation with the Company pursuant to Section 4.2.2. As set out in Section A4 “Patent Cost Reimbursement” of Exhibit A “Exclusive Patent License Schedule”, Company shall pay, or reimburse University for paying, all Patent Expenses incurred prior to, on, or after the Effective Date.</w:t>
      </w:r>
    </w:p>
    <w:p>
      <w:pPr>
        <w:spacing w:after="0" w:line="39" w:lineRule="exact"/>
        <w:rPr>
          <w:sz w:val="20"/>
          <w:szCs w:val="20"/>
          <w:color w:val="auto"/>
        </w:rPr>
      </w:pPr>
    </w:p>
    <w:p>
      <w:pPr>
        <w:ind w:left="460" w:right="20" w:firstLine="438"/>
        <w:spacing w:after="0" w:line="272"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Patent Prosecution Decisions</w:t>
      </w:r>
      <w:r>
        <w:rPr>
          <w:rFonts w:ascii="Arial" w:cs="Arial" w:eastAsia="Arial" w:hAnsi="Arial"/>
          <w:sz w:val="17"/>
          <w:szCs w:val="17"/>
          <w:color w:val="auto"/>
        </w:rPr>
        <w:t>. University, in consultation with Company, shall determine in which countries University will file, or cause to be filed, Licensed Patents. University shall request patent counsel to inform Company of the status of the prosecution of the Licensed Patents, including delivering to Company written and electronic communications from all patent offices and foreign counsel, and University shall consult with the Company on the prosecution of the Licensed Patents. Once Company begins reimbursing University for Patent Expenses pursuant to Section A4 “Patent Cost Reimbursement” of Exhibit A “Exclusive Patent License Schedule”, Company’s suggestions and requests regarding patent prosecution will be reasonably considered and included unless detrimental to University’s intellectual property rights. In no event shall Company file a patent application where all of the inventors are under University policy obligated to</w:t>
      </w:r>
    </w:p>
    <w:p>
      <w:pPr>
        <w:spacing w:after="0" w:line="110"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Page 5 of 21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471"/>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559" w:name="page560"/>
    <w:bookmarkEnd w:id="5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assign their rights in such patent application to University. In no event shall Company file a patent application where one or more, but not all, of the inventors are under University policy obligated to assign their rights in such patent application to University without University’s prior consent which shall not be unreasonably withheld or delayed.</w:t>
      </w:r>
    </w:p>
    <w:p>
      <w:pPr>
        <w:spacing w:after="0" w:line="73" w:lineRule="exact"/>
        <w:rPr>
          <w:sz w:val="20"/>
          <w:szCs w:val="20"/>
          <w:color w:val="auto"/>
        </w:rPr>
      </w:pPr>
    </w:p>
    <w:p>
      <w:pPr>
        <w:jc w:val="both"/>
        <w:ind w:left="460" w:right="100" w:firstLine="438"/>
        <w:spacing w:after="0" w:line="264"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University’s Independent Patent Filings</w:t>
      </w:r>
      <w:r>
        <w:rPr>
          <w:rFonts w:ascii="Arial" w:cs="Arial" w:eastAsia="Arial" w:hAnsi="Arial"/>
          <w:sz w:val="18"/>
          <w:szCs w:val="18"/>
          <w:color w:val="auto"/>
        </w:rPr>
        <w:t>. At its sole expense, University may file, prosecute or maintain Licensed Patents in any country in which Company has not requested University to file, prosecute or maintain such Licensed Patents in accordance with this Article 4 “Applications and Patents” and those applications and resultant patents will not be subject to this Agreement.</w:t>
      </w:r>
    </w:p>
    <w:p>
      <w:pPr>
        <w:spacing w:after="0" w:line="73" w:lineRule="exact"/>
        <w:rPr>
          <w:sz w:val="20"/>
          <w:szCs w:val="20"/>
          <w:color w:val="auto"/>
        </w:rPr>
      </w:pPr>
    </w:p>
    <w:p>
      <w:pPr>
        <w:ind w:left="460" w:right="780" w:firstLine="438"/>
        <w:spacing w:after="0" w:line="277"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No Limitation on University’s Right to Prosecute Patents</w:t>
      </w:r>
      <w:r>
        <w:rPr>
          <w:rFonts w:ascii="Arial" w:cs="Arial" w:eastAsia="Arial" w:hAnsi="Arial"/>
          <w:sz w:val="18"/>
          <w:szCs w:val="18"/>
          <w:color w:val="auto"/>
        </w:rPr>
        <w:t>. No provision of this Agreement limits, conditions, or otherwise affects University’s right to prosecute Licensed Patents in any country, except as expressly provided herein.</w:t>
      </w:r>
    </w:p>
    <w:p>
      <w:pPr>
        <w:spacing w:after="0" w:line="62" w:lineRule="exact"/>
        <w:rPr>
          <w:sz w:val="20"/>
          <w:szCs w:val="20"/>
          <w:color w:val="auto"/>
        </w:rPr>
      </w:pPr>
    </w:p>
    <w:p>
      <w:pPr>
        <w:jc w:val="both"/>
        <w:ind w:right="640" w:firstLine="456"/>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Maintenance of Licensed Patents</w:t>
      </w:r>
      <w:r>
        <w:rPr>
          <w:rFonts w:ascii="Arial" w:cs="Arial" w:eastAsia="Arial" w:hAnsi="Arial"/>
          <w:sz w:val="18"/>
          <w:szCs w:val="18"/>
          <w:color w:val="auto"/>
        </w:rPr>
        <w:t>. Subject to Company’s compliance with Section A4 “Patent Cost Reimbursement” of attached Exhibit A “Exclusive Patent License Schedule”, University shall take all commercially reasonable steps to cause each Licensed Patent to remain or be valid and subsisting.</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Ownership of the Licensed Patents</w:t>
      </w:r>
      <w:r>
        <w:rPr>
          <w:rFonts w:ascii="Arial" w:cs="Arial" w:eastAsia="Arial" w:hAnsi="Arial"/>
          <w:sz w:val="18"/>
          <w:szCs w:val="18"/>
          <w:color w:val="auto"/>
        </w:rPr>
        <w:t>. No provision of this Agreement grants Company any rights, titles, or interests (except for the grant of license in Subsection 3.1.1 “License Grant” of this Agreement) in the Licensed Patents, notwithstanding Company’s payment of all or any portion of the patent prosecution, maintenance, and related costs.</w:t>
      </w:r>
    </w:p>
    <w:p>
      <w:pPr>
        <w:spacing w:after="0" w:line="326" w:lineRule="exact"/>
        <w:rPr>
          <w:sz w:val="20"/>
          <w:szCs w:val="20"/>
          <w:color w:val="auto"/>
        </w:rPr>
      </w:pPr>
    </w:p>
    <w:p>
      <w:pPr>
        <w:ind w:left="460" w:hanging="452"/>
        <w:spacing w:after="0"/>
        <w:tabs>
          <w:tab w:leader="none" w:pos="46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Commercialization and Performance Milestones</w:t>
      </w:r>
      <w:r>
        <w:rPr>
          <w:rFonts w:ascii="Arial" w:cs="Arial" w:eastAsia="Arial" w:hAnsi="Arial"/>
          <w:sz w:val="18"/>
          <w:szCs w:val="18"/>
          <w:color w:val="auto"/>
        </w:rPr>
        <w:t>. Company shall use its commercially reasonable efforts, consistent with sound and reasonable business practices and judgment, to commercialize the inventions covered by the Licensed Patents and to make and sell Licensed Products as soon as practicable and to maximize sales thereof. Unless an extension is provided due to the occurrence of an Event of Force Majeure during the term of this Agreement, Company shall perform, or shall cause to happen or be performed, the performance milestones described in Section A2 “Performance Milestones” of attached Exhibit A “Exclusive Patent License Schedule”.</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Covenants Regarding the Manufacture of Licensed Products</w:t>
      </w:r>
      <w:r>
        <w:rPr>
          <w:rFonts w:ascii="Arial" w:cs="Arial" w:eastAsia="Arial" w:hAnsi="Arial"/>
          <w:sz w:val="18"/>
          <w:szCs w:val="18"/>
          <w:color w:val="auto"/>
        </w:rPr>
        <w:t>. Company hereby covenants and agrees that the manufacture, use, sale, or transfer of Licensed Products will comply with all applicable federal and state laws, including all federal export laws and regulations. Company hereby further covenants and agrees that, to the extent required by 35 United States Code Section 204, it shall, and it shall cause each Sublicensee, to substantially manufacture in the United States of America all products embodying or produced through the use of an invention that is subject to the rights of the federal government of the United States of America.</w:t>
      </w:r>
    </w:p>
    <w:p>
      <w:pPr>
        <w:spacing w:after="0" w:line="18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Commercialization Reports</w:t>
      </w:r>
      <w:r>
        <w:rPr>
          <w:rFonts w:ascii="Arial" w:cs="Arial" w:eastAsia="Arial" w:hAnsi="Arial"/>
          <w:sz w:val="16"/>
          <w:szCs w:val="16"/>
          <w:color w:val="auto"/>
        </w:rPr>
        <w:t>. Within 30 days of the anniversary of the Effective Date of each year during the term of this Agreement, Company shall deliver to University written reports of Company’s and Sublicensees’ efforts and plans to commercialize the inventions covered by the Licensed Patents and to make, have made on its behalf, use, offer to sell or sell, offer to lease or lease, import, or otherwise offer to dispose or dispose of Licensed Products. Company shall not be obligated to prepare such commercialization reports in years Company or Sublicensee delivers to University a written sales</w:t>
      </w:r>
    </w:p>
    <w:p>
      <w:pPr>
        <w:spacing w:after="0" w:line="87"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Page 6 of 21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473"/>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560" w:name="page561"/>
    <w:bookmarkEnd w:id="5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report under Section 6.4 “Sales Reports” and will resume if sales of Licensed Products ceases. In relation to each of the performance milestones described in Section A2 “Performance Milestones” of attached Exhibit A “Exclusive Patent License Schedule”, each commercialization report will include sufficient information to demonstrate compliance of those performance milestones and will set out timeframes and plans for those which have not yet been met.</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Use of University’s Name and Trademarks or the Names of University Faculty, Staff, or Students</w:t>
      </w:r>
      <w:r>
        <w:rPr>
          <w:rFonts w:ascii="Arial" w:cs="Arial" w:eastAsia="Arial" w:hAnsi="Arial"/>
          <w:sz w:val="18"/>
          <w:szCs w:val="18"/>
          <w:color w:val="auto"/>
        </w:rPr>
        <w:t>. No provision of this Agreement grants Company or Sublicensee any right or license to use the name or trademarks of University or the names or identities of any member of the faculty, staff, or student body of University. Company shall not use, and shall not permit a Sublicensee to use, any such trademarks, names, or identities without University’s and, as the case may be, such member’s prior written approval.</w:t>
      </w:r>
    </w:p>
    <w:p>
      <w:pPr>
        <w:spacing w:after="0" w:line="331" w:lineRule="exact"/>
        <w:rPr>
          <w:sz w:val="20"/>
          <w:szCs w:val="20"/>
          <w:color w:val="auto"/>
        </w:rPr>
      </w:pPr>
    </w:p>
    <w:p>
      <w:pPr>
        <w:ind w:left="460" w:hanging="452"/>
        <w:spacing w:after="0"/>
        <w:tabs>
          <w:tab w:leader="none" w:pos="460" w:val="left"/>
        </w:tabs>
        <w:numPr>
          <w:ilvl w:val="0"/>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t>Payments, Reimbursements, Reports, and Records.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Payments</w:t>
      </w:r>
      <w:r>
        <w:rPr>
          <w:rFonts w:ascii="Arial" w:cs="Arial" w:eastAsia="Arial" w:hAnsi="Arial"/>
          <w:sz w:val="18"/>
          <w:szCs w:val="18"/>
          <w:color w:val="auto"/>
        </w:rPr>
        <w:t>. Company shall deliver to University the payments specified in Sections A3 “Payments” and A4 “Patent Cost Reimbursement” of attached Exhibit A “Exclusive Patent License Schedule”. Company shall make such payments by check, wire transfer, or any other mutually agreed-upon and generally accepted method of payment. All checks to University will be made payable to “University of Washington” and will be mailed to the address specified in Article 21 “Notices” of this Agreement and will include the University agreement number 37475A. Upon request, University shall deliver to Company written wire transfer instructions.</w:t>
      </w:r>
    </w:p>
    <w:p>
      <w:pPr>
        <w:spacing w:after="0" w:line="18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Currency and Checks</w:t>
      </w:r>
      <w:r>
        <w:rPr>
          <w:rFonts w:ascii="Arial" w:cs="Arial" w:eastAsia="Arial" w:hAnsi="Arial"/>
          <w:sz w:val="16"/>
          <w:szCs w:val="16"/>
          <w:color w:val="auto"/>
        </w:rPr>
        <w:t xml:space="preserve">. All computations and payments made under this Agreement will be in United States dollars. The exchange rate for the currency into dollars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as the New York foreign exchange mid-range rate on the last business day of the month in which the transaction was entered into will be used for determining the dollar value of transactions conducted in non-United States dollar currencies.</w:t>
      </w:r>
    </w:p>
    <w:p>
      <w:pPr>
        <w:spacing w:after="0" w:line="14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Late Payments</w:t>
      </w:r>
      <w:r>
        <w:rPr>
          <w:rFonts w:ascii="Arial" w:cs="Arial" w:eastAsia="Arial" w:hAnsi="Arial"/>
          <w:sz w:val="16"/>
          <w:szCs w:val="16"/>
          <w:color w:val="auto"/>
        </w:rPr>
        <w:t xml:space="preserve">. University may charge Company a late fee for all amounts owed to University that are overdue by 30 days or more. The late fee will be computed as the United States prime rate plus [XXX], as set forth by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(Western edition) of the outstanding, unpaid balance. The payment of a late fee will not foreclose or limit University from exercising any other rights it may have as a consequence of the lateness of any payment.</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Sales Reports</w:t>
      </w:r>
      <w:r>
        <w:rPr>
          <w:rFonts w:ascii="Arial" w:cs="Arial" w:eastAsia="Arial" w:hAnsi="Arial"/>
          <w:sz w:val="18"/>
          <w:szCs w:val="18"/>
          <w:color w:val="auto"/>
        </w:rPr>
        <w:t>. Within 30 days after the last day of each calendar quarter commencing the calendar quarter after Company effects its first commercial sale of a Licensed Product and during the term of this Agreement, Company shall deliver to University a written sales report (a copy of the form of which is attached as Exhibit B “Royalty Report Form”) recounting the number and Net Sales (expressed in U. S. dollars) of all sales, leases, or other dispositions of Licensed Products, whether made by Company or a Sublicensee, during such calendar quarter. Included in each sales report will be the name of each Distributor, and the number and type of Licensed Product sold, leased, or otherwise provided to such Distributor. Company shall deliver such written report to University even if Company is not required hereunder to pay to University a payment for sales, leases, or other dispositions of Licensed Products during the calendar quarter.</w:t>
      </w:r>
    </w:p>
    <w:p>
      <w:pPr>
        <w:spacing w:after="0" w:line="122"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Page 7 of 21</w:t>
      </w:r>
    </w:p>
    <w:p>
      <w:pPr>
        <w:spacing w:after="0" w:line="158" w:lineRule="exact"/>
        <w:rPr>
          <w:sz w:val="20"/>
          <w:szCs w:val="20"/>
          <w:color w:val="auto"/>
        </w:rPr>
      </w:pPr>
    </w:p>
    <w:p>
      <w:pPr>
        <w:ind w:left="1580" w:right="1340" w:hanging="191"/>
        <w:spacing w:after="0" w:line="308" w:lineRule="auto"/>
        <w:tabs>
          <w:tab w:leader="none" w:pos="1945" w:val="left"/>
        </w:tabs>
        <w:numPr>
          <w:ilvl w:val="0"/>
          <w:numId w:val="47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80"/>
          </w:cols>
          <w:pgMar w:left="240" w:top="269" w:right="279" w:bottom="1440" w:gutter="0" w:footer="0" w:header="0"/>
        </w:sectPr>
      </w:pPr>
    </w:p>
    <w:bookmarkStart w:id="561" w:name="page562"/>
    <w:bookmarkEnd w:id="5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Records Retention and Audit Rights</w:t>
      </w:r>
      <w:r>
        <w:rPr>
          <w:rFonts w:ascii="Arial" w:cs="Arial" w:eastAsia="Arial" w:hAnsi="Arial"/>
          <w:sz w:val="18"/>
          <w:szCs w:val="18"/>
          <w:color w:val="auto"/>
        </w:rPr>
        <w:t>.</w:t>
      </w:r>
    </w:p>
    <w:p>
      <w:pPr>
        <w:spacing w:after="0" w:line="117" w:lineRule="exact"/>
        <w:rPr>
          <w:sz w:val="20"/>
          <w:szCs w:val="20"/>
          <w:color w:val="auto"/>
        </w:rPr>
      </w:pPr>
    </w:p>
    <w:p>
      <w:pPr>
        <w:ind w:left="460" w:right="240" w:firstLine="438"/>
        <w:spacing w:after="0" w:line="264" w:lineRule="auto"/>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u w:val="single" w:color="auto"/>
          <w:color w:val="auto"/>
        </w:rPr>
        <w:t>Records Retained</w:t>
      </w:r>
      <w:r>
        <w:rPr>
          <w:rFonts w:ascii="Arial" w:cs="Arial" w:eastAsia="Arial" w:hAnsi="Arial"/>
          <w:sz w:val="18"/>
          <w:szCs w:val="18"/>
          <w:color w:val="auto"/>
        </w:rPr>
        <w:t>. Throughout the term of this Agreement and for five (5) years thereafter, Company, at its expense, shall keep and maintain and shall cause each Sublicensee to keep and maintain complete and accurate records of all sales, leases, and other dispositions of Licensed Products during the term of this Agreement and all other records related to this Agreement.</w:t>
      </w:r>
    </w:p>
    <w:p>
      <w:pPr>
        <w:spacing w:after="0" w:line="73"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color w:val="auto"/>
        </w:rPr>
        <w:t xml:space="preserve">6.5.2. </w:t>
      </w:r>
      <w:r>
        <w:rPr>
          <w:rFonts w:ascii="Arial" w:cs="Arial" w:eastAsia="Arial" w:hAnsi="Arial"/>
          <w:sz w:val="18"/>
          <w:szCs w:val="18"/>
          <w:u w:val="single" w:color="auto"/>
          <w:color w:val="auto"/>
        </w:rPr>
        <w:t>Auditing Rights</w:t>
      </w:r>
      <w:r>
        <w:rPr>
          <w:rFonts w:ascii="Arial" w:cs="Arial" w:eastAsia="Arial" w:hAnsi="Arial"/>
          <w:sz w:val="18"/>
          <w:szCs w:val="18"/>
          <w:color w:val="auto"/>
        </w:rPr>
        <w:t>. Company shall permit, at the request of University, one or more accountants selected exclusively by the University (“Accountants”) to have access to Company’s records and books of account pertaining to this Agreement. Accountants’ access will be during ordinary working hours to audit Company’s records for any payment period ending prior to such request, the correctness of any report or payment made under this Agreement, or to obtain information as to the payments due for any period in the case of failure of Company to report or make payment pursuant to the terms of this Agreement or to verify Company’s compliance with its payment obligations hereunder. Company shall cause each Sublicensee that manufactures, sells, leases, or otherwise disposes of Licensed Products on behalf of Company to grant University the right to inspect and audit Sublicensee’s records.</w:t>
      </w:r>
    </w:p>
    <w:p>
      <w:pPr>
        <w:spacing w:after="0" w:line="81" w:lineRule="exact"/>
        <w:rPr>
          <w:sz w:val="20"/>
          <w:szCs w:val="20"/>
          <w:color w:val="auto"/>
        </w:rPr>
      </w:pPr>
    </w:p>
    <w:p>
      <w:pPr>
        <w:jc w:val="both"/>
        <w:ind w:left="460" w:firstLine="438"/>
        <w:spacing w:after="0" w:line="264" w:lineRule="auto"/>
        <w:rPr>
          <w:sz w:val="20"/>
          <w:szCs w:val="20"/>
          <w:color w:val="auto"/>
        </w:rPr>
      </w:pPr>
      <w:r>
        <w:rPr>
          <w:rFonts w:ascii="Arial" w:cs="Arial" w:eastAsia="Arial" w:hAnsi="Arial"/>
          <w:sz w:val="18"/>
          <w:szCs w:val="18"/>
          <w:color w:val="auto"/>
        </w:rPr>
        <w:t xml:space="preserve">6.5.3. </w:t>
      </w:r>
      <w:r>
        <w:rPr>
          <w:rFonts w:ascii="Arial" w:cs="Arial" w:eastAsia="Arial" w:hAnsi="Arial"/>
          <w:sz w:val="18"/>
          <w:szCs w:val="18"/>
          <w:u w:val="single" w:color="auto"/>
          <w:color w:val="auto"/>
        </w:rPr>
        <w:t>Scope of Disclosure</w:t>
      </w:r>
      <w:r>
        <w:rPr>
          <w:rFonts w:ascii="Arial" w:cs="Arial" w:eastAsia="Arial" w:hAnsi="Arial"/>
          <w:sz w:val="18"/>
          <w:szCs w:val="18"/>
          <w:color w:val="auto"/>
        </w:rPr>
        <w:t>. Accountants shall not disclose to University any information relating to the business of Company except that which is necessary to inform University of: the accuracy or inaccuracy of Company’s reports and payments; compliance or noncompliance by Company with the terms and conditions of this Agreement; and the extent of any inaccuracy or noncompliance.</w:t>
      </w:r>
    </w:p>
    <w:p>
      <w:pPr>
        <w:spacing w:after="0" w:line="73" w:lineRule="exact"/>
        <w:rPr>
          <w:sz w:val="20"/>
          <w:szCs w:val="20"/>
          <w:color w:val="auto"/>
        </w:rPr>
      </w:pPr>
    </w:p>
    <w:p>
      <w:pPr>
        <w:ind w:left="460" w:right="100" w:firstLine="438"/>
        <w:spacing w:after="0" w:line="264" w:lineRule="auto"/>
        <w:rPr>
          <w:sz w:val="20"/>
          <w:szCs w:val="20"/>
          <w:color w:val="auto"/>
        </w:rPr>
      </w:pPr>
      <w:r>
        <w:rPr>
          <w:rFonts w:ascii="Arial" w:cs="Arial" w:eastAsia="Arial" w:hAnsi="Arial"/>
          <w:sz w:val="18"/>
          <w:szCs w:val="18"/>
          <w:color w:val="auto"/>
        </w:rPr>
        <w:t xml:space="preserve">6.5.4. </w:t>
      </w:r>
      <w:r>
        <w:rPr>
          <w:rFonts w:ascii="Arial" w:cs="Arial" w:eastAsia="Arial" w:hAnsi="Arial"/>
          <w:sz w:val="18"/>
          <w:szCs w:val="18"/>
          <w:u w:val="single" w:color="auto"/>
          <w:color w:val="auto"/>
        </w:rPr>
        <w:t>Accountant Copies</w:t>
      </w:r>
      <w:r>
        <w:rPr>
          <w:rFonts w:ascii="Arial" w:cs="Arial" w:eastAsia="Arial" w:hAnsi="Arial"/>
          <w:sz w:val="18"/>
          <w:szCs w:val="18"/>
          <w:color w:val="auto"/>
        </w:rPr>
        <w:t>. If Accountants believe there is an inaccuracy in any of Company’s payments or noncompliance by Company with any terms and conditions, Accountants shall have the right to make and retain copies (including photocopies) of any pertinent portions of the records and books of account.</w:t>
      </w:r>
    </w:p>
    <w:p>
      <w:pPr>
        <w:spacing w:after="0" w:line="73" w:lineRule="exact"/>
        <w:rPr>
          <w:sz w:val="20"/>
          <w:szCs w:val="20"/>
          <w:color w:val="auto"/>
        </w:rPr>
      </w:pPr>
    </w:p>
    <w:p>
      <w:pPr>
        <w:jc w:val="both"/>
        <w:ind w:left="460" w:right="160" w:firstLine="438"/>
        <w:spacing w:after="0" w:line="342" w:lineRule="auto"/>
        <w:rPr>
          <w:sz w:val="20"/>
          <w:szCs w:val="20"/>
          <w:color w:val="auto"/>
        </w:rPr>
      </w:pPr>
      <w:r>
        <w:rPr>
          <w:rFonts w:ascii="Arial" w:cs="Arial" w:eastAsia="Arial" w:hAnsi="Arial"/>
          <w:sz w:val="16"/>
          <w:szCs w:val="16"/>
          <w:color w:val="auto"/>
        </w:rPr>
        <w:t xml:space="preserve">6.5.5. </w:t>
      </w:r>
      <w:r>
        <w:rPr>
          <w:rFonts w:ascii="Arial" w:cs="Arial" w:eastAsia="Arial" w:hAnsi="Arial"/>
          <w:sz w:val="16"/>
          <w:szCs w:val="16"/>
          <w:u w:val="single" w:color="auto"/>
          <w:color w:val="auto"/>
        </w:rPr>
        <w:t>Costs of Audit</w:t>
      </w:r>
      <w:r>
        <w:rPr>
          <w:rFonts w:ascii="Arial" w:cs="Arial" w:eastAsia="Arial" w:hAnsi="Arial"/>
          <w:sz w:val="16"/>
          <w:szCs w:val="16"/>
          <w:color w:val="auto"/>
        </w:rPr>
        <w:t>. If Company’s royalties calculated for any calendar year quarterly period are under-reported by more than 5%, the costs of any audit and review initiated by University will be borne by Company; otherwise, University shall bear the costs of any audit initiated by University.</w:t>
      </w:r>
    </w:p>
    <w:p>
      <w:pPr>
        <w:spacing w:after="0" w:line="268" w:lineRule="exact"/>
        <w:rPr>
          <w:sz w:val="20"/>
          <w:szCs w:val="20"/>
          <w:color w:val="auto"/>
        </w:rPr>
      </w:pPr>
    </w:p>
    <w:p>
      <w:pPr>
        <w:ind w:left="460" w:hanging="452"/>
        <w:spacing w:after="0"/>
        <w:tabs>
          <w:tab w:leader="none" w:pos="46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Infringement.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Third-Party Infringement of a Licensed Patent</w:t>
      </w:r>
      <w:r>
        <w:rPr>
          <w:rFonts w:ascii="Arial" w:cs="Arial" w:eastAsia="Arial" w:hAnsi="Arial"/>
          <w:sz w:val="18"/>
          <w:szCs w:val="18"/>
          <w:color w:val="auto"/>
        </w:rPr>
        <w:t>.</w:t>
      </w:r>
    </w:p>
    <w:p>
      <w:pPr>
        <w:spacing w:after="0" w:line="117" w:lineRule="exact"/>
        <w:rPr>
          <w:sz w:val="20"/>
          <w:szCs w:val="20"/>
          <w:color w:val="auto"/>
        </w:rPr>
      </w:pPr>
    </w:p>
    <w:p>
      <w:pPr>
        <w:ind w:left="460" w:right="80" w:firstLine="438"/>
        <w:spacing w:after="0" w:line="286"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Notice of Third Party’s Infringement</w:t>
      </w:r>
      <w:r>
        <w:rPr>
          <w:rFonts w:ascii="Arial" w:cs="Arial" w:eastAsia="Arial" w:hAnsi="Arial"/>
          <w:sz w:val="17"/>
          <w:szCs w:val="17"/>
          <w:color w:val="auto"/>
        </w:rPr>
        <w:t>. If a Party learns of substantial, credible evidence that a Third Party is infringing a Licensed Patent in the Field of Use in the Territory, that Party will promptly deliver written notice of the possible infringement to the other Party, describing in detail all relevant information to which that Party has access or control suggesting infringement of the Licensed Patent.</w:t>
      </w:r>
    </w:p>
    <w:p>
      <w:pPr>
        <w:spacing w:after="0" w:line="57" w:lineRule="exact"/>
        <w:rPr>
          <w:sz w:val="20"/>
          <w:szCs w:val="20"/>
          <w:color w:val="auto"/>
        </w:rPr>
      </w:pPr>
    </w:p>
    <w:p>
      <w:pPr>
        <w:ind w:left="460" w:right="100" w:firstLine="438"/>
        <w:spacing w:after="0" w:line="255"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Company’s First Right to Settle</w:t>
      </w:r>
      <w:r>
        <w:rPr>
          <w:rFonts w:ascii="Arial" w:cs="Arial" w:eastAsia="Arial" w:hAnsi="Arial"/>
          <w:sz w:val="18"/>
          <w:szCs w:val="18"/>
          <w:color w:val="auto"/>
        </w:rPr>
        <w:t>. During the term of this Agreement, Company has the first right to respond to, defend, and prosecute in its own name and at its own expense actions or suits relating to Licensed Patents. To enjoy said first right, Company must initiate bona fide action to respond to any alleged infringement within 90 days of learning of said infringement. If required by law, University agrees to be joined as a party plaintiff; provided that Company must notify University at least ten (10) days before filing suit and provided that Company shall reimburse University for all reasonable legal fees and costs incident thereto. Company shall not settle any suits or actions in any manner relating to the Licensed Patents without obtaining the prior written consent of University.</w:t>
      </w:r>
    </w:p>
    <w:p>
      <w:pPr>
        <w:spacing w:after="0" w:line="126"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Page 8 of 21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47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562" w:name="page563"/>
    <w:bookmarkEnd w:id="5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1500" w:right="20"/>
        <w:spacing w:after="0" w:line="254" w:lineRule="auto"/>
        <w:rPr>
          <w:sz w:val="20"/>
          <w:szCs w:val="20"/>
          <w:color w:val="auto"/>
        </w:rPr>
      </w:pPr>
      <w:r>
        <w:rPr>
          <w:rFonts w:ascii="Arial" w:cs="Arial" w:eastAsia="Arial" w:hAnsi="Arial"/>
          <w:sz w:val="18"/>
          <w:szCs w:val="18"/>
          <w:color w:val="auto"/>
        </w:rPr>
        <w:t xml:space="preserve">7.1.2.1. </w:t>
      </w:r>
      <w:r>
        <w:rPr>
          <w:rFonts w:ascii="Arial" w:cs="Arial" w:eastAsia="Arial" w:hAnsi="Arial"/>
          <w:sz w:val="18"/>
          <w:szCs w:val="18"/>
          <w:u w:val="single" w:color="auto"/>
          <w:color w:val="auto"/>
        </w:rPr>
        <w:t>Distribution of Proceeds from Settlement</w:t>
      </w:r>
      <w:r>
        <w:rPr>
          <w:rFonts w:ascii="Arial" w:cs="Arial" w:eastAsia="Arial" w:hAnsi="Arial"/>
          <w:sz w:val="18"/>
          <w:szCs w:val="18"/>
          <w:color w:val="auto"/>
        </w:rPr>
        <w:t>. Out of any proceeds from any settlement for infringement of Licensed Patents, Company is allowed to first recover its reasonable attorney’s fees and other out-of-pocket expenses directly related to any action, suit, or settlement for infringement of Licensed Patents. Any remaining proceeds will be distributed as follows: Company shall retain [XXX] and shall distribute [XXX] to University. Any payment by an alleged infringer that constitutes consideration for Net Sales of infringing product, however, will be handled according to the payment provisions of Article 6 “Payments, Reimbursements, Reports, and Records” and Section A3.3 “Running Royalty Payments” of Exhibit A “Exclusive Patent License Schedule”. Any payment by an alleged infringer that constitutes consideration for the grant of a Sublicense will be handled according to Section A3.7 “Sublicensing Consideration” of Exhibit A “Exclusive Patent License Schedule”.</w:t>
      </w:r>
    </w:p>
    <w:p>
      <w:pPr>
        <w:spacing w:after="0" w:line="84" w:lineRule="exact"/>
        <w:rPr>
          <w:sz w:val="20"/>
          <w:szCs w:val="20"/>
          <w:color w:val="auto"/>
        </w:rPr>
      </w:pPr>
    </w:p>
    <w:p>
      <w:pPr>
        <w:ind w:left="1500" w:right="160"/>
        <w:spacing w:after="0" w:line="264" w:lineRule="auto"/>
        <w:rPr>
          <w:sz w:val="20"/>
          <w:szCs w:val="20"/>
          <w:color w:val="auto"/>
        </w:rPr>
      </w:pPr>
      <w:r>
        <w:rPr>
          <w:rFonts w:ascii="Arial" w:cs="Arial" w:eastAsia="Arial" w:hAnsi="Arial"/>
          <w:sz w:val="18"/>
          <w:szCs w:val="18"/>
          <w:color w:val="auto"/>
        </w:rPr>
        <w:t xml:space="preserve">7.1.2.2. </w:t>
      </w:r>
      <w:r>
        <w:rPr>
          <w:rFonts w:ascii="Arial" w:cs="Arial" w:eastAsia="Arial" w:hAnsi="Arial"/>
          <w:sz w:val="18"/>
          <w:szCs w:val="18"/>
          <w:u w:val="single" w:color="auto"/>
          <w:color w:val="auto"/>
        </w:rPr>
        <w:t>Limitation on Infringement Actions</w:t>
      </w:r>
      <w:r>
        <w:rPr>
          <w:rFonts w:ascii="Arial" w:cs="Arial" w:eastAsia="Arial" w:hAnsi="Arial"/>
          <w:sz w:val="18"/>
          <w:szCs w:val="18"/>
          <w:color w:val="auto"/>
        </w:rPr>
        <w:t>. Excluded from the rights granted herein is the right to bring an infringement action against any inventor or their present or future not-for-profit employers, for infringement of the License Patents in carrying out not-for-profit research.</w:t>
      </w:r>
    </w:p>
    <w:p>
      <w:pPr>
        <w:spacing w:after="0" w:line="73" w:lineRule="exact"/>
        <w:rPr>
          <w:sz w:val="20"/>
          <w:szCs w:val="20"/>
          <w:color w:val="auto"/>
        </w:rPr>
      </w:pPr>
    </w:p>
    <w:p>
      <w:pPr>
        <w:ind w:left="460" w:right="40" w:firstLine="438"/>
        <w:spacing w:after="0" w:line="289"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University Right to Institute Action</w:t>
      </w:r>
      <w:r>
        <w:rPr>
          <w:rFonts w:ascii="Arial" w:cs="Arial" w:eastAsia="Arial" w:hAnsi="Arial"/>
          <w:sz w:val="16"/>
          <w:szCs w:val="16"/>
          <w:color w:val="auto"/>
        </w:rPr>
        <w:t>. If Company fails, within 90 days of learning of an alleged infringement, to secure cessation of the infringement, institute suit against the infringer, or to provide to University satisfactory evidence that Company is engaged in bona fide negotiations for the acceptance by infringer of a Sublicense in and to relevant patents in Licensed Patents for the Field of Use, then University may, upon written notice to Company, assume full right and responsibility to secure cessation of the infringement, institute suit against the infringer, or secure acceptance of a Sublicense by Company from the alleged infringer in and to relevant patents in Licensed Patents. Such license shall not be subject to Company’s approval. If University, in accordance with the terms and conditions of this Agreement, chooses to institute suit against an alleged infringer, University may bring such suit in its own name (or, if required by law, in its and Company’s name) and at its own expense, and Company shall, but at University’s expense for Company’s direct associated expenses, fully and promptly cooperate and assist University in connection with any such suit. All license fees, royalties, damages, awards, or settlement proceeds arising from such a University-initiated action will be solely for the account of University.</w:t>
      </w:r>
    </w:p>
    <w:p>
      <w:pPr>
        <w:spacing w:after="0" w:line="59" w:lineRule="exact"/>
        <w:rPr>
          <w:sz w:val="20"/>
          <w:szCs w:val="20"/>
          <w:color w:val="auto"/>
        </w:rPr>
      </w:pPr>
    </w:p>
    <w:p>
      <w:pPr>
        <w:ind w:left="460" w:firstLine="438"/>
        <w:spacing w:after="0" w:line="277"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No Obligation to Institute Action</w:t>
      </w:r>
      <w:r>
        <w:rPr>
          <w:rFonts w:ascii="Arial" w:cs="Arial" w:eastAsia="Arial" w:hAnsi="Arial"/>
          <w:sz w:val="18"/>
          <w:szCs w:val="18"/>
          <w:color w:val="auto"/>
        </w:rPr>
        <w:t>. Neither Company nor University is obligated under this Agreement to institute or prosecute a suit against any alleged infringer of Licensed Patents.</w:t>
      </w:r>
    </w:p>
    <w:p>
      <w:pPr>
        <w:spacing w:after="0" w:line="315" w:lineRule="exact"/>
        <w:rPr>
          <w:sz w:val="20"/>
          <w:szCs w:val="20"/>
          <w:color w:val="auto"/>
        </w:rPr>
      </w:pPr>
    </w:p>
    <w:p>
      <w:pPr>
        <w:ind w:left="460" w:hanging="452"/>
        <w:spacing w:after="0"/>
        <w:tabs>
          <w:tab w:leader="none" w:pos="460"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Patent Validity.</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Notice and Investigation of Third Party Challenges</w:t>
      </w:r>
      <w:r>
        <w:rPr>
          <w:rFonts w:ascii="Arial" w:cs="Arial" w:eastAsia="Arial" w:hAnsi="Arial"/>
          <w:sz w:val="18"/>
          <w:szCs w:val="18"/>
          <w:color w:val="auto"/>
        </w:rPr>
        <w:t>. If any Third Party challenges the validity or enforceability of any of the Licensed Patents, the Party having such information shall immediately notify the other Party.</w:t>
      </w:r>
    </w:p>
    <w:p>
      <w:pPr>
        <w:spacing w:after="0" w:line="62" w:lineRule="exact"/>
        <w:rPr>
          <w:sz w:val="20"/>
          <w:szCs w:val="20"/>
          <w:color w:val="auto"/>
        </w:rPr>
      </w:pPr>
    </w:p>
    <w:p>
      <w:pPr>
        <w:jc w:val="both"/>
        <w:ind w:right="660" w:firstLine="456"/>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Tender to University of Third Party Actions</w:t>
      </w:r>
      <w:r>
        <w:rPr>
          <w:rFonts w:ascii="Arial" w:cs="Arial" w:eastAsia="Arial" w:hAnsi="Arial"/>
          <w:sz w:val="18"/>
          <w:szCs w:val="18"/>
          <w:color w:val="auto"/>
        </w:rPr>
        <w:t>. In the event of Third Party legal action challenging the validity or enforceability of any of the Licensed Patents, University, at its sole discretion, shall have the right to assume and control the sole defense of the claim at University’s expense. If University opts not to assume and control the sole defense of the claim within 30 days after becoming</w:t>
      </w:r>
    </w:p>
    <w:p>
      <w:pPr>
        <w:spacing w:after="0" w:line="114"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Page 9 of 21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47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563" w:name="page564"/>
    <w:bookmarkEnd w:id="5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aware of challenge, Company shall have the right to assume the defense of the claim at its own expense. Company shall not settle any suits or actions in any manner relating to the Licensed Patents without obtaining the prior written consent of University.</w:t>
      </w:r>
    </w:p>
    <w:p>
      <w:pPr>
        <w:spacing w:after="0" w:line="6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Enforceability of Licensed Patents</w:t>
      </w:r>
      <w:r>
        <w:rPr>
          <w:rFonts w:ascii="Arial" w:cs="Arial" w:eastAsia="Arial" w:hAnsi="Arial"/>
          <w:sz w:val="18"/>
          <w:szCs w:val="18"/>
          <w:color w:val="auto"/>
        </w:rPr>
        <w:t>. Notwithstanding challenge by any Third Party, any Licensed Patent will be enforceable under this Agreement until such Licensed Patent is determined to be invalid.</w:t>
      </w:r>
    </w:p>
    <w:p>
      <w:pPr>
        <w:spacing w:after="0" w:line="315" w:lineRule="exact"/>
        <w:rPr>
          <w:sz w:val="20"/>
          <w:szCs w:val="20"/>
          <w:color w:val="auto"/>
        </w:rPr>
      </w:pPr>
    </w:p>
    <w:p>
      <w:pPr>
        <w:ind w:left="460" w:hanging="452"/>
        <w:spacing w:after="0"/>
        <w:tabs>
          <w:tab w:leader="none" w:pos="46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By University</w:t>
      </w:r>
      <w:r>
        <w:rPr>
          <w:rFonts w:ascii="Arial" w:cs="Arial" w:eastAsia="Arial" w:hAnsi="Arial"/>
          <w:sz w:val="18"/>
          <w:szCs w:val="18"/>
          <w:color w:val="auto"/>
        </w:rPr>
        <w:t>.</w:t>
      </w:r>
    </w:p>
    <w:p>
      <w:pPr>
        <w:spacing w:after="0" w:line="117" w:lineRule="exact"/>
        <w:rPr>
          <w:sz w:val="20"/>
          <w:szCs w:val="20"/>
          <w:color w:val="auto"/>
        </w:rPr>
      </w:pPr>
    </w:p>
    <w:p>
      <w:pPr>
        <w:ind w:left="460" w:right="200" w:firstLine="438"/>
        <w:spacing w:after="0" w:line="264"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Breach by Company</w:t>
      </w:r>
      <w:r>
        <w:rPr>
          <w:rFonts w:ascii="Arial" w:cs="Arial" w:eastAsia="Arial" w:hAnsi="Arial"/>
          <w:sz w:val="18"/>
          <w:szCs w:val="18"/>
          <w:color w:val="auto"/>
        </w:rPr>
        <w:t>. If Company breaches or fails to perform one or more of its material duties under this Agreement, University may deliver to Company a written notice of default. University may terminate this Agreement by delivering to Company a written notice of termination if the default has not cured in full within 60 days of the delivery to Company of the notice of default.</w:t>
      </w:r>
    </w:p>
    <w:p>
      <w:pPr>
        <w:spacing w:after="0" w:line="73" w:lineRule="exact"/>
        <w:rPr>
          <w:sz w:val="20"/>
          <w:szCs w:val="20"/>
          <w:color w:val="auto"/>
        </w:rPr>
      </w:pPr>
    </w:p>
    <w:p>
      <w:pPr>
        <w:ind w:left="460" w:firstLine="438"/>
        <w:spacing w:after="0" w:line="25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Events of Default</w:t>
      </w:r>
      <w:r>
        <w:rPr>
          <w:rFonts w:ascii="Arial" w:cs="Arial" w:eastAsia="Arial" w:hAnsi="Arial"/>
          <w:sz w:val="18"/>
          <w:szCs w:val="18"/>
          <w:color w:val="auto"/>
        </w:rPr>
        <w:t>. University may terminate this Agreement by delivering to Company a written notice of termination at least ten (10) days prior to the date of termination if Company (i) becomes insolvent; (ii) voluntarily files or has filed against it a petition under applicable bankruptcy or insolvency laws that Company fails to have released within 30 days after filing; (iii) proposes any dissolution, composition, or financial reorganization with creditors or if a receiver, trustee, custodian, or similar agent is appointed; (iv) makes a general assignment for the benefit of creditors; or (v) if Company challenges the validity of the Licensed Patents.</w:t>
      </w:r>
    </w:p>
    <w:p>
      <w:pPr>
        <w:spacing w:after="0" w:line="8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By Company</w:t>
      </w:r>
      <w:r>
        <w:rPr>
          <w:rFonts w:ascii="Arial" w:cs="Arial" w:eastAsia="Arial" w:hAnsi="Arial"/>
          <w:sz w:val="18"/>
          <w:szCs w:val="18"/>
          <w:color w:val="auto"/>
        </w:rPr>
        <w:t>. Company may terminate this Agreement at any time by delivering to University a written notice of termination at least 60 days prior to the effective date of termination.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17" w:lineRule="exact"/>
        <w:rPr>
          <w:sz w:val="20"/>
          <w:szCs w:val="20"/>
          <w:color w:val="auto"/>
        </w:rPr>
      </w:pPr>
    </w:p>
    <w:p>
      <w:pPr>
        <w:ind w:left="460" w:right="220" w:firstLine="438"/>
        <w:spacing w:after="0" w:line="277" w:lineRule="auto"/>
        <w:rPr>
          <w:sz w:val="20"/>
          <w:szCs w:val="20"/>
          <w:color w:val="auto"/>
        </w:rPr>
      </w:pPr>
      <w:r>
        <w:rPr>
          <w:rFonts w:ascii="Arial" w:cs="Arial" w:eastAsia="Arial" w:hAnsi="Arial"/>
          <w:sz w:val="18"/>
          <w:szCs w:val="18"/>
          <w:color w:val="auto"/>
        </w:rPr>
        <w:t xml:space="preserve">9.3.1. </w:t>
      </w:r>
      <w:r>
        <w:rPr>
          <w:rFonts w:ascii="Arial" w:cs="Arial" w:eastAsia="Arial" w:hAnsi="Arial"/>
          <w:sz w:val="18"/>
          <w:szCs w:val="18"/>
          <w:u w:val="single" w:color="auto"/>
          <w:color w:val="auto"/>
        </w:rPr>
        <w:t>License Terminated</w:t>
      </w:r>
      <w:r>
        <w:rPr>
          <w:rFonts w:ascii="Arial" w:cs="Arial" w:eastAsia="Arial" w:hAnsi="Arial"/>
          <w:sz w:val="18"/>
          <w:szCs w:val="18"/>
          <w:color w:val="auto"/>
        </w:rPr>
        <w:t>. After termination of this Agreement, Company shall not make, have made, use, offer to sell or sell, offer to lease or lease, import, or otherwise offer to dispose or dispose of Licensed Products.</w:t>
      </w:r>
    </w:p>
    <w:p>
      <w:pPr>
        <w:spacing w:after="0" w:line="62"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 xml:space="preserve">9.3.2. </w:t>
      </w:r>
      <w:r>
        <w:rPr>
          <w:rFonts w:ascii="Arial" w:cs="Arial" w:eastAsia="Arial" w:hAnsi="Arial"/>
          <w:sz w:val="18"/>
          <w:szCs w:val="18"/>
          <w:u w:val="single" w:color="auto"/>
          <w:color w:val="auto"/>
        </w:rPr>
        <w:t>Final Report to University</w:t>
      </w:r>
      <w:r>
        <w:rPr>
          <w:rFonts w:ascii="Arial" w:cs="Arial" w:eastAsia="Arial" w:hAnsi="Arial"/>
          <w:sz w:val="18"/>
          <w:szCs w:val="18"/>
          <w:color w:val="auto"/>
        </w:rPr>
        <w:t>. Within 60 days after the end of the calendar quarter following the expiration or termination of this Agreement, Company shall submit a final report to University. Any payments, including those incurred but not yet paid (such as the pro-rata minimum annual royalty, and those related to patent expense incurred as of the date of termination but not yet paid), due to University shall become immediately due and payable upon termination or expiration.</w:t>
      </w:r>
    </w:p>
    <w:p>
      <w:pPr>
        <w:spacing w:after="0" w:line="79" w:lineRule="exact"/>
        <w:rPr>
          <w:sz w:val="20"/>
          <w:szCs w:val="20"/>
          <w:color w:val="auto"/>
        </w:rPr>
      </w:pPr>
    </w:p>
    <w:p>
      <w:pPr>
        <w:ind w:left="460" w:right="280" w:firstLine="438"/>
        <w:spacing w:after="0" w:line="276" w:lineRule="auto"/>
        <w:rPr>
          <w:sz w:val="20"/>
          <w:szCs w:val="20"/>
          <w:color w:val="auto"/>
        </w:rPr>
      </w:pPr>
      <w:r>
        <w:rPr>
          <w:rFonts w:ascii="Arial" w:cs="Arial" w:eastAsia="Arial" w:hAnsi="Arial"/>
          <w:sz w:val="17"/>
          <w:szCs w:val="17"/>
          <w:color w:val="auto"/>
        </w:rPr>
        <w:t xml:space="preserve">9.3.3. </w:t>
      </w:r>
      <w:r>
        <w:rPr>
          <w:rFonts w:ascii="Arial" w:cs="Arial" w:eastAsia="Arial" w:hAnsi="Arial"/>
          <w:sz w:val="17"/>
          <w:szCs w:val="17"/>
          <w:u w:val="single" w:color="auto"/>
          <w:color w:val="auto"/>
        </w:rPr>
        <w:t>Termination of Sublicenses</w:t>
      </w:r>
      <w:r>
        <w:rPr>
          <w:rFonts w:ascii="Arial" w:cs="Arial" w:eastAsia="Arial" w:hAnsi="Arial"/>
          <w:sz w:val="17"/>
          <w:szCs w:val="17"/>
          <w:color w:val="auto"/>
        </w:rPr>
        <w:t>. Upon termination of this Agreement for any reason prior to expiration, each Sublicense will terminate and Company will include a statement to that effect in each Sublicense. Company shall be liable for any costs, expenses, or damages payable to any Sublicensee arising out of the termination of a Sublicense. At any time within 30 days following termination of this Agreement, a Sublicensee may notify University that it wishes to enter into a direct license with University in order to retain its rights to the Licensed Patents granted to it under its Sublicense (such 30-day period following termination, the “Initial Notice Period”). Following</w:t>
      </w:r>
    </w:p>
    <w:p>
      <w:pPr>
        <w:spacing w:after="0" w:line="105"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Page 10 of 21</w:t>
      </w:r>
    </w:p>
    <w:p>
      <w:pPr>
        <w:spacing w:after="0" w:line="158" w:lineRule="exact"/>
        <w:rPr>
          <w:sz w:val="20"/>
          <w:szCs w:val="20"/>
          <w:color w:val="auto"/>
        </w:rPr>
      </w:pPr>
    </w:p>
    <w:p>
      <w:pPr>
        <w:ind w:left="1580" w:right="1360" w:hanging="191"/>
        <w:spacing w:after="0" w:line="308" w:lineRule="auto"/>
        <w:tabs>
          <w:tab w:leader="none" w:pos="1945" w:val="left"/>
        </w:tabs>
        <w:numPr>
          <w:ilvl w:val="0"/>
          <w:numId w:val="481"/>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70" w:right="259" w:bottom="1440" w:gutter="0" w:footer="0" w:header="0"/>
        </w:sectPr>
      </w:pPr>
    </w:p>
    <w:bookmarkStart w:id="564" w:name="page565"/>
    <w:bookmarkEnd w:id="5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receipt of such notice, University and Sublicensee shall enter into a license agreement the terms of which shall be substantially similar to the terms of this Agreement; and the scope of such direct license, the licensed territory or the duration of the license grant shall be comparable to the corresponding terms granted by the Company to such Sublicensee; provided that such Sublicensee will be granted at least the same scope of rights as it obtained from Company under its Sublicense. For the sake of clarity, the financial terms, including without limitation, the running royalty rate and milestone payments, shall be identical to the corresponding financial terms set forth in this Agreement. Notwithstanding the foregoing, each Sublicensee’s right to enter into such direct license shall be conditioned upon:</w:t>
      </w:r>
    </w:p>
    <w:p>
      <w:pPr>
        <w:spacing w:after="0" w:line="85" w:lineRule="exact"/>
        <w:rPr>
          <w:sz w:val="20"/>
          <w:szCs w:val="20"/>
          <w:color w:val="auto"/>
        </w:rPr>
      </w:pPr>
    </w:p>
    <w:p>
      <w:pPr>
        <w:ind w:left="1500" w:right="280"/>
        <w:spacing w:after="0" w:line="277" w:lineRule="auto"/>
        <w:rPr>
          <w:sz w:val="20"/>
          <w:szCs w:val="20"/>
          <w:color w:val="auto"/>
        </w:rPr>
      </w:pPr>
      <w:r>
        <w:rPr>
          <w:rFonts w:ascii="Arial" w:cs="Arial" w:eastAsia="Arial" w:hAnsi="Arial"/>
          <w:sz w:val="18"/>
          <w:szCs w:val="18"/>
          <w:color w:val="auto"/>
        </w:rPr>
        <w:t xml:space="preserve">9.3.3.1. </w:t>
      </w:r>
      <w:r>
        <w:rPr>
          <w:rFonts w:ascii="Arial" w:cs="Arial" w:eastAsia="Arial" w:hAnsi="Arial"/>
          <w:sz w:val="18"/>
          <w:szCs w:val="18"/>
          <w:u w:val="single" w:color="auto"/>
          <w:color w:val="auto"/>
        </w:rPr>
        <w:t>Written Notification to University</w:t>
      </w:r>
      <w:r>
        <w:rPr>
          <w:rFonts w:ascii="Arial" w:cs="Arial" w:eastAsia="Arial" w:hAnsi="Arial"/>
          <w:sz w:val="18"/>
          <w:szCs w:val="18"/>
          <w:color w:val="auto"/>
        </w:rPr>
        <w:t>. Such Sublicensee informing University in writing, pursuant to Article 21 “Notices”, that it wishes to enter into such direct license with University, within the Initial Notice Period;</w:t>
      </w:r>
    </w:p>
    <w:p>
      <w:pPr>
        <w:spacing w:after="0" w:line="62" w:lineRule="exact"/>
        <w:rPr>
          <w:sz w:val="20"/>
          <w:szCs w:val="20"/>
          <w:color w:val="auto"/>
        </w:rPr>
      </w:pPr>
    </w:p>
    <w:p>
      <w:pPr>
        <w:ind w:left="1500" w:right="140"/>
        <w:spacing w:after="0" w:line="342" w:lineRule="auto"/>
        <w:rPr>
          <w:sz w:val="20"/>
          <w:szCs w:val="20"/>
          <w:color w:val="auto"/>
        </w:rPr>
      </w:pPr>
      <w:r>
        <w:rPr>
          <w:rFonts w:ascii="Arial" w:cs="Arial" w:eastAsia="Arial" w:hAnsi="Arial"/>
          <w:sz w:val="16"/>
          <w:szCs w:val="16"/>
          <w:color w:val="auto"/>
        </w:rPr>
        <w:t xml:space="preserve">9.3.3.2. </w:t>
      </w:r>
      <w:r>
        <w:rPr>
          <w:rFonts w:ascii="Arial" w:cs="Arial" w:eastAsia="Arial" w:hAnsi="Arial"/>
          <w:sz w:val="16"/>
          <w:szCs w:val="16"/>
          <w:u w:val="single" w:color="auto"/>
          <w:color w:val="auto"/>
        </w:rPr>
        <w:t>Sublicensee Good Standing</w:t>
      </w:r>
      <w:r>
        <w:rPr>
          <w:rFonts w:ascii="Arial" w:cs="Arial" w:eastAsia="Arial" w:hAnsi="Arial"/>
          <w:sz w:val="16"/>
          <w:szCs w:val="16"/>
          <w:color w:val="auto"/>
        </w:rPr>
        <w:t>. Such Sublicensee being in good standing with Company under its Sublicense, and such Sublicense not being the subject of a dispute between Sublicensee and Company, or between Company and University under this Agreement;</w:t>
      </w:r>
    </w:p>
    <w:p>
      <w:pPr>
        <w:spacing w:after="0" w:line="16" w:lineRule="exact"/>
        <w:rPr>
          <w:sz w:val="20"/>
          <w:szCs w:val="20"/>
          <w:color w:val="auto"/>
        </w:rPr>
      </w:pPr>
    </w:p>
    <w:p>
      <w:pPr>
        <w:ind w:left="1500" w:right="540"/>
        <w:spacing w:after="0" w:line="277" w:lineRule="auto"/>
        <w:rPr>
          <w:sz w:val="20"/>
          <w:szCs w:val="20"/>
          <w:color w:val="auto"/>
        </w:rPr>
      </w:pPr>
      <w:r>
        <w:rPr>
          <w:rFonts w:ascii="Arial" w:cs="Arial" w:eastAsia="Arial" w:hAnsi="Arial"/>
          <w:sz w:val="18"/>
          <w:szCs w:val="18"/>
          <w:color w:val="auto"/>
        </w:rPr>
        <w:t xml:space="preserve">9.3.3.3. </w:t>
      </w:r>
      <w:r>
        <w:rPr>
          <w:rFonts w:ascii="Arial" w:cs="Arial" w:eastAsia="Arial" w:hAnsi="Arial"/>
          <w:sz w:val="18"/>
          <w:szCs w:val="18"/>
          <w:u w:val="single" w:color="auto"/>
          <w:color w:val="auto"/>
        </w:rPr>
        <w:t>Valid Sublicense</w:t>
      </w:r>
      <w:r>
        <w:rPr>
          <w:rFonts w:ascii="Arial" w:cs="Arial" w:eastAsia="Arial" w:hAnsi="Arial"/>
          <w:sz w:val="18"/>
          <w:szCs w:val="18"/>
          <w:color w:val="auto"/>
        </w:rPr>
        <w:t>. Such Sublicense having been validly entered into by Company and Sublicensee pursuant to the terms of Section 3.1.2 “Sublicenses”;</w:t>
      </w:r>
    </w:p>
    <w:p>
      <w:pPr>
        <w:spacing w:after="0" w:line="62" w:lineRule="exact"/>
        <w:rPr>
          <w:sz w:val="20"/>
          <w:szCs w:val="20"/>
          <w:color w:val="auto"/>
        </w:rPr>
      </w:pPr>
    </w:p>
    <w:p>
      <w:pPr>
        <w:ind w:left="1500"/>
        <w:spacing w:after="0" w:line="257" w:lineRule="auto"/>
        <w:rPr>
          <w:sz w:val="20"/>
          <w:szCs w:val="20"/>
          <w:color w:val="auto"/>
        </w:rPr>
      </w:pPr>
      <w:r>
        <w:rPr>
          <w:rFonts w:ascii="Arial" w:cs="Arial" w:eastAsia="Arial" w:hAnsi="Arial"/>
          <w:sz w:val="18"/>
          <w:szCs w:val="18"/>
          <w:color w:val="auto"/>
        </w:rPr>
        <w:t xml:space="preserve">9.3.3.4. </w:t>
      </w:r>
      <w:r>
        <w:rPr>
          <w:rFonts w:ascii="Arial" w:cs="Arial" w:eastAsia="Arial" w:hAnsi="Arial"/>
          <w:sz w:val="18"/>
          <w:szCs w:val="18"/>
          <w:u w:val="single" w:color="auto"/>
          <w:color w:val="auto"/>
        </w:rPr>
        <w:t>Sublicensee Certification that Conditions Satisfied</w:t>
      </w:r>
      <w:r>
        <w:rPr>
          <w:rFonts w:ascii="Arial" w:cs="Arial" w:eastAsia="Arial" w:hAnsi="Arial"/>
          <w:sz w:val="18"/>
          <w:szCs w:val="18"/>
          <w:color w:val="auto"/>
        </w:rPr>
        <w:t>. Such Sublicensee using reasonable efforts to certify or otherwise demonstrate that the conditions set forth in subsections 9.3.3.1 “Written Notification to University”, 9.3.3.2 “Sublicensee Good Standing”, and 9.3.3.3 “Valid Sublicense” have been met within 30 days of expiration of the Initial Notice Period (or within such longer period of time as University agrees is reasonable under the circumstances, based on the nature and extent of any documentation reasonably requested by University); and</w:t>
      </w:r>
    </w:p>
    <w:p>
      <w:pPr>
        <w:spacing w:after="0" w:line="80" w:lineRule="exact"/>
        <w:rPr>
          <w:sz w:val="20"/>
          <w:szCs w:val="20"/>
          <w:color w:val="auto"/>
        </w:rPr>
      </w:pPr>
    </w:p>
    <w:p>
      <w:pPr>
        <w:ind w:left="1500" w:right="440"/>
        <w:spacing w:after="0" w:line="264" w:lineRule="auto"/>
        <w:rPr>
          <w:sz w:val="20"/>
          <w:szCs w:val="20"/>
          <w:color w:val="auto"/>
        </w:rPr>
      </w:pPr>
      <w:r>
        <w:rPr>
          <w:rFonts w:ascii="Arial" w:cs="Arial" w:eastAsia="Arial" w:hAnsi="Arial"/>
          <w:sz w:val="18"/>
          <w:szCs w:val="18"/>
          <w:color w:val="auto"/>
        </w:rPr>
        <w:t xml:space="preserve">9.3.3.5. </w:t>
      </w:r>
      <w:r>
        <w:rPr>
          <w:rFonts w:ascii="Arial" w:cs="Arial" w:eastAsia="Arial" w:hAnsi="Arial"/>
          <w:sz w:val="18"/>
          <w:szCs w:val="18"/>
          <w:u w:val="single" w:color="auto"/>
          <w:color w:val="auto"/>
        </w:rPr>
        <w:t>Time Limitations</w:t>
      </w:r>
      <w:r>
        <w:rPr>
          <w:rFonts w:ascii="Arial" w:cs="Arial" w:eastAsia="Arial" w:hAnsi="Arial"/>
          <w:sz w:val="18"/>
          <w:szCs w:val="18"/>
          <w:color w:val="auto"/>
        </w:rPr>
        <w:t>. Such negotiations for a direct license not exceeding 90 days from the end of the 30-day (or longer, if applicable) period described in subsection 9.3.3.4 “Sublicensee Certification that Conditions Satisfied” (subject to extension of said 90-day period by mutual written agreement of University and Sublicensee).</w:t>
      </w:r>
    </w:p>
    <w:p>
      <w:pPr>
        <w:spacing w:after="0" w:line="73" w:lineRule="exact"/>
        <w:rPr>
          <w:sz w:val="20"/>
          <w:szCs w:val="20"/>
          <w:color w:val="auto"/>
        </w:rPr>
      </w:pPr>
    </w:p>
    <w:p>
      <w:pPr>
        <w:ind w:left="460" w:right="20" w:firstLine="438"/>
        <w:spacing w:after="0" w:line="293" w:lineRule="auto"/>
        <w:rPr>
          <w:sz w:val="20"/>
          <w:szCs w:val="20"/>
          <w:color w:val="auto"/>
        </w:rPr>
      </w:pPr>
      <w:r>
        <w:rPr>
          <w:rFonts w:ascii="Arial" w:cs="Arial" w:eastAsia="Arial" w:hAnsi="Arial"/>
          <w:sz w:val="16"/>
          <w:szCs w:val="16"/>
          <w:color w:val="auto"/>
        </w:rPr>
        <w:t>University may, at its sole discretion, waive any of these requirements. If all of the conditions set forth in this Section 9.3.3 “Sublicenses” are met, then Sublicensee will be granted such direct license by University. If any condition set forth in this Section 9.3.3 “Sublicenses” is not met, then after expiration of any time period granted to Sublicensee with respect to meeting such condition (for example and to the extent applicable, the Initial Notice Period and/or the periods described in subsections 9.3.3.4 “Sublicensee Certification that Conditions Satisfied” and 9.3.3.5 “Time Limitations”), Sublicensee shall not make, have made, use, offer to sell or sell, offer to lease or lease, import, or otherwise offer to dispose or dispose of Licensed Products and University shall be free to license or not license Licensed Patents to such Sublicensee according to its sole discretion.</w:t>
      </w:r>
    </w:p>
    <w:p>
      <w:pPr>
        <w:spacing w:after="0" w:line="97"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Page 11 of 21</w:t>
      </w:r>
    </w:p>
    <w:p>
      <w:pPr>
        <w:spacing w:after="0" w:line="158" w:lineRule="exact"/>
        <w:rPr>
          <w:sz w:val="20"/>
          <w:szCs w:val="20"/>
          <w:color w:val="auto"/>
        </w:rPr>
      </w:pPr>
    </w:p>
    <w:p>
      <w:pPr>
        <w:ind w:left="1580" w:right="1360" w:hanging="191"/>
        <w:spacing w:after="0" w:line="308" w:lineRule="auto"/>
        <w:tabs>
          <w:tab w:leader="none" w:pos="1945" w:val="left"/>
        </w:tabs>
        <w:numPr>
          <w:ilvl w:val="0"/>
          <w:numId w:val="482"/>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70" w:right="259" w:bottom="1440" w:gutter="0" w:footer="0" w:header="0"/>
        </w:sectPr>
      </w:pPr>
    </w:p>
    <w:bookmarkStart w:id="565" w:name="page566"/>
    <w:bookmarkEnd w:id="5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460" w:hanging="452"/>
        <w:spacing w:after="0"/>
        <w:tabs>
          <w:tab w:leader="none" w:pos="460"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Release, Indemnification, and Insurance.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Company’s Release</w:t>
      </w:r>
      <w:r>
        <w:rPr>
          <w:rFonts w:ascii="Arial" w:cs="Arial" w:eastAsia="Arial" w:hAnsi="Arial"/>
          <w:sz w:val="18"/>
          <w:szCs w:val="18"/>
          <w:color w:val="auto"/>
        </w:rPr>
        <w:t>. For itself and its employees, Company hereby releases University and its regents, employees, and agents forever from any suits, actions, claims, liabilities, demands, damages, losses, or expenses (including reasonable attorneys’ and investigative expenses) relating to or arising out of (i) the manufacture, use, lease, sale, or other disposition of a Licensed Product; or (ii) the assigning or sublicensing of Company’s rights under this Agreement.</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Company’s Indemnification</w:t>
      </w:r>
      <w:r>
        <w:rPr>
          <w:rFonts w:ascii="Arial" w:cs="Arial" w:eastAsia="Arial" w:hAnsi="Arial"/>
          <w:sz w:val="18"/>
          <w:szCs w:val="18"/>
          <w:color w:val="auto"/>
        </w:rPr>
        <w:t>. Throughout the term of this Agreement and thereafter, Company shall indemnify, defend, and hold University and its regents, employees, and agents harmless from all suits, actions, claims, liabilities, demands, damages, losses, or expenses (including reasonable attorneys’ and investigative expenses), relating to or arising out of the manufacture, use, lease, sale, or other disposition of a Licensed Product, including, without limitation, personal injury, property damage, breach of contract and warranty and products-liability claims relating to a Licensed Product and claims brought by a Sublicensee.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Company’s Insurance.</w:t>
      </w:r>
    </w:p>
    <w:p>
      <w:pPr>
        <w:spacing w:after="0" w:line="117"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color w:val="auto"/>
        </w:rPr>
        <w:t xml:space="preserve">10.3.1. </w:t>
      </w:r>
      <w:r>
        <w:rPr>
          <w:rFonts w:ascii="Arial" w:cs="Arial" w:eastAsia="Arial" w:hAnsi="Arial"/>
          <w:sz w:val="18"/>
          <w:szCs w:val="18"/>
          <w:u w:val="single" w:color="auto"/>
          <w:color w:val="auto"/>
        </w:rPr>
        <w:t>General Insurance Requirement</w:t>
      </w:r>
      <w:r>
        <w:rPr>
          <w:rFonts w:ascii="Arial" w:cs="Arial" w:eastAsia="Arial" w:hAnsi="Arial"/>
          <w:sz w:val="18"/>
          <w:szCs w:val="18"/>
          <w:color w:val="auto"/>
        </w:rPr>
        <w:t>. Throughout the term of this Agreement, or during such period as the Parties shall agree in writing, Company shall maintain, and shall cause each Sublicensee to maintain, in full force and effect commercial general liability (CGL) insurance, with single claim limits consistent with industry standards. Such insurance policy will include coverage for claims that may be asserted by University against Company under section 10.2 “Company’s Indemnification”. Such insurance policy must name the Board of Regents of the University of Washington as an additional insured and will require the insurer to deliver written notice to University at the address set forth in Article 21 “Notices” of this Agreement, at least 45 days prior to the termination of the policy. Company shall deliver to University a copy of the certificate of insurance for such policy.</w:t>
      </w:r>
    </w:p>
    <w:p>
      <w:pPr>
        <w:spacing w:after="0" w:line="81" w:lineRule="exact"/>
        <w:rPr>
          <w:sz w:val="20"/>
          <w:szCs w:val="20"/>
          <w:color w:val="auto"/>
        </w:rPr>
      </w:pPr>
    </w:p>
    <w:p>
      <w:pPr>
        <w:ind w:left="460" w:right="180" w:firstLine="438"/>
        <w:spacing w:after="0" w:line="255" w:lineRule="auto"/>
        <w:rPr>
          <w:sz w:val="20"/>
          <w:szCs w:val="20"/>
          <w:color w:val="auto"/>
        </w:rPr>
      </w:pPr>
      <w:r>
        <w:rPr>
          <w:rFonts w:ascii="Arial" w:cs="Arial" w:eastAsia="Arial" w:hAnsi="Arial"/>
          <w:sz w:val="18"/>
          <w:szCs w:val="18"/>
          <w:color w:val="auto"/>
        </w:rPr>
        <w:t xml:space="preserve">10.3.2. </w:t>
      </w:r>
      <w:r>
        <w:rPr>
          <w:rFonts w:ascii="Arial" w:cs="Arial" w:eastAsia="Arial" w:hAnsi="Arial"/>
          <w:sz w:val="18"/>
          <w:szCs w:val="18"/>
          <w:u w:val="single" w:color="auto"/>
          <w:color w:val="auto"/>
        </w:rPr>
        <w:t>Clinical Trial Liability Insurance</w:t>
      </w:r>
      <w:r>
        <w:rPr>
          <w:rFonts w:ascii="Arial" w:cs="Arial" w:eastAsia="Arial" w:hAnsi="Arial"/>
          <w:sz w:val="18"/>
          <w:szCs w:val="18"/>
          <w:color w:val="auto"/>
        </w:rPr>
        <w:t>. Within thirty (30) days prior to the initiation of human clinical trials with respect to Licensed Product(s), Company shall provide to University certificates evidencing the existence and amount of clinical trials liability insurance. Company shall issue irrevocable instructions to its insurance agent and to the issuing insurance company to notify University of any discontinuance or lapse of such insurance not less than 45 days prior to the time that any such discontinuance is due to become effective. Company shall provide University a copy of such instructions upon their transmittal to the insurance agent and issuing insurance company. Company shall further provide University, at least annually, proof of continued coverage.</w:t>
      </w:r>
    </w:p>
    <w:p>
      <w:pPr>
        <w:spacing w:after="0" w:line="338" w:lineRule="exact"/>
        <w:rPr>
          <w:sz w:val="20"/>
          <w:szCs w:val="20"/>
          <w:color w:val="auto"/>
        </w:rPr>
      </w:pPr>
    </w:p>
    <w:p>
      <w:pPr>
        <w:ind w:left="460" w:hanging="452"/>
        <w:spacing w:after="0"/>
        <w:tabs>
          <w:tab w:leader="none" w:pos="460"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12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Authority</w:t>
      </w:r>
      <w:r>
        <w:rPr>
          <w:rFonts w:ascii="Arial" w:cs="Arial" w:eastAsia="Arial" w:hAnsi="Arial"/>
          <w:sz w:val="16"/>
          <w:szCs w:val="16"/>
          <w:color w:val="auto"/>
        </w:rPr>
        <w:t>. Each Party represents and warrants to the other Party that it has full corporate power and authority to execute, deliver, and perform this Agreement, and that no other corporate proceedings by such Party are necessary to authorize the Party’s execution or delivery of this Agreement.</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Disclaimers</w:t>
      </w:r>
      <w:r>
        <w:rPr>
          <w:rFonts w:ascii="Arial" w:cs="Arial" w:eastAsia="Arial" w:hAnsi="Arial"/>
          <w:sz w:val="18"/>
          <w:szCs w:val="18"/>
          <w:color w:val="auto"/>
        </w:rPr>
        <w:t>.</w:t>
      </w:r>
    </w:p>
    <w:p>
      <w:pPr>
        <w:spacing w:after="0" w:line="113" w:lineRule="exact"/>
        <w:rPr>
          <w:sz w:val="20"/>
          <w:szCs w:val="20"/>
          <w:color w:val="auto"/>
        </w:rPr>
      </w:pPr>
    </w:p>
    <w:p>
      <w:pPr>
        <w:ind w:left="460" w:right="280" w:firstLine="438"/>
        <w:spacing w:after="0" w:line="259" w:lineRule="auto"/>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u w:val="single" w:color="auto"/>
          <w:color w:val="auto"/>
        </w:rPr>
        <w:t>General Disclaimers</w:t>
      </w:r>
      <w:r>
        <w:rPr>
          <w:rFonts w:ascii="Arial" w:cs="Arial" w:eastAsia="Arial" w:hAnsi="Arial"/>
          <w:sz w:val="18"/>
          <w:szCs w:val="18"/>
          <w:color w:val="auto"/>
        </w:rPr>
        <w:t xml:space="preserve">. </w:t>
      </w:r>
      <w:r>
        <w:rPr>
          <w:rFonts w:ascii="Arial" w:cs="Arial" w:eastAsia="Arial" w:hAnsi="Arial"/>
          <w:sz w:val="18"/>
          <w:szCs w:val="18"/>
          <w:b w:val="1"/>
          <w:bCs w:val="1"/>
          <w:color w:val="auto"/>
        </w:rPr>
        <w:t>EXCEPT FOR THE EXPRESS WARRANTY SET FORTH IN SECTION 11.1 “Authority” OF THIS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 UNIVERSITY DISCLAIMS AND EXCLUDES ALL WARRANTIES, EXPRESS AND IMPLIED, CONCERNING EACH LICENSED PATENT AND EACH LICENSED PRODUCT, INCLUDING, WITHOUT LIMITATION, WARRANTIES OF NON-INFRINGEMENT AND THE IMPLIED WARRANTIES OF MERCHANTABILITY AND FITNESS FOR A PARTICULAR PURPOSE.</w:t>
      </w:r>
    </w:p>
    <w:p>
      <w:pPr>
        <w:spacing w:after="0" w:line="339"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Page 12 of 21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48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566" w:name="page567"/>
    <w:bookmarkEnd w:id="5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u w:val="single" w:color="auto"/>
          <w:color w:val="auto"/>
        </w:rPr>
        <w:t>Patent Disclaimers</w:t>
      </w:r>
      <w:r>
        <w:rPr>
          <w:rFonts w:ascii="Arial" w:cs="Arial" w:eastAsia="Arial" w:hAnsi="Arial"/>
          <w:sz w:val="18"/>
          <w:szCs w:val="18"/>
          <w:color w:val="auto"/>
        </w:rPr>
        <w:t>. University expressly disclaims any warranties concerning and makes no representations: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11.2.2.1. </w:t>
      </w:r>
      <w:r>
        <w:rPr>
          <w:rFonts w:ascii="Arial" w:cs="Arial" w:eastAsia="Arial" w:hAnsi="Arial"/>
          <w:sz w:val="18"/>
          <w:szCs w:val="18"/>
          <w:u w:val="single" w:color="auto"/>
          <w:color w:val="auto"/>
        </w:rPr>
        <w:t>Patent Issuance</w:t>
      </w:r>
      <w:r>
        <w:rPr>
          <w:rFonts w:ascii="Arial" w:cs="Arial" w:eastAsia="Arial" w:hAnsi="Arial"/>
          <w:sz w:val="18"/>
          <w:szCs w:val="18"/>
          <w:color w:val="auto"/>
        </w:rPr>
        <w:t>. That the Licensed Patent(s) will be approved or will issue;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11.2.2.2. </w:t>
      </w:r>
      <w:r>
        <w:rPr>
          <w:rFonts w:ascii="Arial" w:cs="Arial" w:eastAsia="Arial" w:hAnsi="Arial"/>
          <w:sz w:val="18"/>
          <w:szCs w:val="18"/>
          <w:u w:val="single" w:color="auto"/>
          <w:color w:val="auto"/>
        </w:rPr>
        <w:t>Licensed Patent</w:t>
      </w:r>
      <w:r>
        <w:rPr>
          <w:rFonts w:ascii="Arial" w:cs="Arial" w:eastAsia="Arial" w:hAnsi="Arial"/>
          <w:sz w:val="18"/>
          <w:szCs w:val="18"/>
          <w:color w:val="auto"/>
        </w:rPr>
        <w:t xml:space="preserve"> Validity/Scope. Concerning the validity or scope of any Licensed Patent; or</w:t>
      </w:r>
    </w:p>
    <w:p>
      <w:pPr>
        <w:spacing w:after="0" w:line="117" w:lineRule="exact"/>
        <w:rPr>
          <w:sz w:val="20"/>
          <w:szCs w:val="20"/>
          <w:color w:val="auto"/>
        </w:rPr>
      </w:pPr>
    </w:p>
    <w:p>
      <w:pPr>
        <w:ind w:left="1500" w:right="260"/>
        <w:spacing w:after="0" w:line="277" w:lineRule="auto"/>
        <w:rPr>
          <w:sz w:val="20"/>
          <w:szCs w:val="20"/>
          <w:color w:val="auto"/>
        </w:rPr>
      </w:pPr>
      <w:r>
        <w:rPr>
          <w:rFonts w:ascii="Arial" w:cs="Arial" w:eastAsia="Arial" w:hAnsi="Arial"/>
          <w:sz w:val="18"/>
          <w:szCs w:val="18"/>
          <w:color w:val="auto"/>
        </w:rPr>
        <w:t xml:space="preserve">11.2.2.3. </w:t>
      </w:r>
      <w:r>
        <w:rPr>
          <w:rFonts w:ascii="Arial" w:cs="Arial" w:eastAsia="Arial" w:hAnsi="Arial"/>
          <w:sz w:val="18"/>
          <w:szCs w:val="18"/>
          <w:u w:val="single" w:color="auto"/>
          <w:color w:val="auto"/>
        </w:rPr>
        <w:t>Non-Infringement</w:t>
      </w:r>
      <w:r>
        <w:rPr>
          <w:rFonts w:ascii="Arial" w:cs="Arial" w:eastAsia="Arial" w:hAnsi="Arial"/>
          <w:sz w:val="18"/>
          <w:szCs w:val="18"/>
          <w:color w:val="auto"/>
        </w:rPr>
        <w:t>. That the manufacture, use, sale, lease or other disposition of a Licensed Product will not infringe a Third Party’s patent or violate a Third Party’s intellectual property rights.</w:t>
      </w:r>
    </w:p>
    <w:p>
      <w:pPr>
        <w:spacing w:after="0" w:line="315" w:lineRule="exact"/>
        <w:rPr>
          <w:sz w:val="20"/>
          <w:szCs w:val="20"/>
          <w:color w:val="auto"/>
        </w:rPr>
      </w:pPr>
    </w:p>
    <w:p>
      <w:pPr>
        <w:ind w:left="460" w:hanging="452"/>
        <w:spacing w:after="0"/>
        <w:tabs>
          <w:tab w:leader="none" w:pos="460"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color w:val="auto"/>
        </w:rPr>
        <w:t>Damages.</w:t>
      </w:r>
    </w:p>
    <w:p>
      <w:pPr>
        <w:spacing w:after="0" w:line="117" w:lineRule="exact"/>
        <w:rPr>
          <w:sz w:val="20"/>
          <w:szCs w:val="20"/>
          <w:color w:val="auto"/>
        </w:rPr>
      </w:pPr>
    </w:p>
    <w:p>
      <w:pPr>
        <w:ind w:right="260" w:firstLine="456"/>
        <w:spacing w:after="0" w:line="25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Remedy Limitation</w:t>
      </w:r>
      <w:r>
        <w:rPr>
          <w:rFonts w:ascii="Arial" w:cs="Arial" w:eastAsia="Arial" w:hAnsi="Arial"/>
          <w:sz w:val="18"/>
          <w:szCs w:val="18"/>
          <w:color w:val="auto"/>
        </w:rPr>
        <w:t xml:space="preserve">. </w:t>
      </w:r>
      <w:r>
        <w:rPr>
          <w:rFonts w:ascii="Arial" w:cs="Arial" w:eastAsia="Arial" w:hAnsi="Arial"/>
          <w:sz w:val="18"/>
          <w:szCs w:val="18"/>
          <w:b w:val="1"/>
          <w:bCs w:val="1"/>
          <w:color w:val="auto"/>
        </w:rPr>
        <w:t>EVEN IF ADVISED OF THE POSSIBILITY OF SUCH DAMAGES, IN NO EVENT SHALL UNIVERSITY BE</w:t>
      </w:r>
      <w:r>
        <w:rPr>
          <w:rFonts w:ascii="Arial" w:cs="Arial" w:eastAsia="Arial" w:hAnsi="Arial"/>
          <w:sz w:val="18"/>
          <w:szCs w:val="18"/>
          <w:color w:val="auto"/>
        </w:rPr>
        <w:t xml:space="preserve"> </w:t>
      </w:r>
      <w:r>
        <w:rPr>
          <w:rFonts w:ascii="Arial" w:cs="Arial" w:eastAsia="Arial" w:hAnsi="Arial"/>
          <w:sz w:val="18"/>
          <w:szCs w:val="18"/>
          <w:b w:val="1"/>
          <w:bCs w:val="1"/>
          <w:color w:val="auto"/>
        </w:rPr>
        <w:t>LIABLE FOR (A) PERSONAL INJURY OR PROPERTY DAMAGES ARISING IN CONNECTION WITH THE ACTIVITIES CONTEMPLATED IN THIS AGREEMENT OR (B) LOST PROFITS, LOST BUSINESS OPPORTUNITY, INVENTORY LOSS, WORK STOPPAGE, LOST DATA OR ANY OTHER RELIANCE OR EXPECTANCY, INDIRECT, SPECIAL, INCIDENTAL OR CONSEQUENTIAL DAMAGES, OF ANY KIND.</w:t>
      </w:r>
    </w:p>
    <w:p>
      <w:pPr>
        <w:spacing w:after="0" w:line="76"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Damage Cap</w:t>
      </w:r>
      <w:r>
        <w:rPr>
          <w:rFonts w:ascii="Arial" w:cs="Arial" w:eastAsia="Arial" w:hAnsi="Arial"/>
          <w:sz w:val="18"/>
          <w:szCs w:val="18"/>
          <w:color w:val="auto"/>
        </w:rPr>
        <w:t xml:space="preserve">. </w:t>
      </w:r>
      <w:r>
        <w:rPr>
          <w:rFonts w:ascii="Arial" w:cs="Arial" w:eastAsia="Arial" w:hAnsi="Arial"/>
          <w:sz w:val="18"/>
          <w:szCs w:val="18"/>
          <w:b w:val="1"/>
          <w:bCs w:val="1"/>
          <w:color w:val="auto"/>
        </w:rPr>
        <w:t>IN NO EVENT WILL UNIVERSITY’S TOTAL LIABILITY FOR THE BREACH OR NONPERFORMANCE OF THIS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 EXCEED THE AMOUNT OF PAYMENTS PAID TO UNIVERSITY UNDER SECTION A3 “PAYMENTS” of Exhibit A “EXCLUSIVE PATENT LICENSE SCHEDULE” OF THIS AGREEMENT. THIS LIMITATION WILL APPLY TO CONTRACT, TORT, AND ANY OTHER CLAIM OF WHATEVER NATURE.</w:t>
      </w:r>
    </w:p>
    <w:p>
      <w:pPr>
        <w:spacing w:after="0" w:line="329" w:lineRule="exact"/>
        <w:rPr>
          <w:sz w:val="20"/>
          <w:szCs w:val="20"/>
          <w:color w:val="auto"/>
        </w:rPr>
      </w:pPr>
    </w:p>
    <w:p>
      <w:pPr>
        <w:ind w:left="460" w:hanging="452"/>
        <w:spacing w:after="0"/>
        <w:tabs>
          <w:tab w:leader="none" w:pos="46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Waiver.</w:t>
      </w:r>
    </w:p>
    <w:p>
      <w:pPr>
        <w:spacing w:after="0" w:line="12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This Agreement may be amended from time to time only by a written instrument signed by the Parties. No term or provision of this Agreement will be waived and no breach excused unless such waiver or consent will be in writing and signed by the Party claimed to have waived or consented. No waiver of a breach will be deemed to be a waiver of a different or subsequent breach.</w:t>
      </w:r>
    </w:p>
    <w:p>
      <w:pPr>
        <w:spacing w:after="0" w:line="326" w:lineRule="exact"/>
        <w:rPr>
          <w:sz w:val="20"/>
          <w:szCs w:val="20"/>
          <w:color w:val="auto"/>
        </w:rPr>
      </w:pPr>
    </w:p>
    <w:p>
      <w:pPr>
        <w:ind w:left="460" w:hanging="452"/>
        <w:spacing w:after="0"/>
        <w:tabs>
          <w:tab w:leader="none" w:pos="46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The rights and licenses granted by University in this Agreement are personal to Company and Company shall not assign its interest or delegate its duties under this Agreement without the written consent of University; any such assignment or delegation made without written consent of University will not release Company from its obligations under this Agreement. The preceding sentence notwithstanding, Company, without the prior approval of University, may assign all, but no less than all, its rights and delegate all, but no less than all, its duties under this Agreement to a Third Party provided that:</w:t>
      </w:r>
    </w:p>
    <w:p>
      <w:pPr>
        <w:spacing w:after="0" w:line="60" w:lineRule="exact"/>
        <w:rPr>
          <w:sz w:val="20"/>
          <w:szCs w:val="20"/>
          <w:color w:val="auto"/>
        </w:rPr>
      </w:pPr>
    </w:p>
    <w:p>
      <w:pPr>
        <w:ind w:left="900" w:right="140" w:hanging="446"/>
        <w:spacing w:after="0" w:line="276" w:lineRule="auto"/>
        <w:tabs>
          <w:tab w:leader="none" w:pos="900" w:val="left"/>
        </w:tabs>
        <w:numPr>
          <w:ilvl w:val="0"/>
          <w:numId w:val="489"/>
        </w:numPr>
        <w:rPr>
          <w:rFonts w:ascii="Arial" w:cs="Arial" w:eastAsia="Arial" w:hAnsi="Arial"/>
          <w:sz w:val="17"/>
          <w:szCs w:val="17"/>
          <w:color w:val="auto"/>
        </w:rPr>
      </w:pPr>
      <w:r>
        <w:rPr>
          <w:rFonts w:ascii="Arial" w:cs="Arial" w:eastAsia="Arial" w:hAnsi="Arial"/>
          <w:sz w:val="17"/>
          <w:szCs w:val="17"/>
          <w:color w:val="auto"/>
        </w:rPr>
        <w:t>the assignment is made to such Third Party as a part of and in connection with (a) the sale by Company of all but no less than all of its assets to the Third Party, (b) if Company has more than one bona fide drug development programs, the sale by Company of all but no less than all of the assets of its business most closely associated with this Agreement, to the Third Party, (c) the sale, transfer, or exchange by the shareholders, partners, or equity owners of Company of a majority interest in Company to the Third Party, or (d) the merger of Company into the Third Party (each of the events described in part (a), (b), (c), or (d) of this paragraph, an “Assignment”).</w:t>
      </w:r>
    </w:p>
    <w:p>
      <w:pPr>
        <w:spacing w:after="0" w:line="105"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Page 13 of 21</w:t>
      </w:r>
    </w:p>
    <w:p>
      <w:pPr>
        <w:spacing w:after="0" w:line="158" w:lineRule="exact"/>
        <w:rPr>
          <w:sz w:val="20"/>
          <w:szCs w:val="20"/>
          <w:color w:val="auto"/>
        </w:rPr>
      </w:pPr>
    </w:p>
    <w:p>
      <w:pPr>
        <w:ind w:left="1580" w:right="1320" w:hanging="191"/>
        <w:spacing w:after="0" w:line="308" w:lineRule="auto"/>
        <w:tabs>
          <w:tab w:leader="none" w:pos="1945" w:val="left"/>
        </w:tabs>
        <w:numPr>
          <w:ilvl w:val="0"/>
          <w:numId w:val="490"/>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60"/>
          </w:cols>
          <w:pgMar w:left="240" w:top="270" w:right="299" w:bottom="1440" w:gutter="0" w:footer="0" w:header="0"/>
        </w:sectPr>
      </w:pPr>
    </w:p>
    <w:bookmarkStart w:id="567" w:name="page568"/>
    <w:bookmarkEnd w:id="5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900" w:right="240" w:hanging="446"/>
        <w:spacing w:after="0" w:line="264" w:lineRule="auto"/>
        <w:tabs>
          <w:tab w:leader="none" w:pos="9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Company obtains from such Third Party written agreement to honor all obligations under this Agreement accrued by Company before Assignment and all obligations under this Agreement to accrue by such Third Party assignee after Assignment, including any and all financial obligations, and</w:t>
      </w:r>
    </w:p>
    <w:p>
      <w:pPr>
        <w:spacing w:after="0" w:line="86" w:lineRule="exact"/>
        <w:rPr>
          <w:rFonts w:ascii="Arial" w:cs="Arial" w:eastAsia="Arial" w:hAnsi="Arial"/>
          <w:sz w:val="18"/>
          <w:szCs w:val="18"/>
          <w:color w:val="auto"/>
        </w:rPr>
      </w:pPr>
    </w:p>
    <w:p>
      <w:pPr>
        <w:ind w:left="900" w:right="20" w:hanging="446"/>
        <w:spacing w:after="0" w:line="302" w:lineRule="auto"/>
        <w:tabs>
          <w:tab w:leader="none" w:pos="90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no later than ten (10) days after the close of the transaction pursuant to which such Assignment is made, Company shall provide written notice to University of the Assignment, as well as a substitution of parties document, in which such Third Party assignee assumes responsibility for all of Company’s outstanding and future obligations relating to this Agreement. Any assignment made in violation of this Article will be void and will, without further act, cause the immediate termination of this Agreement, effective retroactively to the date of the Assignment.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will inure to the benefit of Company and University and their respective permitted assignees and trustees.</w:t>
      </w:r>
    </w:p>
    <w:p>
      <w:pPr>
        <w:spacing w:after="0" w:line="370" w:lineRule="exact"/>
        <w:rPr>
          <w:sz w:val="20"/>
          <w:szCs w:val="20"/>
          <w:color w:val="auto"/>
        </w:rPr>
      </w:pPr>
    </w:p>
    <w:p>
      <w:pPr>
        <w:ind w:left="460" w:hanging="452"/>
        <w:spacing w:after="0"/>
        <w:tabs>
          <w:tab w:leader="none" w:pos="460"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Form of transfer</w:t>
      </w:r>
      <w:r>
        <w:rPr>
          <w:rFonts w:ascii="Arial" w:cs="Arial" w:eastAsia="Arial" w:hAnsi="Arial"/>
          <w:sz w:val="16"/>
          <w:szCs w:val="16"/>
          <w:color w:val="auto"/>
        </w:rPr>
        <w:t>. Confidential Information may be conveyed in tangible or intangible form. Disclosing Party must clearly mark its Confidential Information “confidential.” If disclosing Party communicates Confidential Information in non-written form, it shall reduce such communications to writing, clearly mark it “confidential”, and provide a copy to receiving Party within 30 days of original communication at the address in Article 21 “Notices”.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u w:val="single" w:color="auto"/>
          <w:color w:val="auto"/>
        </w:rPr>
        <w:t>No Unauthorized Disclosure of Confidential Information</w:t>
      </w:r>
      <w:r>
        <w:rPr>
          <w:rFonts w:ascii="Arial" w:cs="Arial" w:eastAsia="Arial" w:hAnsi="Arial"/>
          <w:sz w:val="17"/>
          <w:szCs w:val="17"/>
          <w:color w:val="auto"/>
        </w:rPr>
        <w:t>. Beginning on the Effective Date and continuing throughout the term of this Agreement and thereafter for a period of [XXX], receiving Party shall not disclose or otherwise make known or available to any Third Party any disclosing Party Confidential Information, without the express prior written consent of disclosing Party. Notwithstanding the foregoing, receiving Party shall be permitted to disclose disclosing Party Confidential Information to (i) actual or potential investors, lenders, consultants, collaborators, Sublicensees, or development partners, which disclosure will be made under conditions of confidentiality and limited use and (ii) its attorney or agent as reasonably required. In no event shall receiving Party incorporate or otherwise use disclosing Party’s Confidential Information in connection with any patent application filed by or on behalf of receiving Party. Receiving Party shall restrict the use of disclosing Party’s Confidential Information exclusively to the terms of this Agreement. Receiving Party shall use reasonable procedures to safeguard disclosing Party’s Confidential Information. In the case where Company is the receiving Party, Company’s confidentiality obligations will also apply equally to Sublicensees.</w:t>
      </w:r>
    </w:p>
    <w:p>
      <w:pPr>
        <w:spacing w:after="0" w:line="18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u w:val="single" w:color="auto"/>
          <w:color w:val="auto"/>
        </w:rPr>
        <w:t>Access to University Information</w:t>
      </w:r>
      <w:r>
        <w:rPr>
          <w:rFonts w:ascii="Arial" w:cs="Arial" w:eastAsia="Arial" w:hAnsi="Arial"/>
          <w:sz w:val="17"/>
          <w:szCs w:val="17"/>
          <w:color w:val="auto"/>
        </w:rPr>
        <w:t>. University is an agency of the state of Washington and is subject to the Washington Public Records Act, RCW 42.56 et seq., (“Act”), and no obligation assumed by University under this Agreement shall be deemed to be inconsistent with University’s obligations as defined under the Act and as interpreted by University in its sole discretion. If University receives a request for public records under the Act for documents containing Company Confidential Information, and if University concludes that the documents are not otherwise exempt from public disclosure, University will provide Company notice of the request before releasing such documents. Such notice</w:t>
      </w:r>
    </w:p>
    <w:p>
      <w:pPr>
        <w:spacing w:after="0" w:line="105"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Page 14 of 21</w:t>
      </w:r>
    </w:p>
    <w:p>
      <w:pPr>
        <w:spacing w:after="0" w:line="158" w:lineRule="exact"/>
        <w:rPr>
          <w:sz w:val="20"/>
          <w:szCs w:val="20"/>
          <w:color w:val="auto"/>
        </w:rPr>
      </w:pPr>
    </w:p>
    <w:p>
      <w:pPr>
        <w:ind w:left="1580" w:right="1320" w:hanging="191"/>
        <w:spacing w:after="0" w:line="308" w:lineRule="auto"/>
        <w:tabs>
          <w:tab w:leader="none" w:pos="1945" w:val="left"/>
        </w:tabs>
        <w:numPr>
          <w:ilvl w:val="0"/>
          <w:numId w:val="493"/>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60"/>
          </w:cols>
          <w:pgMar w:left="240" w:top="269" w:right="299" w:bottom="1440" w:gutter="0" w:footer="0" w:header="0"/>
        </w:sectPr>
      </w:pPr>
    </w:p>
    <w:bookmarkStart w:id="568" w:name="page569"/>
    <w:bookmarkEnd w:id="5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will be provided in a timely manner to afford Company sufficient time to review such documents and/or seek a protective order, at Company’s expense utilizing the procedures described in RCW 42.56.540. University shall have no obligation to protect Company Confidential Information from disclosure in response to a request for public records.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Disclosure as Required by Law</w:t>
      </w:r>
      <w:r>
        <w:rPr>
          <w:rFonts w:ascii="Arial" w:cs="Arial" w:eastAsia="Arial" w:hAnsi="Arial"/>
          <w:sz w:val="18"/>
          <w:szCs w:val="18"/>
          <w:color w:val="auto"/>
        </w:rPr>
        <w:t>. Either Party shall have the right to disclose the other Party’s Confidential Information as required by law or valid court order, provided that such Party shall inform the Party who owns such Confidential Information prior to such disclosure and shall limit the scope and recipient of disclosure to the extent required by such law or court order.</w:t>
      </w:r>
    </w:p>
    <w:p>
      <w:pPr>
        <w:spacing w:after="0" w:line="326" w:lineRule="exact"/>
        <w:rPr>
          <w:sz w:val="20"/>
          <w:szCs w:val="20"/>
          <w:color w:val="auto"/>
        </w:rPr>
      </w:pPr>
    </w:p>
    <w:p>
      <w:pPr>
        <w:ind w:left="460" w:hanging="452"/>
        <w:spacing w:after="0"/>
        <w:tabs>
          <w:tab w:leader="none" w:pos="460" w:val="left"/>
        </w:tabs>
        <w:numPr>
          <w:ilvl w:val="0"/>
          <w:numId w:val="494"/>
        </w:numPr>
        <w:rPr>
          <w:rFonts w:ascii="Arial" w:cs="Arial" w:eastAsia="Arial" w:hAnsi="Arial"/>
          <w:sz w:val="18"/>
          <w:szCs w:val="18"/>
          <w:b w:val="1"/>
          <w:bCs w:val="1"/>
          <w:color w:val="auto"/>
        </w:rPr>
      </w:pPr>
      <w:r>
        <w:rPr>
          <w:rFonts w:ascii="Arial" w:cs="Arial" w:eastAsia="Arial" w:hAnsi="Arial"/>
          <w:sz w:val="18"/>
          <w:szCs w:val="18"/>
          <w:b w:val="1"/>
          <w:bCs w:val="1"/>
          <w:color w:val="auto"/>
        </w:rPr>
        <w:t>Consent and Approvals.</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Except as otherwise expressly provided, all consents or approvals required under the terms of this Agreement must be in writing and will not be unreasonably withheld or delayed.</w:t>
      </w:r>
    </w:p>
    <w:p>
      <w:pPr>
        <w:spacing w:after="0" w:line="315" w:lineRule="exact"/>
        <w:rPr>
          <w:sz w:val="20"/>
          <w:szCs w:val="20"/>
          <w:color w:val="auto"/>
        </w:rPr>
      </w:pPr>
    </w:p>
    <w:p>
      <w:pPr>
        <w:ind w:left="460" w:hanging="452"/>
        <w:spacing w:after="0"/>
        <w:tabs>
          <w:tab w:leader="none" w:pos="460"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w:t>
      </w:r>
    </w:p>
    <w:p>
      <w:pPr>
        <w:spacing w:after="0" w:line="121" w:lineRule="exact"/>
        <w:rPr>
          <w:sz w:val="20"/>
          <w:szCs w:val="20"/>
          <w:color w:val="auto"/>
        </w:rPr>
      </w:pPr>
    </w:p>
    <w:p>
      <w:pPr>
        <w:jc w:val="both"/>
        <w:ind w:right="580" w:firstLine="913"/>
        <w:spacing w:after="0" w:line="264" w:lineRule="auto"/>
        <w:rPr>
          <w:sz w:val="20"/>
          <w:szCs w:val="20"/>
          <w:color w:val="auto"/>
        </w:rPr>
      </w:pPr>
      <w:r>
        <w:rPr>
          <w:rFonts w:ascii="Arial" w:cs="Arial" w:eastAsia="Arial" w:hAnsi="Arial"/>
          <w:sz w:val="18"/>
          <w:szCs w:val="18"/>
          <w:color w:val="auto"/>
        </w:rPr>
        <w:t>The headings preceding and labeling the sections of this Agreement are for the purpose of identification only and will not in any event be employed or used for the purpose of construction or interpretation of any portion of this Agreement. As used herein and where necessary, the singular includes the plural and vice versa, and masculine, feminine, and neuter expressions are interchangeable.</w:t>
      </w:r>
    </w:p>
    <w:p>
      <w:pPr>
        <w:spacing w:after="0" w:line="326" w:lineRule="exact"/>
        <w:rPr>
          <w:sz w:val="20"/>
          <w:szCs w:val="20"/>
          <w:color w:val="auto"/>
        </w:rPr>
      </w:pPr>
    </w:p>
    <w:p>
      <w:pPr>
        <w:ind w:left="460" w:hanging="452"/>
        <w:spacing w:after="0"/>
        <w:tabs>
          <w:tab w:leader="none" w:pos="460"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Enforceability.</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If a court of competent jurisdiction adjudges a provision of this Agreement unenforceable, invalid, or void, such determination will not impair the enforceability of any of the remaining provisions hereof and the provisions will remain in full force and effect.</w:t>
      </w:r>
    </w:p>
    <w:p>
      <w:pPr>
        <w:spacing w:after="0" w:line="315" w:lineRule="exact"/>
        <w:rPr>
          <w:sz w:val="20"/>
          <w:szCs w:val="20"/>
          <w:color w:val="auto"/>
        </w:rPr>
      </w:pPr>
    </w:p>
    <w:p>
      <w:pPr>
        <w:ind w:left="460" w:hanging="452"/>
        <w:spacing w:after="0"/>
        <w:tabs>
          <w:tab w:leader="none" w:pos="46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t>No Third-Party Beneficiaries.</w:t>
      </w:r>
    </w:p>
    <w:p>
      <w:pPr>
        <w:spacing w:after="0" w:line="121" w:lineRule="exact"/>
        <w:rPr>
          <w:sz w:val="20"/>
          <w:szCs w:val="20"/>
          <w:color w:val="auto"/>
        </w:rPr>
      </w:pPr>
    </w:p>
    <w:p>
      <w:pPr>
        <w:ind w:right="460" w:firstLine="913"/>
        <w:spacing w:after="0" w:line="308" w:lineRule="auto"/>
        <w:rPr>
          <w:sz w:val="20"/>
          <w:szCs w:val="20"/>
          <w:color w:val="auto"/>
        </w:rPr>
      </w:pPr>
      <w:r>
        <w:rPr>
          <w:rFonts w:ascii="Arial" w:cs="Arial" w:eastAsia="Arial" w:hAnsi="Arial"/>
          <w:sz w:val="17"/>
          <w:szCs w:val="17"/>
          <w:color w:val="auto"/>
        </w:rPr>
        <w:t>No provision of this Agreement, express or implied, confers upon any person other than the Parties to this Agreement any rights, remedies, obligations, or liabilities hereunder. No Sublicensee shall have a right to enforce or seek damages under this Agreement.</w:t>
      </w:r>
    </w:p>
    <w:p>
      <w:pPr>
        <w:spacing w:after="0" w:line="291" w:lineRule="exact"/>
        <w:rPr>
          <w:sz w:val="20"/>
          <w:szCs w:val="20"/>
          <w:color w:val="auto"/>
        </w:rPr>
      </w:pPr>
    </w:p>
    <w:p>
      <w:pPr>
        <w:ind w:left="460" w:hanging="452"/>
        <w:spacing w:after="0"/>
        <w:tabs>
          <w:tab w:leader="none" w:pos="460"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Language.</w:t>
      </w:r>
    </w:p>
    <w:p>
      <w:pPr>
        <w:spacing w:after="0" w:line="12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Unless otherwise expressly provided in this Agreement, all notices, reports, and other documents and instruments that a Party hereto elects or is required by the terms of this Agreement to deliver to the other Party hereto will be in English.</w:t>
      </w:r>
    </w:p>
    <w:p>
      <w:pPr>
        <w:spacing w:after="0" w:line="103"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Page 15 of 21</w:t>
      </w:r>
    </w:p>
    <w:p>
      <w:pPr>
        <w:spacing w:after="0" w:line="158" w:lineRule="exact"/>
        <w:rPr>
          <w:sz w:val="20"/>
          <w:szCs w:val="20"/>
          <w:color w:val="auto"/>
        </w:rPr>
      </w:pPr>
    </w:p>
    <w:p>
      <w:pPr>
        <w:ind w:left="1580" w:right="1360" w:hanging="191"/>
        <w:spacing w:after="0" w:line="308" w:lineRule="auto"/>
        <w:tabs>
          <w:tab w:leader="none" w:pos="1945" w:val="left"/>
        </w:tabs>
        <w:numPr>
          <w:ilvl w:val="0"/>
          <w:numId w:val="49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70" w:right="259" w:bottom="1440" w:gutter="0" w:footer="0" w:header="0"/>
        </w:sectPr>
      </w:pPr>
    </w:p>
    <w:bookmarkStart w:id="569" w:name="page570"/>
    <w:bookmarkEnd w:id="5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460" w:hanging="452"/>
        <w:spacing w:after="0"/>
        <w:tabs>
          <w:tab w:leader="none" w:pos="460"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All notices, requests, and other communications that a Party is required or elects to deliver will be in writing and will be delivered personally, or by facsimile or electronic mail (provided such delivery is confirmed), or by a recognized overnight courier service or by United States mail, first-class, certified or registered, postage prepaid, return receipt requested, to the other Party at its address set forth below or to another address as a Party may designate by notice given pursuant to this article:</w:t>
      </w:r>
    </w:p>
    <w:p>
      <w:pPr>
        <w:spacing w:after="0" w:line="214"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1620" w:type="dxa"/>
            <w:vAlign w:val="bottom"/>
          </w:tcPr>
          <w:p>
            <w:pPr>
              <w:jc w:val="center"/>
              <w:ind w:right="370"/>
              <w:spacing w:after="0"/>
              <w:rPr>
                <w:sz w:val="20"/>
                <w:szCs w:val="20"/>
                <w:color w:val="auto"/>
              </w:rPr>
            </w:pPr>
            <w:r>
              <w:rPr>
                <w:rFonts w:ascii="Arial" w:cs="Arial" w:eastAsia="Arial" w:hAnsi="Arial"/>
                <w:sz w:val="18"/>
                <w:szCs w:val="18"/>
                <w:color w:val="auto"/>
                <w:w w:val="97"/>
              </w:rPr>
              <w:t>If to University:</w:t>
            </w:r>
          </w:p>
        </w:tc>
        <w:tc>
          <w:tcPr>
            <w:tcW w:w="4140" w:type="dxa"/>
            <w:vAlign w:val="bottom"/>
          </w:tcPr>
          <w:p>
            <w:pPr>
              <w:ind w:left="440"/>
              <w:spacing w:after="0"/>
              <w:rPr>
                <w:sz w:val="20"/>
                <w:szCs w:val="20"/>
                <w:color w:val="auto"/>
              </w:rPr>
            </w:pPr>
            <w:r>
              <w:rPr>
                <w:rFonts w:ascii="Arial" w:cs="Arial" w:eastAsia="Arial" w:hAnsi="Arial"/>
                <w:sz w:val="18"/>
                <w:szCs w:val="18"/>
                <w:color w:val="auto"/>
              </w:rPr>
              <w:t>UW CoMotion</w:t>
            </w:r>
          </w:p>
        </w:tc>
      </w:tr>
      <w:tr>
        <w:trPr>
          <w:trHeight w:val="216"/>
        </w:trPr>
        <w:tc>
          <w:tcPr>
            <w:tcW w:w="1620" w:type="dxa"/>
            <w:vAlign w:val="bottom"/>
          </w:tcPr>
          <w:p>
            <w:pPr>
              <w:spacing w:after="0"/>
              <w:rPr>
                <w:sz w:val="18"/>
                <w:szCs w:val="18"/>
                <w:color w:val="auto"/>
              </w:rPr>
            </w:pPr>
          </w:p>
        </w:tc>
        <w:tc>
          <w:tcPr>
            <w:tcW w:w="4140" w:type="dxa"/>
            <w:vAlign w:val="bottom"/>
          </w:tcPr>
          <w:p>
            <w:pPr>
              <w:ind w:left="440"/>
              <w:spacing w:after="0"/>
              <w:rPr>
                <w:sz w:val="20"/>
                <w:szCs w:val="20"/>
                <w:color w:val="auto"/>
              </w:rPr>
            </w:pPr>
            <w:r>
              <w:rPr>
                <w:rFonts w:ascii="Arial" w:cs="Arial" w:eastAsia="Arial" w:hAnsi="Arial"/>
                <w:sz w:val="18"/>
                <w:szCs w:val="18"/>
                <w:color w:val="auto"/>
              </w:rPr>
              <w:t>ATTN: Director, Innovation Development</w:t>
            </w:r>
          </w:p>
        </w:tc>
      </w:tr>
      <w:tr>
        <w:trPr>
          <w:trHeight w:val="216"/>
        </w:trPr>
        <w:tc>
          <w:tcPr>
            <w:tcW w:w="1620" w:type="dxa"/>
            <w:vAlign w:val="bottom"/>
          </w:tcPr>
          <w:p>
            <w:pPr>
              <w:spacing w:after="0"/>
              <w:rPr>
                <w:sz w:val="18"/>
                <w:szCs w:val="18"/>
                <w:color w:val="auto"/>
              </w:rPr>
            </w:pPr>
          </w:p>
        </w:tc>
        <w:tc>
          <w:tcPr>
            <w:tcW w:w="4140" w:type="dxa"/>
            <w:vAlign w:val="bottom"/>
          </w:tcPr>
          <w:p>
            <w:pPr>
              <w:ind w:left="440"/>
              <w:spacing w:after="0"/>
              <w:rPr>
                <w:sz w:val="20"/>
                <w:szCs w:val="20"/>
                <w:color w:val="auto"/>
              </w:rPr>
            </w:pPr>
            <w:r>
              <w:rPr>
                <w:rFonts w:ascii="Arial" w:cs="Arial" w:eastAsia="Arial" w:hAnsi="Arial"/>
                <w:sz w:val="18"/>
                <w:szCs w:val="18"/>
                <w:color w:val="auto"/>
              </w:rPr>
              <w:t>4311 11</w:t>
            </w:r>
            <w:r>
              <w:rPr>
                <w:rFonts w:ascii="Arial" w:cs="Arial" w:eastAsia="Arial" w:hAnsi="Arial"/>
                <w:sz w:val="15"/>
                <w:szCs w:val="15"/>
                <w:color w:val="auto"/>
              </w:rPr>
              <w:t>th</w:t>
            </w:r>
            <w:r>
              <w:rPr>
                <w:rFonts w:ascii="Arial" w:cs="Arial" w:eastAsia="Arial" w:hAnsi="Arial"/>
                <w:sz w:val="18"/>
                <w:szCs w:val="18"/>
                <w:color w:val="auto"/>
              </w:rPr>
              <w:t xml:space="preserve"> Avenue NE, Suite 500</w:t>
            </w:r>
          </w:p>
        </w:tc>
      </w:tr>
      <w:tr>
        <w:trPr>
          <w:trHeight w:val="216"/>
        </w:trPr>
        <w:tc>
          <w:tcPr>
            <w:tcW w:w="1620" w:type="dxa"/>
            <w:vAlign w:val="bottom"/>
          </w:tcPr>
          <w:p>
            <w:pPr>
              <w:spacing w:after="0"/>
              <w:rPr>
                <w:sz w:val="18"/>
                <w:szCs w:val="18"/>
                <w:color w:val="auto"/>
              </w:rPr>
            </w:pPr>
          </w:p>
        </w:tc>
        <w:tc>
          <w:tcPr>
            <w:tcW w:w="4140" w:type="dxa"/>
            <w:vAlign w:val="bottom"/>
          </w:tcPr>
          <w:p>
            <w:pPr>
              <w:ind w:left="440"/>
              <w:spacing w:after="0"/>
              <w:rPr>
                <w:sz w:val="20"/>
                <w:szCs w:val="20"/>
                <w:color w:val="auto"/>
              </w:rPr>
            </w:pPr>
            <w:r>
              <w:rPr>
                <w:rFonts w:ascii="Arial" w:cs="Arial" w:eastAsia="Arial" w:hAnsi="Arial"/>
                <w:sz w:val="18"/>
                <w:szCs w:val="18"/>
                <w:color w:val="auto"/>
              </w:rPr>
              <w:t>Seattle, WA 98105-4608</w:t>
            </w:r>
          </w:p>
        </w:tc>
      </w:tr>
      <w:tr>
        <w:trPr>
          <w:trHeight w:val="230"/>
        </w:trPr>
        <w:tc>
          <w:tcPr>
            <w:tcW w:w="1620" w:type="dxa"/>
            <w:vAlign w:val="bottom"/>
          </w:tcPr>
          <w:p>
            <w:pPr>
              <w:spacing w:after="0"/>
              <w:rPr>
                <w:sz w:val="20"/>
                <w:szCs w:val="20"/>
                <w:color w:val="auto"/>
              </w:rPr>
            </w:pPr>
          </w:p>
        </w:tc>
        <w:tc>
          <w:tcPr>
            <w:tcW w:w="4140" w:type="dxa"/>
            <w:vAlign w:val="bottom"/>
          </w:tcPr>
          <w:p>
            <w:pPr>
              <w:ind w:left="440"/>
              <w:spacing w:after="0"/>
              <w:rPr>
                <w:sz w:val="20"/>
                <w:szCs w:val="20"/>
                <w:color w:val="auto"/>
              </w:rPr>
            </w:pPr>
            <w:r>
              <w:rPr>
                <w:rFonts w:ascii="Arial" w:cs="Arial" w:eastAsia="Arial" w:hAnsi="Arial"/>
                <w:sz w:val="18"/>
                <w:szCs w:val="18"/>
                <w:color w:val="auto"/>
              </w:rPr>
              <w:t>Facsimile No.:</w:t>
            </w:r>
          </w:p>
        </w:tc>
      </w:tr>
      <w:tr>
        <w:trPr>
          <w:trHeight w:val="418"/>
        </w:trPr>
        <w:tc>
          <w:tcPr>
            <w:tcW w:w="1620" w:type="dxa"/>
            <w:vAlign w:val="bottom"/>
          </w:tcPr>
          <w:p>
            <w:pPr>
              <w:jc w:val="center"/>
              <w:ind w:right="350"/>
              <w:spacing w:after="0"/>
              <w:rPr>
                <w:sz w:val="20"/>
                <w:szCs w:val="20"/>
                <w:color w:val="auto"/>
              </w:rPr>
            </w:pPr>
            <w:r>
              <w:rPr>
                <w:rFonts w:ascii="Arial" w:cs="Arial" w:eastAsia="Arial" w:hAnsi="Arial"/>
                <w:sz w:val="18"/>
                <w:szCs w:val="18"/>
                <w:color w:val="auto"/>
                <w:w w:val="93"/>
              </w:rPr>
              <w:t>If to Company:</w:t>
            </w:r>
          </w:p>
        </w:tc>
        <w:tc>
          <w:tcPr>
            <w:tcW w:w="4140" w:type="dxa"/>
            <w:vAlign w:val="bottom"/>
          </w:tcPr>
          <w:p>
            <w:pPr>
              <w:ind w:left="440"/>
              <w:spacing w:after="0"/>
              <w:rPr>
                <w:sz w:val="20"/>
                <w:szCs w:val="20"/>
                <w:color w:val="auto"/>
              </w:rPr>
            </w:pPr>
            <w:r>
              <w:rPr>
                <w:rFonts w:ascii="Arial" w:cs="Arial" w:eastAsia="Arial" w:hAnsi="Arial"/>
                <w:sz w:val="18"/>
                <w:szCs w:val="18"/>
                <w:color w:val="auto"/>
                <w:w w:val="90"/>
              </w:rPr>
              <w:t>Attn: Charles Legg, Head of Program Management</w:t>
            </w:r>
          </w:p>
        </w:tc>
      </w:tr>
      <w:tr>
        <w:trPr>
          <w:trHeight w:val="216"/>
        </w:trPr>
        <w:tc>
          <w:tcPr>
            <w:tcW w:w="1620" w:type="dxa"/>
            <w:vAlign w:val="bottom"/>
          </w:tcPr>
          <w:p>
            <w:pPr>
              <w:spacing w:after="0"/>
              <w:rPr>
                <w:sz w:val="18"/>
                <w:szCs w:val="18"/>
                <w:color w:val="auto"/>
              </w:rPr>
            </w:pPr>
          </w:p>
        </w:tc>
        <w:tc>
          <w:tcPr>
            <w:tcW w:w="4140" w:type="dxa"/>
            <w:vAlign w:val="bottom"/>
          </w:tcPr>
          <w:p>
            <w:pPr>
              <w:ind w:left="440"/>
              <w:spacing w:after="0"/>
              <w:rPr>
                <w:sz w:val="20"/>
                <w:szCs w:val="20"/>
                <w:color w:val="auto"/>
              </w:rPr>
            </w:pPr>
            <w:r>
              <w:rPr>
                <w:rFonts w:ascii="Arial" w:cs="Arial" w:eastAsia="Arial" w:hAnsi="Arial"/>
                <w:sz w:val="18"/>
                <w:szCs w:val="18"/>
                <w:color w:val="auto"/>
              </w:rPr>
              <w:t>Solid GT</w:t>
            </w:r>
          </w:p>
        </w:tc>
      </w:tr>
      <w:tr>
        <w:trPr>
          <w:trHeight w:val="216"/>
        </w:trPr>
        <w:tc>
          <w:tcPr>
            <w:tcW w:w="1620" w:type="dxa"/>
            <w:vAlign w:val="bottom"/>
          </w:tcPr>
          <w:p>
            <w:pPr>
              <w:spacing w:after="0"/>
              <w:rPr>
                <w:sz w:val="18"/>
                <w:szCs w:val="18"/>
                <w:color w:val="auto"/>
              </w:rPr>
            </w:pPr>
          </w:p>
        </w:tc>
        <w:tc>
          <w:tcPr>
            <w:tcW w:w="4140" w:type="dxa"/>
            <w:vAlign w:val="bottom"/>
          </w:tcPr>
          <w:p>
            <w:pPr>
              <w:ind w:left="440"/>
              <w:spacing w:after="0"/>
              <w:rPr>
                <w:sz w:val="20"/>
                <w:szCs w:val="20"/>
                <w:color w:val="auto"/>
              </w:rPr>
            </w:pPr>
            <w:r>
              <w:rPr>
                <w:rFonts w:ascii="Arial" w:cs="Arial" w:eastAsia="Arial" w:hAnsi="Arial"/>
                <w:sz w:val="18"/>
                <w:szCs w:val="18"/>
                <w:color w:val="auto"/>
              </w:rPr>
              <w:t>One Broadway</w:t>
            </w:r>
          </w:p>
        </w:tc>
      </w:tr>
      <w:tr>
        <w:trPr>
          <w:trHeight w:val="216"/>
        </w:trPr>
        <w:tc>
          <w:tcPr>
            <w:tcW w:w="1620" w:type="dxa"/>
            <w:vAlign w:val="bottom"/>
          </w:tcPr>
          <w:p>
            <w:pPr>
              <w:spacing w:after="0"/>
              <w:rPr>
                <w:sz w:val="18"/>
                <w:szCs w:val="18"/>
                <w:color w:val="auto"/>
              </w:rPr>
            </w:pPr>
          </w:p>
        </w:tc>
        <w:tc>
          <w:tcPr>
            <w:tcW w:w="4140" w:type="dxa"/>
            <w:vAlign w:val="bottom"/>
          </w:tcPr>
          <w:p>
            <w:pPr>
              <w:ind w:left="440"/>
              <w:spacing w:after="0"/>
              <w:rPr>
                <w:sz w:val="20"/>
                <w:szCs w:val="20"/>
                <w:color w:val="auto"/>
              </w:rPr>
            </w:pPr>
            <w:r>
              <w:rPr>
                <w:rFonts w:ascii="Arial" w:cs="Arial" w:eastAsia="Arial" w:hAnsi="Arial"/>
                <w:sz w:val="18"/>
                <w:szCs w:val="18"/>
                <w:color w:val="auto"/>
              </w:rPr>
              <w:t>Cambridge, MA 02142</w:t>
            </w:r>
          </w:p>
        </w:tc>
      </w:tr>
      <w:tr>
        <w:trPr>
          <w:trHeight w:val="230"/>
        </w:trPr>
        <w:tc>
          <w:tcPr>
            <w:tcW w:w="1620" w:type="dxa"/>
            <w:vAlign w:val="bottom"/>
          </w:tcPr>
          <w:p>
            <w:pPr>
              <w:spacing w:after="0"/>
              <w:rPr>
                <w:sz w:val="20"/>
                <w:szCs w:val="20"/>
                <w:color w:val="auto"/>
              </w:rPr>
            </w:pPr>
          </w:p>
        </w:tc>
        <w:tc>
          <w:tcPr>
            <w:tcW w:w="4140" w:type="dxa"/>
            <w:vAlign w:val="bottom"/>
          </w:tcPr>
          <w:p>
            <w:pPr>
              <w:ind w:left="440"/>
              <w:spacing w:after="0"/>
              <w:rPr>
                <w:sz w:val="20"/>
                <w:szCs w:val="20"/>
                <w:color w:val="auto"/>
              </w:rPr>
            </w:pPr>
            <w:r>
              <w:rPr>
                <w:rFonts w:ascii="Arial" w:cs="Arial" w:eastAsia="Arial" w:hAnsi="Arial"/>
                <w:sz w:val="18"/>
                <w:szCs w:val="18"/>
                <w:color w:val="auto"/>
              </w:rPr>
              <w:t>E-mail:</w:t>
            </w:r>
          </w:p>
        </w:tc>
      </w:tr>
    </w:tbl>
    <w:p>
      <w:pPr>
        <w:spacing w:after="0" w:line="346" w:lineRule="exact"/>
        <w:rPr>
          <w:sz w:val="20"/>
          <w:szCs w:val="20"/>
          <w:color w:val="auto"/>
        </w:rPr>
      </w:pPr>
    </w:p>
    <w:p>
      <w:pPr>
        <w:ind w:left="460" w:hanging="452"/>
        <w:spacing w:after="0"/>
        <w:tabs>
          <w:tab w:leader="none" w:pos="46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Patent Marking.</w:t>
      </w:r>
    </w:p>
    <w:p>
      <w:pPr>
        <w:spacing w:after="0" w:line="121"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Company shall mark all material forms of Licensed Product(s) or packaging pertaining thereto made and sold by Company in the United States with patent marking conforming to 35 U.S.C. §287(a), as amended from time to time. Such marking shall further identify the pendency of any U.S. patent application and/or any issued U.S. or foreign patent forming any part of the Licensed Patents. All Licensed Product(s) shipped to or sold in other countries will be marked in such a manner as to provide notice to potential infringers pursuant to the patent law and practice of the country of manufacture or sale.</w:t>
      </w:r>
    </w:p>
    <w:p>
      <w:pPr>
        <w:spacing w:after="0" w:line="299" w:lineRule="exact"/>
        <w:rPr>
          <w:sz w:val="20"/>
          <w:szCs w:val="20"/>
          <w:color w:val="auto"/>
        </w:rPr>
      </w:pPr>
    </w:p>
    <w:p>
      <w:pPr>
        <w:ind w:left="460" w:hanging="452"/>
        <w:spacing w:after="0"/>
        <w:tabs>
          <w:tab w:leader="none" w:pos="460"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color w:val="auto"/>
        </w:rPr>
        <w:t>Publicity.</w:t>
      </w:r>
    </w:p>
    <w:p>
      <w:pPr>
        <w:spacing w:after="0" w:line="12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University shall have the right to report in its customary publications and presentations that University and Company have entered into a license agreement for the technology covered by the Licensed Patents and University may use Company logos in such publications and presentations provided that University does not modify Company’s logos and does not through such use imply any endorsement by Company of University.</w:t>
      </w:r>
    </w:p>
    <w:p>
      <w:pPr>
        <w:spacing w:after="0" w:line="16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Parties will cooperate with one another to review and respond to any press release or similar communication proposed by the other Party regarding the non-confidential subject matter of this Agreement. The specific content and timing of such press releases or similar communication is subject to mutual agreement by the Parties, which will not be unreasonably withheld. Further, University and Company shall issue a joint press release regarding this Agreement, subject to both Party’s review and approval of the specific content thereof, and such press release shall include specific mention of the contributions of University personnel and University in developing the technology in a prominent portion of the press release. Company shall provide University with appropriate quotes for such press release. University may post the press release in digital and print publications as well as on University’s own website.</w:t>
      </w:r>
    </w:p>
    <w:p>
      <w:pPr>
        <w:spacing w:after="0" w:line="334" w:lineRule="exact"/>
        <w:rPr>
          <w:sz w:val="20"/>
          <w:szCs w:val="20"/>
          <w:color w:val="auto"/>
        </w:rPr>
      </w:pPr>
    </w:p>
    <w:p>
      <w:pPr>
        <w:ind w:left="460" w:hanging="452"/>
        <w:spacing w:after="0"/>
        <w:tabs>
          <w:tab w:leader="none" w:pos="460"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of Parties.</w:t>
      </w:r>
    </w:p>
    <w:p>
      <w:pPr>
        <w:spacing w:after="0" w:line="121"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In entering into, and performing their duties under, this Agreement, the Parties are acting as independent contractors and independent employers. No provision of this Agreement shall create or be construed as creating a partnership, joint venture, or agency relationship between the Parties. No Party shall have the authority to act for or bind the other Party in any respect.</w:t>
      </w:r>
    </w:p>
    <w:p>
      <w:pPr>
        <w:spacing w:after="0" w:line="114"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Page 16 of 21</w:t>
      </w:r>
    </w:p>
    <w:p>
      <w:pPr>
        <w:spacing w:after="0" w:line="158" w:lineRule="exact"/>
        <w:rPr>
          <w:sz w:val="20"/>
          <w:szCs w:val="20"/>
          <w:color w:val="auto"/>
        </w:rPr>
      </w:pPr>
    </w:p>
    <w:p>
      <w:pPr>
        <w:ind w:left="1580" w:right="1340" w:hanging="191"/>
        <w:spacing w:after="0" w:line="308" w:lineRule="auto"/>
        <w:tabs>
          <w:tab w:leader="none" w:pos="1945" w:val="left"/>
        </w:tabs>
        <w:numPr>
          <w:ilvl w:val="0"/>
          <w:numId w:val="50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570" w:name="page571"/>
    <w:bookmarkEnd w:id="5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460" w:hanging="452"/>
        <w:spacing w:after="0"/>
        <w:tabs>
          <w:tab w:leader="none" w:pos="46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Principal Investigator.</w:t>
      </w:r>
    </w:p>
    <w:p>
      <w:pPr>
        <w:spacing w:after="0" w:line="121"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Company acknowledges that Principal Investigator is employed by University and has certain pre-existing obligations to University, including obligations with respect to disclosure and ownership of intellectual property and obligations arising from sponsored research agreements between University and Third Parties. Accordingly, Company agrees that to the extent that any consulting agreement is inconsistent with any of Principal Investigator’s obligations to University, including the reporting of all inventions developed while employed by University (regardless of where arising) and including contractual obligations arising under any sponsored research agreements between University and Third Parties, then Principal Investigator’s obligations to University shall prevail and to such extent any inconsistent provisions of this consulting agreement shall be deemed inapplicable and unenforceable.</w:t>
      </w:r>
    </w:p>
    <w:p>
      <w:pPr>
        <w:spacing w:after="0" w:line="309" w:lineRule="exact"/>
        <w:rPr>
          <w:sz w:val="20"/>
          <w:szCs w:val="20"/>
          <w:color w:val="auto"/>
        </w:rPr>
      </w:pPr>
    </w:p>
    <w:p>
      <w:pPr>
        <w:ind w:left="460" w:hanging="452"/>
        <w:spacing w:after="0"/>
        <w:tabs>
          <w:tab w:leader="none" w:pos="460"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color w:val="auto"/>
        </w:rPr>
        <w:t>Security Interest.</w:t>
      </w:r>
    </w:p>
    <w:p>
      <w:pPr>
        <w:spacing w:after="0" w:line="12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In no event shall Company grant, or permit any person to assert or perfect, a security interest in Licensed Patents or in Company’s rights under this Agreement.</w:t>
      </w:r>
    </w:p>
    <w:p>
      <w:pPr>
        <w:spacing w:after="0" w:line="315" w:lineRule="exact"/>
        <w:rPr>
          <w:sz w:val="20"/>
          <w:szCs w:val="20"/>
          <w:color w:val="auto"/>
        </w:rPr>
      </w:pPr>
    </w:p>
    <w:p>
      <w:pPr>
        <w:ind w:left="460" w:hanging="452"/>
        <w:spacing w:after="0"/>
        <w:tabs>
          <w:tab w:leader="none" w:pos="460"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Survival.</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Immediately upon the termination or expiration of this Agreement all Company’s rights under this Agreement will terminate; provided, however, Company’s obligations that have accrued prior to the effective date of termination or expiration of this Agreement (e.</w:t>
      </w:r>
      <w:r>
        <w:rPr>
          <w:rFonts w:ascii="Arial" w:cs="Arial" w:eastAsia="Arial" w:hAnsi="Arial"/>
          <w:sz w:val="17"/>
          <w:szCs w:val="17"/>
          <w:i w:val="1"/>
          <w:iCs w:val="1"/>
          <w:color w:val="auto"/>
        </w:rPr>
        <w:t>g.</w:t>
      </w:r>
      <w:r>
        <w:rPr>
          <w:rFonts w:ascii="Arial" w:cs="Arial" w:eastAsia="Arial" w:hAnsi="Arial"/>
          <w:sz w:val="17"/>
          <w:szCs w:val="17"/>
          <w:color w:val="auto"/>
        </w:rPr>
        <w:t>, the obligation to report and make payments on sales, leases, or dispositions of Licensed Products and to reimburse University for costs) and the obligations specified in Sections 6.1 “Payments” and 6.4 “Sales Reports” will survive. The obligations and rights set forth in Sections 6.5 “Records Retention and Audit Rights” and 9.3 “Effect of Termination” and Articles 10 “Release, Indemnification, and Insurance”, 11 “Warranties”, 12 “Damages”, 15 “Confidentiality”, 29 “Applicable Law” and 30 “Forum Selection” will survive the termination or expiration of this Agreement.</w:t>
      </w:r>
    </w:p>
    <w:p>
      <w:pPr>
        <w:spacing w:after="0" w:line="323" w:lineRule="exact"/>
        <w:rPr>
          <w:sz w:val="20"/>
          <w:szCs w:val="20"/>
          <w:color w:val="auto"/>
        </w:rPr>
      </w:pPr>
    </w:p>
    <w:p>
      <w:pPr>
        <w:ind w:left="460" w:hanging="452"/>
        <w:spacing w:after="0"/>
        <w:tabs>
          <w:tab w:leader="none" w:pos="46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Collection Costs and Attorneys’ Fees.</w:t>
      </w:r>
    </w:p>
    <w:p>
      <w:pPr>
        <w:spacing w:after="0" w:line="121"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If a Party fails to perform an obligation or otherwise breaches one or more of the terms of this Agreement, the other Party may recover from the non-performing breaching Party all its costs (including actual attorneys’ and investigative fees) to enforce the terms of this Agreement.</w:t>
      </w:r>
    </w:p>
    <w:p>
      <w:pPr>
        <w:spacing w:after="0" w:line="291" w:lineRule="exact"/>
        <w:rPr>
          <w:sz w:val="20"/>
          <w:szCs w:val="20"/>
          <w:color w:val="auto"/>
        </w:rPr>
      </w:pPr>
    </w:p>
    <w:p>
      <w:pPr>
        <w:ind w:left="460" w:hanging="452"/>
        <w:spacing w:after="0"/>
        <w:tabs>
          <w:tab w:leader="none" w:pos="460"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12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internal laws of the state of Washington will govern the validity, construction, and enforceability of this Agreement, without giving effect to the conflict of laws principles thereof.</w:t>
      </w:r>
    </w:p>
    <w:p>
      <w:pPr>
        <w:spacing w:after="0" w:line="315" w:lineRule="exact"/>
        <w:rPr>
          <w:sz w:val="20"/>
          <w:szCs w:val="20"/>
          <w:color w:val="auto"/>
        </w:rPr>
      </w:pPr>
    </w:p>
    <w:p>
      <w:pPr>
        <w:ind w:left="460" w:hanging="452"/>
        <w:spacing w:after="0"/>
        <w:tabs>
          <w:tab w:leader="none" w:pos="460"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A suit, claim, or other action to enforce the terms of this Agreement will be brought exclusively in the state and federal courts of King County, Washington. Company hereby submits to the jurisdiction of that court and waives any objections it may have to that court asserting jurisdiction over Company or its assets and property.</w:t>
      </w:r>
    </w:p>
    <w:p>
      <w:pPr>
        <w:spacing w:after="0" w:line="326" w:lineRule="exact"/>
        <w:rPr>
          <w:sz w:val="20"/>
          <w:szCs w:val="20"/>
          <w:color w:val="auto"/>
        </w:rPr>
      </w:pPr>
    </w:p>
    <w:p>
      <w:pPr>
        <w:ind w:left="460" w:hanging="452"/>
        <w:spacing w:after="0"/>
        <w:tabs>
          <w:tab w:leader="none" w:pos="460"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Company has evaluated the Licensed Patents under a Confidentiality Agreement (“CDA”) with University (UW # 35111A) with an effective date of June 16th, 2014 and under an Exclusive Option</w:t>
      </w:r>
    </w:p>
    <w:p>
      <w:pPr>
        <w:spacing w:after="0" w:line="103"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Page 17 of 21</w:t>
      </w:r>
    </w:p>
    <w:p>
      <w:pPr>
        <w:spacing w:after="0" w:line="158" w:lineRule="exact"/>
        <w:rPr>
          <w:sz w:val="20"/>
          <w:szCs w:val="20"/>
          <w:color w:val="auto"/>
        </w:rPr>
      </w:pPr>
    </w:p>
    <w:p>
      <w:pPr>
        <w:ind w:left="1580" w:right="1360" w:hanging="191"/>
        <w:spacing w:after="0" w:line="308" w:lineRule="auto"/>
        <w:tabs>
          <w:tab w:leader="none" w:pos="1945" w:val="left"/>
        </w:tabs>
        <w:numPr>
          <w:ilvl w:val="0"/>
          <w:numId w:val="512"/>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70" w:right="259" w:bottom="1440" w:gutter="0" w:footer="0" w:header="0"/>
        </w:sectPr>
      </w:pPr>
    </w:p>
    <w:bookmarkStart w:id="571" w:name="page572"/>
    <w:bookmarkEnd w:id="5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(“Option”) with University (UW # 36201A) with an effective date of February 5</w:t>
      </w:r>
      <w:r>
        <w:rPr>
          <w:rFonts w:ascii="Arial" w:cs="Arial" w:eastAsia="Arial" w:hAnsi="Arial"/>
          <w:sz w:val="15"/>
          <w:szCs w:val="15"/>
          <w:color w:val="auto"/>
        </w:rPr>
        <w:t>th</w:t>
      </w:r>
      <w:r>
        <w:rPr>
          <w:rFonts w:ascii="Arial" w:cs="Arial" w:eastAsia="Arial" w:hAnsi="Arial"/>
          <w:sz w:val="18"/>
          <w:szCs w:val="18"/>
          <w:color w:val="auto"/>
        </w:rPr>
        <w:t>, 2015. This Agreement (including all attachments, exhibits, and amendments) is the final and complete understanding between the Parties concerning licensing the Licensed Patents. This Agreement supersedes any and all prior or contemporaneous negotiations, representations, and agreements, whether written or oral, concerning the Licensed Patents. However, the obligations of nonuse and nondisclosure for Confidential Information disclosed pursuant to the CDA shall survive until June 16, 2019. Confidential Information disclosed pursuant to this Agreement shall be governed by the terms of this Agreement. This Agreement may not be modified in any manner, except by written agreement signed by an authorized representative of both Parties.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caused this Agreement to be duly executed by their respective authorized representatives.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University of Washington</w:t>
            </w:r>
          </w:p>
        </w:tc>
        <w:tc>
          <w:tcPr>
            <w:tcW w:w="112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Solid GT</w:t>
            </w:r>
          </w:p>
        </w:tc>
        <w:tc>
          <w:tcPr>
            <w:tcW w:w="502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Fiona Wills</w:t>
            </w:r>
          </w:p>
        </w:tc>
        <w:tc>
          <w:tcPr>
            <w:tcW w:w="1120" w:type="dxa"/>
            <w:vAlign w:val="bottom"/>
          </w:tcPr>
          <w:p>
            <w:pPr>
              <w:ind w:left="3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Ilan Ganot</w:t>
            </w: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Fiona Wills</w:t>
            </w:r>
          </w:p>
        </w:tc>
        <w:tc>
          <w:tcPr>
            <w:tcW w:w="1120" w:type="dxa"/>
            <w:vAlign w:val="bottom"/>
          </w:tcPr>
          <w:p>
            <w:pPr>
              <w:ind w:left="34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Ilan Ganot</w:t>
            </w: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Innovation Development</w:t>
            </w:r>
          </w:p>
        </w:tc>
        <w:tc>
          <w:tcPr>
            <w:tcW w:w="1120" w:type="dxa"/>
            <w:vAlign w:val="bottom"/>
          </w:tcPr>
          <w:p>
            <w:pPr>
              <w:ind w:left="340"/>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10/16/2015</w:t>
            </w:r>
          </w:p>
        </w:tc>
        <w:tc>
          <w:tcPr>
            <w:tcW w:w="1120" w:type="dxa"/>
            <w:vAlign w:val="bottom"/>
          </w:tcPr>
          <w:p>
            <w:pPr>
              <w:ind w:left="340"/>
              <w:spacing w:after="0"/>
              <w:rPr>
                <w:sz w:val="20"/>
                <w:szCs w:val="20"/>
                <w:color w:val="auto"/>
              </w:rPr>
            </w:pPr>
            <w:r>
              <w:rPr>
                <w:rFonts w:ascii="Arial" w:cs="Arial" w:eastAsia="Arial" w:hAnsi="Arial"/>
                <w:sz w:val="18"/>
                <w:szCs w:val="18"/>
                <w:color w:val="auto"/>
              </w:rPr>
              <w:t>Date: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10/16/2015</w:t>
            </w:r>
          </w:p>
        </w:tc>
      </w:tr>
    </w:tbl>
    <w:p>
      <w:pPr>
        <w:spacing w:after="0" w:line="148"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Page 18 of 21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13"/>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572" w:name="page573"/>
    <w:bookmarkEnd w:id="5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Exclusive Patent License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Licensed Patents:</w:t>
      </w:r>
    </w:p>
    <w:p>
      <w:pPr>
        <w:spacing w:after="0" w:line="126" w:lineRule="exact"/>
        <w:rPr>
          <w:sz w:val="20"/>
          <w:szCs w:val="20"/>
          <w:color w:val="auto"/>
        </w:rPr>
      </w:pPr>
    </w:p>
    <w:tbl>
      <w:tblPr>
        <w:tblLayout w:type="fixed"/>
        <w:tblInd w:w="240" w:type="dxa"/>
        <w:tblCellMar>
          <w:top w:w="0" w:type="dxa"/>
          <w:left w:w="0" w:type="dxa"/>
          <w:bottom w:w="0" w:type="dxa"/>
          <w:right w:w="0" w:type="dxa"/>
        </w:tblCellMar>
      </w:tblPr>
      <w:tr>
        <w:trPr>
          <w:trHeight w:val="19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UW Reference #</w:t>
            </w:r>
          </w:p>
        </w:tc>
        <w:tc>
          <w:tcPr>
            <w:tcW w:w="1080" w:type="dxa"/>
            <w:vAlign w:val="bottom"/>
          </w:tcPr>
          <w:p>
            <w:pPr>
              <w:spacing w:after="0"/>
              <w:rPr>
                <w:sz w:val="16"/>
                <w:szCs w:val="16"/>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Application Serial #</w:t>
            </w: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Filing Date</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Type</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8"/>
              </w:rPr>
              <w:t>Status</w:t>
            </w:r>
          </w:p>
        </w:tc>
      </w:tr>
      <w:tr>
        <w:trPr>
          <w:trHeight w:val="217"/>
        </w:trPr>
        <w:tc>
          <w:tcPr>
            <w:tcW w:w="1020" w:type="dxa"/>
            <w:vAlign w:val="bottom"/>
          </w:tcPr>
          <w:p>
            <w:pPr>
              <w:spacing w:after="0"/>
              <w:rPr>
                <w:sz w:val="20"/>
                <w:szCs w:val="20"/>
                <w:color w:val="auto"/>
              </w:rPr>
            </w:pPr>
            <w:r>
              <w:rPr>
                <w:rFonts w:ascii="Arial" w:cs="Arial" w:eastAsia="Arial" w:hAnsi="Arial"/>
                <w:sz w:val="18"/>
                <w:szCs w:val="18"/>
                <w:color w:val="auto"/>
              </w:rPr>
              <w:t>[XXX]</w:t>
            </w:r>
          </w:p>
        </w:tc>
        <w:tc>
          <w:tcPr>
            <w:tcW w:w="108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[XXX]</w:t>
            </w:r>
          </w:p>
        </w:tc>
        <w:tc>
          <w:tcPr>
            <w:tcW w:w="100" w:type="dxa"/>
            <w:vAlign w:val="bottom"/>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[XXX]</w:t>
            </w:r>
          </w:p>
        </w:tc>
        <w:tc>
          <w:tcPr>
            <w:tcW w:w="120" w:type="dxa"/>
            <w:vAlign w:val="bottom"/>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[XXX]</w:t>
            </w:r>
          </w:p>
        </w:tc>
        <w:tc>
          <w:tcPr>
            <w:tcW w:w="12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[XXX]</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Performance Milestones (Section 5.1 “Commercialization and Performance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Company shall meet the following performance milestones: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A2.1 Milestone 1 – [XXX]</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A2.2 Milestone 2- [XXX]</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A2.3 Milestone 3 – [XXX]</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A2.4 Milestone 4 – [XXX]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Payments (Section 6.1):</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A3.1 </w:t>
      </w:r>
      <w:r>
        <w:rPr>
          <w:rFonts w:ascii="Arial" w:cs="Arial" w:eastAsia="Arial" w:hAnsi="Arial"/>
          <w:sz w:val="18"/>
          <w:szCs w:val="18"/>
          <w:u w:val="single" w:color="auto"/>
          <w:color w:val="auto"/>
        </w:rPr>
        <w:t>Up-front Payment</w:t>
      </w:r>
      <w:r>
        <w:rPr>
          <w:rFonts w:ascii="Arial" w:cs="Arial" w:eastAsia="Arial" w:hAnsi="Arial"/>
          <w:sz w:val="18"/>
          <w:szCs w:val="18"/>
          <w:color w:val="auto"/>
        </w:rPr>
        <w:t>. Company shall pay to University within 14 days of the Effective Date [XXX] as an up-front payment. This up-front payment shall be non-refundable and not creditable against future royalty obligations.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A3.2 </w:t>
      </w:r>
      <w:r>
        <w:rPr>
          <w:rFonts w:ascii="Arial" w:cs="Arial" w:eastAsia="Arial" w:hAnsi="Arial"/>
          <w:sz w:val="18"/>
          <w:szCs w:val="18"/>
          <w:u w:val="single" w:color="auto"/>
          <w:color w:val="auto"/>
        </w:rPr>
        <w:t>Annual Maintenance Fee</w:t>
      </w:r>
      <w:r>
        <w:rPr>
          <w:rFonts w:ascii="Arial" w:cs="Arial" w:eastAsia="Arial" w:hAnsi="Arial"/>
          <w:sz w:val="18"/>
          <w:szCs w:val="18"/>
          <w:color w:val="auto"/>
        </w:rPr>
        <w:t>. Company shall pay to University an annual maintenance fee of [XXX] due on the 2nd anniversary of the Effective Date and every year thereafter for the term of the Agreement. Annual Maintenance Fees shall terminate immediately when Company begins to pay Minimum Annual Royalties (A3.4).</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A3.3 </w:t>
      </w:r>
      <w:r>
        <w:rPr>
          <w:rFonts w:ascii="Arial" w:cs="Arial" w:eastAsia="Arial" w:hAnsi="Arial"/>
          <w:sz w:val="18"/>
          <w:szCs w:val="18"/>
          <w:u w:val="single" w:color="auto"/>
          <w:color w:val="auto"/>
        </w:rPr>
        <w:t>Running Royalty Payments</w:t>
      </w:r>
      <w:r>
        <w:rPr>
          <w:rFonts w:ascii="Arial" w:cs="Arial" w:eastAsia="Arial" w:hAnsi="Arial"/>
          <w:sz w:val="18"/>
          <w:szCs w:val="18"/>
          <w:color w:val="auto"/>
        </w:rPr>
        <w:t>. Company shall pay to University within 30 days after the last day of each calendar quarter during the term of this Agreement an amount equal to [XXX] of Net Sales during such quarter as a running royalty payment.</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A3.4 </w:t>
      </w:r>
      <w:r>
        <w:rPr>
          <w:rFonts w:ascii="Arial" w:cs="Arial" w:eastAsia="Arial" w:hAnsi="Arial"/>
          <w:sz w:val="16"/>
          <w:szCs w:val="16"/>
          <w:u w:val="single" w:color="auto"/>
          <w:color w:val="auto"/>
        </w:rPr>
        <w:t>Minimum Annual Royalties</w:t>
      </w:r>
      <w:r>
        <w:rPr>
          <w:rFonts w:ascii="Arial" w:cs="Arial" w:eastAsia="Arial" w:hAnsi="Arial"/>
          <w:sz w:val="16"/>
          <w:szCs w:val="16"/>
          <w:color w:val="auto"/>
        </w:rPr>
        <w:t>. Company as well as each of its Sublicensees shall pay minimum annual royalties of [XXX] for the term of this Agreement to be creditable against running royalty payments for the preceding calendar year on a non-cumulative basis and to be due in full and payable on January 31st of each year beginning on January 31st of the second year following the first commercial sale and continuing during the term of this Agreement.</w:t>
      </w:r>
    </w:p>
    <w:p>
      <w:pPr>
        <w:spacing w:after="0" w:line="39" w:lineRule="exact"/>
        <w:rPr>
          <w:sz w:val="20"/>
          <w:szCs w:val="20"/>
          <w:color w:val="auto"/>
        </w:rPr>
      </w:pPr>
    </w:p>
    <w:p>
      <w:pPr>
        <w:jc w:val="both"/>
        <w:ind w:left="920" w:right="160"/>
        <w:spacing w:after="0" w:line="264" w:lineRule="auto"/>
        <w:rPr>
          <w:sz w:val="20"/>
          <w:szCs w:val="20"/>
          <w:color w:val="auto"/>
        </w:rPr>
      </w:pPr>
      <w:r>
        <w:rPr>
          <w:rFonts w:ascii="Arial" w:cs="Arial" w:eastAsia="Arial" w:hAnsi="Arial"/>
          <w:sz w:val="18"/>
          <w:szCs w:val="18"/>
          <w:color w:val="auto"/>
        </w:rPr>
        <w:t>A3.4.1. If this Agreement is terminated prior to the payment of a minimum annual royalty in any given year the amount due for that minimum annual royalty payment will be prorated on the basis of the number of full quarters that have elapsed prior to termination since the last payment of a minimum annual royalty.</w:t>
      </w:r>
    </w:p>
    <w:p>
      <w:pPr>
        <w:spacing w:after="0" w:line="114"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Page 19 of 21</w:t>
      </w:r>
    </w:p>
    <w:p>
      <w:pPr>
        <w:spacing w:after="0" w:line="158" w:lineRule="exact"/>
        <w:rPr>
          <w:sz w:val="20"/>
          <w:szCs w:val="20"/>
          <w:color w:val="auto"/>
        </w:rPr>
      </w:pPr>
    </w:p>
    <w:p>
      <w:pPr>
        <w:ind w:left="1580" w:right="1360" w:hanging="191"/>
        <w:spacing w:after="0" w:line="308" w:lineRule="auto"/>
        <w:tabs>
          <w:tab w:leader="none" w:pos="1945" w:val="left"/>
        </w:tabs>
        <w:numPr>
          <w:ilvl w:val="0"/>
          <w:numId w:val="51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70" w:right="259" w:bottom="1440" w:gutter="0" w:footer="0" w:header="0"/>
        </w:sectPr>
      </w:pPr>
    </w:p>
    <w:bookmarkStart w:id="573" w:name="page574"/>
    <w:bookmarkEnd w:id="5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A3.5 </w:t>
      </w:r>
      <w:r>
        <w:rPr>
          <w:rFonts w:ascii="Arial" w:cs="Arial" w:eastAsia="Arial" w:hAnsi="Arial"/>
          <w:sz w:val="16"/>
          <w:szCs w:val="16"/>
          <w:u w:val="single" w:color="auto"/>
          <w:color w:val="auto"/>
        </w:rPr>
        <w:t>Financial Milestones</w:t>
      </w:r>
      <w:r>
        <w:rPr>
          <w:rFonts w:ascii="Arial" w:cs="Arial" w:eastAsia="Arial" w:hAnsi="Arial"/>
          <w:sz w:val="16"/>
          <w:szCs w:val="16"/>
          <w:color w:val="auto"/>
        </w:rPr>
        <w:t>. Company shall pay to University the following non-cumulative and non-refundable milestone achievement payments within 30 days of achieving the corresponding milestone, whether achieved by Company or a Sublicensee. For clarity, payments will be due only once in respect of the first achievement of the milestones below for a Licensed Product, regardless of the number of Licensed Products to achieve the milestone.</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A3.5.2. [XXX]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A3.5.3. [XXX]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A3.5.4. [XXX]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A3.5.5. [XXX]</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A3.6 </w:t>
      </w:r>
      <w:r>
        <w:rPr>
          <w:rFonts w:ascii="Arial" w:cs="Arial" w:eastAsia="Arial" w:hAnsi="Arial"/>
          <w:sz w:val="18"/>
          <w:szCs w:val="18"/>
          <w:u w:val="single" w:color="auto"/>
          <w:color w:val="auto"/>
        </w:rPr>
        <w:t>Third Party Royalties</w:t>
      </w:r>
      <w:r>
        <w:rPr>
          <w:rFonts w:ascii="Arial" w:cs="Arial" w:eastAsia="Arial" w:hAnsi="Arial"/>
          <w:sz w:val="18"/>
          <w:szCs w:val="18"/>
          <w:color w:val="auto"/>
        </w:rPr>
        <w:t>. If Company is required to pay royalties to a Third Party based on Company’s manufacture, use, or sale of Licensed Product subject to one or more patents of such Third Party then the royalty Company pays to University may be reduced by [XXX] of the royalty actually paid to the Third Party provided that use of any Third Party patent is required for such manufacture, use, or sale of Licensed Product, and provided that the royalty to the University shall not fall below [XXX].</w:t>
      </w:r>
    </w:p>
    <w:p>
      <w:pPr>
        <w:spacing w:after="0" w:line="187"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 xml:space="preserve">A3.7 </w:t>
      </w:r>
      <w:r>
        <w:rPr>
          <w:rFonts w:ascii="Arial" w:cs="Arial" w:eastAsia="Arial" w:hAnsi="Arial"/>
          <w:sz w:val="17"/>
          <w:szCs w:val="17"/>
          <w:u w:val="single" w:color="auto"/>
          <w:color w:val="auto"/>
        </w:rPr>
        <w:t>Sublicensing Consideration</w:t>
      </w:r>
      <w:r>
        <w:rPr>
          <w:rFonts w:ascii="Arial" w:cs="Arial" w:eastAsia="Arial" w:hAnsi="Arial"/>
          <w:sz w:val="17"/>
          <w:szCs w:val="17"/>
          <w:color w:val="auto"/>
        </w:rPr>
        <w:t>. Within 30 days of the end of each calendar quarter during the term of this Agreement, Company shall pay to University [XXX] of any Sublicensing Consideration received by Company during such calendar quarter unless reduced by achievement of milestones by Company or its Sublicensee prior to execution of the particular Sublicense in accordance with the schedule below. A reduction of the percentage of Sublicensing Consideration payable to University under this Agreement will be negotiated in good faith between the Parties where, in addition to the Sublicense of any rights granted to Company hereunder, Company also grants Sublicensee a license under a Third Party’s intellectual property rights, which license is necessary for Sublicensee to manufacture, have manufactured, use, offer to sell or sell, offer to lease or lease, import, or otherwise offer to dispose or dispose of Licensed Product(s) without infringing such Third Party’s intellectual property rights, and only to the extent that the total aggregate consideration for such combined license is treated as Sublicensing Consideration.</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A3.7.1. After achievement of Milestone 1: [XXX]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A3.7.2. After achievement of Milestone 2: [XXX]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A3.7.3. After achievement of Milestone 3: [XXX]</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A3.8 </w:t>
      </w:r>
      <w:r>
        <w:rPr>
          <w:rFonts w:ascii="Arial" w:cs="Arial" w:eastAsia="Arial" w:hAnsi="Arial"/>
          <w:sz w:val="18"/>
          <w:szCs w:val="18"/>
          <w:u w:val="single" w:color="auto"/>
          <w:color w:val="auto"/>
        </w:rPr>
        <w:t>Assignment Fee</w:t>
      </w:r>
      <w:r>
        <w:rPr>
          <w:rFonts w:ascii="Arial" w:cs="Arial" w:eastAsia="Arial" w:hAnsi="Arial"/>
          <w:sz w:val="18"/>
          <w:szCs w:val="18"/>
          <w:color w:val="auto"/>
        </w:rPr>
        <w:t>. Within 30 days of any assignment of rights granted to Company under this Agreement, Company shall pay to University [XXX] of any Assignment Consideration received by Company.</w:t>
      </w:r>
    </w:p>
    <w:p>
      <w:pPr>
        <w:spacing w:after="0" w:line="16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color w:val="auto"/>
        </w:rPr>
        <w:t xml:space="preserve">A4. </w:t>
      </w:r>
      <w:r>
        <w:rPr>
          <w:rFonts w:ascii="Arial" w:cs="Arial" w:eastAsia="Arial" w:hAnsi="Arial"/>
          <w:sz w:val="18"/>
          <w:szCs w:val="18"/>
          <w:u w:val="single" w:color="auto"/>
          <w:color w:val="auto"/>
        </w:rPr>
        <w:t>Patent Cost Reimbursement</w:t>
      </w:r>
      <w:r>
        <w:rPr>
          <w:rFonts w:ascii="Arial" w:cs="Arial" w:eastAsia="Arial" w:hAnsi="Arial"/>
          <w:sz w:val="18"/>
          <w:szCs w:val="18"/>
          <w:color w:val="auto"/>
        </w:rPr>
        <w:t>: Company shall reimburse University for all Patent Expenses incurred prior to the Effective Date within 60 days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Company shall pay, or reimburse University for paying, all Patent Expenses incurred on or after the Effective Date within 30 days of its receipt of University’s invoice for such Patent Expenses. University reserves the right to request advance payments for certain Patent Expenses, at University’s discretion.</w:t>
      </w:r>
    </w:p>
    <w:p>
      <w:pPr>
        <w:spacing w:after="0" w:line="117"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Page 20 of 21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1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574" w:name="page575"/>
    <w:bookmarkEnd w:id="5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Royalty Report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Name &amp; Address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17145</wp:posOffset>
            </wp:positionV>
            <wp:extent cx="115760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Reporting Period:  </w:t>
      </w:r>
      <w:r>
        <w:rPr>
          <w:sz w:val="1"/>
          <w:szCs w:val="1"/>
          <w:color w:val="auto"/>
        </w:rPr>
        <w:drawing>
          <wp:inline distT="0" distB="0" distL="0" distR="0">
            <wp:extent cx="900430" cy="154305"/>
            <wp:effectExtent l="0" t="0" r="0" b="0"/>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900430" cy="154305"/>
                    </a:xfrm>
                    <a:prstGeom prst="rect">
                      <a:avLst/>
                    </a:prstGeom>
                    <a:noFill/>
                    <a:ln>
                      <a:noFill/>
                    </a:ln>
                  </pic:spPr>
                </pic:pic>
              </a:graphicData>
            </a:graphic>
          </wp:inline>
        </w:drawing>
        <w:drawing>
          <wp:inline distT="0" distB="0" distL="0" distR="0">
            <wp:extent cx="8890" cy="154305"/>
            <wp:effectExtent l="0" t="0" r="0"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Report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-8255</wp:posOffset>
            </wp:positionV>
            <wp:extent cx="90043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-153670</wp:posOffset>
            </wp:positionV>
            <wp:extent cx="909320" cy="15430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90932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report must be submitted regardless of whether royalties are owed.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do not leave any column blank. State all information requested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2"/>
              </w:rPr>
              <w:t>Product Description</w:t>
            </w:r>
          </w:p>
        </w:tc>
        <w:tc>
          <w:tcPr>
            <w:tcW w:w="2160" w:type="dxa"/>
            <w:vAlign w:val="bottom"/>
          </w:tcPr>
          <w:p>
            <w:pPr>
              <w:spacing w:after="0"/>
              <w:rPr>
                <w:sz w:val="14"/>
                <w:szCs w:val="14"/>
                <w:color w:val="auto"/>
              </w:rPr>
            </w:pPr>
          </w:p>
        </w:tc>
        <w:tc>
          <w:tcPr>
            <w:tcW w:w="270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Royalty Rate</w:t>
            </w:r>
          </w:p>
        </w:tc>
        <w:tc>
          <w:tcPr>
            <w:tcW w:w="120" w:type="dxa"/>
            <w:vAlign w:val="bottom"/>
            <w:vMerge w:val="restart"/>
          </w:tcPr>
          <w:p>
            <w:pPr>
              <w:spacing w:after="0"/>
              <w:rPr>
                <w:sz w:val="14"/>
                <w:szCs w:val="14"/>
                <w:color w:val="auto"/>
              </w:rPr>
            </w:pPr>
          </w:p>
        </w:tc>
        <w:tc>
          <w:tcPr>
            <w:tcW w:w="2700" w:type="dxa"/>
            <w:vAlign w:val="bottom"/>
            <w:gridSpan w:val="2"/>
          </w:tcPr>
          <w:p>
            <w:pPr>
              <w:ind w:left="1000"/>
              <w:spacing w:after="0"/>
              <w:rPr>
                <w:sz w:val="20"/>
                <w:szCs w:val="20"/>
                <w:color w:val="auto"/>
              </w:rPr>
            </w:pPr>
            <w:r>
              <w:rPr>
                <w:rFonts w:ascii="Arial" w:cs="Arial" w:eastAsia="Arial" w:hAnsi="Arial"/>
                <w:sz w:val="14"/>
                <w:szCs w:val="14"/>
                <w:b w:val="1"/>
                <w:bCs w:val="1"/>
                <w:color w:val="auto"/>
              </w:rPr>
              <w:t>Quantity/</w:t>
            </w:r>
          </w:p>
        </w:tc>
        <w:tc>
          <w:tcPr>
            <w:tcW w:w="24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Royalty Due</w:t>
            </w:r>
          </w:p>
        </w:tc>
        <w:tc>
          <w:tcPr>
            <w:tcW w:w="0" w:type="dxa"/>
            <w:vAlign w:val="bottom"/>
          </w:tcPr>
          <w:p>
            <w:pPr>
              <w:spacing w:after="0"/>
              <w:rPr>
                <w:sz w:val="1"/>
                <w:szCs w:val="1"/>
                <w:color w:val="auto"/>
              </w:rPr>
            </w:pPr>
          </w:p>
        </w:tc>
      </w:tr>
      <w:tr>
        <w:trPr>
          <w:trHeight w:val="178"/>
        </w:trPr>
        <w:tc>
          <w:tcPr>
            <w:tcW w:w="1260" w:type="dxa"/>
            <w:vAlign w:val="bottom"/>
            <w:tcBorders>
              <w:bottom w:val="single" w:sz="8" w:color="auto"/>
            </w:tcBorders>
            <w:vMerge w:val="continue"/>
          </w:tcPr>
          <w:p>
            <w:pPr>
              <w:spacing w:after="0"/>
              <w:rPr>
                <w:sz w:val="15"/>
                <w:szCs w:val="15"/>
                <w:color w:val="auto"/>
              </w:rPr>
            </w:pPr>
          </w:p>
        </w:tc>
        <w:tc>
          <w:tcPr>
            <w:tcW w:w="2160" w:type="dxa"/>
            <w:vAlign w:val="bottom"/>
          </w:tcPr>
          <w:p>
            <w:pPr>
              <w:spacing w:after="0"/>
              <w:rPr>
                <w:sz w:val="15"/>
                <w:szCs w:val="15"/>
                <w:color w:val="auto"/>
              </w:rPr>
            </w:pPr>
          </w:p>
        </w:tc>
        <w:tc>
          <w:tcPr>
            <w:tcW w:w="2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5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5"/>
                <w:szCs w:val="15"/>
                <w:color w:val="auto"/>
              </w:rPr>
            </w:pPr>
          </w:p>
        </w:tc>
        <w:tc>
          <w:tcPr>
            <w:tcW w:w="2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Report Completed by:</w:t>
      </w:r>
      <w:r>
        <w:rPr>
          <w:sz w:val="20"/>
          <w:szCs w:val="20"/>
          <w:color w:val="auto"/>
        </w:rPr>
        <w:tab/>
      </w:r>
      <w:r>
        <w:rPr>
          <w:rFonts w:ascii="Arial" w:cs="Arial" w:eastAsia="Arial" w:hAnsi="Arial"/>
          <w:sz w:val="16"/>
          <w:szCs w:val="16"/>
          <w:b w:val="1"/>
          <w:bCs w:val="1"/>
          <w:color w:val="auto"/>
        </w:rPr>
        <w:t>Total Royalties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0</wp:posOffset>
            </wp:positionV>
            <wp:extent cx="598614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14605</wp:posOffset>
            </wp:positionV>
            <wp:extent cx="210121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If you have questions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-10160</wp:posOffset>
            </wp:positionV>
            <wp:extent cx="11430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make check payable to: University of Washington</w:t>
      </w:r>
    </w:p>
    <w:p>
      <w:pPr>
        <w:spacing w:after="0" w:line="162"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Page 21 of 21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16"/>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575" w:name="page576"/>
    <w:bookmarkEnd w:id="575"/>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 LICENSE AGREEMENT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Agreement is effective as of March 10, 2016 (the “EFFECTIVE DATE”), between Solid GT, LLC (“LICENSEE”) having the address in Article 12 below, and the Regents of the University of Michigan, a constitutional corporation of the state of Michigan (“MICHIGAN”) having the address in Article 12 below. LICENSEE and MICHIGAN hereby agree as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1 – DEFINITIONS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“AFFILIATE” means any corporation, partnership, joint venture or other entity of which a majority of the voting stock or other equity ownership thereof is owned or controlled by, or under common control with, LICENSEE, or which owns or controls a majority of the voting stock or other equity ownership of LICENSEE.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“FIELD OF USE” means all uses.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“FIRST COMMERCIAL SALE” means the first SALE through a bona fide arms length transaction of any LICENSED PRODUCT or first commercial use of any LICENSED PROCESS by LICENSEE or a SUBLICENSEE, excluding the SALE of a LICENSED PRODUCT or use of a LICENSED PROCESS for use in trials, as a sample or that is of temporary availability.</w:t>
      </w:r>
    </w:p>
    <w:p>
      <w:pPr>
        <w:spacing w:after="0" w:line="18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“LICENSED PROCESS(ES)” means any process or method that, but for this Agreement, would comprises an infringement of (including contributory or inducement) a VALID CLAIM in the country in which any such process or method is used or performed, or (b) employs a LICENSED PRODUCT.</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“LICENSED PRODUCT(S)” means any product that: (a) but for this Agreement, comprises an infringement of (including contributory or inducement) a VALID CLAIM in the country in which any such product or product part is made, used, imported, offered for SALE or sold; or (b) is manufactured by using a LICENSED PROCESS or is employed to practice a LICENSED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“MICHIGAN,” as used in Articles 9 and 10, shall include its Regents, officers, employees, students, and agents.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SALES” means the amount billed or invoiced, and if any amount is not billed or invoiced, the amounts actually received, on Sales, however characterized, by LICENSEE and/or SUBLICENSEES of LICENSED PRODUCTS and uses of LICENSED PROCESSES, less the following deductions (but only to the extent such deductions are otherwise included in NET SALES and are not obtained in view of other consideration received by LICENSEE):</w:t>
      </w:r>
    </w:p>
    <w:p>
      <w:pPr>
        <w:spacing w:after="0" w:line="39" w:lineRule="exact"/>
        <w:rPr>
          <w:sz w:val="20"/>
          <w:szCs w:val="20"/>
          <w:color w:val="auto"/>
        </w:rPr>
      </w:pPr>
    </w:p>
    <w:p>
      <w:pPr>
        <w:ind w:left="700" w:hanging="236"/>
        <w:spacing w:after="0"/>
        <w:tabs>
          <w:tab w:leader="none" w:pos="700" w:val="left"/>
        </w:tabs>
        <w:numPr>
          <w:ilvl w:val="0"/>
          <w:numId w:val="517"/>
        </w:numPr>
        <w:rPr>
          <w:rFonts w:ascii="Arial" w:cs="Arial" w:eastAsia="Arial" w:hAnsi="Arial"/>
          <w:sz w:val="16"/>
          <w:szCs w:val="16"/>
          <w:color w:val="auto"/>
        </w:rPr>
      </w:pPr>
      <w:r>
        <w:rPr>
          <w:rFonts w:ascii="Arial" w:cs="Arial" w:eastAsia="Arial" w:hAnsi="Arial"/>
          <w:sz w:val="16"/>
          <w:szCs w:val="16"/>
          <w:color w:val="auto"/>
        </w:rPr>
        <w:t>cash discounts actually granted to customers in such invoices for SALE of LICENSED PRODUCTS, but only in amounts customary in the trade;</w:t>
      </w:r>
    </w:p>
    <w:p>
      <w:pPr>
        <w:spacing w:after="0" w:line="180" w:lineRule="exact"/>
        <w:rPr>
          <w:rFonts w:ascii="Arial" w:cs="Arial" w:eastAsia="Arial" w:hAnsi="Arial"/>
          <w:sz w:val="16"/>
          <w:szCs w:val="16"/>
          <w:color w:val="auto"/>
        </w:rPr>
      </w:pPr>
    </w:p>
    <w:p>
      <w:pPr>
        <w:ind w:left="1580" w:right="1380" w:hanging="191"/>
        <w:spacing w:after="0" w:line="308" w:lineRule="auto"/>
        <w:tabs>
          <w:tab w:leader="none" w:pos="1945" w:val="left"/>
        </w:tabs>
        <w:numPr>
          <w:ilvl w:val="1"/>
          <w:numId w:val="51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121" w:right="239" w:bottom="1440" w:gutter="0" w:footer="0" w:header="0"/>
        </w:sectPr>
      </w:pPr>
    </w:p>
    <w:bookmarkStart w:id="576" w:name="page577"/>
    <w:bookmarkEnd w:id="5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60" w:right="700" w:firstLine="4"/>
        <w:spacing w:after="0" w:line="277" w:lineRule="auto"/>
        <w:tabs>
          <w:tab w:leader="none" w:pos="71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sales taxes, tariff duties and/or use taxes separately stated in such bills or invoices with reference to particular SALES and actually paid by LICENSEE or SUBLICENSEE to a governmental unit;</w:t>
      </w:r>
    </w:p>
    <w:p>
      <w:pPr>
        <w:spacing w:after="0" w:line="62" w:lineRule="exact"/>
        <w:rPr>
          <w:rFonts w:ascii="Arial" w:cs="Arial" w:eastAsia="Arial" w:hAnsi="Arial"/>
          <w:sz w:val="18"/>
          <w:szCs w:val="18"/>
          <w:color w:val="auto"/>
        </w:rPr>
      </w:pPr>
    </w:p>
    <w:p>
      <w:pPr>
        <w:ind w:left="460" w:right="320" w:firstLine="4"/>
        <w:spacing w:after="0" w:line="277" w:lineRule="auto"/>
        <w:tabs>
          <w:tab w:leader="none" w:pos="70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actual freight expenses between LICENSEE or SUBLICENSEE and customers, to the extent such expenses are not charged to or reimbursed by customers; or</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amounts actually refunded or credited on returns.</w:t>
      </w:r>
    </w:p>
    <w:p>
      <w:pPr>
        <w:spacing w:after="0" w:line="11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Where LICENSEE or SUBLICENSEE receives any consideration other than cash for such transactions, fair market cash value for such consideration, to be agreed upon by the parties hereto, shall be included in NET SALES. Where a product or activity is a LICENSED PRODUCT or LICENSED PROCESS hereunder due to contributory infringement or inducement of infringement, NET SALES shall include SALES of the product or process that constitutes a direct infringement of the PATENT RIGHTS. NET SALES shall not include LICENSED PRODUCT used for pre-clinical or clinical trials, post-marketing trials, samples and indigent patient programs or any other uses of LICENSED PRODUCT not ordinarily included as part of NET SALES for royalty determination purposes.</w:t>
      </w:r>
    </w:p>
    <w:p>
      <w:pPr>
        <w:spacing w:after="0" w:line="85"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A sale or transfer to an AFFILIATE or SUBLICENSEE for re-sale by such AFFILIATE or SUBLICENSEE shall not be considered a sale for the purpose of this provision but the resale by such AFFILIATE or SUBLICENSEE shall be a sale for such purposes. Any amounts received LICENSEE, an AFFILIATE or SUBLICENSEE in exchange for LICENSED PRODUCTS or LICENSED PROCESSES transferred or provided to any person or entity for use in testing, clinical trials, or as marketing samples to develop or promote the LICENSED PRODUCTS are not included in the definition of NET SALES.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“PATENT RIGHTS” means MICHIGAN’S legal rights under the patent laws of the United States or relevant foreign countries for all of the following:</w:t>
      </w:r>
    </w:p>
    <w:p>
      <w:pPr>
        <w:spacing w:after="0" w:line="129" w:lineRule="exact"/>
        <w:rPr>
          <w:sz w:val="20"/>
          <w:szCs w:val="20"/>
          <w:color w:val="auto"/>
        </w:rPr>
      </w:pPr>
    </w:p>
    <w:p>
      <w:pPr>
        <w:ind w:left="460" w:right="120" w:firstLine="4"/>
        <w:spacing w:after="0" w:line="264" w:lineRule="auto"/>
        <w:tabs>
          <w:tab w:leader="none" w:pos="70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following United States and foreign patent(s) and/or patent application(s), and divisionals, continuations, continuations-in-part (only to the extent that such claims are fully supported under U.S. patent laws by another patent or application in the PATENT RIGHTS), and foreign counterparts of the same: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[XXX]; and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[XXX]; and</w:t>
      </w:r>
    </w:p>
    <w:p>
      <w:pPr>
        <w:spacing w:after="0" w:line="117" w:lineRule="exact"/>
        <w:rPr>
          <w:sz w:val="20"/>
          <w:szCs w:val="20"/>
          <w:color w:val="auto"/>
        </w:rPr>
      </w:pPr>
    </w:p>
    <w:p>
      <w:pPr>
        <w:ind w:left="460" w:right="360" w:firstLine="4"/>
        <w:spacing w:after="0" w:line="277" w:lineRule="auto"/>
        <w:tabs>
          <w:tab w:leader="none" w:pos="715"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any renewals, reexaminations, substitutes, supplementary protection certificates and extensions of these patents, and any corresponding foreign counterparts of the same.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“ROYALTY PERIOD(S)” means the six-month periods ending on the last days of June and December each year.</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158" w:lineRule="exact"/>
        <w:rPr>
          <w:sz w:val="20"/>
          <w:szCs w:val="20"/>
          <w:color w:val="auto"/>
        </w:rPr>
      </w:pPr>
    </w:p>
    <w:p>
      <w:pPr>
        <w:ind w:left="1580" w:right="1360" w:hanging="191"/>
        <w:spacing w:after="0" w:line="308" w:lineRule="auto"/>
        <w:tabs>
          <w:tab w:leader="none" w:pos="1945" w:val="left"/>
        </w:tabs>
        <w:numPr>
          <w:ilvl w:val="0"/>
          <w:numId w:val="521"/>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69" w:right="259" w:bottom="1440" w:gutter="0" w:footer="0" w:header="0"/>
        </w:sectPr>
      </w:pPr>
    </w:p>
    <w:bookmarkStart w:id="577" w:name="page578"/>
    <w:bookmarkEnd w:id="5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“SALE” means sale, rental, or lease, however characterized, and SOLD means the past tense of SALE.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“SUBLICENSEE(S)” means any person or entity in writing sublicensed, or granted an option for a sublicense, by LICENSEE under this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“TERRITORY” means all of the countries of the world.</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“VALID CLAIM” means (i) a claim in an issued and unexpired patent included in the PATENT RIGHTS that: (a) has not been held unenforceable, unpatentable or invalid by a decision of a court or other governmental agency of competent jurisdiction, and not subject to appeal, (b) has not been admitted to be invalid or unenforceable through reissue or disclaimer or otherwise, (c) has not been lost through an interference, reexamination, or reissue proceeding; or (ii) a pending claim of a pending patent application included in the PATENT RIGHTS that has not been abandoned or finally rejected without the possibility of appeal or refiling and that has been pending for less than seven years from its priority date.</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ARTICLE 2 – GRANT OF LICENSE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2.1 MICHIGAN hereby grants to LICENSEE an exclusive license under the PATENT RIGHTS, with the right to grant sublicenses, both subject to the terms and conditions of this Agreement, in the FIELD OF USE and the TERRITORY to make, have made, import, use, market, offer for sale and sell LICENSED PRODUCTS and to practice LICENSED PROCESSES.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2.2 Without limiting any other rights it may have, MICHIGAN specifically reserves the right for it and its affiliates to practice and have practiced the PATENT RIGHTS for non-commercial research, public service, internal (including clinical) and/or educational purposes, and the right to grant the same limited non-commercial rights to other non-profit research institutions. For avoidance of doubt, sponsored research on behalf of for-profit entities shall be deemed to be commercial.</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2.3 This Agreement shall extend until expiration of the last to expire of the PATENT RIGHTS, unless sooner terminated as provided in another specific provision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2.4 LICENSEE agrees that LICENSED PRODUCTS used, leased or sold in the United States shall be manufactured substantially in the United States.</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2.5 The licenses granted in this Agreement are subject to any rights required to be granted under prior research or sponsorship agreements, or retained by the U.S. government, for example in accordance with Chapter 18 of Title 35 of U.S.C. 200-212 and the regulations thereunder (37 CFR Part 401), when applicable. LICENSEE agrees to comply in all respects, and shall provide MICHIGAN with all reasonably requested information and cooperation for MICHIGAN to comply with applicable provisions of the same and any requirements of any agreements between MICHIGAN and any agency of the U.S. government that provided funding for the subject matter covered by the PATENT RIGHTS.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158" w:lineRule="exact"/>
        <w:rPr>
          <w:sz w:val="20"/>
          <w:szCs w:val="20"/>
          <w:color w:val="auto"/>
        </w:rPr>
      </w:pPr>
    </w:p>
    <w:p>
      <w:pPr>
        <w:ind w:left="1580" w:right="1260" w:hanging="191"/>
        <w:spacing w:after="0" w:line="308" w:lineRule="auto"/>
        <w:tabs>
          <w:tab w:leader="none" w:pos="1945" w:val="left"/>
        </w:tabs>
        <w:numPr>
          <w:ilvl w:val="0"/>
          <w:numId w:val="522"/>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00"/>
          </w:cols>
          <w:pgMar w:left="240" w:top="270" w:right="359" w:bottom="1440" w:gutter="0" w:footer="0" w:header="0"/>
        </w:sectPr>
      </w:pPr>
    </w:p>
    <w:bookmarkStart w:id="578" w:name="page579"/>
    <w:bookmarkEnd w:id="5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3 -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 LICENSEE shall pay the following to MICHIGAN:</w:t>
      </w:r>
    </w:p>
    <w:p>
      <w:pPr>
        <w:spacing w:after="0" w:line="117" w:lineRule="exact"/>
        <w:rPr>
          <w:sz w:val="20"/>
          <w:szCs w:val="20"/>
          <w:color w:val="auto"/>
        </w:rPr>
      </w:pPr>
    </w:p>
    <w:p>
      <w:pPr>
        <w:ind w:left="700" w:hanging="236"/>
        <w:spacing w:after="0"/>
        <w:tabs>
          <w:tab w:leader="none" w:pos="70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License Issue Fee</w:t>
      </w:r>
      <w:r>
        <w:rPr>
          <w:rFonts w:ascii="Arial" w:cs="Arial" w:eastAsia="Arial" w:hAnsi="Arial"/>
          <w:sz w:val="18"/>
          <w:szCs w:val="18"/>
          <w:color w:val="auto"/>
        </w:rPr>
        <w:t>. A License Issue Fee equal to [XXX], due within fourteen (14) days from the complete execution of this Agreement.</w:t>
      </w:r>
    </w:p>
    <w:p>
      <w:pPr>
        <w:spacing w:after="0" w:line="117" w:lineRule="exact"/>
        <w:rPr>
          <w:rFonts w:ascii="Arial" w:cs="Arial" w:eastAsia="Arial" w:hAnsi="Arial"/>
          <w:sz w:val="18"/>
          <w:szCs w:val="18"/>
          <w:color w:val="auto"/>
        </w:rPr>
      </w:pPr>
    </w:p>
    <w:p>
      <w:pPr>
        <w:ind w:left="460" w:right="80" w:firstLine="4"/>
        <w:spacing w:after="0" w:line="259" w:lineRule="auto"/>
        <w:tabs>
          <w:tab w:leader="none" w:pos="715"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Annual Maintenance Fee</w:t>
      </w:r>
      <w:r>
        <w:rPr>
          <w:rFonts w:ascii="Arial" w:cs="Arial" w:eastAsia="Arial" w:hAnsi="Arial"/>
          <w:sz w:val="18"/>
          <w:szCs w:val="18"/>
          <w:color w:val="auto"/>
        </w:rPr>
        <w:t>. An Annual Maintenance Fee equal to [XXX], due within fourteen (14) days of the second (2</w:t>
      </w:r>
      <w:r>
        <w:rPr>
          <w:rFonts w:ascii="Arial" w:cs="Arial" w:eastAsia="Arial" w:hAnsi="Arial"/>
          <w:sz w:val="15"/>
          <w:szCs w:val="15"/>
          <w:color w:val="auto"/>
        </w:rPr>
        <w:t>nd</w:t>
      </w:r>
      <w:r>
        <w:rPr>
          <w:rFonts w:ascii="Arial" w:cs="Arial" w:eastAsia="Arial" w:hAnsi="Arial"/>
          <w:sz w:val="18"/>
          <w:szCs w:val="18"/>
          <w:color w:val="auto"/>
        </w:rPr>
        <w:t>) anniversary of the EFFECTIVE DATE, and within fourteen (14) days of each subsequent anniversary of the EFFECTIVE DATE. The Annual Maintenance Fee shall not be due in any calendar year that the LICENSEE pays Minimum Annual Royalties as described in Section 3.1 (e) or Running Royalties as described in Section 3.1 (b) in an amount equal to or greater than Minimum Annual Royalties.</w:t>
      </w:r>
    </w:p>
    <w:p>
      <w:pPr>
        <w:spacing w:after="0" w:line="79" w:lineRule="exact"/>
        <w:rPr>
          <w:sz w:val="20"/>
          <w:szCs w:val="20"/>
          <w:color w:val="auto"/>
        </w:rPr>
      </w:pPr>
    </w:p>
    <w:p>
      <w:pPr>
        <w:ind w:left="460" w:right="60" w:firstLine="4"/>
        <w:spacing w:after="0" w:line="264" w:lineRule="auto"/>
        <w:tabs>
          <w:tab w:leader="none" w:pos="715" w:val="left"/>
        </w:tabs>
        <w:numPr>
          <w:ilvl w:val="1"/>
          <w:numId w:val="524"/>
        </w:numPr>
        <w:rPr>
          <w:rFonts w:ascii="Arial" w:cs="Arial" w:eastAsia="Arial" w:hAnsi="Arial"/>
          <w:sz w:val="18"/>
          <w:szCs w:val="18"/>
          <w:color w:val="auto"/>
        </w:rPr>
      </w:pPr>
      <w:r>
        <w:rPr>
          <w:rFonts w:ascii="Arial" w:cs="Arial" w:eastAsia="Arial" w:hAnsi="Arial"/>
          <w:sz w:val="18"/>
          <w:szCs w:val="18"/>
          <w:u w:val="single" w:color="auto"/>
          <w:color w:val="auto"/>
        </w:rPr>
        <w:t>Running Royalties</w:t>
      </w:r>
      <w:r>
        <w:rPr>
          <w:rFonts w:ascii="Arial" w:cs="Arial" w:eastAsia="Arial" w:hAnsi="Arial"/>
          <w:sz w:val="18"/>
          <w:szCs w:val="18"/>
          <w:color w:val="auto"/>
        </w:rPr>
        <w:t>. Running Royalties equal to [XXX] of NET SALES. If LICENSEE makes any SALES to any AFFILIATE at a price less than the regular price charged to other parties, the Running Royalties payable to MICHIGAN shall be computed on the basis of the regular price charged to other parties.</w:t>
      </w:r>
    </w:p>
    <w:p>
      <w:pPr>
        <w:spacing w:after="0" w:line="73" w:lineRule="exact"/>
        <w:rPr>
          <w:rFonts w:ascii="Arial" w:cs="Arial" w:eastAsia="Arial" w:hAnsi="Arial"/>
          <w:sz w:val="18"/>
          <w:szCs w:val="18"/>
          <w:color w:val="auto"/>
        </w:rPr>
      </w:pPr>
    </w:p>
    <w:p>
      <w:pPr>
        <w:ind w:left="460" w:right="80" w:firstLine="4"/>
        <w:spacing w:after="0" w:line="255" w:lineRule="auto"/>
        <w:tabs>
          <w:tab w:leader="none" w:pos="705" w:val="left"/>
        </w:tabs>
        <w:numPr>
          <w:ilvl w:val="1"/>
          <w:numId w:val="524"/>
        </w:numPr>
        <w:rPr>
          <w:rFonts w:ascii="Arial" w:cs="Arial" w:eastAsia="Arial" w:hAnsi="Arial"/>
          <w:sz w:val="18"/>
          <w:szCs w:val="18"/>
          <w:color w:val="auto"/>
        </w:rPr>
      </w:pPr>
      <w:r>
        <w:rPr>
          <w:rFonts w:ascii="Arial" w:cs="Arial" w:eastAsia="Arial" w:hAnsi="Arial"/>
          <w:sz w:val="18"/>
          <w:szCs w:val="18"/>
          <w:u w:val="single" w:color="auto"/>
          <w:color w:val="auto"/>
        </w:rPr>
        <w:t>Sublicensing Fees</w:t>
      </w:r>
      <w:r>
        <w:rPr>
          <w:rFonts w:ascii="Arial" w:cs="Arial" w:eastAsia="Arial" w:hAnsi="Arial"/>
          <w:sz w:val="18"/>
          <w:szCs w:val="18"/>
          <w:color w:val="auto"/>
        </w:rPr>
        <w:t>. Sublicensing Fees equal to a percentage of any revenue not based on product sales that LICENSEE or SUBLICENSEES (or a designee) is due from or receives from SUBLICENSEES or assignees in consideration for rights under or relating to the PATENT RIGHTS (e.g., license issue fees, maintenance or annual minimum fees, milestone payments, other royalties), but excluding, (a) amounts received for the purchase of securities; (b) payments of loans or other debt obligations, (c) payments made as a reimbursement of costs incurred, such as for patent prosecution costs, (d) amounts received to cover research and development activities related to actual or potential LICENSED PRODUCTS or LICENSED PROCESSES after the effective date of the sublicense agreement, and (e) amounts attributable to intellectual property other than the LICENSED PATENTS, as follows:</w:t>
      </w:r>
    </w:p>
    <w:p>
      <w:pPr>
        <w:spacing w:after="0" w:line="94" w:lineRule="exact"/>
        <w:rPr>
          <w:rFonts w:ascii="Arial" w:cs="Arial" w:eastAsia="Arial" w:hAnsi="Arial"/>
          <w:sz w:val="18"/>
          <w:szCs w:val="18"/>
          <w:color w:val="auto"/>
        </w:rPr>
      </w:pPr>
    </w:p>
    <w:p>
      <w:pPr>
        <w:ind w:left="900" w:hanging="446"/>
        <w:spacing w:after="0"/>
        <w:tabs>
          <w:tab w:leader="none" w:pos="9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xml:space="preserve">[XXX] if the sublicense is entered into </w:t>
      </w:r>
      <w:r>
        <w:rPr>
          <w:rFonts w:ascii="Arial" w:cs="Arial" w:eastAsia="Arial" w:hAnsi="Arial"/>
          <w:sz w:val="18"/>
          <w:szCs w:val="18"/>
          <w:u w:val="single" w:color="auto"/>
          <w:color w:val="auto"/>
        </w:rPr>
        <w:t>on or after</w:t>
      </w:r>
      <w:r>
        <w:rPr>
          <w:rFonts w:ascii="Arial" w:cs="Arial" w:eastAsia="Arial" w:hAnsi="Arial"/>
          <w:sz w:val="18"/>
          <w:szCs w:val="18"/>
          <w:color w:val="auto"/>
        </w:rPr>
        <w:t xml:space="preserve"> the EFFECTIVE DATE and </w:t>
      </w:r>
      <w:r>
        <w:rPr>
          <w:rFonts w:ascii="Arial" w:cs="Arial" w:eastAsia="Arial" w:hAnsi="Arial"/>
          <w:sz w:val="18"/>
          <w:szCs w:val="18"/>
          <w:u w:val="single" w:color="auto"/>
          <w:color w:val="auto"/>
        </w:rPr>
        <w:t>before</w:t>
      </w:r>
      <w:r>
        <w:rPr>
          <w:rFonts w:ascii="Arial" w:cs="Arial" w:eastAsia="Arial" w:hAnsi="Arial"/>
          <w:sz w:val="18"/>
          <w:szCs w:val="18"/>
          <w:color w:val="auto"/>
        </w:rPr>
        <w:t xml:space="preserve"> [XXX];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xml:space="preserve">[XXX] if the sublicense is entered into </w:t>
      </w:r>
      <w:r>
        <w:rPr>
          <w:rFonts w:ascii="Arial" w:cs="Arial" w:eastAsia="Arial" w:hAnsi="Arial"/>
          <w:sz w:val="18"/>
          <w:szCs w:val="18"/>
          <w:u w:val="single" w:color="auto"/>
          <w:color w:val="auto"/>
        </w:rPr>
        <w:t>at or after</w:t>
      </w:r>
      <w:r>
        <w:rPr>
          <w:rFonts w:ascii="Arial" w:cs="Arial" w:eastAsia="Arial" w:hAnsi="Arial"/>
          <w:sz w:val="18"/>
          <w:szCs w:val="18"/>
          <w:color w:val="auto"/>
        </w:rPr>
        <w:t xml:space="preserve"> [XXX] and </w:t>
      </w:r>
      <w:r>
        <w:rPr>
          <w:rFonts w:ascii="Arial" w:cs="Arial" w:eastAsia="Arial" w:hAnsi="Arial"/>
          <w:sz w:val="18"/>
          <w:szCs w:val="18"/>
          <w:u w:val="single" w:color="auto"/>
          <w:color w:val="auto"/>
        </w:rPr>
        <w:t>before</w:t>
      </w:r>
      <w:r>
        <w:rPr>
          <w:rFonts w:ascii="Arial" w:cs="Arial" w:eastAsia="Arial" w:hAnsi="Arial"/>
          <w:sz w:val="18"/>
          <w:szCs w:val="18"/>
          <w:color w:val="auto"/>
        </w:rPr>
        <w:t xml:space="preserve"> [XXX];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xml:space="preserve">[XXX] if [XXX] into </w:t>
      </w:r>
      <w:r>
        <w:rPr>
          <w:rFonts w:ascii="Arial" w:cs="Arial" w:eastAsia="Arial" w:hAnsi="Arial"/>
          <w:sz w:val="18"/>
          <w:szCs w:val="18"/>
          <w:u w:val="single" w:color="auto"/>
          <w:color w:val="auto"/>
        </w:rPr>
        <w:t>at or after</w:t>
      </w:r>
      <w:r>
        <w:rPr>
          <w:rFonts w:ascii="Arial" w:cs="Arial" w:eastAsia="Arial" w:hAnsi="Arial"/>
          <w:sz w:val="18"/>
          <w:szCs w:val="18"/>
          <w:color w:val="auto"/>
        </w:rPr>
        <w:t xml:space="preserve"> [XXX].</w:t>
      </w:r>
    </w:p>
    <w:p>
      <w:pPr>
        <w:spacing w:after="0" w:line="117" w:lineRule="exact"/>
        <w:rPr>
          <w:rFonts w:ascii="Arial" w:cs="Arial" w:eastAsia="Arial" w:hAnsi="Arial"/>
          <w:sz w:val="18"/>
          <w:szCs w:val="18"/>
          <w:color w:val="auto"/>
        </w:rPr>
      </w:pPr>
    </w:p>
    <w:p>
      <w:pPr>
        <w:ind w:left="460" w:firstLine="4"/>
        <w:spacing w:after="0" w:line="277" w:lineRule="auto"/>
        <w:tabs>
          <w:tab w:leader="none" w:pos="715" w:val="left"/>
        </w:tabs>
        <w:numPr>
          <w:ilvl w:val="1"/>
          <w:numId w:val="525"/>
        </w:numPr>
        <w:rPr>
          <w:rFonts w:ascii="Arial" w:cs="Arial" w:eastAsia="Arial" w:hAnsi="Arial"/>
          <w:sz w:val="18"/>
          <w:szCs w:val="18"/>
          <w:color w:val="auto"/>
        </w:rPr>
      </w:pPr>
      <w:r>
        <w:rPr>
          <w:rFonts w:ascii="Arial" w:cs="Arial" w:eastAsia="Arial" w:hAnsi="Arial"/>
          <w:sz w:val="18"/>
          <w:szCs w:val="18"/>
          <w:u w:val="single" w:color="auto"/>
          <w:color w:val="auto"/>
        </w:rPr>
        <w:t>Back Patent Costs</w:t>
      </w:r>
      <w:r>
        <w:rPr>
          <w:rFonts w:ascii="Arial" w:cs="Arial" w:eastAsia="Arial" w:hAnsi="Arial"/>
          <w:sz w:val="18"/>
          <w:szCs w:val="18"/>
          <w:color w:val="auto"/>
        </w:rPr>
        <w:t>. Within fourteen (14) days from complete execution of this Agreement, LICENSEE shall pay MICHIGAN all of the Back Patent Costs which are [XXX] as of March 10, 2016.</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158" w:lineRule="exact"/>
        <w:rPr>
          <w:sz w:val="20"/>
          <w:szCs w:val="20"/>
          <w:color w:val="auto"/>
        </w:rPr>
      </w:pPr>
    </w:p>
    <w:p>
      <w:pPr>
        <w:ind w:left="1580" w:right="1320" w:hanging="191"/>
        <w:spacing w:after="0" w:line="308" w:lineRule="auto"/>
        <w:tabs>
          <w:tab w:leader="none" w:pos="1945" w:val="left"/>
        </w:tabs>
        <w:numPr>
          <w:ilvl w:val="0"/>
          <w:numId w:val="526"/>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60"/>
          </w:cols>
          <w:pgMar w:left="240" w:top="269" w:right="299" w:bottom="1440" w:gutter="0" w:footer="0" w:header="0"/>
        </w:sectPr>
      </w:pPr>
    </w:p>
    <w:bookmarkStart w:id="579" w:name="page580"/>
    <w:bookmarkEnd w:id="5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60" w:right="20" w:firstLine="4"/>
        <w:spacing w:after="0" w:line="257" w:lineRule="auto"/>
        <w:tabs>
          <w:tab w:leader="none" w:pos="705"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Minimum Annual Royalties</w:t>
      </w:r>
      <w:r>
        <w:rPr>
          <w:rFonts w:ascii="Arial" w:cs="Arial" w:eastAsia="Arial" w:hAnsi="Arial"/>
          <w:sz w:val="18"/>
          <w:szCs w:val="18"/>
          <w:color w:val="auto"/>
        </w:rPr>
        <w:t>. Beginning with the FIRST COMMERCIAL SALE, Minimum Annual Royalties are due for each calendar year within sixty (60) days following the end thereof. Minimum Annual Royalties shall be credited against Running Royalties (and, if paid first, Running Royalties shall be credited against Minimum Annual Royalties) due on NET SALES made during the calendar year for which the Minimum Annual Royalties apply. Minimum Annual Royalties paid in excess of Running Royalties shall not be creditable to amounts due for future years. The Minimum Annual Royalty is [XXX].</w:t>
      </w:r>
    </w:p>
    <w:p>
      <w:pPr>
        <w:spacing w:after="0" w:line="80" w:lineRule="exact"/>
        <w:rPr>
          <w:rFonts w:ascii="Arial" w:cs="Arial" w:eastAsia="Arial" w:hAnsi="Arial"/>
          <w:sz w:val="18"/>
          <w:szCs w:val="18"/>
          <w:color w:val="auto"/>
        </w:rPr>
      </w:pPr>
    </w:p>
    <w:p>
      <w:pPr>
        <w:ind w:left="460" w:right="200" w:firstLine="4"/>
        <w:spacing w:after="0" w:line="277" w:lineRule="auto"/>
        <w:tabs>
          <w:tab w:leader="none" w:pos="685"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Milestone Payments for LICENSED PRODUCT</w:t>
      </w:r>
      <w:r>
        <w:rPr>
          <w:rFonts w:ascii="Arial" w:cs="Arial" w:eastAsia="Arial" w:hAnsi="Arial"/>
          <w:sz w:val="18"/>
          <w:szCs w:val="18"/>
          <w:color w:val="auto"/>
        </w:rPr>
        <w:t xml:space="preserve"> as follows (for the avoidance of doubt, none of these Milestone Payments shall be required to be paid more than once):</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[XXX]</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[XXX]</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[XXX]</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[XXX]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Milestone payments are non refundable and non-creditable against royalties.</w:t>
      </w:r>
    </w:p>
    <w:p>
      <w:pPr>
        <w:spacing w:after="0" w:line="117" w:lineRule="exact"/>
        <w:rPr>
          <w:sz w:val="20"/>
          <w:szCs w:val="20"/>
          <w:color w:val="auto"/>
        </w:rPr>
      </w:pPr>
    </w:p>
    <w:p>
      <w:pPr>
        <w:ind w:left="720" w:hanging="256"/>
        <w:spacing w:after="0"/>
        <w:tabs>
          <w:tab w:leader="none" w:pos="720"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[XXX]</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3.2 LICENSEE is not obligated to pay multiple royalties if any LICENSED PRODUCT or LICENSED PROCESS is covered by more than one VALID CLAIM or the same LICENSED PRODUCT is covered by VALID CLAIMS in two or more countries. If LICENSEE or its AFFILIATES or SUBLICENSEE enters into a license agreement with a third party that LICENSEE reasonably determines is necessary and procured for the commercialization of a LICENSED PRODUCT or LICENSED PROCESS and according to such license agreement a royalty must be paid to the third party by LICENSEE or its AFFILIATE or SUBLICENSEE based upon commercialization of a LICENSED PRODUCT or LICENSED PROCESS, then the royalty otherwise payable to MICHIGAN pursuant to Section 3.1 may be reduced by [XXX] of the applicable third party royalty; provided that, in no instance shall the royalty payable to MICHIGAN by LICENSEE ever be reduced below [XXX] of the otherwise applicable royalty.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158" w:lineRule="exact"/>
        <w:rPr>
          <w:sz w:val="20"/>
          <w:szCs w:val="20"/>
          <w:color w:val="auto"/>
        </w:rPr>
      </w:pPr>
    </w:p>
    <w:p>
      <w:pPr>
        <w:ind w:left="1580" w:right="1360" w:hanging="191"/>
        <w:spacing w:after="0" w:line="308" w:lineRule="auto"/>
        <w:tabs>
          <w:tab w:leader="none" w:pos="1945" w:val="left"/>
        </w:tabs>
        <w:numPr>
          <w:ilvl w:val="0"/>
          <w:numId w:val="52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70" w:right="259" w:bottom="1440" w:gutter="0" w:footer="0" w:header="0"/>
        </w:sectPr>
      </w:pPr>
    </w:p>
    <w:bookmarkStart w:id="580" w:name="page581"/>
    <w:bookmarkEnd w:id="5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3.3 Royalty payments shall be made to “The Regents of the University of Michigan” in United States dollars. Payments drawn directly on a U.S. bank may be made by either check to the address in Article 12 or by wire transfer. Any payment drawn on a foreign bank or foreign branch of a U.S. bank shall be made only by wire transfer. Wire transfers shall be made in accordance with the following or any other instructions as may be specified by MICHIGAN. In computing royalties, LICENSEE shall convert any revenues it receives in foreign currency into its equivalent in United States dollars at the most recent exchange rate published in the Wall Street Journal on the last business day of the ROYALTY PERIOD during which such payments are received by LICENSEE, or at such other exchange rate as the parties may agree to in writing.</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3.4 Royalty payments shall be made on a semi-annual basis with submission of the reports required by Article 4. All amounts due under this Agreement, including amounts due for the payment of patent expenses, shall, if overdue, be subject to a charge of interest [XXX] until payment, [XXX] above the prime rate in effect at the JP Morgan Chase Bank, N.A. or its successor bank on the due date (or at the highest allowed rate if a lower rate is required by law) or [XXX], whichever is greater. The payment of such interest shall not foreclose MICHIGAN from exercising any other rights it may have resulting from any late payment. LICENSEE shall reimburse MICHIGAN for the costs, including reasonable attorney fees, for expenses paid in order to collect any amounts overdue more than 120 days.</w:t>
      </w:r>
    </w:p>
    <w:p>
      <w:pPr>
        <w:spacing w:after="0" w:line="1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3.5 All payments made under this Agreement are and shall be non-refundable. MICHIGAN shall have no obligation whatsoever to pay, return, credit, or refund any amounts paid hereunder, except as may be specifically provided herein. By way of example only, notwithstanding the deductions permitted to NET SALES, MICHIGAN shall have no obligation to pay any amounts to LICENSEE even if such deductions should result in a negative amount for NET SALES in any given ROYALTY PERIOD.</w:t>
      </w:r>
    </w:p>
    <w:p>
      <w:pPr>
        <w:spacing w:after="0" w:line="18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3.6 The payments required to be paid by LICENSEE to MICHIGAN pursuant to this agreement may be paid with deduction for taxes withheld under the LICENSEE’s or, if applicable, its SUBLICENSEE’s applicable domestic law. LICENSEE will reasonably assist MICHIGAN to obtain full benefit of any applicable tax treaty to reduce the amount of such withheld taxes. MICHIGAN shall be responsible for the payment of all taxes, duties, levies, and other charges imposed by any taxing authority with respect to the royalties payable to MICHIGAN under this agreement. LICENSEE may withhold or deduct any portion of the payments due to MICHIGAN required under applicable law or regulation of any government entity or authority. LICENSEE shall cooperate reasonably with MICHIGAN in the event MICHIGAN elects to assert, at its own expense, any exemption from any such tax or deduction.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4 - REPORTS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4.1 Until the FIRST COMMERCIAL SALE, by July 31 of each year LICENSEE shall provide to MICHIGAN a written annual report that includes reports on progress since the prior annual report and general future plans regarding: research and development, regulatory approvals, manufacturing, sublicensing, marketing and SALES. Further, LICENSEE shall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158" w:lineRule="exact"/>
        <w:rPr>
          <w:sz w:val="20"/>
          <w:szCs w:val="20"/>
          <w:color w:val="auto"/>
        </w:rPr>
      </w:pPr>
    </w:p>
    <w:p>
      <w:pPr>
        <w:ind w:left="1580" w:right="1360" w:hanging="191"/>
        <w:spacing w:after="0" w:line="308" w:lineRule="auto"/>
        <w:tabs>
          <w:tab w:leader="none" w:pos="1945" w:val="left"/>
        </w:tabs>
        <w:numPr>
          <w:ilvl w:val="0"/>
          <w:numId w:val="530"/>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69" w:right="259" w:bottom="1440" w:gutter="0" w:footer="0" w:header="0"/>
        </w:sectPr>
      </w:pPr>
    </w:p>
    <w:bookmarkStart w:id="581" w:name="page582"/>
    <w:bookmarkEnd w:id="5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specifically report to MICHIGAN the FIRST COMMERCIAL SALE within sixty (60) days thereafter, and provide a brief description of the products or services subject of the FIRST COMMERCIAL SALE, and terms thereof.</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4.2 After the FIRST COMMERCIAL SALE, LICENSEE shall provide semi-annual reports to MICHIGAN. Specifically, as of the end of each ROYALTY PERIOD (and delivered within sixty (60) days after such ROYALTY PERIOD closes, including the close of the ROYALTY PERIOD immediately following any termination of this Agreement), LICENSEE shall report to MICHIGAN for the applicable ROYALTY PERIOD:</w:t>
      </w:r>
    </w:p>
    <w:p>
      <w:pPr>
        <w:spacing w:after="0" w:line="73" w:lineRule="exact"/>
        <w:rPr>
          <w:sz w:val="20"/>
          <w:szCs w:val="20"/>
          <w:color w:val="auto"/>
        </w:rPr>
      </w:pPr>
    </w:p>
    <w:p>
      <w:pPr>
        <w:ind w:left="700" w:hanging="236"/>
        <w:spacing w:after="0"/>
        <w:tabs>
          <w:tab w:leader="none" w:pos="7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number of LICENSED PRODUCTS sold, leased, or distributed, however characterized, by LICENSEE and each SUBLICENSEE.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NET SALES, excluding the deductions provided therefor, of LICENSED PRODUCTS SOLD by LICENSEE and all SUBLICENSEES.</w:t>
      </w:r>
    </w:p>
    <w:p>
      <w:pPr>
        <w:spacing w:after="0" w:line="117" w:lineRule="exact"/>
        <w:rPr>
          <w:rFonts w:ascii="Arial" w:cs="Arial" w:eastAsia="Arial" w:hAnsi="Arial"/>
          <w:sz w:val="18"/>
          <w:szCs w:val="18"/>
          <w:color w:val="auto"/>
        </w:rPr>
      </w:pPr>
    </w:p>
    <w:p>
      <w:pPr>
        <w:ind w:left="460" w:firstLine="4"/>
        <w:spacing w:after="0" w:line="277" w:lineRule="auto"/>
        <w:tabs>
          <w:tab w:leader="none" w:pos="70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a description and accounting for all LICENSED PROCESSES SOLD, by LICENSEE and all SUBLICENSEES included in NET SALES, excluding the deductions therefor.</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deductions applicable as provided in the definition for NET SALES above, and an explanation of the rationale(s) therefor.</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Sublicense Fees due on payments from SUBLICENSEES under Paragraph 3.1 above, including supporting figures.</w:t>
      </w:r>
    </w:p>
    <w:p>
      <w:pPr>
        <w:spacing w:after="0" w:line="117" w:lineRule="exact"/>
        <w:rPr>
          <w:rFonts w:ascii="Arial" w:cs="Arial" w:eastAsia="Arial" w:hAnsi="Arial"/>
          <w:sz w:val="18"/>
          <w:szCs w:val="18"/>
          <w:color w:val="auto"/>
        </w:rPr>
      </w:pPr>
    </w:p>
    <w:p>
      <w:pPr>
        <w:ind w:left="680" w:hanging="216"/>
        <w:spacing w:after="0"/>
        <w:tabs>
          <w:tab w:leader="none" w:pos="68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foreign currency conversion rate and calculations (if applicable) and total royalties due.</w:t>
      </w:r>
    </w:p>
    <w:p>
      <w:pPr>
        <w:spacing w:after="0" w:line="117" w:lineRule="exact"/>
        <w:rPr>
          <w:rFonts w:ascii="Arial" w:cs="Arial" w:eastAsia="Arial" w:hAnsi="Arial"/>
          <w:sz w:val="18"/>
          <w:szCs w:val="18"/>
          <w:color w:val="auto"/>
        </w:rPr>
      </w:pPr>
    </w:p>
    <w:p>
      <w:pPr>
        <w:ind w:left="460" w:right="100" w:firstLine="4"/>
        <w:spacing w:after="0" w:line="277" w:lineRule="auto"/>
        <w:tabs>
          <w:tab w:leader="none" w:pos="71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each milestone under Article 3 or Article 5 having a deadline during the ROYALTY PERIOD, and a specific identification of whether or not it was achieved.</w:t>
      </w:r>
    </w:p>
    <w:p>
      <w:pPr>
        <w:spacing w:after="0" w:line="62" w:lineRule="exact"/>
        <w:rPr>
          <w:rFonts w:ascii="Arial" w:cs="Arial" w:eastAsia="Arial" w:hAnsi="Arial"/>
          <w:sz w:val="18"/>
          <w:szCs w:val="18"/>
          <w:color w:val="auto"/>
        </w:rPr>
      </w:pPr>
    </w:p>
    <w:p>
      <w:pPr>
        <w:ind w:left="460" w:right="320" w:firstLine="4"/>
        <w:spacing w:after="0" w:line="259" w:lineRule="auto"/>
        <w:tabs>
          <w:tab w:leader="none" w:pos="71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for each sublicense or amendment thereto completed in the particular ROYALTY PERIOD (including agreements under which LICENSEE will have LICENSED PRODUCTS made by a third party): names, addresses, and U.S.P.T.O. Entity Status (as discussed in Paragraph 4.5) of such SUBLICENSEE; the date of each agreement and amendment; the territory of the sublicense; the scope of the sublicense; and the nature, timing and amounts of all fees, royalties to be paid thereunder.</w:t>
      </w:r>
    </w:p>
    <w:p>
      <w:pPr>
        <w:spacing w:after="0" w:line="78" w:lineRule="exact"/>
        <w:rPr>
          <w:rFonts w:ascii="Arial" w:cs="Arial" w:eastAsia="Arial" w:hAnsi="Arial"/>
          <w:sz w:val="18"/>
          <w:szCs w:val="18"/>
          <w:color w:val="auto"/>
        </w:rPr>
      </w:pPr>
    </w:p>
    <w:p>
      <w:pPr>
        <w:ind w:left="680" w:hanging="216"/>
        <w:spacing w:after="0"/>
        <w:tabs>
          <w:tab w:leader="none" w:pos="68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progress on research and development, regulatory approvals, manufacturing, sublicensing, marketing and SALES, and general plans for the future.</w:t>
      </w:r>
    </w:p>
    <w:p>
      <w:pPr>
        <w:spacing w:after="0" w:line="140" w:lineRule="exact"/>
        <w:rPr>
          <w:rFonts w:ascii="Arial" w:cs="Arial" w:eastAsia="Arial" w:hAnsi="Arial"/>
          <w:sz w:val="16"/>
          <w:szCs w:val="16"/>
          <w:color w:val="auto"/>
        </w:rPr>
      </w:pPr>
    </w:p>
    <w:p>
      <w:pPr>
        <w:ind w:left="680" w:hanging="216"/>
        <w:spacing w:after="0"/>
        <w:tabs>
          <w:tab w:leader="none" w:pos="68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the date of first SALE of LICENSED PRODUCTS (or results of LICENSED PROCESSES) in each country and the circumstances thereof.</w:t>
      </w:r>
    </w:p>
    <w:p>
      <w:pPr>
        <w:spacing w:after="0" w:line="2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LICENSEE shall include the amount of all payments due, and the various calculations used to arrive at those amounts, including the quantity, description (nomenclature and type designation as described in Paragraph 4.3 below), country of manufacture and country of SALE or use of LICENSED PRODUCTS and LICENSED PROCESSES.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158" w:lineRule="exact"/>
        <w:rPr>
          <w:sz w:val="20"/>
          <w:szCs w:val="20"/>
          <w:color w:val="auto"/>
        </w:rPr>
      </w:pPr>
    </w:p>
    <w:p>
      <w:pPr>
        <w:ind w:left="1580" w:right="1360" w:hanging="191"/>
        <w:spacing w:after="0" w:line="308" w:lineRule="auto"/>
        <w:tabs>
          <w:tab w:leader="none" w:pos="1945" w:val="left"/>
        </w:tabs>
        <w:numPr>
          <w:ilvl w:val="0"/>
          <w:numId w:val="532"/>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70" w:right="259" w:bottom="1440" w:gutter="0" w:footer="0" w:header="0"/>
        </w:sectPr>
      </w:pPr>
    </w:p>
    <w:bookmarkStart w:id="582" w:name="page583"/>
    <w:bookmarkEnd w:id="5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If no payment is due, LICENSEE shall so report to MICHIGAN that no payment is due. Failure to provide reports as required under this Article 4 shall be a material breach of this Agreement. LICENSEE agrees to reasonably cooperate with MICHIGAN regarding any questions it may have relating to compliance with this Agreement, for example to discuss the information in reports.</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4.3 LICENSEE shall promptly establish and consistently employ a system of specific nomenclature and type designations for LICENSED PRODUCTS and LICENSED PROCESSES to permit identification and segregation of various types where necessary, and shall require the same of SUBLICENSEES.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4.4 LICENSEE shall keep, and shall require SUBLICENSEES to keep, true and accurate records containing data reasonably required for the computation and verification of payments due under this Agreement. LICENSEE shall and it shall require all SUBLICENSEES and those making LICENSED PRODUCTS to:</w:t>
      </w:r>
    </w:p>
    <w:p>
      <w:pPr>
        <w:ind w:right="40" w:firstLine="8"/>
        <w:spacing w:after="0" w:line="254" w:lineRule="auto"/>
        <w:tabs>
          <w:tab w:leader="none" w:pos="245" w:val="left"/>
        </w:tabs>
        <w:numPr>
          <w:ilvl w:val="0"/>
          <w:numId w:val="533"/>
        </w:numPr>
        <w:rPr>
          <w:rFonts w:ascii="Arial" w:cs="Arial" w:eastAsia="Arial" w:hAnsi="Arial"/>
          <w:sz w:val="18"/>
          <w:szCs w:val="18"/>
          <w:color w:val="auto"/>
        </w:rPr>
      </w:pPr>
      <w:r>
        <w:rPr>
          <w:rFonts w:ascii="Arial" w:cs="Arial" w:eastAsia="Arial" w:hAnsi="Arial"/>
          <w:sz w:val="18"/>
          <w:szCs w:val="18"/>
          <w:color w:val="auto"/>
        </w:rPr>
        <w:t>open such records for inspection upon reasonable notice during business hours, and no more than once per year, at MICHIGAN’s sole expense, by either MICHIGAN auditor(s) or an independent certified accountant selected by MICHIGAN and reasonably acceptable to LICENSEE, for the purpose of verifying the amount of payments due, and shall provide information to MICHIGAN to facilitate such inspection; and (b) retain such records for six (6) years from date of origination.</w:t>
      </w:r>
    </w:p>
    <w:p>
      <w:pPr>
        <w:spacing w:after="0" w:line="1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terms of this Article shall survive any termination of this Agreement. MICHIGAN is responsible for all expenses of such inspection, except that if any inspection reveals an underpayment greater than [XXX] of royalties due MICHIGAN, then LICENSEE shall pay all expenses of that inspection and the amount of the underpayment and interest to MICHIGAN within thirty (30) days of written notice thereof. LICENSEE shall also reimburse MICHIGAN for reasonable expenses required to collect the amount underpaid.</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4.5 So that MICHIGAN may pay the proper U.S. Patent and Trademark Office fees relating to the PATENT RIGHTS, if LICENSEE, any AFFILIATE, or any SUBLICENSEE (including optionees) does not quality as a “Small Entity” under U.S. patent laws, LICENSEE shall notify MICHIGAN immediately. The parties understand that the changes to LICENSEE’s, AFFILIATE’s, SUBLICENSEE’s, or optionees’ businesses that might affect entity status include: acquisitions, mergers, hiring of a total of more than 500 total employees, sublicense agreements, and sublicense options.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5 - DILIGENCE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5.1 LICENSEE shall use commercially reasonable efforts to bring one or more LICENSED PRODUCTS to market, and/or one or more LICENSED PROCESSES to commercial use, through a diligent program for utilizing the PATENT RIGHTS and to continue diligent marketing efforts throughout the life of this Agreement, in each case consistent with prudent business practices and judgment. LICENSEE has the responsibility to do all that is legally required and commercially reasonable to obtain and retain any governmental approvals to manufacture and/or sell LICENSED PRODUCTS and/or use LICENSED PROCESSES for all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3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583" w:name="page584"/>
    <w:bookmarkEnd w:id="5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relevant activities of LICENSEE and SUBLICENSEES. If the commercialization of multiple LICENSED PRODUCTS or LICENSED PROCESSES is commercially reasonable, then the requirement of this paragraph shall apply to all such LICENSED PRODUCTS and/or LICENSED PROCESSES. Further, for the sake of clarity, LICENSEE must make commercially reasonable amounts or levels of LICENSED PRODUCTS and/or LICENSED PROCESSES available.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5.2 Without limiting Paragraph 5.1, LICENSEE agrees to reach the following commercialization and research and development milestones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LICENSED PRODUCTS and LICENSED PROCESSES (together the “MILESTONES”) by the following dates:</w:t>
      </w:r>
    </w:p>
    <w:p>
      <w:pPr>
        <w:spacing w:after="0" w:line="103" w:lineRule="exact"/>
        <w:rPr>
          <w:sz w:val="20"/>
          <w:szCs w:val="20"/>
          <w:color w:val="auto"/>
        </w:rPr>
      </w:pPr>
    </w:p>
    <w:p>
      <w:pPr>
        <w:ind w:left="660" w:hanging="196"/>
        <w:spacing w:after="0"/>
        <w:tabs>
          <w:tab w:leader="none" w:pos="6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[XXX]</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[XXX]</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[XXX]</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[XXX]</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purposes of this Agreement, initiation of a clinical trial shall mean that date upon which the first patient or subject is treated with a LICENSED PRODUCT under a protocol approved by an appropriate drug regulatory agency with a therapeutic agent or process that has been manufactured according to Good Manufacturing Practices (GMP) guidelines provided by the relevant regulatory agency.</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5.3 LICENSEE must achieve each MILESTONE on or before the deadline dates indicated above. LICENSEE shall notify MICHIGAN within thirty (30) days after each such deadline as to whether or not such MILESTONE was met. If LICENSEE fails to meet any MILESTONE under this Article by the date of any MILESTONE deadline, LICENSEE will be deemed to be in material breach of this Agreement, and MICHIGAN may terminate the Agreement effective on ninety (90) days’ written notice, unless LICENSEE achieves the MILESTONE within this ninety (90) day period.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6 - SUBLICENSING</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6.1 LICENSEE shall notify MICHIGAN in writing of every sublicense agreement and each amendment thereto within thirty (30) days after their execution, and indicate the name of the SUBLICENSEE, the territory of the sublicense, the scope of the sublicense, and the nature, timing and amounts of all fees and royalties to be paid thereunder, and whether or not the SUBLICENSEE has greater or fewer than 500 employees. Upon request, LICENSEE shall provide MICHIGAN with a copy of sublicense agreements.</w:t>
      </w:r>
    </w:p>
    <w:p>
      <w:pPr>
        <w:spacing w:after="0" w:line="18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6.2 LICENSEE shall not receive from SUBLICENSEES anything of value other than cash payments in consideration for any sublicense under this Agreement, without the express prior written permission of MICHIGAN.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36"/>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584" w:name="page585"/>
    <w:bookmarkEnd w:id="5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6.3 Each sublicense granted by LICENSEE under this Agreement shall provide for its termination upon termination of this Agreement. Each sublicense shall terminate upon termination of this Agreement unless LICENSEE has previously assigned its rights under the sublicense to MICHIGAN and MICHIGAN has agreed at its sole discretion in writing to such assignment.</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6.4 LICENSEE shall require that all sublicenses: (a) be consistent with the terms and conditions of this Agreement; (b) contain the SUBLICENSEE’S acknowledgment of the disclaimer of warranty and limitation on MICHIGAN’s liability, as provided by Article 9 below; and (c) contain provisions under which the SUBLICENSEE accepts duties at least equivalent to those accepted by the LICENSEE in the following Paragraphs: 4.4 (duty to keep records), 10.1 (duty to defend, hold harmless, and indemnify MICHIGAN), 10.3 (duty to maintain insurance), 13.4 (duty to properly mark LICENSED PRODUCTS with patent notices), and 13.6 (duty to restrict the use of MICHIGAN’s name).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7 - PATENT APPLICATIONS AND MAINTENANCE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7.1 MICHIGAN shall have the right to control all aspects maintaining the patents that form the basis for the PATENT RIGHTS, including administrative reexaminations and reviews, disputes (including litigation) regarding inventorship and derivation, and interferences. LICENSEE shall fully cooperate with MICHIGAN in activities relating to the PATENT RIGHTS, including said activities. Upon MICHIGAN’s request, to the extent permitted by law, LICENSEE shall cooperate with MICHIGAN in applying for patent term extension for any and all patents included in the PATENT RIGHTS. LICENSEE and MICHIGAN will mutually agree on the jurisdictions in which to seek such patent protection.</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7.2 MICHIGAN shall notify LICENSEE of all information received by MICHIGAN relating to maintenance of the PATENT RIGHTS, and shall make reasonable efforts to allow LICENSEE to review, comment, and advise upon such information. LICENSEE shall hold such information confidential and to use the information only for the purpose of advancing MICHIGAN’s PATENT RIGHTS.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7.3 LICENSEE shall reimburse MICHIGAN for all fees and costs relating to the activities described in this Article; provided, however, that LICENSEE shall not be responsible to reimburse such fees and cost relating to any country in which LICENSEE has not agreed to seek patent protection. Such reimbursement shall be made within thirty (30) days of receipt of MICHIGAN’s invoice and shall be subject to the interest and other requirements specified in Article 4 above.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8 - ENFORCEMENT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8.1 Each party shall promptly advise the other in writing of any known acts of potential infringement of the PATENT RIGHTS by another party. LICENSEE has the first option to police the PATENT RIGHTS against infringement by other parties within the TERRITORY and the FIELD OF USE, including those prior to the EFFECTIVE DATE. LICENSEE shall not file any suit without (a) first performing a thorough, diligent investigation of the merits of such suit, including with respect to the validity and enforceability of the PATENT RIGHTS; (b) there being reasonable legal and economic bases for doing so; and (c) notifying MICHIGAN twenty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3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585" w:name="page586"/>
    <w:bookmarkEnd w:id="5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days before any such filing. This right to police includes filing, prosecuting, and settling all infringement actions at its expense, except that LICENSEE shall make any such settlement only with the advice and consent of MICHIGAN. LICENSEE has the right to file suit using counsel of its choosing, subject to MICHIGAN’s approval, which shall not be unreasonably withheld or delayed. LICENSEE may grant to third parties the right to enforce hereunder, but only with the express written permission of MICHIGAN.</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8.2 If LICENSEE has complied with Paragraph 8.1, MICHIGAN shall provide reasonable assistance to LICENSEE with respect to such actions, but only if LICENSEE promptly reimburses MICHIGAN for out-of-pocket expenses incurred in connection with any such assistance rendered at LICENSEE’s request or reasonably required by MICHIGAN, including but not limited to expenses incurred in complying with discovery duties. MICHIGAN retains the right to participate, with counsel of its own choosing and at its own expense, in any action under this Article. LICENSEE shall defend, indemnify and hold harmless MICHIGAN with respect to any claims asserted by an alleged infringer reasonably related to the enforcement of the PATENT RIGHTS under this Article, including but not limited to antitrust counterclaims and claims for recovery of attorney fees.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8.3 MICHIGAN and its employees have a vital interest in lawsuits relating to the validity and enforceability of the PATENT RIGHTS. If a third party files a suit, including as a counterclaim, alleging that any of the PATENT RIGHTS is invalid or unenforceable, then the parties shall jointly control the defense of such claim. Each party shall consult with the other with respect to the defense of such claim, and shall reasonably consider the other party’s input. In furtherance of such joint control, at the onset of such claim and as reasonable during the pendency of any such claim, the parties shall meet and confer in good faith to set a plan for handling the defense thereof. The parties expect that in general (a) LICENSEE will have the right to lead daily activities, including but not limited to discovery, relating to the defense and (b) the parties would make joint filings. Notwithstanding, in the event that the parties cannot agree on how to proceed with respect to such claim, MICHIGAN shall have the right to control the defense thereof on either a temporary or permanent basis. LICENSEE shall be responsible for the reasonable costs and fees associated with the activities under this Paragraph 8.3. The parties shall consider reasonable controls on costs and fees as part of an aforementioned meet and confer with respect to the handling of the defense. Notwithstanding, if a third party asserts jurisdiction for any such action solely as the result of acts of MICHIGAN, then MICHIGAN shall be responsible for such reasonable costs and fees. LICENSEE shall have the right to offset [XXX] of any fees it is responsible for under this Section 8.3 from payments it is required to make to MICHIGAN under Section 3.1 hereof.</w:t>
      </w:r>
    </w:p>
    <w:p>
      <w:pPr>
        <w:spacing w:after="0" w:line="18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8.4 If LICENSEE or MICHIGAN recovers damages in patent litigation or settlement thereof, the award shall be applied first to satisfy LICENSEE’s (to the extent not offset in accordance with Section 8.3) and MICHIGAN’s reasonable expenses and legal fees for the litigation. The remaining balance shall be divided equally between LICENSEE and MICHIGAN. This provision shall control the division of revenues where a sublicense, covenant not to sue, or assignment of rights is granted as part of a settlement of such lawsuit (including prospective rights).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38"/>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586" w:name="page587"/>
    <w:bookmarkEnd w:id="5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2720"/>
        <w:spacing w:after="0"/>
        <w:rPr>
          <w:sz w:val="20"/>
          <w:szCs w:val="20"/>
          <w:color w:val="auto"/>
        </w:rPr>
      </w:pPr>
      <w:r>
        <w:rPr>
          <w:rFonts w:ascii="Arial" w:cs="Arial" w:eastAsia="Arial" w:hAnsi="Arial"/>
          <w:sz w:val="18"/>
          <w:szCs w:val="18"/>
          <w:u w:val="single" w:color="auto"/>
          <w:color w:val="auto"/>
        </w:rPr>
        <w:t>ARTICLE 9 - NO WARRANTIES; LIMITATION ON MICHIGAN’S LIABILITY</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9.1 MICHIGAN makes no representations or warranties that any claim within the PATENT RIGHTS is or will be held valid, patentable, or enforceable, or that the manufacture, importation, use, offer for SALE, SALE or other distribution of any LICENSED PRODUCTS or LICENSED PROCESSES will not infringe upon any patent or other rights.</w:t>
      </w:r>
    </w:p>
    <w:p>
      <w:pPr>
        <w:spacing w:after="0" w:line="177"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color w:val="auto"/>
        </w:rPr>
        <w:t>MICHIGAN</w:t>
      </w:r>
      <w:r>
        <w:rPr>
          <w:rFonts w:ascii="Arial" w:cs="Arial" w:eastAsia="Arial" w:hAnsi="Arial"/>
          <w:sz w:val="17"/>
          <w:szCs w:val="17"/>
          <w:color w:val="auto"/>
        </w:rPr>
        <w:t xml:space="preserve"> MAKES NO REPRESENTATIONS, EXTENDS NO WARRANTIES OF ANY KIND, EITHER EXPRESS OR IMPLIED, INCLUDING BUT NOT LIMITED TO THE IMPLIED WARRANTIES OF MERCHANTABILITY OR FITNESS FOR A PARTICULAR PURPOSE, AND ASSUMES NO RESPONSIBILITIES WHATEVER WITH RESPECT TO DESIGN, DEVELOPMENT, MANUFACTURE, USE, </w:t>
      </w:r>
      <w:r>
        <w:rPr>
          <w:rFonts w:ascii="Arial" w:cs="Arial" w:eastAsia="Arial" w:hAnsi="Arial"/>
          <w:sz w:val="17"/>
          <w:szCs w:val="17"/>
          <w:b w:val="1"/>
          <w:bCs w:val="1"/>
          <w:color w:val="auto"/>
        </w:rPr>
        <w:t>SALE</w:t>
      </w:r>
      <w:r>
        <w:rPr>
          <w:rFonts w:ascii="Arial" w:cs="Arial" w:eastAsia="Arial" w:hAnsi="Arial"/>
          <w:sz w:val="17"/>
          <w:szCs w:val="17"/>
          <w:color w:val="auto"/>
        </w:rPr>
        <w:t xml:space="preserve"> OR OTHER DISPOSITION BY </w:t>
      </w:r>
      <w:r>
        <w:rPr>
          <w:rFonts w:ascii="Arial" w:cs="Arial" w:eastAsia="Arial" w:hAnsi="Arial"/>
          <w:sz w:val="17"/>
          <w:szCs w:val="17"/>
          <w:b w:val="1"/>
          <w:bCs w:val="1"/>
          <w:color w:val="auto"/>
        </w:rPr>
        <w:t>LICENSEE</w:t>
      </w:r>
      <w:r>
        <w:rPr>
          <w:rFonts w:ascii="Arial" w:cs="Arial" w:eastAsia="Arial" w:hAnsi="Arial"/>
          <w:sz w:val="17"/>
          <w:szCs w:val="17"/>
          <w:color w:val="auto"/>
        </w:rPr>
        <w:t xml:space="preserve"> OR </w:t>
      </w:r>
      <w:r>
        <w:rPr>
          <w:rFonts w:ascii="Arial" w:cs="Arial" w:eastAsia="Arial" w:hAnsi="Arial"/>
          <w:sz w:val="17"/>
          <w:szCs w:val="17"/>
          <w:b w:val="1"/>
          <w:bCs w:val="1"/>
          <w:color w:val="auto"/>
        </w:rPr>
        <w:t>SUBLICENSEES</w:t>
      </w:r>
      <w:r>
        <w:rPr>
          <w:rFonts w:ascii="Arial" w:cs="Arial" w:eastAsia="Arial" w:hAnsi="Arial"/>
          <w:sz w:val="17"/>
          <w:szCs w:val="17"/>
          <w:color w:val="auto"/>
        </w:rPr>
        <w:t xml:space="preserve"> OF </w:t>
      </w:r>
      <w:r>
        <w:rPr>
          <w:rFonts w:ascii="Arial" w:cs="Arial" w:eastAsia="Arial" w:hAnsi="Arial"/>
          <w:sz w:val="17"/>
          <w:szCs w:val="17"/>
          <w:b w:val="1"/>
          <w:bCs w:val="1"/>
          <w:color w:val="auto"/>
        </w:rPr>
        <w:t>LICENSED PRODUCTS</w:t>
      </w:r>
      <w:r>
        <w:rPr>
          <w:rFonts w:ascii="Arial" w:cs="Arial" w:eastAsia="Arial" w:hAnsi="Arial"/>
          <w:sz w:val="17"/>
          <w:szCs w:val="17"/>
          <w:color w:val="auto"/>
        </w:rPr>
        <w:t xml:space="preserve"> OR </w:t>
      </w:r>
      <w:r>
        <w:rPr>
          <w:rFonts w:ascii="Arial" w:cs="Arial" w:eastAsia="Arial" w:hAnsi="Arial"/>
          <w:sz w:val="17"/>
          <w:szCs w:val="17"/>
          <w:b w:val="1"/>
          <w:bCs w:val="1"/>
          <w:color w:val="auto"/>
        </w:rPr>
        <w:t>LICENSED PROCESSES. LICENSEE</w:t>
      </w:r>
      <w:r>
        <w:rPr>
          <w:rFonts w:ascii="Arial" w:cs="Arial" w:eastAsia="Arial" w:hAnsi="Arial"/>
          <w:sz w:val="17"/>
          <w:szCs w:val="17"/>
          <w:color w:val="auto"/>
        </w:rPr>
        <w:t xml:space="preserve"> AND </w:t>
      </w:r>
      <w:r>
        <w:rPr>
          <w:rFonts w:ascii="Arial" w:cs="Arial" w:eastAsia="Arial" w:hAnsi="Arial"/>
          <w:sz w:val="17"/>
          <w:szCs w:val="17"/>
          <w:b w:val="1"/>
          <w:bCs w:val="1"/>
          <w:color w:val="auto"/>
        </w:rPr>
        <w:t>SUBLICENSEES</w:t>
      </w:r>
      <w:r>
        <w:rPr>
          <w:rFonts w:ascii="Arial" w:cs="Arial" w:eastAsia="Arial" w:hAnsi="Arial"/>
          <w:sz w:val="17"/>
          <w:szCs w:val="17"/>
          <w:color w:val="auto"/>
        </w:rPr>
        <w:t xml:space="preserve"> ASSUME THE ENTIRE RISK AS TO PERFORMANCE OF </w:t>
      </w:r>
      <w:r>
        <w:rPr>
          <w:rFonts w:ascii="Arial" w:cs="Arial" w:eastAsia="Arial" w:hAnsi="Arial"/>
          <w:sz w:val="17"/>
          <w:szCs w:val="17"/>
          <w:b w:val="1"/>
          <w:bCs w:val="1"/>
          <w:color w:val="auto"/>
        </w:rPr>
        <w:t>LICENSED PRODUCTS</w:t>
      </w:r>
      <w:r>
        <w:rPr>
          <w:rFonts w:ascii="Arial" w:cs="Arial" w:eastAsia="Arial" w:hAnsi="Arial"/>
          <w:sz w:val="17"/>
          <w:szCs w:val="17"/>
          <w:color w:val="auto"/>
        </w:rPr>
        <w:t xml:space="preserve"> AND </w:t>
      </w:r>
      <w:r>
        <w:rPr>
          <w:rFonts w:ascii="Arial" w:cs="Arial" w:eastAsia="Arial" w:hAnsi="Arial"/>
          <w:sz w:val="17"/>
          <w:szCs w:val="17"/>
          <w:b w:val="1"/>
          <w:bCs w:val="1"/>
          <w:color w:val="auto"/>
        </w:rPr>
        <w:t>LICENSED PROCESSES.</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9.3 In no event shall MICHIGAN be responsible or liable for any direct, indirect, special, incidental, or consequential damages or lost profits or other economic loss or damage with respect to LICENSED PRODUCTS LICENSED PROCESSES, or the PATENT RIGHTS to LICENSEE, SUBLICENSEES or any other individual or entity regardless of legal or equitable theory. The above limitations on liability apply even though MICHIGAN may have been advised of the possibility of such damage.</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9.4 LICENSEE shall not make any statements, representations or warranties whatsoever to any person or entity, or accept any liabilities or responsibilities whatsoever from any person or entity that are inconsistent with any disclaimer or limitation included in this Article 9.</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10 - INDEMNITY; INSURANCE</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10.1 LICENSEE shall defend, indemnify and hold harmless and shall require SUBLICENSEES to defend, indemnify and hold harmless MICHIGAN for and against any and all claims, demands, damages, losses, and expenses of any nature (including attorneys’ fees and other litigation expenses), resulting from, but not limited to, death, personal injury, illness, property damage, economic loss or products liability, including errors and omissions, arising from or in connection with, any of the following: (1) Any manufacture, use, SALE or other disposition by LICENSEE, SUBLICENSEES or transferees of LICENSED PRODUCTS or LICENSED PROCESSES; (2) The use by any person of LICENSED PRODUCTS made, used, sold or otherwise distributed by LICENSEE or SUBLICENSEES; and (3) The use or practice by LICENSEE or SUBLICENSEES of any invention or computer software related to the PATENT RIGHTS.</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10.2 MICHIGAN is entitled to participate at its option and expense through counsel of its own selection, and may join in any legal actions related to any such claims, demands, damages, losses and expenses under Paragraph 10.1 above. LICENSEE shall not settle any such legal action with an admission of liability of MICHIGAN without MICHIGAN’s written approval.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3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587" w:name="page588"/>
    <w:bookmarkEnd w:id="5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10.3 Prior to any distribution or commercial use of any LICENSED PRODUCT or use of any LICENSED PROCESS by LICENSEE, LICENSEE shall purchase and maintain in effect commercial general liability insurance, product liability insurance, and errors and omissions insurance which shall protect LICENSEE and MICHIGAN with respect to the events covered by Paragraph 10.1, and LICENSEE shall require the same of any SUBLICENSEE. Each such insurance policy must provide reasonable coverage for all claims with respect to any LICENSED PROCESS used and any LICENSED PRODUCTS manufactured, used, sold, licensed or otherwise distributed by LICENSEE — or, in the case of a SUBLICENSEE’s policy, by said SUBLICENSEE — and must specify MICHIGAN as an additional insured. LICENSEE shall furnish certificate(s) of such insurance to MICHIGAN, upon request.</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10.4 In no event shall either party hereunder be liable to the other for any special, indirect, or consequential damages of any kind whatsoever resulting from any breach or default of this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11 - TERM AND TERMINATION</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11.1 If LICENSEE ceases to operate its business, or if it files a petition in bankruptcy, has an involuntary petition in bankruptcy filed against LICENSEE that is not dismissed within sixty days after the filing thereof, make a general assignment for the benefit of creditors or liquidates or dissolves, this Agreement shall immediately terminate upon MICHIGAN’s attempt to deliver a termination notice to the address for notices provided herein. If LICENSEE makes or attempts to make an assignment for the benefit of creditors, or if proceedings in voluntary or involuntary bankruptcy or insolvency are instituted on behalf of or against LICENSEE, or if a receiver or trustee is appointed for the property of LICENSEE, this Agreement shall automatically terminate. LICENSEE shall notify MICHIGAN of any such event mentioned in this Paragraph as soon as reasonably practicable, and in any event within five days after any such event.</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11.2 If LICENSEE fails to make any payment due to MICHIGAN, other than amounts subject to a bona fide dispute, upon thirty (30) days’ written notice by MICHIGAN, this Agreement shall automatically terminate unless MICHIGAN specifically extends such date in writing or such unpaid amount is paid to MICHIGAN within such thirty (30) day period. Such termination shall not foreclose MICHIGAN from collection of any amounts remaining unpaid or seeking other legal relief.</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11.3 Upon any material breach or default of this Agreement by LICENSEE (other than as specifically provided herein, the terms of which shall take precedence over the handling of any other material breach or default under this Paragraph), MICHIGAN has the right to terminate this Agreement effective on ninety (90) days’ written notice to LICENSEE. Such termination shall become automatically effective upon expiration of the thirty-day period unless LICENSEE cures the material breach or default before the period expires.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11.4 LICENSEE has the right to terminate this Agreement at any time on sixty (60) days’ written notice to MICHIGAN if LICENSEE prior to the termination date:</w:t>
      </w:r>
    </w:p>
    <w:p>
      <w:pPr>
        <w:spacing w:after="0" w:line="62" w:lineRule="exact"/>
        <w:rPr>
          <w:sz w:val="20"/>
          <w:szCs w:val="20"/>
          <w:color w:val="auto"/>
        </w:rPr>
      </w:pPr>
    </w:p>
    <w:p>
      <w:pPr>
        <w:ind w:left="700" w:hanging="236"/>
        <w:spacing w:after="0"/>
        <w:tabs>
          <w:tab w:leader="none" w:pos="70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pays all amounts due MICHIGAN through the effective date of the termination;</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submits a final report of the type described in Paragraph 4.2;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41"/>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588" w:name="page589"/>
    <w:bookmarkEnd w:id="5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460" w:right="420" w:firstLine="4"/>
        <w:spacing w:after="0" w:line="264" w:lineRule="auto"/>
        <w:tabs>
          <w:tab w:leader="none" w:pos="705" w:val="left"/>
        </w:tabs>
        <w:numPr>
          <w:ilvl w:val="0"/>
          <w:numId w:val="542"/>
        </w:numPr>
        <w:rPr>
          <w:rFonts w:ascii="Arial" w:cs="Arial" w:eastAsia="Arial" w:hAnsi="Arial"/>
          <w:sz w:val="18"/>
          <w:szCs w:val="18"/>
          <w:color w:val="auto"/>
        </w:rPr>
      </w:pPr>
      <w:r>
        <w:rPr>
          <w:rFonts w:ascii="Arial" w:cs="Arial" w:eastAsia="Arial" w:hAnsi="Arial"/>
          <w:sz w:val="18"/>
          <w:szCs w:val="18"/>
          <w:color w:val="auto"/>
        </w:rPr>
        <w:t>returns any patent documentation (including that exchanged under Article 7) and any other confidential or trade-secret materials provided to LICENSEE by MICHIGAN in connection with this Agreement, or, with prior approval by MICHIGAN, destroys such materials, and certifies in writing that such materials have all been returned or destroyed; and</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suspends its manufacture, use and SALE of the LICENSED PROCESS(ES) and LICENSED PRODUCT(S).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11.5 Upon any termination of this Agreement, and except as provided herein to the contrary, all rights and obligations of the parties hereunder shall cease, except any previously accrued rights and obligations and further as follows: (a) obligations to pay royalties and other sums, or to transfer equity or other consideration, accruing hereunder up to the day of such termination, whether or not this Agreement provides for a number of days before which actual payment is due and such date is after the day of termination and whether or not a required funding event or other stock transfer trigger has yet been met;</w:t>
      </w:r>
    </w:p>
    <w:p>
      <w:pPr>
        <w:spacing w:after="0" w:line="2" w:lineRule="exact"/>
        <w:rPr>
          <w:sz w:val="20"/>
          <w:szCs w:val="20"/>
          <w:color w:val="auto"/>
        </w:rPr>
      </w:pPr>
    </w:p>
    <w:p>
      <w:pPr>
        <w:ind w:left="260" w:hanging="252"/>
        <w:spacing w:after="0"/>
        <w:tabs>
          <w:tab w:leader="none" w:pos="26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MICHIGAN’s rights to inspect books and records as described in Article 4, and LICENSEE’s obligations to keep such records for the required time;</w:t>
      </w:r>
    </w:p>
    <w:p>
      <w:pPr>
        <w:spacing w:after="0" w:line="20" w:lineRule="exact"/>
        <w:rPr>
          <w:rFonts w:ascii="Arial" w:cs="Arial" w:eastAsia="Arial" w:hAnsi="Arial"/>
          <w:sz w:val="17"/>
          <w:szCs w:val="17"/>
          <w:color w:val="auto"/>
        </w:rPr>
      </w:pPr>
    </w:p>
    <w:p>
      <w:pPr>
        <w:jc w:val="both"/>
        <w:ind w:right="220" w:firstLine="8"/>
        <w:spacing w:after="0" w:line="255" w:lineRule="auto"/>
        <w:tabs>
          <w:tab w:leader="none" w:pos="245"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any cause of action or claim of LICENSEE or MICHIGAN accrued or to accrue because of any breach or default by the other party hereunder; (d) the provisions of Articles 1, 9, 10, and 13; and (e) all other terms, provisions, representations, rights and obligations contained in this Agreement that by their sense and context are intended to survive until performance thereof by either or both parties.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Termination by either party hereunder shall not alter or affect any other rights or relief that either party may be entitled to under law.</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11.6 Upon termination of this Agreement, if LICENSEE has filed patent applications or obtained patents to any modification or improvement to LICENSED PRODUCTS or LICENSED PROCESSES within the scope of the PATENT RIGHTS, LICENSEE agrees upon request to enter into good faith negotiations with MICHIGAN or MICHIGAN’s future licensee(s) for the purpose of granting licensing rights to said modifications or improvements in a timely fashion and under commercially reasonable terms.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11.7 If LICENSEE or a SUBLICENSEE, or any affiliate thereof, asserts the invalidity or unenforceability of any claim included in the PATENT RIGHTS, including by way of litigation or administrative proceedings, either directly or through any other party, then MICHIGAN shall have the right to immediately terminate this Agreement upon written notice to LICENSEE.</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ARTICLE 12 - NOTICES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12.1 Any notice, request, or report required or permitted to be given or made under this Agreement by either party is effective when mailed if sent by recognized overnight carrier, certified or registered mail, or electronic mail followed by confirmation by U.S. mail, to the address set forth below or such other address as such party specifies by written notice given in conformity herewith. Any notice, request, or report not so given is not effective until actually received by the other party.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158" w:lineRule="exact"/>
        <w:rPr>
          <w:sz w:val="20"/>
          <w:szCs w:val="20"/>
          <w:color w:val="auto"/>
        </w:rPr>
      </w:pPr>
    </w:p>
    <w:p>
      <w:pPr>
        <w:ind w:left="1580" w:right="1260" w:hanging="191"/>
        <w:spacing w:after="0" w:line="308" w:lineRule="auto"/>
        <w:tabs>
          <w:tab w:leader="none" w:pos="1945" w:val="left"/>
        </w:tabs>
        <w:numPr>
          <w:ilvl w:val="0"/>
          <w:numId w:val="54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00"/>
          </w:cols>
          <w:pgMar w:left="240" w:top="269" w:right="359" w:bottom="1440" w:gutter="0" w:footer="0" w:header="0"/>
        </w:sectPr>
      </w:pPr>
    </w:p>
    <w:bookmarkStart w:id="589" w:name="page590"/>
    <w:bookmarkEnd w:id="5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ectPr>
          <w:pgSz w:w="11900" w:h="16838" w:orient="portrait"/>
          <w:cols w:equalWidth="0" w:num="1">
            <w:col w:w="11400"/>
          </w:cols>
          <w:pgMar w:left="240" w:top="270" w:right="259" w:bottom="1440" w:gutter="0" w:footer="0" w:header="0"/>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MICHIGAN: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4240"/>
        <w:spacing w:after="0"/>
        <w:rPr>
          <w:sz w:val="20"/>
          <w:szCs w:val="20"/>
          <w:color w:val="auto"/>
        </w:rPr>
      </w:pPr>
      <w:r>
        <w:rPr>
          <w:rFonts w:ascii="Arial" w:cs="Arial" w:eastAsia="Arial" w:hAnsi="Arial"/>
          <w:sz w:val="16"/>
          <w:szCs w:val="16"/>
          <w:color w:val="auto"/>
        </w:rPr>
        <w:t>To LICENSEE:</w:t>
      </w:r>
    </w:p>
    <w:p>
      <w:pPr>
        <w:spacing w:after="0" w:line="140" w:lineRule="exact"/>
        <w:rPr>
          <w:sz w:val="20"/>
          <w:szCs w:val="20"/>
          <w:color w:val="auto"/>
        </w:rPr>
      </w:pPr>
    </w:p>
    <w:p>
      <w:pPr>
        <w:sectPr>
          <w:pgSz w:w="11900" w:h="16838" w:orient="portrait"/>
          <w:cols w:equalWidth="0" w:num="2">
            <w:col w:w="5320" w:space="720"/>
            <w:col w:w="5360"/>
          </w:cols>
          <w:pgMar w:left="240" w:top="270" w:right="25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Office of Technology Transfer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University of Michigan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1600 Huron Parkway, 2nd Floor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 Arbor, MI 48109-2590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Solid GT,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Ilan Ganot, CEO</w:t>
      </w:r>
    </w:p>
    <w:p>
      <w:pPr>
        <w:spacing w:after="0" w:line="222" w:lineRule="exact"/>
        <w:rPr>
          <w:sz w:val="20"/>
          <w:szCs w:val="20"/>
          <w:color w:val="auto"/>
        </w:rPr>
      </w:pPr>
    </w:p>
    <w:p>
      <w:pPr>
        <w:sectPr>
          <w:pgSz w:w="11900" w:h="16838" w:orient="portrait"/>
          <w:cols w:equalWidth="0" w:num="2">
            <w:col w:w="5320" w:space="720"/>
            <w:col w:w="5360"/>
          </w:cols>
          <w:pgMar w:left="240" w:top="270" w:right="259" w:bottom="1440" w:gutter="0" w:footer="0" w:header="0"/>
          <w:type w:val="continuous"/>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13 - MISCELLANEOUS PROVISIONS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13.1 This Agreement shall be governed by and construed under the laws of the state of Michigan without regard for principles of choice of law, except that questions affecting the construction and effect of any patent shall be determined by the law of the country in which the patent was granted. Any claims, demands, or actions asserted against MICHIGAN, its Regents, fellows, officers, employees or agents shall only be brought in the Michigan Court of Claims. LICENSEE, its successors, and assigns consent to the jurisdiction of a court with applicable subject matter jurisdiction sitting in the state of Michigan with respect to any claims arising under this agreement or the relationship between the parties.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13.2 MICHIGAN and LICENSEE agree that this Agreement sets forth their entire understanding concerning the subject matter of this Agreement. The parties may amend this Agreement from time to time, such as to add new rights, but no modification will be effective unless both MICHIGAN and LICENSEE agree to it in writing.</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13.3 If a court of competent jurisdiction finds any term of this Agreement invalid, illegal or unenforceable, that term will be curtailed, limited or deleted, but only to the extent necessary to remove the invalidity, illegality or unenforceability, and without in any way affecting or impairing the remaining terms.</w:t>
      </w:r>
    </w:p>
    <w:p>
      <w:pPr>
        <w:spacing w:after="0" w:line="12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13.4 LICENSEE agrees to mark the LICENSED PRODUCTS sold in the United States with all applicable United States patent numbers as necessary to meet the requirements of 35 U.S.C. 287 so that the full benefits of patent enforcement may be realized. All LICENSED PRODUCTS shipped to or sold in other countries shall be marked to comply with the patent laws and practices of the countries of manufacture, use and SALE.</w:t>
      </w:r>
    </w:p>
    <w:p>
      <w:pPr>
        <w:spacing w:after="0" w:line="166"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13.5 No waiver by either party of any breach of this Agreement, no matter how long continuing or how often repeated, is a waiver of any subsequent breach thereof, nor is any delay or omission on the part of either party to exercise or insist on any right, power, or privilege hereunder a waiver of such right, power or privilege. In no event shall any waiver be deemed valid unless it is in writing and signed by an authorized representative of each party.</w:t>
      </w:r>
    </w:p>
    <w:p>
      <w:pPr>
        <w:spacing w:after="0" w:line="14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13.6 LICENSEE shall, and shall require its affiliates to, refrain from using and to require SUBLICENSEES to refrain from using the name of MICHIGAN or its employees in publicity or advertising without the prior written approval of MICHIGAN. Reports in scientific literature and presentations of joint research and development work are not publicity. Notwithstanding this provision, without prior written approval of MICHIGAN, LICENSEE and SUBLICENSEES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158" w:lineRule="exact"/>
        <w:rPr>
          <w:sz w:val="20"/>
          <w:szCs w:val="20"/>
          <w:color w:val="auto"/>
        </w:rPr>
      </w:pPr>
    </w:p>
    <w:p>
      <w:pPr>
        <w:ind w:left="1580" w:right="1360" w:hanging="191"/>
        <w:spacing w:after="0" w:line="308" w:lineRule="auto"/>
        <w:tabs>
          <w:tab w:leader="none" w:pos="1945" w:val="left"/>
        </w:tabs>
        <w:numPr>
          <w:ilvl w:val="0"/>
          <w:numId w:val="54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70" w:right="259" w:bottom="1440" w:gutter="0" w:footer="0" w:header="0"/>
          <w:type w:val="continuous"/>
        </w:sectPr>
      </w:pPr>
    </w:p>
    <w:bookmarkStart w:id="590" w:name="page591"/>
    <w:bookmarkEnd w:id="5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may state publicly that LICENSED PRODUCTS and PROCESSES were developed by LICENSEE based upon an invention(s) developed at the University of Michigan and/or that the PATENT RIGHTS were licensed from the University of Michigan.</w:t>
      </w:r>
    </w:p>
    <w:p>
      <w:pPr>
        <w:spacing w:after="0" w:line="17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13.7 LICENSEE agrees to comply with all applicable laws and regulations, including but not limited to all United States laws and regulations controlling the export of commodities and technical data. LICENSEE shall be solely responsible for any violation of such laws and regulations involving LICENSEE or its SUBLICENSEES, and to defend, indemnify and hold harmless MICHIGAN if any legal action of any nature results from any such violation.</w:t>
      </w:r>
    </w:p>
    <w:p>
      <w:pPr>
        <w:spacing w:after="0" w:line="14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13.8 The relationship between the parties is that of independent contractor and contractee. Neither party is an agent of the other in connection with the exercise of any rights hereunder, and neither has any right or authority to assume or create any obligation or responsibility on behalf of the other.</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13.9 LICENSEE may not assign this Agreement without the prior written consent of MICHIGAN and shall not pledge any of the license rights granted in this Agreement as security for any creditor. Any attempted pledge of any of the rights under this Agreement or assignment of this Agreement without the prior consent of MICHIGAN will be void from the beginning. No assignment by LICENSEE will be effective until the intended assignee agrees in writing to accept all of the terms and conditions of this Agreement, and such writing is provided to MICHIGAN. Notwithstanding the foregoing, LICENSEE may, without MICHIGAN’s consent, assign its rights under this Agreement to a purchaser of all or substantially all of LICENSEE’s business relating to the subject matter of this Agreement, so long as (a) LICENSEE is not in breach of this Agreement and (b) such assignee provides a statement in writing to MICHIGAN that it agrees to accept all the terms and conditions of this Agreement (including obligations existing as of the time of such assignment) in the place of LICENSEE.</w:t>
      </w:r>
    </w:p>
    <w:p>
      <w:pPr>
        <w:spacing w:after="0" w:line="192"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13.10 If the registration, recordation, or reporting to a national or supranational agency of this Agreement, its terms, or assignment thereof is or becomes required or advisable (e.g., as a prerequisite to enforceability of the Agreement in such nation), LICENSEE shall, at its expense, promptly undertake such action. LICENSEE shall provide prompt notice thereof to MICHIGAN along with copies of relevant documentation.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158" w:lineRule="exact"/>
        <w:rPr>
          <w:sz w:val="20"/>
          <w:szCs w:val="20"/>
          <w:color w:val="auto"/>
        </w:rPr>
      </w:pPr>
    </w:p>
    <w:p>
      <w:pPr>
        <w:ind w:left="1580" w:right="1360" w:hanging="191"/>
        <w:spacing w:after="0" w:line="308" w:lineRule="auto"/>
        <w:tabs>
          <w:tab w:leader="none" w:pos="1945" w:val="left"/>
        </w:tabs>
        <w:numPr>
          <w:ilvl w:val="0"/>
          <w:numId w:val="546"/>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69" w:right="259" w:bottom="1440" w:gutter="0" w:footer="0" w:header="0"/>
        </w:sectPr>
      </w:pPr>
    </w:p>
    <w:bookmarkStart w:id="591" w:name="page592"/>
    <w:bookmarkEnd w:id="5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this Agreement in duplicate originals by their duly authorized officers or representatives.</w:t>
      </w:r>
    </w:p>
    <w:p>
      <w:pPr>
        <w:sectPr>
          <w:pgSz w:w="11900" w:h="16838" w:orient="portrait"/>
          <w:cols w:equalWidth="0" w:num="1">
            <w:col w:w="11040"/>
          </w:cols>
          <w:pgMar w:left="240" w:top="269" w:right="61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FOR LICENSEE: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SOLID GT, LLC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2060" w:type="dxa"/>
            <w:vAlign w:val="bottom"/>
          </w:tcPr>
          <w:p>
            <w:pPr>
              <w:ind w:left="140"/>
              <w:spacing w:after="0"/>
              <w:rPr>
                <w:sz w:val="20"/>
                <w:szCs w:val="20"/>
                <w:color w:val="auto"/>
              </w:rPr>
            </w:pPr>
            <w:r>
              <w:rPr>
                <w:rFonts w:ascii="Arial" w:cs="Arial" w:eastAsia="Arial" w:hAnsi="Arial"/>
                <w:sz w:val="18"/>
                <w:szCs w:val="18"/>
                <w:color w:val="auto"/>
              </w:rPr>
              <w:t>/s/ Ilan Ganot</w:t>
            </w:r>
          </w:p>
        </w:tc>
      </w:tr>
      <w:tr>
        <w:trPr>
          <w:trHeight w:val="243"/>
        </w:trPr>
        <w:tc>
          <w:tcPr>
            <w:tcW w:w="1120" w:type="dxa"/>
            <w:vAlign w:val="bottom"/>
          </w:tcPr>
          <w:p>
            <w:pPr>
              <w:spacing w:after="0"/>
              <w:rPr>
                <w:sz w:val="21"/>
                <w:szCs w:val="21"/>
                <w:color w:val="auto"/>
              </w:rPr>
            </w:pPr>
          </w:p>
        </w:tc>
        <w:tc>
          <w:tcPr>
            <w:tcW w:w="2060" w:type="dxa"/>
            <w:vAlign w:val="bottom"/>
          </w:tcPr>
          <w:p>
            <w:pPr>
              <w:ind w:left="140"/>
              <w:spacing w:after="0"/>
              <w:rPr>
                <w:sz w:val="20"/>
                <w:szCs w:val="20"/>
                <w:color w:val="auto"/>
              </w:rPr>
            </w:pPr>
            <w:r>
              <w:rPr>
                <w:rFonts w:ascii="Arial" w:cs="Arial" w:eastAsia="Arial" w:hAnsi="Arial"/>
                <w:sz w:val="18"/>
                <w:szCs w:val="18"/>
                <w:color w:val="auto"/>
                <w:w w:val="88"/>
              </w:rPr>
              <w:t>(authorized representative)</w:t>
            </w:r>
          </w:p>
        </w:tc>
      </w:tr>
      <w:tr>
        <w:trPr>
          <w:trHeight w:val="431"/>
        </w:trPr>
        <w:tc>
          <w:tcPr>
            <w:tcW w:w="1120" w:type="dxa"/>
            <w:vAlign w:val="bottom"/>
          </w:tcPr>
          <w:p>
            <w:pPr>
              <w:spacing w:after="0"/>
              <w:rPr>
                <w:sz w:val="20"/>
                <w:szCs w:val="20"/>
                <w:color w:val="auto"/>
              </w:rPr>
            </w:pPr>
            <w:r>
              <w:rPr>
                <w:rFonts w:ascii="Arial" w:cs="Arial" w:eastAsia="Arial" w:hAnsi="Arial"/>
                <w:sz w:val="18"/>
                <w:szCs w:val="18"/>
                <w:color w:val="auto"/>
                <w:w w:val="99"/>
              </w:rPr>
              <w:t>Printed Name</w:t>
            </w:r>
          </w:p>
        </w:tc>
        <w:tc>
          <w:tcPr>
            <w:tcW w:w="2060" w:type="dxa"/>
            <w:vAlign w:val="bottom"/>
          </w:tcPr>
          <w:p>
            <w:pPr>
              <w:ind w:left="140"/>
              <w:spacing w:after="0"/>
              <w:rPr>
                <w:sz w:val="20"/>
                <w:szCs w:val="20"/>
                <w:color w:val="auto"/>
              </w:rPr>
            </w:pPr>
            <w:r>
              <w:rPr>
                <w:rFonts w:ascii="Arial" w:cs="Arial" w:eastAsia="Arial" w:hAnsi="Arial"/>
                <w:sz w:val="18"/>
                <w:szCs w:val="18"/>
                <w:color w:val="auto"/>
              </w:rPr>
              <w:t>Ilan Ganot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2060" w:type="dxa"/>
            <w:vAlign w:val="bottom"/>
          </w:tcPr>
          <w:p>
            <w:pPr>
              <w:ind w:left="140"/>
              <w:spacing w:after="0"/>
              <w:rPr>
                <w:sz w:val="20"/>
                <w:szCs w:val="20"/>
                <w:color w:val="auto"/>
              </w:rPr>
            </w:pPr>
            <w:r>
              <w:rPr>
                <w:rFonts w:ascii="Arial" w:cs="Arial" w:eastAsia="Arial" w:hAnsi="Arial"/>
                <w:sz w:val="18"/>
                <w:szCs w:val="18"/>
                <w:color w:val="auto"/>
              </w:rPr>
              <w:t>CEO</w:t>
            </w:r>
          </w:p>
        </w:tc>
      </w:tr>
      <w:tr>
        <w:trPr>
          <w:trHeight w:val="243"/>
        </w:trPr>
        <w:tc>
          <w:tcPr>
            <w:tcW w:w="1120" w:type="dxa"/>
            <w:vAlign w:val="bottom"/>
          </w:tcPr>
          <w:p>
            <w:pPr>
              <w:spacing w:after="0"/>
              <w:rPr>
                <w:sz w:val="20"/>
                <w:szCs w:val="20"/>
                <w:color w:val="auto"/>
              </w:rPr>
            </w:pPr>
            <w:r>
              <w:rPr>
                <w:rFonts w:ascii="Arial" w:cs="Arial" w:eastAsia="Arial" w:hAnsi="Arial"/>
                <w:sz w:val="18"/>
                <w:szCs w:val="18"/>
                <w:color w:val="auto"/>
              </w:rPr>
              <w:t>Date</w:t>
            </w:r>
          </w:p>
        </w:tc>
        <w:tc>
          <w:tcPr>
            <w:tcW w:w="2060" w:type="dxa"/>
            <w:vAlign w:val="bottom"/>
          </w:tcPr>
          <w:p>
            <w:pPr>
              <w:ind w:left="140"/>
              <w:spacing w:after="0"/>
              <w:rPr>
                <w:sz w:val="20"/>
                <w:szCs w:val="20"/>
                <w:color w:val="auto"/>
              </w:rPr>
            </w:pPr>
            <w:r>
              <w:rPr>
                <w:rFonts w:ascii="Arial" w:cs="Arial" w:eastAsia="Arial" w:hAnsi="Arial"/>
                <w:sz w:val="18"/>
                <w:szCs w:val="18"/>
                <w:color w:val="auto"/>
              </w:rPr>
              <w:t>3/11/16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-728345</wp:posOffset>
            </wp:positionV>
            <wp:extent cx="282130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-307975</wp:posOffset>
            </wp:positionV>
            <wp:extent cx="282130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-153670</wp:posOffset>
            </wp:positionV>
            <wp:extent cx="282130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0</wp:posOffset>
            </wp:positionV>
            <wp:extent cx="282130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REGENTS OF THE UNIVERSITY OF MICHIGAN</w:t>
      </w:r>
    </w:p>
    <w:p>
      <w:pPr>
        <w:spacing w:after="0" w:line="200" w:lineRule="exact"/>
        <w:rPr>
          <w:sz w:val="20"/>
          <w:szCs w:val="20"/>
          <w:color w:val="auto"/>
        </w:rPr>
      </w:pPr>
    </w:p>
    <w:p>
      <w:pPr>
        <w:spacing w:after="0" w:line="255" w:lineRule="exact"/>
        <w:rPr>
          <w:sz w:val="20"/>
          <w:szCs w:val="20"/>
          <w:color w:val="auto"/>
        </w:rPr>
      </w:pPr>
    </w:p>
    <w:p>
      <w:pPr>
        <w:ind w:left="780"/>
        <w:spacing w:after="0"/>
        <w:tabs>
          <w:tab w:leader="none" w:pos="1220" w:val="left"/>
        </w:tabs>
        <w:rPr>
          <w:sz w:val="20"/>
          <w:szCs w:val="20"/>
          <w:color w:val="auto"/>
        </w:rPr>
      </w:pPr>
      <w:r>
        <w:rPr>
          <w:rFonts w:ascii="Arial" w:cs="Arial" w:eastAsia="Arial" w:hAnsi="Arial"/>
          <w:sz w:val="18"/>
          <w:szCs w:val="18"/>
          <w:color w:val="auto"/>
        </w:rPr>
        <w:t>By</w:t>
        <w:tab/>
        <w:t>/s/ Ruth L. Rasor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14605</wp:posOffset>
            </wp:positionV>
            <wp:extent cx="289877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Ruth L. Rasor</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Managing Director of Licensing</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UM Technology Transfer</w:t>
      </w:r>
    </w:p>
    <w:p>
      <w:pPr>
        <w:spacing w:after="0" w:line="251"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Date  14 March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14605</wp:posOffset>
            </wp:positionV>
            <wp:extent cx="289877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158" w:lineRule="exact"/>
        <w:rPr>
          <w:sz w:val="20"/>
          <w:szCs w:val="20"/>
          <w:color w:val="auto"/>
        </w:rPr>
      </w:pPr>
    </w:p>
    <w:p>
      <w:pPr>
        <w:sectPr>
          <w:pgSz w:w="11900" w:h="16838" w:orient="portrait"/>
          <w:cols w:equalWidth="0" w:num="2">
            <w:col w:w="4900" w:space="720"/>
            <w:col w:w="5420"/>
          </w:cols>
          <w:pgMar w:left="240" w:top="269" w:right="619" w:bottom="1440" w:gutter="0" w:footer="0" w:header="0"/>
          <w:type w:val="continuous"/>
        </w:sectPr>
      </w:pPr>
    </w:p>
    <w:p>
      <w:pPr>
        <w:ind w:left="1580" w:right="1000" w:hanging="191"/>
        <w:spacing w:after="0" w:line="308" w:lineRule="auto"/>
        <w:tabs>
          <w:tab w:leader="none" w:pos="1945" w:val="left"/>
        </w:tabs>
        <w:numPr>
          <w:ilvl w:val="0"/>
          <w:numId w:val="54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040"/>
          </w:cols>
          <w:pgMar w:left="240" w:top="269" w:right="619" w:bottom="1440" w:gutter="0" w:footer="0" w:header="0"/>
          <w:type w:val="continuous"/>
        </w:sectPr>
      </w:pPr>
    </w:p>
    <w:bookmarkStart w:id="592" w:name="page593"/>
    <w:bookmarkEnd w:id="592"/>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LICENSE AGREEMENT (“AGREEMENT”) is made and entered into this 15</w:t>
      </w:r>
      <w:r>
        <w:rPr>
          <w:rFonts w:ascii="Arial" w:cs="Arial" w:eastAsia="Arial" w:hAnsi="Arial"/>
          <w:sz w:val="15"/>
          <w:szCs w:val="15"/>
          <w:color w:val="auto"/>
        </w:rPr>
        <w:t>th</w:t>
      </w:r>
      <w:r>
        <w:rPr>
          <w:rFonts w:ascii="Arial" w:cs="Arial" w:eastAsia="Arial" w:hAnsi="Arial"/>
          <w:sz w:val="18"/>
          <w:szCs w:val="18"/>
          <w:color w:val="auto"/>
        </w:rPr>
        <w:t xml:space="preserve"> day of October 2015 (“EFFECTIVE DATE”), by and between THE CURATORS OF THE UNIVERSITY OF MISSOURI, a public corporation of the State of Missouri (“UNIVERSITY”) and Solid GT, LLC having offices at One Broadway Street, Cambridge, MA 02142 (“LICENSEE”). UNIVERSITY and LICENSEE may sometimes be referred to herein as a “PARTY” or “PARTIES” as the case may 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WHEREAS, UNIVERSITY has an ownership interest in certain PATENT RIGHTS as defined herein related to [XXX]; and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WHEREAS, the PATENT RIGHTS were developed under a research program sponsored by NIH. Therefore, this AGREEMENT is subject to the terms and conditions of the Bayh-Dole Act, Public Law 96-517 and 98-620 as amended; and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WHEREAS, LICENSEE is desirous of obtaining a license to practice the PATENT RIGHTS under the terms and conditions of this AGREEMENT; and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WHEREAS, UNIVERSITY is desirous of granting such a license to LICENSEE in accordance with the terms and conditions of this AGREEMENT.</w:t>
      </w:r>
    </w:p>
    <w:p>
      <w:pPr>
        <w:spacing w:after="0" w:line="2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NOW, THEREFORE, in consideration of the foregoing premises and the covenants, representations and warranties contained herein, the PARTIES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DEFINITIONS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Section 1.01 “IMPROVEMENTS” shall mean any modification, enhancement, or improvement to an invention described in the PATENT RIGHTS which is owned by, licensed to, or otherwise controlled by LICENSEE that (1) would be infringed, either directly or indirectly, by the practice of an invention claimed in the PATENT RIGHTS; or (2) if not for the license granted under this AGREEMENT, would infringe, either directly or indirectly, one or more claims of the PATENT RIGHTS.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Section 1.02 “LICENSED FIELD” means the following business areas: Treatment of Duchene Muscular Dystrophy and other disease indications resulting from a lack of functional dystrophin.</w:t>
      </w:r>
    </w:p>
    <w:p>
      <w:pPr>
        <w:spacing w:after="0" w:line="170"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Section 1.03 “LICENSED PRODUCT” means any product, apparatus, kit, composition, or component thereof (a) whose use, sale, offer for sale, or importation of which is covered, in whole or in part, by any VALID CLAIM contained in the PATENT RIGHTS or (b) which is made by any method, procedure, process, or step which is covered, in whole or in part, by any VALID CLAIM contained in the PATENT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Section 1.04 “LICENSED TERRITORY” means worldwide.</w:t>
      </w:r>
    </w:p>
    <w:p>
      <w:pPr>
        <w:spacing w:after="0" w:line="15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4" w:lineRule="exact"/>
        <w:rPr>
          <w:sz w:val="20"/>
          <w:szCs w:val="20"/>
          <w:color w:val="auto"/>
        </w:rPr>
      </w:pPr>
    </w:p>
    <w:p>
      <w:pPr>
        <w:ind w:left="1580" w:right="1380" w:hanging="191"/>
        <w:spacing w:after="0" w:line="308" w:lineRule="auto"/>
        <w:tabs>
          <w:tab w:leader="none" w:pos="1945" w:val="left"/>
        </w:tabs>
        <w:numPr>
          <w:ilvl w:val="0"/>
          <w:numId w:val="548"/>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122" w:right="239" w:bottom="1440" w:gutter="0" w:footer="0" w:header="0"/>
        </w:sectPr>
      </w:pPr>
    </w:p>
    <w:bookmarkStart w:id="593" w:name="page594"/>
    <w:bookmarkEnd w:id="5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Section 1.05 “NET SALES” means the amount billed or invoiced for the SALE of LICENSED PRODUCTS, less:</w:t>
      </w:r>
    </w:p>
    <w:p>
      <w:pPr>
        <w:spacing w:after="0" w:line="131" w:lineRule="exact"/>
        <w:rPr>
          <w:sz w:val="20"/>
          <w:szCs w:val="20"/>
          <w:color w:val="auto"/>
        </w:rPr>
      </w:pPr>
    </w:p>
    <w:p>
      <w:pPr>
        <w:ind w:left="900" w:hanging="446"/>
        <w:spacing w:after="0"/>
        <w:tabs>
          <w:tab w:leader="none" w:pos="9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Customary trade, quantity or cash discounts;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Amounts repaid or credited by reason of rejection or return;</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Charges for transportation or delivery to be paid by or on behalf of LICENSEE’s customer, to the extent such charges are separately stated on purchase orders, invoices or other documents of SALE;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Sales, tariff duties and/or use taxes directly imposed and with reference to particular SALES.</w:t>
      </w:r>
    </w:p>
    <w:p>
      <w:pPr>
        <w:spacing w:after="0" w:line="117" w:lineRule="exact"/>
        <w:rPr>
          <w:sz w:val="20"/>
          <w:szCs w:val="20"/>
          <w:color w:val="auto"/>
        </w:rPr>
      </w:pPr>
    </w:p>
    <w:p>
      <w:pPr>
        <w:ind w:left="920" w:right="120"/>
        <w:spacing w:after="0" w:line="284" w:lineRule="auto"/>
        <w:rPr>
          <w:sz w:val="20"/>
          <w:szCs w:val="20"/>
          <w:color w:val="auto"/>
        </w:rPr>
      </w:pPr>
      <w:r>
        <w:rPr>
          <w:rFonts w:ascii="Arial" w:cs="Arial" w:eastAsia="Arial" w:hAnsi="Arial"/>
          <w:sz w:val="16"/>
          <w:szCs w:val="16"/>
          <w:color w:val="auto"/>
        </w:rPr>
        <w:t>In calculating NET SALES, no deductions shall be made for commissions paid to individuals whether they are with independent sales agencies or regularly employed by LICENSEE and on its payroll, or for cost of collections. In the event LICENSEE SELLS a LICENSED PRODUCT to a third party in a bona fide arm’s length transaction, for consideration, in whole or in part, other than cash, then the NET SALES price for such LICENSED PRODUCT shall be deemed to be the standard invoice price then being invoiced by LICENSEE in an arm’s length transaction with similar entities and in the absence of such standard invoice price, then the reasonable fair market value of the LICENSED PRODUCT. For the purposes of calculating NET SALES, LICENSEE’s SALES to a SUBLICENSEE under this AGREEMENT for end use (but not resale) by the SUBLICENSEE shall be treated as SALES by LICENSEE at the greater of the (i) billed/invoiced price of LICENSEE the SUBLICENSEE or</w:t>
      </w:r>
    </w:p>
    <w:p>
      <w:pPr>
        <w:spacing w:after="0" w:line="3" w:lineRule="exact"/>
        <w:rPr>
          <w:sz w:val="20"/>
          <w:szCs w:val="20"/>
          <w:color w:val="auto"/>
        </w:rPr>
      </w:pPr>
    </w:p>
    <w:p>
      <w:pPr>
        <w:ind w:left="920" w:right="240" w:firstLine="1"/>
        <w:spacing w:after="0" w:line="255" w:lineRule="auto"/>
        <w:tabs>
          <w:tab w:leader="none" w:pos="1185"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billed/invoiced price that LICENSEE would have charged a third party in a bona fide arm’s length transaction. For the purposes of calculating NET SALES, LICENSEE’s SALES to a SUBLICENSEE under this AGREEMENT for resale to end users by the SUBLICENSEE shall be treated as SALES at the billed/invoiced price to the end users of SUBLICENSEE.</w:t>
      </w:r>
    </w:p>
    <w:p>
      <w:pPr>
        <w:spacing w:after="0" w:line="8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Section 1.06 “NON-COMMERCIAL RESEARCH PURPOSES” means the use or practice of the PATENT RIGHTS for research, teaching, educational, or academic purposes which are undertaken at UNIVERSITY or at a non-profit, academic, educational, or governmental institution. Without limiting the foregoing, NON-COMMERCIAL RESEARCH PURPOSES includes the use or practice of the PATENT RIGHTS for research (including sponsored research) that leads, or may lead, to patentable or unpatentable inventions that may be licensed or otherwise transferred, either directly or indirectly, to third parties.</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Section 1.07 “PATENT RIGHTS” means UNIVERSITY’S rights in any of the following: (i) [XXX] and (ii) [XXX]; (collectively (i), (ii), are the “PATENT APPLICATIONS”); and (iii) any provisional, non-provisional, divisional, continuation (but not continuations-in-part), extension, renewal, re-examination, reissue, substitute, supplementary protection certificate, utility model, or similar legal protection claiming priority to or from the PATENT APPLICATIONS; and (iv) any corresponding foreign applications or patents thereof. All of the foregoing will be automatically incorporated in and added to this AGREEMENT and shall periodically be added to Appendix A attached to this AGREEMENT and made part thereof.</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51"/>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594" w:name="page595"/>
    <w:bookmarkEnd w:id="5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Section 1.08 “ROYALTY PERIOD(S)” means the three-month periods ending on March 31, June 30, September 30, and December 31.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Section 1.09 “SALE”, “SELL”, or “SOLD” means the sale, use, transfer, distribution or disposition of a LICENSED PRODUCT for value to a third party.</w:t>
      </w:r>
    </w:p>
    <w:p>
      <w:pPr>
        <w:spacing w:after="0" w:line="2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Section 1.10 “SUBLICENSEE” means any person or entity to whom LICENSEE transfers any right or interest granted to LICENSEE by UNIVERSITY under this Agreement.</w:t>
      </w:r>
    </w:p>
    <w:p>
      <w:pPr>
        <w:spacing w:after="0" w:line="170"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Section 1.11 “VALID CLAIM” means either (a) a claim of an issued patent that has not been held unenforceable or invalid by an agency or a court of competent jurisdiction in any unappealable or unappealed decision or (b) a claim of a pending patent application that has not been abandoned or finally rejected without the possibility of appeal or refiling and that has been pending for less than ten (10) years from its priority date.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GRANT</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Grant.</w:t>
      </w:r>
      <w:r>
        <w:rPr>
          <w:rFonts w:ascii="Arial" w:cs="Arial" w:eastAsia="Arial" w:hAnsi="Arial"/>
          <w:sz w:val="17"/>
          <w:szCs w:val="17"/>
          <w:color w:val="auto"/>
        </w:rPr>
        <w:t xml:space="preserve"> Subject to the terms and conditions of this AGREEMENT, UNIVERSITY hereby grants to LICENSEE and LICENSEE accepts a royalty-bearing, exclusive license under the PATENT RIGHTS to make, have made, use, SELL, have SOLD, import, distribute, or otherwise transfer LICENSED PRODUCTS within the LICENSED TERRITORY for use within LICENSED FIELD for a term as set forth in Section 10.01 unless this AGREEMENT shall be sooner terminated according to the terms hereof. For the avoidance of doubt, this grant is subject to the rights retained by UNIVERSITY in Section 2.03, UNIVERSITY’S publication rights in Section 2.06, and any rights of the GOVERNMENT as set forth in Section 2.07.</w:t>
      </w:r>
    </w:p>
    <w:p>
      <w:pPr>
        <w:spacing w:after="0" w:line="1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Sublicenses.</w:t>
      </w:r>
      <w:r>
        <w:rPr>
          <w:rFonts w:ascii="Arial" w:cs="Arial" w:eastAsia="Arial" w:hAnsi="Arial"/>
          <w:sz w:val="17"/>
          <w:szCs w:val="17"/>
          <w:color w:val="auto"/>
        </w:rPr>
        <w:t xml:space="preserve"> The license granted in Section 2.01 above shall include the right to grant written sublicenses, subject to UNIVERSITY’S prior written approval which approval shall not be unreasonably withheld. SUBLICENSEE shall have no right to grant further sublicenses without written consent from University, where such consent is within University’s sole discretion. In determining whether to approve a sublicense (or any amendment thereto), UNIVERSITY will consider, among other things, whether the provisions of the proposed sublicense arc consistent with and similar to those required of LICENSEE by this AGREEMENT. All sublicenses must comply with the following:</w:t>
      </w:r>
    </w:p>
    <w:p>
      <w:pPr>
        <w:spacing w:after="0" w:line="78" w:lineRule="exact"/>
        <w:rPr>
          <w:sz w:val="20"/>
          <w:szCs w:val="20"/>
          <w:color w:val="auto"/>
        </w:rPr>
      </w:pPr>
    </w:p>
    <w:p>
      <w:pPr>
        <w:ind w:left="900" w:right="940" w:hanging="446"/>
        <w:spacing w:after="0" w:line="308" w:lineRule="auto"/>
        <w:tabs>
          <w:tab w:leader="none" w:pos="90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LICENSEE shall deliver to UNIVERSITY a true and correct copy of each fully executed sublicense granted by LICENSEE, and any modification or termination thereof, within thirty (30) days after execution, modification, or termination.</w:t>
      </w:r>
    </w:p>
    <w:p>
      <w:pPr>
        <w:spacing w:after="0" w:line="51" w:lineRule="exact"/>
        <w:rPr>
          <w:rFonts w:ascii="Arial" w:cs="Arial" w:eastAsia="Arial" w:hAnsi="Arial"/>
          <w:sz w:val="17"/>
          <w:szCs w:val="17"/>
          <w:color w:val="auto"/>
        </w:rPr>
      </w:pPr>
    </w:p>
    <w:p>
      <w:pPr>
        <w:ind w:left="900" w:right="180" w:hanging="446"/>
        <w:spacing w:after="0" w:line="277" w:lineRule="auto"/>
        <w:tabs>
          <w:tab w:leader="none" w:pos="90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LICENSEE shall deliver to UNIVERSITY copies of all reports due to LICENSEE from SUBLICENSEE within thirty (30) days receipt of such reports by LICENSEE.</w:t>
      </w:r>
    </w:p>
    <w:p>
      <w:pPr>
        <w:spacing w:after="0" w:line="75" w:lineRule="exact"/>
        <w:rPr>
          <w:rFonts w:ascii="Arial" w:cs="Arial" w:eastAsia="Arial" w:hAnsi="Arial"/>
          <w:sz w:val="18"/>
          <w:szCs w:val="18"/>
          <w:color w:val="auto"/>
        </w:rPr>
      </w:pPr>
    </w:p>
    <w:p>
      <w:pPr>
        <w:ind w:left="900" w:right="120" w:hanging="446"/>
        <w:spacing w:after="0" w:line="308" w:lineRule="auto"/>
        <w:tabs>
          <w:tab w:leader="none" w:pos="90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LICENSEE shall, at such times as UNIVERSITY directs and at UNIVERSITY’S request, permit the inspection of SUBLICENSEE’s records by UNIVERSITY’s auditors or an independent certified public accountant selected by UNIVERSITY under the terms of Section 4.05.</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53"/>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595" w:name="page596"/>
    <w:bookmarkEnd w:id="5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83" w:lineRule="exact"/>
        <w:rPr>
          <w:sz w:val="20"/>
          <w:szCs w:val="20"/>
          <w:color w:val="auto"/>
        </w:rPr>
      </w:pPr>
    </w:p>
    <w:p>
      <w:pPr>
        <w:ind w:left="900" w:right="460" w:hanging="446"/>
        <w:spacing w:after="0" w:line="286" w:lineRule="auto"/>
        <w:tabs>
          <w:tab w:leader="none" w:pos="90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No sublicense shall relieve LICENSEE of its representations, warranties, or obligations under this AGREEMENT. LICENSEE shall be responsible to UNIVERSITY for the performance of its SUBLICENSEES under each sublicense agreement granting rights to any PATENT RIGHTS. LICENSEE shall collect and guarantee all payments due UNIVERSITY from any SUBLICENSEE.</w:t>
      </w:r>
    </w:p>
    <w:p>
      <w:pPr>
        <w:spacing w:after="0" w:line="70" w:lineRule="exact"/>
        <w:rPr>
          <w:rFonts w:ascii="Arial" w:cs="Arial" w:eastAsia="Arial" w:hAnsi="Arial"/>
          <w:sz w:val="17"/>
          <w:szCs w:val="17"/>
          <w:color w:val="auto"/>
        </w:rPr>
      </w:pPr>
    </w:p>
    <w:p>
      <w:pPr>
        <w:ind w:left="900" w:right="560" w:hanging="446"/>
        <w:spacing w:after="0" w:line="264" w:lineRule="auto"/>
        <w:tabs>
          <w:tab w:leader="none" w:pos="90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Any sublicense granted by LICENSEE to a SUBLICENSEE shall incorporate all of the representations, warranties, terms, conditions, and obligations of this AGREEMENT, which shall be binding upon each SUBLICENSEE as if such SUBLICENSEE were a party to this AGREEMENT. LICENSEE shall require that any sublicense agreement:</w:t>
      </w:r>
    </w:p>
    <w:p>
      <w:pPr>
        <w:spacing w:after="0" w:line="86" w:lineRule="exact"/>
        <w:rPr>
          <w:rFonts w:ascii="Arial" w:cs="Arial" w:eastAsia="Arial" w:hAnsi="Arial"/>
          <w:sz w:val="18"/>
          <w:szCs w:val="18"/>
          <w:color w:val="auto"/>
        </w:rPr>
      </w:pPr>
    </w:p>
    <w:p>
      <w:pPr>
        <w:ind w:left="1920" w:right="160" w:hanging="440"/>
        <w:spacing w:after="0" w:line="277" w:lineRule="auto"/>
        <w:tabs>
          <w:tab w:leader="none" w:pos="192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be consistent with the terms, conditions, covenants, warranties, representations, limitations, obligations, and duties of LICENSEE under this AGREEMENT;</w:t>
      </w:r>
    </w:p>
    <w:p>
      <w:pPr>
        <w:spacing w:after="0" w:line="75" w:lineRule="exact"/>
        <w:rPr>
          <w:rFonts w:ascii="Arial" w:cs="Arial" w:eastAsia="Arial" w:hAnsi="Arial"/>
          <w:sz w:val="18"/>
          <w:szCs w:val="18"/>
          <w:color w:val="auto"/>
        </w:rPr>
      </w:pPr>
    </w:p>
    <w:p>
      <w:pPr>
        <w:ind w:left="1920" w:right="60" w:hanging="440"/>
        <w:spacing w:after="0" w:line="277" w:lineRule="auto"/>
        <w:tabs>
          <w:tab w:leader="none" w:pos="192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prohibit the SUBLICENSEE from granting further sublicenses without written consent from UNIVERSITY, where such consent is within UNIVERSITY’s sole discretion; and</w:t>
      </w:r>
    </w:p>
    <w:p>
      <w:pPr>
        <w:spacing w:after="0" w:line="75" w:lineRule="exact"/>
        <w:rPr>
          <w:rFonts w:ascii="Arial" w:cs="Arial" w:eastAsia="Arial" w:hAnsi="Arial"/>
          <w:sz w:val="18"/>
          <w:szCs w:val="18"/>
          <w:color w:val="auto"/>
        </w:rPr>
      </w:pPr>
    </w:p>
    <w:p>
      <w:pPr>
        <w:ind w:left="1920" w:right="20" w:hanging="440"/>
        <w:spacing w:after="0" w:line="272" w:lineRule="auto"/>
        <w:tabs>
          <w:tab w:leader="none" w:pos="192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contain express provisions under which the SUBLICENSEE expressly accepts duties and obligations at least equivalent to those accepted by the LICENSEE in the following sections of this AGREEMENT: Section 2.03 (reserved rights), Section 2.04 (license to University), Section 2.06 (publication), Section 2.07 (governmental rights), Section 3.07 (challenge to patent rights), Section 4.03 (reporting), Section 4.05 (records), Section 6.01 (indemnity), Section 6.02 (insurance); Section 6.03 (disclaimer of warranties), Section 6.04 (damages exclusion/ limitation of remedies), Section 6.06 (sublicenses) Section 7.03 (entity status), Section 10.05 (assignment of sublicenses), Section 11.01 (marking), Section 11.02 (compliance with laws / export controls), Section 11.03 (university name), and Section 11.11 (severability).</w:t>
      </w:r>
    </w:p>
    <w:p>
      <w:pPr>
        <w:spacing w:after="0" w:line="83"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If any sublicense agreement granting any rights to the PATENT RIGHTS does not comport with above requirements in this Section 2.02(e), then that agreement shall be invalid, unenforceable, and void.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Upon any termination of this AGREEMENT, all SUBLICENSEE’s rights shall also terminate except as set forth in Section 10.05 (assignment of sublicenses).</w:t>
      </w:r>
    </w:p>
    <w:p>
      <w:pPr>
        <w:spacing w:after="0" w:line="17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Reserved Rights.</w:t>
      </w:r>
      <w:r>
        <w:rPr>
          <w:rFonts w:ascii="Arial" w:cs="Arial" w:eastAsia="Arial" w:hAnsi="Arial"/>
          <w:sz w:val="17"/>
          <w:szCs w:val="17"/>
          <w:color w:val="auto"/>
        </w:rPr>
        <w:t xml:space="preserve"> UNIVERSITY reserves the right to make, use or otherwise practice the PATENT RIGHTS for NON-COMMERCIAL RESEARCH PURPOSES and to grant nonexclusive licenses to non-profit, academic, educational, or governmental institutions a royalty-free right to make, use or otherwise practice the PATENT RIGHTS for NON-COMMERCIAL RESEARCH PURPOSES. UNIVERSITY also reserves the right to transfer tangible research materials and intangible materials incorporating the PATENT RIGHTS to other non-profit, academic, educational, or governmental institutions for such NON-COMMERCIAL RESEARCH PURPOSES. LICENSEE agrees that, notwithstanding any other provision of this AGREEMENT, that LICENSEE has no right to enforce the PATENT RIGHTS against UNIVERSITY or any nonprofit, academic, educational, or governmental institution with respect to such use or practice for NON-COMMERCIAL RESEARCH PURPOSES.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License to University</w:t>
      </w:r>
      <w:r>
        <w:rPr>
          <w:rFonts w:ascii="Arial" w:cs="Arial" w:eastAsia="Arial" w:hAnsi="Arial"/>
          <w:sz w:val="18"/>
          <w:szCs w:val="18"/>
          <w:color w:val="auto"/>
        </w:rPr>
        <w:t>. LICENSEE hereby grants to UNIVERSITY, a nonexclusive, royalty-free, irrevocable, paid-up license, with the right to grant sublicenses to non-profit, academic, educational, or governmental institutions, to practice and use IMPROVEMENTS solely for NON-COMMERCIAL RESEARCH PURPOSES.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5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596" w:name="page597"/>
    <w:bookmarkEnd w:id="5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License Scope.</w:t>
      </w:r>
      <w:r>
        <w:rPr>
          <w:rFonts w:ascii="Arial" w:cs="Arial" w:eastAsia="Arial" w:hAnsi="Arial"/>
          <w:sz w:val="18"/>
          <w:szCs w:val="18"/>
          <w:color w:val="auto"/>
        </w:rPr>
        <w:t xml:space="preserve"> The license granted herein shall not be construed to confer any rights upon LICENSEE by implication, estoppel or otherwise as to any technology not specifically set forth in PATENT RIGHTS. UNIVERSITY shall be free to grant commercial licenses to the PATENT RIGHTS to third parties in all fields outside the LICENSE FIELD and/or outside the LICENSED TERRITORY.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Publication.</w:t>
      </w:r>
      <w:r>
        <w:rPr>
          <w:rFonts w:ascii="Arial" w:cs="Arial" w:eastAsia="Arial" w:hAnsi="Arial"/>
          <w:sz w:val="18"/>
          <w:szCs w:val="18"/>
          <w:color w:val="auto"/>
        </w:rPr>
        <w:t xml:space="preserve"> LICENSEE agrees that UNIVERSITY shall have a right to publish any research results or technical data related to or arising out of the PATENT RIGHTS in accordance with UNIVERSITY’s general policies and that this AGREEMENT shall not restrict, in any fashion, UNIVERSITY’s right to publish.</w:t>
      </w:r>
    </w:p>
    <w:p>
      <w:pPr>
        <w:spacing w:after="0" w:line="18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Governmental Rights.</w:t>
      </w:r>
      <w:r>
        <w:rPr>
          <w:rFonts w:ascii="Arial" w:cs="Arial" w:eastAsia="Arial" w:hAnsi="Arial"/>
          <w:sz w:val="17"/>
          <w:szCs w:val="17"/>
          <w:color w:val="auto"/>
        </w:rPr>
        <w:t xml:space="preserve"> LICENSEE understands that the PATENT RIGHTS were developed under a funding agreement with the Government of the United States of America (“GOVERNMENT”) and that the GOVERNMENT may have certain rights relative thereto. Thus, notwithstanding anything hereunder, any and all licenses and other rights granted hereunder are limited by and subject to the rights and requirements of the GOVERNMENT which may arise out of its sponsorship of the research which led to the conception or reduction to practice of the PATENT RIGHTS. The GOVERNMENT is entitled, as a right, under the provisions of 35 U.S.C. §§ 200-212 and applicable regulations of Title 37 of the Code of Federal Regulations: (i) to a nonexclusive, nontransferable, irrevocable, paid-up license to practice or have practiced for or on the behalf of the GOVERNMENT any of the PATENT RIGHTS throughout the world and (ii) to exercise march in rights on PATENT RIGHTS. This AGREEMENT shall be exclusive, to the extent allowed in accordance with Public Laws 96-517 and 98-620 in the LICENSED FIELD and is explicitly made subject to the GOVERNMENT’s rights under such GOVERNMENT funding agreement and any applicable law or regulation. If there is a conflict between the GOVERNMENT funding agreement, applicable law or regulation and this AGREEMENT, the terms of the GOVERNMENT funding agreement, applicable law or regulation shall prevail. LICENSEE agrees to take any actions necessary to enable UNIVERSITY to satisfy its obligations with the GOVERNMENT relating to the PATENT RIGHTS. LICENSEE agrees, during the period of exclusivity of this license in the United States, that any LICENSED PRODUCT produced for SALE in the United States will be manufactured substantially in the United States as required by 35 U.S.C. § 204.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PAYMENTS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License Payments:</w:t>
      </w:r>
      <w:r>
        <w:rPr>
          <w:rFonts w:ascii="Arial" w:cs="Arial" w:eastAsia="Arial" w:hAnsi="Arial"/>
          <w:sz w:val="18"/>
          <w:szCs w:val="18"/>
          <w:color w:val="auto"/>
        </w:rPr>
        <w:t xml:space="preserve"> In consideration of rights granted by UNIVERSITY to LICENSEE under this AGREEMENT, LICENSEE will pay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UNIVERSITY the following:</w:t>
      </w:r>
    </w:p>
    <w:p>
      <w:pPr>
        <w:spacing w:after="0" w:line="116" w:lineRule="exact"/>
        <w:rPr>
          <w:sz w:val="20"/>
          <w:szCs w:val="20"/>
          <w:color w:val="auto"/>
        </w:rPr>
      </w:pPr>
    </w:p>
    <w:p>
      <w:pPr>
        <w:ind w:left="900" w:right="360" w:hanging="446"/>
        <w:spacing w:after="0" w:line="277" w:lineRule="auto"/>
        <w:tabs>
          <w:tab w:leader="none" w:pos="900"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License Execution Payment.</w:t>
      </w:r>
      <w:r>
        <w:rPr>
          <w:rFonts w:ascii="Arial" w:cs="Arial" w:eastAsia="Arial" w:hAnsi="Arial"/>
          <w:sz w:val="18"/>
          <w:szCs w:val="18"/>
          <w:color w:val="auto"/>
        </w:rPr>
        <w:t xml:space="preserve"> LICENSEE shall pay to UNIVERSITY a nonrefundable license execution fee in the amount of [XXX], due and payable when this AGREEMENT is fully executed.</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Annual Maintenance Fee</w:t>
      </w:r>
      <w:r>
        <w:rPr>
          <w:rFonts w:ascii="Arial" w:cs="Arial" w:eastAsia="Arial" w:hAnsi="Arial"/>
          <w:sz w:val="18"/>
          <w:szCs w:val="18"/>
          <w:color w:val="auto"/>
        </w:rPr>
        <w:t>. LICENSEE shall pay to UNIVERSITY an annual license maintenance fee (“ANNUAL MAINTENANCE FEE”). This ANNUAL MAINTENANCE FEE shall be due on the anniversary of the EFFECTIVE DATE of each</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5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597" w:name="page598"/>
    <w:bookmarkEnd w:id="5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of the years specified below. However, the ANNUAL MAINTENANCE FEE will be offset by sponsored research support received by UNIVERSITY from Solid GT in the preceding applicable twelve (12) month period from the anniversary of the EFFECTIVE DATE. For example, if LICENSEE provides UNIVERSITY with $[XXX] of funding received between the EFFECTIVE DATE and the first anniversary of the EFFECTIVE DATE, then no ANNUAL MAINTENANCE FEE for 2016 shall be due and owing. If LICENSEE then provides UNIVERSITY with an additional funding of $[XXX] between the first anniversary of the EFFECTIVE DATE and the second anniversary of the EFFECTIVE DATE, then, the ANNUAL MAINTENANCE FEE for 2017 shall be $[XXX] ($[XXX]-[XXX]).</w:t>
      </w:r>
    </w:p>
    <w:p>
      <w:pPr>
        <w:spacing w:after="0" w:line="8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ANNUAL MAINTENANCE FEE shall be:</w:t>
      </w:r>
    </w:p>
    <w:p>
      <w:pPr>
        <w:spacing w:after="0" w:line="117" w:lineRule="exact"/>
        <w:rPr>
          <w:sz w:val="20"/>
          <w:szCs w:val="20"/>
          <w:color w:val="auto"/>
        </w:rPr>
      </w:pPr>
    </w:p>
    <w:p>
      <w:pPr>
        <w:ind w:left="2200" w:hanging="252"/>
        <w:spacing w:after="0"/>
        <w:tabs>
          <w:tab w:leader="none" w:pos="220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In 2016: [XXX];</w:t>
      </w:r>
    </w:p>
    <w:p>
      <w:pPr>
        <w:spacing w:after="0" w:line="117" w:lineRule="exact"/>
        <w:rPr>
          <w:rFonts w:ascii="Arial" w:cs="Arial" w:eastAsia="Arial" w:hAnsi="Arial"/>
          <w:sz w:val="18"/>
          <w:szCs w:val="18"/>
          <w:color w:val="auto"/>
        </w:rPr>
      </w:pPr>
    </w:p>
    <w:p>
      <w:pPr>
        <w:ind w:left="2200" w:hanging="252"/>
        <w:spacing w:after="0"/>
        <w:tabs>
          <w:tab w:leader="none" w:pos="220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In 2017: [XXX];</w:t>
      </w:r>
    </w:p>
    <w:p>
      <w:pPr>
        <w:spacing w:after="0" w:line="117" w:lineRule="exact"/>
        <w:rPr>
          <w:rFonts w:ascii="Arial" w:cs="Arial" w:eastAsia="Arial" w:hAnsi="Arial"/>
          <w:sz w:val="18"/>
          <w:szCs w:val="18"/>
          <w:color w:val="auto"/>
        </w:rPr>
      </w:pPr>
    </w:p>
    <w:p>
      <w:pPr>
        <w:ind w:left="2200" w:hanging="252"/>
        <w:spacing w:after="0"/>
        <w:tabs>
          <w:tab w:leader="none" w:pos="2200" w:val="left"/>
        </w:tabs>
        <w:numPr>
          <w:ilvl w:val="1"/>
          <w:numId w:val="558"/>
        </w:numPr>
        <w:rPr>
          <w:rFonts w:ascii="Arial" w:cs="Arial" w:eastAsia="Arial" w:hAnsi="Arial"/>
          <w:sz w:val="17"/>
          <w:szCs w:val="17"/>
          <w:color w:val="auto"/>
        </w:rPr>
      </w:pPr>
      <w:r>
        <w:rPr>
          <w:rFonts w:ascii="Arial" w:cs="Arial" w:eastAsia="Arial" w:hAnsi="Arial"/>
          <w:sz w:val="17"/>
          <w:szCs w:val="17"/>
          <w:color w:val="auto"/>
        </w:rPr>
        <w:t>In 2018: [XXX]; and in each year thereafter during the term of this AGREEMENT until Minimum Annual Royalties apply.</w:t>
      </w:r>
    </w:p>
    <w:p>
      <w:pPr>
        <w:spacing w:after="0" w:line="142" w:lineRule="exact"/>
        <w:rPr>
          <w:rFonts w:ascii="Arial" w:cs="Arial" w:eastAsia="Arial" w:hAnsi="Arial"/>
          <w:sz w:val="17"/>
          <w:szCs w:val="17"/>
          <w:color w:val="auto"/>
        </w:rPr>
      </w:pPr>
    </w:p>
    <w:p>
      <w:pPr>
        <w:ind w:left="900" w:right="80" w:hanging="446"/>
        <w:spacing w:after="0" w:line="264" w:lineRule="auto"/>
        <w:tabs>
          <w:tab w:leader="none" w:pos="900"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t>Running Royalty / Earned Royalty.</w:t>
      </w:r>
      <w:r>
        <w:rPr>
          <w:rFonts w:ascii="Arial" w:cs="Arial" w:eastAsia="Arial" w:hAnsi="Arial"/>
          <w:sz w:val="18"/>
          <w:szCs w:val="18"/>
          <w:color w:val="auto"/>
        </w:rPr>
        <w:t xml:space="preserve"> LICENSEE shall pay UNIVERSITY a running royalty equal to [XXX] of NET SALES (hereinafter “SALES ROYALTY”) for LICENSED PRODUCTS SOLD by LICENSEE or SUBLICENSEES. A SALES ROYALTY accrues when LICENSED PRODUCTS are invoiced or shipped, whichever occurs first.</w:t>
      </w:r>
    </w:p>
    <w:p>
      <w:pPr>
        <w:spacing w:after="0" w:line="73"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If LICENSEE or SUBLICENSEE is required to pay royalties to one or more third parties in consideration of a license or similar right in order to make, use, or sell LICENSED PRODUCTS, LICENSEE shall be entitled to credit up to [XXX] of the amounts actually paid by LICENSEE or SUBLICENSEE to such third parties against the royalties due to UNIVERSITY under this AGREEMENT in the same ROYALTY PERIOD; provided, however, that in no event will the royalties due to UNIVERSITY, when aggregated with any other offsets and credits allowed under this AGREEMENT, be less than [XXX] of the SALES ROYALTY on NET SALES, as defined above, in any REPORTING PERIOD. For clarity, the maximum adjusted royalty in Section 3.01(c) are [XXX].</w:t>
      </w:r>
    </w:p>
    <w:p>
      <w:pPr>
        <w:spacing w:after="0" w:line="85" w:lineRule="exact"/>
        <w:rPr>
          <w:sz w:val="20"/>
          <w:szCs w:val="20"/>
          <w:color w:val="auto"/>
        </w:rPr>
      </w:pPr>
    </w:p>
    <w:p>
      <w:pPr>
        <w:ind w:left="920" w:right="40"/>
        <w:spacing w:after="0" w:line="297" w:lineRule="auto"/>
        <w:rPr>
          <w:sz w:val="20"/>
          <w:szCs w:val="20"/>
          <w:color w:val="auto"/>
        </w:rPr>
      </w:pPr>
      <w:r>
        <w:rPr>
          <w:rFonts w:ascii="Arial" w:cs="Arial" w:eastAsia="Arial" w:hAnsi="Arial"/>
          <w:sz w:val="16"/>
          <w:szCs w:val="16"/>
          <w:color w:val="auto"/>
        </w:rPr>
        <w:t>LICENSEE or its SUBLICENSEE(S) (as applicable) will promptly notify UNIVERSITY should a compulsory license be granted, or be the subject of a possible grant, by LICENSEE or a SUBLICENSEE to a third party under the applicable laws, rules, regulations, guidelines, or other directives of any governmental or supranational agency in the LICENSED TERRITORY under the PATENT RIGHTS, and the total amount payable under this Section 3.01(c) with respect to the SALES ROYALTY in such country will be adjusted to match any lower amount such third party may be allowed to pay solely with respect to the NET SALES of such LICENSED PRODUCT in such country, but not any other countries.</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60"/>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598" w:name="page599"/>
    <w:bookmarkEnd w:id="5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900" w:right="60" w:hanging="446"/>
        <w:spacing w:after="0" w:line="276" w:lineRule="auto"/>
        <w:tabs>
          <w:tab w:leader="none" w:pos="900" w:val="left"/>
        </w:tabs>
        <w:numPr>
          <w:ilvl w:val="0"/>
          <w:numId w:val="561"/>
        </w:numPr>
        <w:rPr>
          <w:rFonts w:ascii="Arial" w:cs="Arial" w:eastAsia="Arial" w:hAnsi="Arial"/>
          <w:sz w:val="17"/>
          <w:szCs w:val="17"/>
          <w:color w:val="auto"/>
        </w:rPr>
      </w:pPr>
      <w:r>
        <w:rPr>
          <w:rFonts w:ascii="Arial" w:cs="Arial" w:eastAsia="Arial" w:hAnsi="Arial"/>
          <w:sz w:val="17"/>
          <w:szCs w:val="17"/>
          <w:u w:val="single" w:color="auto"/>
          <w:color w:val="auto"/>
        </w:rPr>
        <w:t>Minimum Annual Royalty Payment</w:t>
      </w:r>
      <w:r>
        <w:rPr>
          <w:rFonts w:ascii="Arial" w:cs="Arial" w:eastAsia="Arial" w:hAnsi="Arial"/>
          <w:sz w:val="17"/>
          <w:szCs w:val="17"/>
          <w:color w:val="auto"/>
        </w:rPr>
        <w:t>. LICENSEE shall pay to UNIVERSITY a non-refundable minimum annual royalty of [XXX] due and payable beginning on the anniversary of the EFFECTIVE DATE after first commercial sale of LICENSED PRODUCTS in the United States or a European Union country. Each minimum annual royalty payment is creditable against SALES ROYALTY due UNIVERSITY during the twelve (12) month period following each date the minimum annual royalty becomes due and is subsequently paid. For the avoidance of doubt, such minimum annual royalty shall be considered a payment in advance of royalties yet to accrue.</w:t>
      </w:r>
    </w:p>
    <w:p>
      <w:pPr>
        <w:spacing w:after="0" w:line="77" w:lineRule="exact"/>
        <w:rPr>
          <w:rFonts w:ascii="Arial" w:cs="Arial" w:eastAsia="Arial" w:hAnsi="Arial"/>
          <w:sz w:val="17"/>
          <w:szCs w:val="17"/>
          <w:color w:val="auto"/>
        </w:rPr>
      </w:pPr>
    </w:p>
    <w:p>
      <w:pPr>
        <w:ind w:left="900" w:right="780" w:hanging="446"/>
        <w:spacing w:after="0" w:line="277" w:lineRule="auto"/>
        <w:tabs>
          <w:tab w:leader="none" w:pos="900" w:val="left"/>
        </w:tabs>
        <w:numPr>
          <w:ilvl w:val="0"/>
          <w:numId w:val="561"/>
        </w:numPr>
        <w:rPr>
          <w:rFonts w:ascii="Arial" w:cs="Arial" w:eastAsia="Arial" w:hAnsi="Arial"/>
          <w:sz w:val="18"/>
          <w:szCs w:val="18"/>
          <w:color w:val="auto"/>
        </w:rPr>
      </w:pPr>
      <w:r>
        <w:rPr>
          <w:rFonts w:ascii="Arial" w:cs="Arial" w:eastAsia="Arial" w:hAnsi="Arial"/>
          <w:sz w:val="18"/>
          <w:szCs w:val="18"/>
          <w:u w:val="single" w:color="auto"/>
          <w:color w:val="auto"/>
        </w:rPr>
        <w:t>Milestone Payments.</w:t>
      </w:r>
      <w:r>
        <w:rPr>
          <w:rFonts w:ascii="Arial" w:cs="Arial" w:eastAsia="Arial" w:hAnsi="Arial"/>
          <w:sz w:val="18"/>
          <w:szCs w:val="18"/>
          <w:color w:val="auto"/>
        </w:rPr>
        <w:t xml:space="preserve"> LICENSEE shall pay UNIVERSITY a milestone payment fee in accordance with the following schedule for each LICENSED PRODUCT developed.</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4"/>
                <w:szCs w:val="14"/>
                <w:color w:val="auto"/>
              </w:rPr>
              <w:t>Event</w:t>
            </w:r>
          </w:p>
        </w:tc>
        <w:tc>
          <w:tcPr>
            <w:tcW w:w="3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Amount</w:t>
            </w: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03"/>
        </w:trPr>
        <w:tc>
          <w:tcPr>
            <w:tcW w:w="1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Milestone A:</w:t>
            </w:r>
          </w:p>
        </w:tc>
        <w:tc>
          <w:tcPr>
            <w:tcW w:w="33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[XXX]</w:t>
            </w:r>
          </w:p>
        </w:tc>
        <w:tc>
          <w:tcPr>
            <w:tcW w:w="2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$[XXX]</w:t>
            </w:r>
          </w:p>
        </w:tc>
        <w:tc>
          <w:tcPr>
            <w:tcW w:w="120" w:type="dxa"/>
            <w:vAlign w:val="bottom"/>
            <w:shd w:val="clear" w:color="auto" w:fill="CCEEFF"/>
          </w:tcPr>
          <w:p>
            <w:pPr>
              <w:spacing w:after="0"/>
              <w:rPr>
                <w:sz w:val="17"/>
                <w:szCs w:val="17"/>
                <w:color w:val="auto"/>
              </w:rPr>
            </w:pP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Milestone B:</w:t>
            </w:r>
          </w:p>
        </w:tc>
        <w:tc>
          <w:tcPr>
            <w:tcW w:w="3320" w:type="dxa"/>
            <w:vAlign w:val="bottom"/>
          </w:tcPr>
          <w:p>
            <w:pPr>
              <w:ind w:left="160"/>
              <w:spacing w:after="0"/>
              <w:rPr>
                <w:sz w:val="20"/>
                <w:szCs w:val="20"/>
                <w:color w:val="auto"/>
              </w:rPr>
            </w:pPr>
            <w:r>
              <w:rPr>
                <w:rFonts w:ascii="Arial" w:cs="Arial" w:eastAsia="Arial" w:hAnsi="Arial"/>
                <w:sz w:val="18"/>
                <w:szCs w:val="18"/>
                <w:color w:val="auto"/>
              </w:rPr>
              <w:t>[XXX]</w:t>
            </w:r>
          </w:p>
        </w:tc>
        <w:tc>
          <w:tcPr>
            <w:tcW w:w="3320" w:type="dxa"/>
            <w:vAlign w:val="bottom"/>
            <w:gridSpan w:val="3"/>
          </w:tcPr>
          <w:p>
            <w:pPr>
              <w:ind w:left="2640"/>
              <w:spacing w:after="0"/>
              <w:rPr>
                <w:sz w:val="20"/>
                <w:szCs w:val="20"/>
                <w:color w:val="auto"/>
              </w:rPr>
            </w:pPr>
            <w:r>
              <w:rPr>
                <w:rFonts w:ascii="Arial" w:cs="Arial" w:eastAsia="Arial" w:hAnsi="Arial"/>
                <w:sz w:val="18"/>
                <w:szCs w:val="18"/>
                <w:color w:val="auto"/>
              </w:rPr>
              <w:t>$[XXX]</w:t>
            </w:r>
          </w:p>
        </w:tc>
      </w:tr>
      <w:tr>
        <w:trPr>
          <w:trHeight w:val="230"/>
        </w:trPr>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Milestone C:</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[XXX]</w:t>
            </w:r>
          </w:p>
        </w:tc>
        <w:tc>
          <w:tcPr>
            <w:tcW w:w="3320" w:type="dxa"/>
            <w:vAlign w:val="bottom"/>
            <w:gridSpan w:val="3"/>
            <w:shd w:val="clear" w:color="auto" w:fill="CCEEFF"/>
          </w:tcPr>
          <w:p>
            <w:pPr>
              <w:ind w:left="2640"/>
              <w:spacing w:after="0"/>
              <w:rPr>
                <w:sz w:val="20"/>
                <w:szCs w:val="20"/>
                <w:color w:val="auto"/>
              </w:rPr>
            </w:pPr>
            <w:r>
              <w:rPr>
                <w:rFonts w:ascii="Arial" w:cs="Arial" w:eastAsia="Arial" w:hAnsi="Arial"/>
                <w:sz w:val="18"/>
                <w:szCs w:val="18"/>
                <w:color w:val="auto"/>
              </w:rPr>
              <w:t>$[XXX]</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Milestone D:</w:t>
            </w:r>
          </w:p>
        </w:tc>
        <w:tc>
          <w:tcPr>
            <w:tcW w:w="3320" w:type="dxa"/>
            <w:vAlign w:val="bottom"/>
          </w:tcPr>
          <w:p>
            <w:pPr>
              <w:ind w:left="160"/>
              <w:spacing w:after="0"/>
              <w:rPr>
                <w:sz w:val="20"/>
                <w:szCs w:val="20"/>
                <w:color w:val="auto"/>
              </w:rPr>
            </w:pPr>
            <w:r>
              <w:rPr>
                <w:rFonts w:ascii="Arial" w:cs="Arial" w:eastAsia="Arial" w:hAnsi="Arial"/>
                <w:sz w:val="18"/>
                <w:szCs w:val="18"/>
                <w:color w:val="auto"/>
              </w:rPr>
              <w:t>[XXX]</w:t>
            </w:r>
          </w:p>
        </w:tc>
        <w:tc>
          <w:tcPr>
            <w:tcW w:w="3320" w:type="dxa"/>
            <w:vAlign w:val="bottom"/>
            <w:gridSpan w:val="3"/>
          </w:tcPr>
          <w:p>
            <w:pPr>
              <w:ind w:left="2640"/>
              <w:spacing w:after="0"/>
              <w:rPr>
                <w:sz w:val="20"/>
                <w:szCs w:val="20"/>
                <w:color w:val="auto"/>
              </w:rPr>
            </w:pPr>
            <w:r>
              <w:rPr>
                <w:rFonts w:ascii="Arial" w:cs="Arial" w:eastAsia="Arial" w:hAnsi="Arial"/>
                <w:sz w:val="18"/>
                <w:szCs w:val="18"/>
                <w:color w:val="auto"/>
              </w:rPr>
              <w:t>$[XXX]</w:t>
            </w:r>
          </w:p>
        </w:tc>
      </w:tr>
    </w:tbl>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Milestone fees are non-refundable. Royalty payments in a given license year shall not be creditable against any milestone fees.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Section 3.02 Sublicense Royalties and Fees</w:t>
      </w:r>
    </w:p>
    <w:p>
      <w:pPr>
        <w:spacing w:after="0" w:line="131" w:lineRule="exact"/>
        <w:rPr>
          <w:sz w:val="20"/>
          <w:szCs w:val="20"/>
          <w:color w:val="auto"/>
        </w:rPr>
      </w:pPr>
    </w:p>
    <w:p>
      <w:pPr>
        <w:ind w:left="900" w:right="560" w:hanging="446"/>
        <w:spacing w:after="0" w:line="342" w:lineRule="auto"/>
        <w:tabs>
          <w:tab w:leader="none" w:pos="900" w:val="left"/>
        </w:tabs>
        <w:numPr>
          <w:ilvl w:val="0"/>
          <w:numId w:val="562"/>
        </w:numPr>
        <w:rPr>
          <w:rFonts w:ascii="Arial" w:cs="Arial" w:eastAsia="Arial" w:hAnsi="Arial"/>
          <w:sz w:val="16"/>
          <w:szCs w:val="16"/>
          <w:color w:val="auto"/>
        </w:rPr>
      </w:pPr>
      <w:r>
        <w:rPr>
          <w:rFonts w:ascii="Arial" w:cs="Arial" w:eastAsia="Arial" w:hAnsi="Arial"/>
          <w:sz w:val="16"/>
          <w:szCs w:val="16"/>
          <w:u w:val="single" w:color="auto"/>
          <w:color w:val="auto"/>
        </w:rPr>
        <w:t>Sublicensee Earned Royalty</w:t>
      </w:r>
      <w:r>
        <w:rPr>
          <w:rFonts w:ascii="Arial" w:cs="Arial" w:eastAsia="Arial" w:hAnsi="Arial"/>
          <w:sz w:val="16"/>
          <w:szCs w:val="16"/>
          <w:color w:val="auto"/>
        </w:rPr>
        <w:t>. For the avoidance of doubt, LICENSEE shall pay to UNIVERSITY an amount for NET SALES made by SUBLICENSEES equal to what LICENSEE would have been required to pay to UNIVERSITY had LICENSEE made such NET SALES.</w:t>
      </w:r>
    </w:p>
    <w:p>
      <w:pPr>
        <w:spacing w:after="0" w:line="29" w:lineRule="exact"/>
        <w:rPr>
          <w:rFonts w:ascii="Arial" w:cs="Arial" w:eastAsia="Arial" w:hAnsi="Arial"/>
          <w:sz w:val="16"/>
          <w:szCs w:val="16"/>
          <w:color w:val="auto"/>
        </w:rPr>
      </w:pPr>
    </w:p>
    <w:p>
      <w:pPr>
        <w:ind w:left="900" w:right="320" w:hanging="446"/>
        <w:spacing w:after="0" w:line="259" w:lineRule="auto"/>
        <w:tabs>
          <w:tab w:leader="none" w:pos="900" w:val="left"/>
        </w:tabs>
        <w:numPr>
          <w:ilvl w:val="0"/>
          <w:numId w:val="562"/>
        </w:numPr>
        <w:rPr>
          <w:rFonts w:ascii="Arial" w:cs="Arial" w:eastAsia="Arial" w:hAnsi="Arial"/>
          <w:sz w:val="18"/>
          <w:szCs w:val="18"/>
          <w:color w:val="auto"/>
        </w:rPr>
      </w:pPr>
      <w:r>
        <w:rPr>
          <w:rFonts w:ascii="Arial" w:cs="Arial" w:eastAsia="Arial" w:hAnsi="Arial"/>
          <w:sz w:val="18"/>
          <w:szCs w:val="18"/>
          <w:u w:val="single" w:color="auto"/>
          <w:color w:val="auto"/>
        </w:rPr>
        <w:t>Other Sublicensee Payments.</w:t>
      </w:r>
      <w:r>
        <w:rPr>
          <w:rFonts w:ascii="Arial" w:cs="Arial" w:eastAsia="Arial" w:hAnsi="Arial"/>
          <w:sz w:val="18"/>
          <w:szCs w:val="18"/>
          <w:color w:val="auto"/>
        </w:rPr>
        <w:t xml:space="preserve"> In consideration of rights granted by UNIVERSITY to LICENSEE under this AGREEMENT, in addition to the sublicensee earned royalty of Section 3.02(a), LICENSEE further agrees to pay UNIVERSITY a specified portion of other revenue or consideration received from any SUBLICENSEE as consideration for the sublicense of PATENT RIGHTS to SUBLICENSEES as per the following schedule.</w:t>
      </w:r>
    </w:p>
    <w:p>
      <w:pPr>
        <w:spacing w:after="0" w:line="210"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3580" w:type="dxa"/>
            <w:vAlign w:val="bottom"/>
          </w:tcPr>
          <w:p>
            <w:pPr>
              <w:spacing w:after="0"/>
              <w:rPr>
                <w:sz w:val="20"/>
                <w:szCs w:val="20"/>
                <w:color w:val="auto"/>
              </w:rPr>
            </w:pPr>
            <w:r>
              <w:rPr>
                <w:rFonts w:ascii="Arial" w:cs="Arial" w:eastAsia="Arial" w:hAnsi="Arial"/>
                <w:sz w:val="14"/>
                <w:szCs w:val="14"/>
                <w:color w:val="auto"/>
              </w:rPr>
              <w:t>Event</w:t>
            </w:r>
          </w:p>
        </w:tc>
        <w:tc>
          <w:tcPr>
            <w:tcW w:w="4180" w:type="dxa"/>
            <w:vAlign w:val="bottom"/>
          </w:tcPr>
          <w:p>
            <w:pPr>
              <w:ind w:left="3060"/>
              <w:spacing w:after="0"/>
              <w:rPr>
                <w:sz w:val="20"/>
                <w:szCs w:val="20"/>
                <w:color w:val="auto"/>
              </w:rPr>
            </w:pPr>
            <w:r>
              <w:rPr>
                <w:rFonts w:ascii="Arial" w:cs="Arial" w:eastAsia="Arial" w:hAnsi="Arial"/>
                <w:sz w:val="14"/>
                <w:szCs w:val="14"/>
                <w:color w:val="auto"/>
              </w:rPr>
              <w:t>Specified Portion</w:t>
            </w: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[XXX]</w:t>
            </w:r>
          </w:p>
        </w:tc>
        <w:tc>
          <w:tcPr>
            <w:tcW w:w="418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[XXX]</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[XXX]</w:t>
            </w:r>
          </w:p>
        </w:tc>
        <w:tc>
          <w:tcPr>
            <w:tcW w:w="4180" w:type="dxa"/>
            <w:vAlign w:val="bottom"/>
          </w:tcPr>
          <w:p>
            <w:pPr>
              <w:ind w:left="3620"/>
              <w:spacing w:after="0"/>
              <w:rPr>
                <w:sz w:val="20"/>
                <w:szCs w:val="20"/>
                <w:color w:val="auto"/>
              </w:rPr>
            </w:pPr>
            <w:r>
              <w:rPr>
                <w:rFonts w:ascii="Arial" w:cs="Arial" w:eastAsia="Arial" w:hAnsi="Arial"/>
                <w:sz w:val="18"/>
                <w:szCs w:val="18"/>
                <w:color w:val="auto"/>
              </w:rPr>
              <w:t>[XXX]</w:t>
            </w: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[XXX]</w:t>
            </w:r>
          </w:p>
        </w:tc>
        <w:tc>
          <w:tcPr>
            <w:tcW w:w="418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[XXX]</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63"/>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599" w:name="page600"/>
    <w:bookmarkEnd w:id="5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Such revenue or other consideration attributable to the SUBLICENSE of PATENT RIGHTS (“SUBLICENSE REVENUE”) shall include, but not be limited to, all option fees, license issue fees (up-front payments), license maintenance fees, milestone payments, payments for equity in excess of fair market value, joint marketing fees and research and development funding in excess of LICENSEE’s cost of performing such research and development (other than the earned royalty specified in Section 3.02(a)). In the event that LICENSEE agrees to receive only equity at fair market value from the SUBLICENSEE for development rights and as payment for all milestone events per agreement between LICENSEE and SUBLICENSEE, UNIVERSITY is entitled to a portion of that equity equal to the specified portion percentage for sublicenses listed above or may opt to receive a cash equivalent based on the estimated fair market value at time agreement is signed. For clarity, SUBLICENSE REVENUE shall not include (1) research and development funding provided to LICENSEE by SUBLICENSEE, (2) payments made as consideration for the issuance of equity or debt securities of LICENSEE at fair market value; provided that, if a SUBLICENSEE pays more than fair market value for equity or debt securities, only the portion in excess of fair market value shall be considered revenue, and (3) payments received from SUBLICENSEE and applied to reimburse LICENSEE for any out-of-pocket expenses related to the filing, prosecution, protection, defense and maintenance of patents and patent applications.</w:t>
      </w:r>
    </w:p>
    <w:p>
      <w:pPr>
        <w:spacing w:after="0" w:line="72" w:lineRule="exact"/>
        <w:rPr>
          <w:sz w:val="20"/>
          <w:szCs w:val="20"/>
          <w:color w:val="auto"/>
        </w:rPr>
      </w:pPr>
    </w:p>
    <w:p>
      <w:pPr>
        <w:ind w:left="920" w:right="300"/>
        <w:spacing w:after="0" w:line="255" w:lineRule="auto"/>
        <w:rPr>
          <w:sz w:val="20"/>
          <w:szCs w:val="20"/>
          <w:color w:val="auto"/>
        </w:rPr>
      </w:pPr>
      <w:r>
        <w:rPr>
          <w:rFonts w:ascii="Arial" w:cs="Arial" w:eastAsia="Arial" w:hAnsi="Arial"/>
          <w:sz w:val="18"/>
          <w:szCs w:val="18"/>
          <w:color w:val="auto"/>
        </w:rPr>
        <w:t>In addition, for each LICENSED PRODUCT developed, if LICENSEE receives from a SUBLICENSEE under any sublicense a payment that constitutes SUBLICENSEE REVENUE and which payment is directly attributable to the occurrence of a milestone or event substantially equivalent to a milestone triggering a payment under Section 3.01(e), and LICENSEE has paid to UNIVERSITY the corresponding Specified Portion of the amount of SUBLICENSE REVENUE that is attributable to such payment as set forth in Section 3.02(b), then such payment to UNIVERSITY from LICENSEE shall be fully creditable against the milestone payment owing from LICENSEE to UNIVERSITY under Section 3.01(e) for that applicable milestone.</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How Payments are Made.</w:t>
      </w:r>
      <w:r>
        <w:rPr>
          <w:rFonts w:ascii="Arial" w:cs="Arial" w:eastAsia="Arial" w:hAnsi="Arial"/>
          <w:sz w:val="18"/>
          <w:szCs w:val="18"/>
          <w:color w:val="auto"/>
        </w:rPr>
        <w:t xml:space="preserve"> All payments to UNIVERSITY pursuant to this AGREEMENT shall be paid in U.S. dollars. Conversion of foreign currency to U.S. dollars shall be made at the conversion rate existing in the United States (as reported in the in the Wall Street Journal) on the last working day of each ROYALTY PERIOD. Such payments shall be without deduction of exchange, collection or other charges. Such payments shall be made payable to The Curators of the University of Missouri and shall be mailed to the Office of Intellectual Property Administration, 475 McReynolds Hall, Columbia, MO 65211.</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Payment Deadlines.</w:t>
      </w:r>
      <w:r>
        <w:rPr>
          <w:rFonts w:ascii="Arial" w:cs="Arial" w:eastAsia="Arial" w:hAnsi="Arial"/>
          <w:sz w:val="18"/>
          <w:szCs w:val="18"/>
          <w:color w:val="auto"/>
        </w:rPr>
        <w:t xml:space="preserve"> Unless stipulated otherwise, all payments due UNIVERSITY hereunder shall be made within thirty (30) days after the end of each ROYALTY PERIOD. Late payments shall be subject to an interest charge of one and one half percent (1.5%) per month. LICENSEE shall also be responsible for payment of all bank transfer charges.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No Taxes.</w:t>
      </w:r>
      <w:r>
        <w:rPr>
          <w:rFonts w:ascii="Arial" w:cs="Arial" w:eastAsia="Arial" w:hAnsi="Arial"/>
          <w:sz w:val="18"/>
          <w:szCs w:val="18"/>
          <w:color w:val="auto"/>
        </w:rPr>
        <w:t xml:space="preserve"> Taxes and/or other governmental charges or fees shall not be levied on the payments made to UNIVERSITY under this Article III and shall not be deducted from any payments due UNIVERSITY under this Article III. LICENSEE shall be responsible for any and all taxes, fees, levies, duties, or other charges imposed by the government of any country on such payments.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6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00" w:name="page601"/>
    <w:bookmarkEnd w:id="6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Default Payment</w:t>
      </w:r>
      <w:r>
        <w:rPr>
          <w:rFonts w:ascii="Arial" w:cs="Arial" w:eastAsia="Arial" w:hAnsi="Arial"/>
          <w:sz w:val="18"/>
          <w:szCs w:val="18"/>
          <w:color w:val="auto"/>
        </w:rPr>
        <w:t xml:space="preserve">. In the event of default in payment of any payment owing to UNIVERSITY under the terms of this AGREEMENT, and if it becomes necessary for UNIVERSITY to engage outside legal counsel to collect such payment, LICENSEE shall pay all expenses, costs and attorneys’ fees incurred by UNIVERSITY in connection therewith. Further, in the event that UNIVERSITY brings a lawsuit against a SUBLICENSEE for failure to pay any royalties or other payments due, LICENSEE shall pay all expenses, costs and attorneys’ fees incurred by UNIVERSITY in connection therewith. LICENSEE shall use its best commercial efforts to enforce any SUBLICENSEE obligation or payment if the breach of that obligation or payment would be a breach of this AGREEMENT if made by LICENSEE. To the extent that LICENSEE may as to UNIVERSITY cure such breach by its own performance, </w:t>
      </w:r>
      <w:r>
        <w:rPr>
          <w:rFonts w:ascii="Arial" w:cs="Arial" w:eastAsia="Arial" w:hAnsi="Arial"/>
          <w:sz w:val="18"/>
          <w:szCs w:val="18"/>
          <w:i w:val="1"/>
          <w:iCs w:val="1"/>
          <w:color w:val="auto"/>
        </w:rPr>
        <w:t>e.g.,</w:t>
      </w:r>
      <w:r>
        <w:rPr>
          <w:rFonts w:ascii="Arial" w:cs="Arial" w:eastAsia="Arial" w:hAnsi="Arial"/>
          <w:sz w:val="18"/>
          <w:szCs w:val="18"/>
          <w:color w:val="auto"/>
        </w:rPr>
        <w:t xml:space="preserve"> by making any payments due to UNIVERSITY regardless of SUBLICENSEE’S failure to pay LICENSEE, then LICENSEE shall do so at its own risk and expense.</w:t>
      </w:r>
    </w:p>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Challenge to Patent Rights.</w:t>
      </w:r>
      <w:r>
        <w:rPr>
          <w:rFonts w:ascii="Arial" w:cs="Arial" w:eastAsia="Arial" w:hAnsi="Arial"/>
          <w:sz w:val="17"/>
          <w:szCs w:val="17"/>
          <w:color w:val="auto"/>
        </w:rPr>
        <w:t xml:space="preserve"> In the event that LICENSEE or one or more of its SUBLICENSEES directly or indirectly: (a) issues a press release, public announcement, news release alleging invalidity or unenforceability of any claim within the PATENT RIGHTS; or (b) asserts a claim or counterclaim in the courts or before the applicable governmental agency (</w:t>
      </w:r>
      <w:r>
        <w:rPr>
          <w:rFonts w:ascii="Arial" w:cs="Arial" w:eastAsia="Arial" w:hAnsi="Arial"/>
          <w:sz w:val="17"/>
          <w:szCs w:val="17"/>
          <w:i w:val="1"/>
          <w:iCs w:val="1"/>
          <w:color w:val="auto"/>
        </w:rPr>
        <w:t>e.g.,</w:t>
      </w:r>
      <w:r>
        <w:rPr>
          <w:rFonts w:ascii="Arial" w:cs="Arial" w:eastAsia="Arial" w:hAnsi="Arial"/>
          <w:sz w:val="17"/>
          <w:szCs w:val="17"/>
          <w:color w:val="auto"/>
        </w:rPr>
        <w:t xml:space="preserve"> the United States Patent Trial and Appeal Board) seeking to attack, invalidate or render unenforceable any claim within the PATENT RIGHTS; or (c) assists a third party with either or both (a) or (b) (each of (a), (b), or (c) being a “CHALLENGE EVENT”), then LICENSEE or its SUBLICENSEE as applicable shall provide at least ninety (90) days written notice to UNIVERSITY prior to initiating such a CHALLENGE EVENT, along with a copy of any prior art which forms the basis for the CHALLENGE EVENT and a claim-by-claim detailed analysis of patent invalidity and/or unenforceability. Upon the occurrence of a CHALLENGE EVENT, UNIVERSITY, shall have the right, but not the obligation, to terminate this AGREEMENT with respect to such LICENSEE and/or SUBLICENSEE by providing written notice of the same. In the event that UNIVERSITY elects not to terminate this AGREEMENT, then all payments due under Article III by LICENSEE or SUBLICENSEE(s) as applicable shall double. Moreover, should the outcome of any such action or proceeding be unsuccessful, then LICENSEE and/or SUBLICENSEE challenging such claim shall pay (1) triple all payments after the pendency of the aforementioned action and (2) UNIVERSITY’S costs, expenses, and reasonable attorneys’ fees incurred in such action. An action or proceeding shall be deemed “unsuccessful” for purposes of this Section 3.07 if: (i) the proceeding or lawsuit is terminated for any reason prior to a settlement or judgment from which no appeal can be or is taken; (ii) one or more of the claims within the PATENT RIGHTS challenged by said lawsuit remain valid and enforceable after any such settlement or judgment is in effect; or (iii) if LICENSEE would still require a license to any of the PATENT RIGHTS to sell any of its products after any such settlement or judgment is in effect. Any such judicial challenge by LICENSEE or a SUBLICENSEE shall be brought in the courts of Missouri, and LICENSEE and its SUBLICENSEE agree not to challenge personal jurisdiction in that forum. LICENSEE or such SUBLICENSEE shall not be relieved from any payments that accrue before any decision invalidating a claim within the PATENT RIGHTS or a claim not involved in such decision. LICENSEE or such SUBLICENSEE shall have no right to recoup any such payments paid before or during the period of challenge.</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6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01" w:name="page602"/>
    <w:bookmarkEnd w:id="6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REPORTING</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Commercialization Plan.</w:t>
      </w:r>
      <w:r>
        <w:rPr>
          <w:rFonts w:ascii="Arial" w:cs="Arial" w:eastAsia="Arial" w:hAnsi="Arial"/>
          <w:sz w:val="18"/>
          <w:szCs w:val="18"/>
          <w:color w:val="auto"/>
        </w:rPr>
        <w:t xml:space="preserve"> Prior to signing this AGREEMENT, LICENSEE has provided to UNIVERSITY a written plan (hereinafter “COMMERCIALIZATION PLAN”) for the LICENSED PRODUCT within the respective LICENSED FIELD and within the respective country or countries of the LICENSED TERRITORY to be introduced by LICENSEE into commercial use. The COMMERCIALIZATION PLAN shall include, without limitation: (1) planned research and development activities, (2) milestones and evidence of sufficient financial resources to successfully implement the COMMERCIALIZATION PLAN and ensure that LICENSED PRODUCT will be kept reasonably available to the public, and (3) projection of sales and proposed marketing efforts. Such COMMERCIALIZATION PLAN is incorporated as Appendix B.</w:t>
      </w:r>
    </w:p>
    <w:p>
      <w:pPr>
        <w:spacing w:after="0" w:line="19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First Sale.</w:t>
      </w:r>
      <w:r>
        <w:rPr>
          <w:rFonts w:ascii="Arial" w:cs="Arial" w:eastAsia="Arial" w:hAnsi="Arial"/>
          <w:sz w:val="18"/>
          <w:szCs w:val="18"/>
          <w:color w:val="auto"/>
        </w:rPr>
        <w:t xml:space="preserve"> LICENSEE shall report to UNIVERSITY the date of first SALE of LICENSED PRODUCTS in each country of LICENSED TERRITORY within thirty (30) days of occurrence.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Within 30 days after each ROYALTY PERIOD following the first SALE of LICENSED PRODUCT, whether SOLD by LICENSEE or its SUBLICENSEE, if any exists, LICENSEE must deliver to UNIVERSITY a true and accurate written report, even if no payments are due UNIVERSITY, giving the particulars of the business conducted by LICENSEE and its SUBLICENSEE(s) during the ROYALTY PERIOD as are pertinent to calculating payments hereunder. This report will include at least:</w:t>
      </w:r>
    </w:p>
    <w:p>
      <w:pPr>
        <w:spacing w:after="0" w:line="92" w:lineRule="exact"/>
        <w:rPr>
          <w:sz w:val="20"/>
          <w:szCs w:val="20"/>
          <w:color w:val="auto"/>
        </w:rPr>
      </w:pPr>
    </w:p>
    <w:p>
      <w:pPr>
        <w:ind w:left="900" w:hanging="446"/>
        <w:spacing w:after="0"/>
        <w:tabs>
          <w:tab w:leader="none" w:pos="9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quantities of LICENSED PRODUCT produced or manufactured;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total NET SALES, including any deductions applicable as provided in Section 1.05;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exchange rate used;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offsets of minimum annual royalties or other offsets allowed under this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method used to calculate the royalties thereon;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total SALES ROYALTY computed and due UNIVERSITY;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royalties due UNIVERSITY on additional payments from SUBLICENSEE(s) under Section 3.02;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names and addresses of all SUBLICENSEES of LICENSEE.</w:t>
      </w:r>
    </w:p>
    <w:p>
      <w:pPr>
        <w:spacing w:after="0" w:line="117" w:lineRule="exact"/>
        <w:rPr>
          <w:sz w:val="20"/>
          <w:szCs w:val="20"/>
          <w:color w:val="auto"/>
        </w:rPr>
      </w:pPr>
    </w:p>
    <w:p>
      <w:pPr>
        <w:ind w:left="920" w:right="120"/>
        <w:spacing w:after="0" w:line="302" w:lineRule="auto"/>
        <w:rPr>
          <w:sz w:val="20"/>
          <w:szCs w:val="20"/>
          <w:color w:val="auto"/>
        </w:rPr>
      </w:pPr>
      <w:r>
        <w:rPr>
          <w:rFonts w:ascii="Arial" w:cs="Arial" w:eastAsia="Arial" w:hAnsi="Arial"/>
          <w:sz w:val="16"/>
          <w:szCs w:val="16"/>
          <w:color w:val="auto"/>
        </w:rPr>
        <w:t>If no payment is due, LICENSEE shall so report to UNIVERSITY. An exemplary report format is set forth in Appendix C. This report shall identify the issued patents and/or patent applications under PATENT RIGHTS that cover the particular LICENSED PRODUCT being reported. LICENSEE shall direct its authorized representative to certify that reports required hereunder are correct to the best of LICENSEE’s knowledge and information. Failure to provide reports as required under this Article shall be a material breach of this AGREEMENT.</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6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602" w:name="page603"/>
    <w:bookmarkEnd w:id="6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LICENSEE shall provide sufficient data for UNIVERSITY to verify the royalty calculations and any reasonable additional information UNIVERSITY requires to determine LICENSEE’s satisfaction of the reporting requirements hereunder or to clarify the information contained in reports provided by LICENSEE. LICENSEE shall provide such additional information to UNIVERSITY within thirty (30) days of receiving a request from UNIVERSITY. Simultaneously with the delivery of each report, LICENSEE must pay to UNIVERSITY the amount, if any, due for the period of each report.</w:t>
      </w:r>
    </w:p>
    <w:p>
      <w:pPr>
        <w:spacing w:after="0" w:line="15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Annual Commercialization Report.</w:t>
      </w:r>
      <w:r>
        <w:rPr>
          <w:rFonts w:ascii="Arial" w:cs="Arial" w:eastAsia="Arial" w:hAnsi="Arial"/>
          <w:sz w:val="16"/>
          <w:szCs w:val="16"/>
          <w:color w:val="auto"/>
        </w:rPr>
        <w:t xml:space="preserve"> On or before each anniversary of the EFFECTIVE DATE, irrespective of having a first SALE or offer for SALE, LICENSEE must deliver to UNIVERSITY a written annual report as to LICENSEE’s (and any SUBLICENSEE’s) efforts and accomplishments during the preceding year in diligently commercializing LICENSED PRODUCT in the LICENSED FIELD, including but not limited to,</w:t>
      </w:r>
    </w:p>
    <w:p>
      <w:pPr>
        <w:spacing w:after="0" w:line="52" w:lineRule="exact"/>
        <w:rPr>
          <w:sz w:val="20"/>
          <w:szCs w:val="20"/>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research and development expenditures and progress,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regulatory filings and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sublicensing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marketing and sales,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jobs created,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capital raised and source of funding,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LICENSEE’s (and, if applicable, SUBLICENSEE’s) commercialization plans for the upcoming year.</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LICENSEE shall also promptly provide any reasonable additional information UNIVERSITY requested to evaluate LICENSEE’S performance under this AGREEMENT.</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LICENSEE shall keep full, true and accurate books of account containing all particulars that may be necessary for the purpose of showing the amounts payable to UNIVERSITY. The books of account shall be kept at LICENSEE’s principal place of business or the principal place of business of the appropriate division of LICENSEE to which this AGREEMENT relates. The books, ledgers, records, and the supporting data shall be open at all reasonable times for five (5) years following the end of the calendar year to which they pertain, for the inspection by UNIVERSITY or its representatives for the purpose of verifying LICENSEE’s royalty statements or compliance in other respects with this AGREEMENT. If the amounts due to UNIVERSITY are determined to have been underpaid, LICENSEE will pay the amount of such underpayment and interest on the amount of such underpayment with interest accumulating at the rate as set forth in Section 3.04 accruing from the date such payment was originally due to UNIVERSITY. Should such inspection lead to the discovery of a greater than [XXX] discrepancy or [XXX] or more in reporting to UNIVERSITY’s detriment, LICENSEE agrees to pay the full cost of such inspection and audit.</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6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03" w:name="page604"/>
    <w:bookmarkEnd w:id="6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Sunshine Law.</w:t>
      </w:r>
      <w:r>
        <w:rPr>
          <w:rFonts w:ascii="Arial" w:cs="Arial" w:eastAsia="Arial" w:hAnsi="Arial"/>
          <w:sz w:val="18"/>
          <w:szCs w:val="18"/>
          <w:color w:val="auto"/>
        </w:rPr>
        <w:t xml:space="preserve"> LICENSEE acknowledges that UNIVERSITY is subject to the Missouri Sunshine Act, 610 RSMo, and that all plans and reports marked “Confidential” shall be treated by UNIVERSITY as confidential to the extent permitted by law.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DUE DILIGENCE</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Section 5.01 LICENSEE shall use reasonable efforts to effect introduction of the LICENSED PRODUCT into the commercial market as soon as practicable, consistent with sound and reasonable business practices and judgment; thereafter, until the expiration or termination of this AGREEMENT, LICENSEE shall keep LICENSED PRODUCT reasonably available to the public.</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Section 5.02 UNIVERSITY shall have the right, at UNIVERSITY’s sole discretion, to either terminate or render this license nonexclusive in an individual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LICENSED FIELD and/or individual country or countries within the LICENSED TERRITORY if LICENSEE or its SUBLICENSEE (if applicable):</w:t>
      </w:r>
    </w:p>
    <w:p>
      <w:pPr>
        <w:spacing w:after="0" w:line="116" w:lineRule="exact"/>
        <w:rPr>
          <w:sz w:val="20"/>
          <w:szCs w:val="20"/>
          <w:color w:val="auto"/>
        </w:rPr>
      </w:pPr>
    </w:p>
    <w:p>
      <w:pPr>
        <w:ind w:left="900" w:hanging="446"/>
        <w:spacing w:after="0"/>
        <w:tabs>
          <w:tab w:leader="none" w:pos="90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Has not within [XXX] of the EFFECTIVE DATE [XXX],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Has not within [XXX] of the EFFECTIVE DATE [XXX],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Has not within [XXX] of the EFFECTIVE DATE [XXX].</w:t>
      </w:r>
    </w:p>
    <w:p>
      <w:pPr>
        <w:spacing w:after="0" w:line="117" w:lineRule="exact"/>
        <w:rPr>
          <w:sz w:val="20"/>
          <w:szCs w:val="20"/>
          <w:color w:val="auto"/>
        </w:rPr>
      </w:pPr>
    </w:p>
    <w:p>
      <w:pPr>
        <w:ind w:left="920" w:right="80"/>
        <w:spacing w:after="0" w:line="291" w:lineRule="auto"/>
        <w:rPr>
          <w:sz w:val="20"/>
          <w:szCs w:val="20"/>
          <w:color w:val="auto"/>
        </w:rPr>
      </w:pPr>
      <w:r>
        <w:rPr>
          <w:rFonts w:ascii="Arial" w:cs="Arial" w:eastAsia="Arial" w:hAnsi="Arial"/>
          <w:sz w:val="16"/>
          <w:szCs w:val="16"/>
          <w:color w:val="auto"/>
        </w:rPr>
        <w:t>If LICENSEE believes that it will not achieve one of the foregoing milestones, it may notify UNIVERSITY in writing in advance of the relevant deadline (a “DELAYED MILESTONE NOTICE”), which notice shall include (a) a reasonable explanation of the reasons for such failure and</w:t>
      </w:r>
    </w:p>
    <w:p>
      <w:pPr>
        <w:ind w:left="920" w:right="100" w:firstLine="1"/>
        <w:spacing w:after="0" w:line="281" w:lineRule="auto"/>
        <w:tabs>
          <w:tab w:leader="none" w:pos="1175" w:val="left"/>
        </w:tabs>
        <w:numPr>
          <w:ilvl w:val="0"/>
          <w:numId w:val="571"/>
        </w:numPr>
        <w:rPr>
          <w:rFonts w:ascii="Arial" w:cs="Arial" w:eastAsia="Arial" w:hAnsi="Arial"/>
          <w:sz w:val="16"/>
          <w:szCs w:val="16"/>
          <w:color w:val="auto"/>
        </w:rPr>
      </w:pPr>
      <w:r>
        <w:rPr>
          <w:rFonts w:ascii="Arial" w:cs="Arial" w:eastAsia="Arial" w:hAnsi="Arial"/>
          <w:sz w:val="16"/>
          <w:szCs w:val="16"/>
          <w:color w:val="auto"/>
        </w:rPr>
        <w:t>a reasonable, detailed, written plan for promptly achieving a reasonable extended and/or amended milestone. If LICENSEE provides UNIVERSITY with a DELAYED MILESTONE NOTICE that is acceptable to UNIVERSITY in its sole discretion as documented in writing, then this Section 5.02 will be amended automatically to incorporate the extended and/or amended milestones set forth in the DELAYED MILESTONE NOTICE. If LICENSEE provides UNIVERSITY with a DELAYED MILESTONE NOTICE that is not acceptable to UNIVERSITY in its sole discretion, then UNIVERSITY may either (1) proceed with such termination or modification of this AGREEMENT or</w:t>
      </w:r>
    </w:p>
    <w:p>
      <w:pPr>
        <w:spacing w:after="0" w:line="3"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(2) negotiate revised milestones with LICENSEE.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INDEMNITY, INSURANCE, WARRANTIES, DAMAGES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Indemnity.</w:t>
      </w:r>
      <w:r>
        <w:rPr>
          <w:rFonts w:ascii="Arial" w:cs="Arial" w:eastAsia="Arial" w:hAnsi="Arial"/>
          <w:sz w:val="17"/>
          <w:szCs w:val="17"/>
          <w:color w:val="auto"/>
        </w:rPr>
        <w:t xml:space="preserve"> LICENSEE shall, and will require SUBLICENSEES to, at all times during the term of this AGREEMENT and thereafter, indemnify, defend and hold UNIVERSITY, its current or former Curators, officers, employees and affiliates, harmless from any claim, proceeding, suit, demand, expense, loss, penalty, judgment, or liability of any kind whatsoever, including costs, expenses and reasonable attorneys’ fees, resulting from, related to, arising out of, or in connection with (1) the design, development, production, manufacture, shipping, use, importation, SALE, advertisement, labeling, promotion, or patent marking of the LICENSED PRODUCT by LICENSEE or its SUBLICENSEES, or end users, including but not limited to (i) any infringement or misappropriation of a patent, copyright, trade secret or other intellectual</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72"/>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04" w:name="page605"/>
    <w:bookmarkEnd w:id="6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property or proprietary right of any third party or (ii) any product liability claims, such as those involving the death of or injury to any person or persons or damage to property; or (2) any breach of any obligation, covenant, representation, or warranty by LICENSEE or its SUBLICENSEES hereunder; or (3) the production, use or SALE of any product, process or service identified, characterized or otherwise developed with the aid of the PATENT RIGHTS by LICENSEE or its SUBLICENSEES; or (4) a breach or violation of applicable law by LICENSEE, or its SUBLICENSEES; or (5) the exercise of LICENSEE’s or SUBLICENSEE’s rights under this AGREEMENT. If any such claims or causes of action are made, UNIVERSITY shall be defended by counsel selected by LICENSEE, subject to UNIVERSITY’s approval, which shall not be unreasonably withheld. UNIVERSITY reserves the right to be represented by its own counsel at its own expense.</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At such time as any LICENSED PRODUCT is being commercially distributed or SOLD (other than for the purpose of obtaining regulatory approvals) by LICENSEE, a SUBLICENSEE, or a subsidiary or agent of LICENSEE, LICENSEE shall at its sole cost and expense, procure and maintain commercial general liability insurance in amounts not less than [XXX] per incident and naming UNIVERSITY, its Curators, trustees, officers, agents, employees and affiliates, as additional insureds. Such commercial general liability insurance shall provide (i) product liability coverage and (ii) broad form contractual liability coverage for LICENSEE’s indemnification under this AGREEMENT. Such insurance will be considered primary as to any other valid and collectible insurance, but only as to acts of the named insured. Any carrier providing coverage shall have a minimum “Best” rating of “A-XII”. The minimum amounts of insurance coverage required shall not be construed to create a limit of LICENSEE’s liability with respect to its indemnification under this AGREEMENT.</w:t>
      </w:r>
    </w:p>
    <w:p>
      <w:pPr>
        <w:spacing w:after="0" w:line="19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LICENSEE shall maintain such commercial general liability insurance beyond the expiration or termination of this AGREEMENT during (i) the period that any product, process, or service, relating to, or developed pursuant to this AGREEMENT is being commercially distributed or SOLD by LICENSEE or its SUBLICENSEE and (ii) a reasonable period after the period referred to in (i) above which in no event shall be less than [XXX].</w:t>
      </w:r>
    </w:p>
    <w:p>
      <w:pPr>
        <w:spacing w:after="0" w:line="16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LICENSEE shall provide Workers’ Compensation coverage for any employee of LICENSEE that visits UNIVERSITY premises for matters relating to this AGREEMENT. In addition, Employers’ Liability coverage shall be provided to such employee in an amount no less than [XXX] per occurrence.</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LICENSEE shall provide UNIVERSITY with written evidence of the insurance requirements of this Section 6.02 within thirty (30) days after such insurance becomes necessary pursuant to this AGREEMENT. LICENSEE shall provide UNIVERSITY with written notice at least fifteen (15) days prior to the cancellation, non-renewal or material change in such insurance; if LICENSEE does not obtain replacement insurance providing comparable coverage within such fifteen (15) day period, UNIVERSITY shall have the right to terminate this AGREEMENT effective at the end of such fifteen (15) day period without notice or any additional waiting periods. It is agreed that the insurance required is required in the public interest and UNIVERSITY does not assume any liability for acts of LICENSEE, their officers, agents, and employees or of a SUBLICENSEE, their officers, agents, and employees, in connection with the granting of this AGREEMENT.</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73"/>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605" w:name="page606"/>
    <w:bookmarkEnd w:id="6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LICENSEE elects to self-insure all or part of the limits described above, such self-insurance program must be acceptable to UNIVERSITY’s Risk and Insurance Management department.</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Disclaimer of Warranties</w:t>
      </w:r>
      <w:r>
        <w:rPr>
          <w:rFonts w:ascii="Arial" w:cs="Arial" w:eastAsia="Arial" w:hAnsi="Arial"/>
          <w:sz w:val="17"/>
          <w:szCs w:val="17"/>
          <w:color w:val="auto"/>
        </w:rPr>
        <w:t>. THE PATENT RIGHTS ARE DELIVERED “AS IS” IN EVERY RESPECT. UNIVERSITY, ITS CURRENT OR FORMER CURATORS, OFFICERS, EMPLOYEES, AND AFFILIATES MAKE NO REPRESENTATIONS AND EXTEND NO WARRANTIES OF ANY KIND, EITHER EXPRESS OR IMPLIED, INCLUDING BUT NOT LIMITED TO WARRANTIES OF COMMERCIAL UTILITY, MERCHANTABILITY, FITNESS FOR ANY PARTICULAR PURPOSE, THE ABSENCE OF LATENT OR OTHER DEFECTS, WHETHER OR NOT DISCOVERABLE, THE SCOPE, VALIDITY OR ENFORCEABILITY OF THE PATENT RIGHTS, WHETHER ISSUED OR PENDING, OR THAT THE MANUFACTURE, USE, IMPORTATION OR SALE OF THE LICENSED PRODUCT OR THAT THE PRACTICE OF THE PATENT RIGHTS WILL NOT INFRINGE OR MISAPPROPRIATE ANY PATENT, COPYRIGHT, TRADEMARK, OR OTHER RIGHTS OF ANY THIRD PARTY.</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Damages Exclusion / Limitation of Remedies.</w:t>
      </w:r>
      <w:r>
        <w:rPr>
          <w:rFonts w:ascii="Arial" w:cs="Arial" w:eastAsia="Arial" w:hAnsi="Arial"/>
          <w:sz w:val="18"/>
          <w:szCs w:val="18"/>
          <w:color w:val="auto"/>
        </w:rPr>
        <w:t xml:space="preserve"> IN NO EVENT SHALL UNIVERSITY ITS CURRENT OR FORMER CURATORS, OFFICERS, EMPLOYEES, AND AFFILIATES BE LIABLE FOR INCIDENTAL, CONSEQUENTIAL, SPECIAL, EXEMPLARY, OR PUNITIVE DAMAGES OF ANY KIND, REGARDLESS OF THE FORM OF ACTION, WHETHER IN CONTRACT OR IN TORT, INCLUDING NEGLIGENCE OR OTHERWISE, AND INCLUDING ECONOMIC DAMAGE OR INJURY TO PROPERTY AND LOST PROFITS, ATTORNEYS’ AND EXPERTS’ FEES, REGARDLESS OF WHETHER UNIVERSITY MAY BE ADVISED, MAY HAVE OTHER REASON TO KNOW, OR IN FACT SHALL KNOW OF THE POSSIBILITY.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Section 6.05 For the avoidance of doubt, nothing in this AGREEMENT shall be construed as:</w:t>
      </w:r>
    </w:p>
    <w:p>
      <w:pPr>
        <w:spacing w:after="0" w:line="131" w:lineRule="exact"/>
        <w:rPr>
          <w:sz w:val="20"/>
          <w:szCs w:val="20"/>
          <w:color w:val="auto"/>
        </w:rPr>
      </w:pPr>
    </w:p>
    <w:p>
      <w:pPr>
        <w:ind w:left="1480" w:hanging="567"/>
        <w:spacing w:after="0"/>
        <w:tabs>
          <w:tab w:leader="none" w:pos="14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 warranty or representation by UNIVERSITY as to the validity or scope of any PATENT RIGHTS;</w:t>
      </w:r>
    </w:p>
    <w:p>
      <w:pPr>
        <w:spacing w:after="0" w:line="130" w:lineRule="exact"/>
        <w:rPr>
          <w:rFonts w:ascii="Arial" w:cs="Arial" w:eastAsia="Arial" w:hAnsi="Arial"/>
          <w:sz w:val="18"/>
          <w:szCs w:val="18"/>
          <w:color w:val="auto"/>
        </w:rPr>
      </w:pPr>
    </w:p>
    <w:p>
      <w:pPr>
        <w:ind w:left="1480" w:right="460" w:hanging="567"/>
        <w:spacing w:after="0" w:line="308" w:lineRule="auto"/>
        <w:tabs>
          <w:tab w:leader="none" w:pos="148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a warranty or representation by UNIVERSITY that anything made, used, imported, SOLD or otherwise disposed of pursuant to any license granted under this AGREEMENT is or will be free from infringement of intellectual property rights of third parties;</w:t>
      </w:r>
    </w:p>
    <w:p>
      <w:pPr>
        <w:spacing w:after="0" w:line="51" w:lineRule="exact"/>
        <w:rPr>
          <w:rFonts w:ascii="Arial" w:cs="Arial" w:eastAsia="Arial" w:hAnsi="Arial"/>
          <w:sz w:val="17"/>
          <w:szCs w:val="17"/>
          <w:color w:val="auto"/>
        </w:rPr>
      </w:pPr>
    </w:p>
    <w:p>
      <w:pPr>
        <w:ind w:left="1480" w:hanging="567"/>
        <w:spacing w:after="0"/>
        <w:tabs>
          <w:tab w:leader="none" w:pos="14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an obligation by UNIVERSITY to bring or prosecute actions or suits against third parties for patent infringement;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an obligation to furnish any know-how not provided in the PATENT RIGHTS; or</w:t>
      </w:r>
    </w:p>
    <w:p>
      <w:pPr>
        <w:spacing w:after="0" w:line="130" w:lineRule="exact"/>
        <w:rPr>
          <w:rFonts w:ascii="Arial" w:cs="Arial" w:eastAsia="Arial" w:hAnsi="Arial"/>
          <w:sz w:val="18"/>
          <w:szCs w:val="18"/>
          <w:color w:val="auto"/>
        </w:rPr>
      </w:pPr>
    </w:p>
    <w:p>
      <w:pPr>
        <w:ind w:left="1480" w:right="120" w:hanging="567"/>
        <w:spacing w:after="0" w:line="277" w:lineRule="auto"/>
        <w:tabs>
          <w:tab w:leader="none" w:pos="14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conferring by implication, estoppel or otherwise any license or rights under any patents of UNIVERSITY other than PATENT RIGHTS, regardless of whether such patents are dominant or subordinate to the PATENT RIGHTS.</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Sublicenses.</w:t>
      </w:r>
      <w:r>
        <w:rPr>
          <w:rFonts w:ascii="Arial" w:cs="Arial" w:eastAsia="Arial" w:hAnsi="Arial"/>
          <w:sz w:val="18"/>
          <w:szCs w:val="18"/>
          <w:color w:val="auto"/>
        </w:rPr>
        <w:t xml:space="preserve"> LICENSEE shall require in any sublicense in which LICENSEE grants to a third party the right to make, have made, use, import, offer to SELL or SELL any LICENSED PRODUCT, provisions that provide UNIVERSITY, its Curators, trustees, officers, agents, employees and affiliates, comparable protections as those provided UNIVERSITY in this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7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06" w:name="page607"/>
    <w:bookmarkEnd w:id="6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Article VI. LICENSEE shall not, and shall require that its SUBLICENSEES do not, make any statements, representations or warranties whatsoever to any person or entity, or accept any liabilities or responsibilities whatsoever from any person or entity that are inconsistent with any disclaimer of warranties or damages exclusion / limitation of remedies included in this Article VI.</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DOMESTIC AND FOREIGN PATENT FILING AND MAINTENANCE</w:t>
      </w:r>
    </w:p>
    <w:p>
      <w:pPr>
        <w:spacing w:after="0" w:line="229"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Ownership and Control of Patents.</w:t>
      </w:r>
      <w:r>
        <w:rPr>
          <w:rFonts w:ascii="Arial" w:cs="Arial" w:eastAsia="Arial" w:hAnsi="Arial"/>
          <w:sz w:val="17"/>
          <w:szCs w:val="17"/>
          <w:color w:val="auto"/>
        </w:rPr>
        <w:t xml:space="preserve"> UNIVERSITY shall have full, complete and sole ownership of any pending applications and issued patents included in PATENT RIGHTS. UNIVERSITY shall be responsible for the preparation, filing, prosecution and maintenance of the patent applications and issued patents included in the PATENT RIGHTS. UNIVERSITY, either directly or through its attorneys at UNIVERSITY’s option, shall first consult with LICENSEE or its attorneys as to the preparation, filing, prosecution, and maintenance of such patent applications and issued patents and shall furnish to LICENSEE or its attorneys copies of significant documents it sends or receives relevant to any such preparation, filing, prosecution or maintenance. LICENSEE shall cooperate with UNIVERSITY in such preparation, filing, prosecution, and maintenance. LICENSEE agrees to hold such information confidential and to use the information provided by UNIVERSITY only for the purpose of advancing the PATENT RIGHTS and shall return all such information to UNIVERSITY upon termination of LICENSEE’s rights in any particular patent application or issued patent under Section 7.04 or upon termination or expiration of this AGREEMENT.</w:t>
      </w:r>
    </w:p>
    <w:p>
      <w:pPr>
        <w:spacing w:after="0" w:line="1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Patent Expenses.</w:t>
      </w:r>
      <w:r>
        <w:rPr>
          <w:rFonts w:ascii="Arial" w:cs="Arial" w:eastAsia="Arial" w:hAnsi="Arial"/>
          <w:sz w:val="16"/>
          <w:szCs w:val="16"/>
          <w:color w:val="auto"/>
        </w:rPr>
        <w:t xml:space="preserve"> LICENSEE shall reimburse UNIVERSITY for all out-of-pocket expenses, costs, and attorneys’ fees UNIVERSITY has incurred for the preparation, filing, prosecution and maintenance of PATENT RIGHTS (hereinafter “PATENT EXPENSES”) as a separate payment apart from any royalties or other revenues owed UNIVERSITY. For PATENT EXPENSES incurred prior to the EFFECTIVE DATE, such reimbursement by LICENSEE shall be due and payable when this agreement is fully executed. For all future PATENT EXPENSES incurred after the EFFECTIVE DATE, reimbursements by LICENSEE shall be due within thirty (30) days of receipt of UNIVERSITY’s invoice by LICENSEE, and shall be non-refundable and non-creditable. Late payment of invoices of PATENT EXPENSES received by LICENSEE from UNIVERSITY shall be subject to interest charges of [XXX].</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Entity Status</w:t>
      </w:r>
      <w:r>
        <w:rPr>
          <w:rFonts w:ascii="Arial" w:cs="Arial" w:eastAsia="Arial" w:hAnsi="Arial"/>
          <w:sz w:val="17"/>
          <w:szCs w:val="17"/>
          <w:color w:val="auto"/>
        </w:rPr>
        <w:t>. LICENSEE shall have a continuing obligation to keep UNIVERSITY and its patent counsel responsible for the PATENT RIGHTS informed of the entity status (large entity, small entity, and micro entity) of LICENSEE and all its SUBLICENSEES. LICENSEE agrees to give UNIVERSITY prompt notice of a change in any entity status of it or any SUBLICENSEE. A statement or future statement by LICENSEE and/or its SUBLICENSEE as to its entity status constitutes a representation that is subject to indemnity under Section 6.01.</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Termination of Patent Rights.</w:t>
      </w:r>
      <w:r>
        <w:rPr>
          <w:rFonts w:ascii="Arial" w:cs="Arial" w:eastAsia="Arial" w:hAnsi="Arial"/>
          <w:sz w:val="16"/>
          <w:szCs w:val="16"/>
          <w:color w:val="auto"/>
        </w:rPr>
        <w:t xml:space="preserve"> By written notification to UNIVERSITY at least sixty (60) days in advance of any filing or response deadline or fee due date (i.e., a date by which an action must be taken to avoid payment of a late fee), LICENSEE may elect not to have a particular patent application filed in a particular country or not to pay expenses associated with prosecuting or maintaining any particular patent application or issued patent, provided that LICENSEE pays for all PATENT EXPENSES associated with the particular patent application or issued patent incurred up to UNIVERSITY’s receipt of such notification. LICENSEE’s failure to provide a timely notification shall be considered by UNIVERSITY to be LICENSEE’s consent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76"/>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07" w:name="page608"/>
    <w:bookmarkEnd w:id="6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that it expressly wishes to support any particular issued patent(s) or patent application(s). Upon notice that LICENSEE elects not to have a particular patent application filed or prosecuted or issued patent maintained in any particular country, or not to reimburse UNIVERSITY for all PATENT EXPENSES associated with prosecuting or maintaining any patent application or patent, UNIVERSITY may at its sole discretion elect to file, prosecute, and/or maintain such particular patent applications or issued patents at its own expense and for its own benefit, and any rights or license granted under this AGREEMENT held by LICENSEE or SUBLICENSEE(s) with respect to such patent application(s) or issued patent(s) shall be irrevocably terminated, forfeited, and relinquished. For the avoidance of doubt, LICENSEE and each SUBLICENSEE shall have no right to share in any revenue derived from such particular patent application or issued patents.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INFRINGEMENT OF PATENT RIGHTS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Notifications.</w:t>
      </w:r>
      <w:r>
        <w:rPr>
          <w:rFonts w:ascii="Arial" w:cs="Arial" w:eastAsia="Arial" w:hAnsi="Arial"/>
          <w:sz w:val="18"/>
          <w:szCs w:val="18"/>
          <w:color w:val="auto"/>
        </w:rPr>
        <w:t xml:space="preserve"> LICENSEE shall promptly inform UNIVERSITY in writing of any alleged infringement of the PATENT RIGHTS by a third party and shall provide UNIVERSITY with any available evidence thereof. LICENSEE shall not notify a third party of such infringement of PATENT RIGHTS without first consulting with UNIVERSITY.</w:t>
      </w:r>
    </w:p>
    <w:p>
      <w:pPr>
        <w:spacing w:after="0" w:line="18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Enforcement.</w:t>
      </w:r>
      <w:r>
        <w:rPr>
          <w:rFonts w:ascii="Arial" w:cs="Arial" w:eastAsia="Arial" w:hAnsi="Arial"/>
          <w:sz w:val="17"/>
          <w:szCs w:val="17"/>
          <w:color w:val="auto"/>
        </w:rPr>
        <w:t xml:space="preserve"> For so long as the license granted herein is exclusive, LICENSEE, at its expense, shall have the right to enforce PATENT RIGHTS against infringement by third parties. All recovery from any enforcement of the PATENT RIGHTS, including any cash or other consideration received by way of judgment, settlement or compromise (hereinafter “RECOVERY”) shall be allocated in the following order: (a) to LICENSEE and UNIVERSITY for reimbursement in pro rata proportions of their costs, fees, and other related expenses to the extent that each PARTY paid for such costs, fees and expenses; and (b) any remaining amount shall be shared between UNIVERSITY and LICENSEE in the same proportion as if such remaining RECOVERY constituted SUBLICENSE REVENUE based on the time of infringement, and if that cannot be reasonably determined to the mutual satisfaction of the PARTIES, [XXX] to UNIVERSITY and [XXX] to LICENSEE. Before LICENSEE commences a formal legal proceeding with respect to any infringement of PATENT RIGHTS, LICENSEE shall first consult with UNIVERSITY regarding the potential effects such legal proceeding may have on the public interest. UNIVERSITY shall have the right, in its sole discretion, to join such proceeding at its own expense. In the event that UNIVERSITY is involuntarily joined as a party to an infringement action brought by LICENSEE (including any counterclaim), then LICENSEE shall pay any costs, expenses, and attorneys’ fees incurred by UNIVERSITY arising out of, relating to, or in connection therewith. In addition, LICENSEE agrees to consult with UNIVERSITY on any significant matters related to the litigation. LICENSEE shall be free to enter into a settlement, consent judgment, or other voluntary disposition with respect to any such action, provided that any settlement, consent judgment or other voluntary disposition thereof which (i) materially limits the scope, validity, or enforceability of patents included in the PATENT RIGHTS or (ii) admits fault or wrongdoing on the part of UNIVERSITY must be pre-approved in writing by UNIVERSITY. LICENSEE shall keep UNIVERSITY informed on all actions taken by LICENSEE in its enforcement against an infringer and shall furnish to UNIVERSITY copies of all documents related thereto. LICENSEE shall indemnify, defend, and hold harmless UNIVERSITY against any order for costs or fees that may be made against UNIVERSITY in such proceeding arising from, related to, or in connection with an act or omission made by LICENSEE.</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7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608" w:name="page609"/>
    <w:bookmarkEnd w:id="6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Rights of University.</w:t>
      </w:r>
      <w:r>
        <w:rPr>
          <w:rFonts w:ascii="Arial" w:cs="Arial" w:eastAsia="Arial" w:hAnsi="Arial"/>
          <w:sz w:val="18"/>
          <w:szCs w:val="18"/>
          <w:color w:val="auto"/>
        </w:rPr>
        <w:t xml:space="preserve"> In the event that LICENSEE elects not to exercise its right to bring an infringement action with respect to PATENT RIGHTS pursuant to the above paragraphs, then LICENSEE shall notify UNIVERSITY in writing within six (6) months of receiving notice that an infringement exists. UNIVERSITY may, at its own expense and control, following the earlier of (i) such notice from LICENSEE or (ii) the expiration of such six (6) month period without LICENSEE electing to take any action with respect to such alleged or actual infringement, take steps to defend or enforce any patent within the PATENT RIGHTS and retain all RECOVERY therefrom without a duty to account to LICENSEE. LICENSEE agrees to cooperate reasonably with UNIVERSITY in any such infringement suit or dispute.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CONFIDENTIALITY</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Confidential Information Defined</w:t>
      </w:r>
      <w:r>
        <w:rPr>
          <w:rFonts w:ascii="Arial" w:cs="Arial" w:eastAsia="Arial" w:hAnsi="Arial"/>
          <w:sz w:val="17"/>
          <w:szCs w:val="17"/>
          <w:color w:val="auto"/>
        </w:rPr>
        <w:t>. “CONFIDENTIAL INFORMATION” means any and all information not generally known to the public, whether or not patentable or susceptible to any other form of legal protection, that is identified or designated by UNIVERSITY as being confidential or which, in light of the circumstances under which it was disclosed, whether oral or written, is reasonably apparent to LICENSEE to be considered confidential or proprietary by UNIVERSITY, including but not limited to invention disclosures, non-public patent prosecution information, including but not limited to concepts, designs, processes, specifications, schematics, equipment, processing, techniques, technical information, drawings, diagrams, software (including source code), hardware, control systems, research, test results, manuals, trade secrets, commercialization studies, market studies, business plans received by LICENSEE from UNIVERSITY except to the extent LICENSEE can prove by written documentation that such information:</w:t>
      </w:r>
    </w:p>
    <w:p>
      <w:pPr>
        <w:spacing w:after="0" w:line="83" w:lineRule="exact"/>
        <w:rPr>
          <w:sz w:val="20"/>
          <w:szCs w:val="20"/>
          <w:color w:val="auto"/>
        </w:rPr>
      </w:pPr>
    </w:p>
    <w:p>
      <w:pPr>
        <w:ind w:left="1480" w:hanging="567"/>
        <w:spacing w:after="0"/>
        <w:tabs>
          <w:tab w:leader="none" w:pos="148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was in the public domain at the time of disclosure;</w:t>
      </w:r>
    </w:p>
    <w:p>
      <w:pPr>
        <w:spacing w:after="0" w:line="130" w:lineRule="exact"/>
        <w:rPr>
          <w:rFonts w:ascii="Arial" w:cs="Arial" w:eastAsia="Arial" w:hAnsi="Arial"/>
          <w:sz w:val="18"/>
          <w:szCs w:val="18"/>
          <w:color w:val="auto"/>
        </w:rPr>
      </w:pPr>
    </w:p>
    <w:p>
      <w:pPr>
        <w:ind w:left="1480" w:right="20" w:hanging="567"/>
        <w:spacing w:after="0" w:line="277" w:lineRule="auto"/>
        <w:tabs>
          <w:tab w:leader="none" w:pos="148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later became part of the public domain through no act or omission or breach of this AGREEMENT by LICENSEE, its employees, agents, successors or assigns;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was lawfully disclosed to LICENSEE by a third party having the right to make such disclosure;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was already known by LICENSEE at the time of disclosure; or</w:t>
      </w:r>
    </w:p>
    <w:p>
      <w:pPr>
        <w:spacing w:after="0" w:line="130" w:lineRule="exact"/>
        <w:rPr>
          <w:rFonts w:ascii="Arial" w:cs="Arial" w:eastAsia="Arial" w:hAnsi="Arial"/>
          <w:sz w:val="18"/>
          <w:szCs w:val="18"/>
          <w:color w:val="auto"/>
        </w:rPr>
      </w:pPr>
    </w:p>
    <w:p>
      <w:pPr>
        <w:ind w:left="1480" w:right="300" w:hanging="567"/>
        <w:spacing w:after="0" w:line="277" w:lineRule="auto"/>
        <w:tabs>
          <w:tab w:leader="none" w:pos="148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was independently developed by LICENSEE without the aid, use or application of CONFIDENTIAL INFORMATION received from UNIVERSITY and such independent development can be properly demonstrated by LICENSEE.</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Specific information shall not be deemed to be within the foregoing exceptions merely because it is embraced by more general information within the exceptions. In addition, any combination of the features shall not be deemed to be within the foregoing exception merely because individual features may be within the exceptions.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Restrictions on Disclosure and Use.</w:t>
      </w:r>
      <w:r>
        <w:rPr>
          <w:rFonts w:ascii="Arial" w:cs="Arial" w:eastAsia="Arial" w:hAnsi="Arial"/>
          <w:sz w:val="18"/>
          <w:szCs w:val="18"/>
          <w:color w:val="auto"/>
        </w:rPr>
        <w:t xml:space="preserve"> LICENSEE agrees that (a) all CONFIDENTIAL INFORMATION shall remain the exclusive property of UNIVERSITY, (b) LICENSEE shall receive and hold the CONFIDENTIAL INFORMATION in strict confidence, (c) LICENSEE shall use the CONFIDENTIAL INFORMATION only for the purposes of this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7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609" w:name="page610"/>
    <w:bookmarkEnd w:id="6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AGREEMENT, and (d) LICENSEE shall not disclose the CONFIDENTIAL INFORMATION to third parties without the prior written consent of UNIVERSITY, and (e) LICENSEE shall protect the CONFIDENTIAL INFORMATION to the same extent that it protects its own trade secrets and confidential information, but in no less than commercially reasonable care.</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Legally required Disclosures.</w:t>
      </w:r>
      <w:r>
        <w:rPr>
          <w:rFonts w:ascii="Arial" w:cs="Arial" w:eastAsia="Arial" w:hAnsi="Arial"/>
          <w:sz w:val="16"/>
          <w:szCs w:val="16"/>
          <w:color w:val="auto"/>
        </w:rPr>
        <w:t xml:space="preserve"> In the event that LICENSEE receives a request or is required by deposition, open records request, interrogatory, request for documents, subpoena, civil investigative demand, open records request, or similar process to disclose any or part or the CONFIDENTIAL INFORMATION, LICENSEE agrees to (a) immediately notify UNIVERSITY in writing of the existence, terms, and circumstances surrounding such a request or requirement and (b) assist UNIVERSITY in seeking a protective order or other appropriate remedy satisfactory to UNIVERSITY. In the event that such a protective order or other remedy is not obtained, (a) LICENSEE may disclose that portion of the CONFIDENTIAL INFORMATION which it is legally required to disclose, (b) LICENSEE and shall exercise reasonable efforts to obtain assurance that confidential treatment will be accorded the CONFIDENTIAL INFORMATION to be disclosed and (c) LICENSEE shall give written notice to UNIVERSITY of the information to be disclosed as far in advance of its disclosure as practical. LICENSEE may also disclose CONFIDENTIAL INFORMATION to governmental or other regulatory agencies in order to obtain approvals to market any LICENSED PRODUCT, but such disclosure may only be to the extent reasonable necessary to obtain approvals.</w:t>
      </w:r>
    </w:p>
    <w:p>
      <w:pPr>
        <w:spacing w:after="0" w:line="167" w:lineRule="exact"/>
        <w:rPr>
          <w:sz w:val="20"/>
          <w:szCs w:val="20"/>
          <w:color w:val="auto"/>
        </w:rPr>
      </w:pPr>
    </w:p>
    <w:p>
      <w:pPr>
        <w:ind w:right="900"/>
        <w:spacing w:after="0" w:line="286"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Disclosure to Potential Sublicensee or Assignee</w:t>
      </w:r>
      <w:r>
        <w:rPr>
          <w:rFonts w:ascii="Arial" w:cs="Arial" w:eastAsia="Arial" w:hAnsi="Arial"/>
          <w:sz w:val="17"/>
          <w:szCs w:val="17"/>
          <w:color w:val="auto"/>
        </w:rPr>
        <w:t>. Upon receiving written approval from UNIVERSITY, LICENSEE may disclose the CONFIDENTIAL INFORMATION to a potential SUBLICENSEE or assignee of LICENSEE in each case on the condition that such potential SUBLICENSEE or assignee agrees to be bound by the confidentiality obligations contained in this AGREEMENT.</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LICENSEE’s obligations of confidentiality and non-use shall exist during the term of this AGREEMENT and for so long as such CONFIDENTIAL INFORMATION remains confidential in accordance with Section 9.01.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TERM AND TERMINATION</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become effective upon the EFFECTIVE DATE and, unless sooner terminated in accordance with any of the provisions herein, shall remain in full force in the LICENSED TERRITORY until the expiration of the last to expire patent or last to be abandoned patent application included in the PATENT RIGHTS.</w:t>
      </w:r>
    </w:p>
    <w:p>
      <w:pPr>
        <w:spacing w:after="0" w:line="73"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Right to Terminate by Licensee.</w:t>
      </w:r>
      <w:r>
        <w:rPr>
          <w:rFonts w:ascii="Arial" w:cs="Arial" w:eastAsia="Arial" w:hAnsi="Arial"/>
          <w:sz w:val="18"/>
          <w:szCs w:val="18"/>
          <w:color w:val="auto"/>
        </w:rPr>
        <w:t xml:space="preserve"> LICENSEE shall have the right to terminate this AGREEMENT at any time on [XXX] notice to UNIVERSITY if LICENSEE, prior to such termination, pays a termination fee of [XXX] dollars.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Breach.</w:t>
      </w:r>
      <w:r>
        <w:rPr>
          <w:rFonts w:ascii="Arial" w:cs="Arial" w:eastAsia="Arial" w:hAnsi="Arial"/>
          <w:sz w:val="17"/>
          <w:szCs w:val="17"/>
          <w:color w:val="auto"/>
        </w:rPr>
        <w:t xml:space="preserve"> In the event that either PARTY defaults or breaches any of the provisions of this AGREEMENT, the other PARTY shall have the right to terminate this AGREEMENT by giving written notice to the defaulting PARTY; provided, however, that if the defaulting PARTY cures the default within thirty (30) days after the notice shall have been given, this AGREEMENT shall continue in full force and effect. The failure on the part of either of the PARTIES hereto to exercise or enforce any right conferred upon it hereunder shall not be deemed to be a waiver of</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80"/>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1" w:right="239" w:bottom="1440" w:gutter="0" w:footer="0" w:header="0"/>
        </w:sectPr>
      </w:pPr>
    </w:p>
    <w:bookmarkStart w:id="610" w:name="page611"/>
    <w:bookmarkEnd w:id="6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such right nor operate to bar the exercise or enforcement thereof at any time or times thereafter. In relation to Article III (payments) and Section 7.02 (patent expenses), LICENSEE’S opportunity to cure a breach shall apply only to LICENSEE’S first two notices of a breach properly given by UNIVERSITY. Upon occurrence of a third breach, UNIVERSITY may, at its option, terminate this AGREEMENT upon thirty (30) days written notice without an opportunity to cure.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Rights after Termination</w:t>
      </w:r>
      <w:r>
        <w:rPr>
          <w:rFonts w:ascii="Arial" w:cs="Arial" w:eastAsia="Arial" w:hAnsi="Arial"/>
          <w:sz w:val="18"/>
          <w:szCs w:val="18"/>
          <w:color w:val="auto"/>
        </w:rPr>
        <w:t>. Upon termination for any reason, LICENSEE shall:</w:t>
      </w:r>
    </w:p>
    <w:p>
      <w:pPr>
        <w:spacing w:after="0" w:line="131" w:lineRule="exact"/>
        <w:rPr>
          <w:sz w:val="20"/>
          <w:szCs w:val="20"/>
          <w:color w:val="auto"/>
        </w:rPr>
      </w:pPr>
    </w:p>
    <w:p>
      <w:pPr>
        <w:ind w:left="900" w:right="340" w:hanging="446"/>
        <w:spacing w:after="0" w:line="308" w:lineRule="auto"/>
        <w:tabs>
          <w:tab w:leader="none" w:pos="900" w:val="left"/>
        </w:tabs>
        <w:numPr>
          <w:ilvl w:val="0"/>
          <w:numId w:val="581"/>
        </w:numPr>
        <w:rPr>
          <w:rFonts w:ascii="Arial" w:cs="Arial" w:eastAsia="Arial" w:hAnsi="Arial"/>
          <w:sz w:val="17"/>
          <w:szCs w:val="17"/>
          <w:color w:val="auto"/>
        </w:rPr>
      </w:pPr>
      <w:r>
        <w:rPr>
          <w:rFonts w:ascii="Arial" w:cs="Arial" w:eastAsia="Arial" w:hAnsi="Arial"/>
          <w:sz w:val="17"/>
          <w:szCs w:val="17"/>
          <w:color w:val="auto"/>
        </w:rPr>
        <w:t>promptly pay all amounts due UNIVERSITY through the effective date of the termination (even if they would otherwise be payable at a later date, e.g. within 30 days after invoicing), including those in Article III (payments) and Section 7.02 (patent expenses);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submit all final reports under Article IV;</w:t>
      </w:r>
    </w:p>
    <w:p>
      <w:pPr>
        <w:spacing w:after="0" w:line="130" w:lineRule="exact"/>
        <w:rPr>
          <w:rFonts w:ascii="Arial" w:cs="Arial" w:eastAsia="Arial" w:hAnsi="Arial"/>
          <w:sz w:val="18"/>
          <w:szCs w:val="18"/>
          <w:color w:val="auto"/>
        </w:rPr>
      </w:pPr>
    </w:p>
    <w:p>
      <w:pPr>
        <w:ind w:left="900" w:right="380" w:hanging="446"/>
        <w:spacing w:after="0" w:line="264" w:lineRule="auto"/>
        <w:tabs>
          <w:tab w:leader="none" w:pos="90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return any CONFIDENTIAL INFORMATION provided to LICENSEE by UNIVERSITY in connection with this AGREEMENT, or, with UNIVERSITY’S prior approval, destroy such materials, and LICENSEE shall certify in writing that such materials have all been returned or destroyed;</w:t>
      </w:r>
    </w:p>
    <w:p>
      <w:pPr>
        <w:spacing w:after="0" w:line="86"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provide UNIVERSITY a copy of any regulatory data or information filed with any U.S. or foreign government agency with respect to the LICENSE PRODUCT; and</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shall refrain, and shall require its SUBLICENSEES to refrain unless such sublicense is assigned to UNIVERSITY under Section 10.05, from any further SALES or other commercial exploitation of the LICENSED PRODUCT except as provided in Section 10.08.</w:t>
      </w:r>
    </w:p>
    <w:p>
      <w:pPr>
        <w:spacing w:after="0" w:line="170"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Nothing in this section shall be construed as limiting in any way UNIVERSITY’S rights or remedies that UNIVERSITY may otherwise have, either in law or in equity.</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Assignment of Sublicenses.</w:t>
      </w:r>
      <w:r>
        <w:rPr>
          <w:rFonts w:ascii="Arial" w:cs="Arial" w:eastAsia="Arial" w:hAnsi="Arial"/>
          <w:sz w:val="18"/>
          <w:szCs w:val="18"/>
          <w:color w:val="auto"/>
        </w:rPr>
        <w:t xml:space="preserve"> Upon termination of this AGREEMENT, LICENSEE’s interest in sublicenses granted by it under this AGREEMENT shall at UNIVERSITY’s sole option, terminate or be assigned to UNIVERSITY, including the right to receive income from SUBLICENSEES. LICENSEE shall make provision for UNIVERSITY’s rights under the preceding sentence to be included in all sublicenses granted by it under this AGREEMENT.</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Insolvency.</w:t>
      </w:r>
      <w:r>
        <w:rPr>
          <w:rFonts w:ascii="Arial" w:cs="Arial" w:eastAsia="Arial" w:hAnsi="Arial"/>
          <w:sz w:val="18"/>
          <w:szCs w:val="18"/>
          <w:color w:val="auto"/>
        </w:rPr>
        <w:t xml:space="preserve"> In the event that LICENSEE (or SUBLICENSEE as applicable) dissolves, liquidates, ceases to carry on business, becomes insolvent, is unable to pay its debts as they become due, makes an assignment for the benefit of creditors, or has a petition for bankruptcy filed for or against it, this AGREEMENT (or applicable SUBLICENSE) shall automatically terminate.</w:t>
      </w:r>
    </w:p>
    <w:p>
      <w:pPr>
        <w:spacing w:after="0" w:line="1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Termination of this AGREEMENT for any reason shall not release either PARTY from any obligation theretofore accrued. All provisions of this AGREEMENT that would reasonably be expected to survive the termination or expiration of this AGREEMENT shall do so, including Article III (all—payments), Article VI (all—indemnity, insurance, warranties, damages), Article IX (all—confidentiality), Section 2.03 (reserved rights), Section 2.04 (license to</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82"/>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11" w:name="page612"/>
    <w:bookmarkEnd w:id="6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University); Section 2.07 (governmental rights), Section 3.07 (challenge to patent rights), Section 4.03 (reporting), Section 4.05 (records), Section 10.04 (rights after termination), Section 10.05 (assignment of sublicenses), Section 10.08 (inventory), Section 10.09 (ongoing payments), and Article XI (general— all) survive the termination of this AGREEMENT.</w:t>
      </w:r>
    </w:p>
    <w:p>
      <w:pPr>
        <w:spacing w:after="0" w:line="18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Inventory.</w:t>
      </w:r>
      <w:r>
        <w:rPr>
          <w:rFonts w:ascii="Arial" w:cs="Arial" w:eastAsia="Arial" w:hAnsi="Arial"/>
          <w:sz w:val="17"/>
          <w:szCs w:val="17"/>
          <w:color w:val="auto"/>
        </w:rPr>
        <w:t xml:space="preserve"> Upon termination of this AGREEMENT or upon termination in whole or in part through no fault of LICENSEE, LICENSEE shall provide UNIVERSITY with a written inventory of all LICENSED PRODUCTS in the possession or under the control of LICENSEE (including any in the process of manufacture). Except with respect to termination for uncured breach by LICENSEE, LICENSEE shall have the privilege of SELLING the inventory of such LICENSED PRODUCTS within a period of one hundred and eighty (180) days of such termination upon conditions most favorable to UNIVERSITY that LICENSEE can reasonably obtain and paying any applicable royalties associated with such SALES to UNIVERSITY.</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Ongoing Payments.</w:t>
      </w:r>
      <w:r>
        <w:rPr>
          <w:rFonts w:ascii="Arial" w:cs="Arial" w:eastAsia="Arial" w:hAnsi="Arial"/>
          <w:sz w:val="18"/>
          <w:szCs w:val="18"/>
          <w:color w:val="auto"/>
        </w:rPr>
        <w:t xml:space="preserve"> Any termination or cancellation under any provision of this AGREEMEMT shall not relieve LICENSEE of its obligation to pay any royalty or other fees due to UNIVERSITY at the time of such termination or cancellation.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 GENERAL</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Marking.</w:t>
      </w:r>
      <w:r>
        <w:rPr>
          <w:rFonts w:ascii="Arial" w:cs="Arial" w:eastAsia="Arial" w:hAnsi="Arial"/>
          <w:sz w:val="16"/>
          <w:szCs w:val="16"/>
          <w:color w:val="auto"/>
        </w:rPr>
        <w:t xml:space="preserve"> Prior to the issuance of patents under PATENT RIGHTS, LICENSEE agrees to mark LICENSED PRODUCTS (or their containers or labels) SOLD by LICENSEE or SUBLICENSEES under the license granted in this AGREEMENT with the words “Patent Pending” and following the</w:t>
      </w:r>
    </w:p>
    <w:p>
      <w:pPr>
        <w:ind w:right="380"/>
        <w:spacing w:after="0" w:line="261" w:lineRule="auto"/>
        <w:rPr>
          <w:sz w:val="20"/>
          <w:szCs w:val="20"/>
          <w:color w:val="auto"/>
        </w:rPr>
      </w:pPr>
      <w:r>
        <w:rPr>
          <w:rFonts w:ascii="Arial" w:cs="Arial" w:eastAsia="Arial" w:hAnsi="Arial"/>
          <w:sz w:val="18"/>
          <w:szCs w:val="18"/>
          <w:color w:val="auto"/>
        </w:rPr>
        <w:t>issuance of one or more patents under PATENT RIGHTS, with the words “Patent No. ”or in such a manner as to conform with the patent laws and practice of the country of manufacture, SALE, or importation.</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Compliance with Laws: Export Controls.</w:t>
      </w:r>
      <w:r>
        <w:rPr>
          <w:rFonts w:ascii="Arial" w:cs="Arial" w:eastAsia="Arial" w:hAnsi="Arial"/>
          <w:sz w:val="16"/>
          <w:szCs w:val="16"/>
          <w:color w:val="auto"/>
        </w:rPr>
        <w:t xml:space="preserve"> LICENSEE agrees to comply with all applicable federal, state, and local laws and regulations. In particular, LICENSEE shall comply with all applicable U.S. laws dealing with the export and/or management of commodities, technology or information, and that LICENSEE will be responsible for any violation of such by LICENSEE or its SUBLICENSEES, and that it will defend and hold UNIVERSITY harmless in the event of any legal action of any nature occasioned by such violation. LICENSEE understands that the Arms Export Control Act (AECA), including its implementing International Traffic In Arms Regulations (ITAR,) and the Export Administration Act (EAA), including its Export Administration Regulations (EAR), are some (but not all) of the laws and regulations that comprise the U.S. export laws and regulations. LICENSEE further understands that the U.S. export laws and regulations include (but are not limited to): (1) ITAR and EAR product/service/data-specific requirements; (2) ITAR and EAR ultimate destination-specific requirements; (3) ITAR and EAR end user-specific requirements; (4) ITAR and EAR end use-specific requirements; (5) Foreign Corrupt Practices Act; and (6) anti-boycott laws and regulations. LICENSEE will comply with all then-current applicable export laws and regulations of the U.S. Government (and other applicable U.S. laws and regulations) pertaining to the LICENSED PRODUCTS (including any associated products, items, articles, computer software, media, services, technical data, and other information). LICENSEE warrants that it will not, directly or indirectly, export (including any deemed export), nor re-export (including any deemed re-export) the LICENSED PRODUCT (including any associated products, items, articles, computer software, media, services, technical data, and other information) in violation of U.S. export laws and regulations or other applicable</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83"/>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12" w:name="page613"/>
    <w:bookmarkEnd w:id="6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U.S. laws and regulations. LICENSEE will include an appropriate provision in its agreements with its authorized SUBLICENSEES to assure that these parties comply with all then-current applicable U.S. export laws and regulations and other applicable U.S. laws and regulations. LICENSEE’S OBLIGATIONS TO COMPLY WITH U.S. EXPORT CONTROL LAWS AND REGULATIONS ARE INDEPENDENT OF AND SURVIVE THE TERMINATION OF THIS AGREEMENT.</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University Name.</w:t>
      </w:r>
      <w:r>
        <w:rPr>
          <w:rFonts w:ascii="Arial" w:cs="Arial" w:eastAsia="Arial" w:hAnsi="Arial"/>
          <w:sz w:val="18"/>
          <w:szCs w:val="18"/>
          <w:color w:val="auto"/>
        </w:rPr>
        <w:t xml:space="preserve"> LICENSEE agrees not to identify UNIVERSITY in any promotional advertising or other promotional materials to be disseminated to the public or any portion thereof or to use the name of any UNIVERSITY faculty member, employee, or student or any trademark, service mark, trade name, or symbol of UNIVERSITY, without UNIVERSITY’S prior written consent.</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Press.</w:t>
      </w:r>
      <w:r>
        <w:rPr>
          <w:rFonts w:ascii="Arial" w:cs="Arial" w:eastAsia="Arial" w:hAnsi="Arial"/>
          <w:sz w:val="18"/>
          <w:szCs w:val="18"/>
          <w:color w:val="auto"/>
        </w:rPr>
        <w:t xml:space="preserve"> Notwithstanding Section 11.03, UNIVERSITY may disclose the existence of this AGREEMENT and non-confidential information regarding the status of LICENSEE’s commercialization of LICENSED PRODUCTS in a press release, on-line, or otherwise, and on the UNIVERSITY’S website.</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This AGREEMENT is binding upon and shall inure to the benefit of UNIVERSITY, its successors and assigns. However, this AGREEMENT shall be personal to LICENSEE, and it is not assignable by LICENSEE to any other person or entity without the prior written consent of UNIVERSITY, such consent to be in UNIVERSITY’s sole discretion, except in connection with a sale of LICENSEE or the business of LICENSEE to which this Agreement relates to a third party, whether by merger, consolidation, sale of all or substantially all of LICENSEE’s assets or capital stock, which consent will not be unreasonably withheld. Any purported sale, transfer or assignment without UNIVERSITY’s prior written consent shall be void ab initio, and this AGREEMENT shall immediately terminate. For purposes of this Section, “transfer” shall include any transfer by operation of law or otherwise.</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Sponsored Research.</w:t>
      </w:r>
      <w:r>
        <w:rPr>
          <w:rFonts w:ascii="Arial" w:cs="Arial" w:eastAsia="Arial" w:hAnsi="Arial"/>
          <w:sz w:val="18"/>
          <w:szCs w:val="18"/>
          <w:color w:val="auto"/>
        </w:rPr>
        <w:t xml:space="preserve"> If LICENSEE desires UNIVERSITY participation in performing research and development activities directed towards PATENT RIGHTS, negotiation for such assistance shall be separate and apart from this AGREEMENT, and shall be performed according to UNIVERSITY’S procedures related to research grant and contract activities.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Consulting.</w:t>
      </w:r>
      <w:r>
        <w:rPr>
          <w:rFonts w:ascii="Arial" w:cs="Arial" w:eastAsia="Arial" w:hAnsi="Arial"/>
          <w:sz w:val="18"/>
          <w:szCs w:val="18"/>
          <w:color w:val="auto"/>
        </w:rPr>
        <w:t xml:space="preserve"> In the event LICENSEE wishes to engage the inventors as consultants, such an arrangement shall be separate and apart from this AGREEMENT, but shall be in keeping with UNIVERSITY’S policy on consulting and ownership of intellectual property developed by UNIVERSITY employees.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8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1" w:right="239" w:bottom="1440" w:gutter="0" w:footer="0" w:header="0"/>
        </w:sectPr>
      </w:pPr>
    </w:p>
    <w:bookmarkStart w:id="613" w:name="page614"/>
    <w:bookmarkEnd w:id="6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payment, notice, or other communication given under this AGREEMENT except for correspondence relating to patent preparation, filing, prosecution and/or maintenance matters under Article VII herein) shall be in writing and shall be deemed delivered when sent by certified first class mail, registered mail, or overnight courier, or by facsimile, provided that a copy of such facsimile is promptly sent by certified first class mail, registered or overnight courier, addressed to the PARTIES as follows (or at such other addresses as the PARTIES may notify each other in writing):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If to UNIVERSITY:</w:t>
            </w:r>
          </w:p>
        </w:tc>
        <w:tc>
          <w:tcPr>
            <w:tcW w:w="5020" w:type="dxa"/>
            <w:vAlign w:val="bottom"/>
          </w:tcPr>
          <w:p>
            <w:pPr>
              <w:ind w:left="940"/>
              <w:spacing w:after="0"/>
              <w:rPr>
                <w:sz w:val="20"/>
                <w:szCs w:val="20"/>
                <w:color w:val="auto"/>
              </w:rPr>
            </w:pPr>
            <w:r>
              <w:rPr>
                <w:rFonts w:ascii="Arial" w:cs="Arial" w:eastAsia="Arial" w:hAnsi="Arial"/>
                <w:sz w:val="18"/>
                <w:szCs w:val="18"/>
                <w:color w:val="auto"/>
                <w:w w:val="92"/>
              </w:rPr>
              <w:t>Office of Technology Management &amp; Industry Relations</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5020" w:type="dxa"/>
            <w:vAlign w:val="bottom"/>
          </w:tcPr>
          <w:p>
            <w:pPr>
              <w:ind w:left="940"/>
              <w:spacing w:after="0"/>
              <w:rPr>
                <w:sz w:val="20"/>
                <w:szCs w:val="20"/>
                <w:color w:val="auto"/>
              </w:rPr>
            </w:pPr>
            <w:r>
              <w:rPr>
                <w:rFonts w:ascii="Arial" w:cs="Arial" w:eastAsia="Arial" w:hAnsi="Arial"/>
                <w:sz w:val="18"/>
                <w:szCs w:val="18"/>
                <w:color w:val="auto"/>
              </w:rPr>
              <w:t>University of Missouri, Missouri Innovation Center</w:t>
            </w:r>
          </w:p>
        </w:tc>
        <w:tc>
          <w:tcPr>
            <w:tcW w:w="0" w:type="dxa"/>
            <w:vAlign w:val="bottom"/>
          </w:tcPr>
          <w:p>
            <w:pPr>
              <w:spacing w:after="0"/>
              <w:rPr>
                <w:sz w:val="1"/>
                <w:szCs w:val="1"/>
                <w:color w:val="auto"/>
              </w:rPr>
            </w:pPr>
          </w:p>
        </w:tc>
      </w:tr>
      <w:tr>
        <w:trPr>
          <w:trHeight w:val="351"/>
        </w:trPr>
        <w:tc>
          <w:tcPr>
            <w:tcW w:w="2400" w:type="dxa"/>
            <w:vAlign w:val="bottom"/>
          </w:tcPr>
          <w:p>
            <w:pPr>
              <w:spacing w:after="0"/>
              <w:rPr>
                <w:sz w:val="20"/>
                <w:szCs w:val="20"/>
                <w:color w:val="auto"/>
              </w:rPr>
            </w:pPr>
            <w:r>
              <w:rPr>
                <w:rFonts w:ascii="Arial" w:cs="Arial" w:eastAsia="Arial" w:hAnsi="Arial"/>
                <w:sz w:val="18"/>
                <w:szCs w:val="18"/>
                <w:color w:val="auto"/>
              </w:rPr>
              <w:t>If to LICENSEE:</w:t>
            </w:r>
          </w:p>
        </w:tc>
        <w:tc>
          <w:tcPr>
            <w:tcW w:w="5020" w:type="dxa"/>
            <w:vAlign w:val="bottom"/>
            <w:vMerge w:val="restart"/>
          </w:tcPr>
          <w:p>
            <w:pPr>
              <w:ind w:left="940"/>
              <w:spacing w:after="0"/>
              <w:rPr>
                <w:sz w:val="20"/>
                <w:szCs w:val="20"/>
                <w:color w:val="auto"/>
              </w:rPr>
            </w:pPr>
            <w:r>
              <w:rPr>
                <w:rFonts w:ascii="Arial" w:cs="Arial" w:eastAsia="Arial" w:hAnsi="Arial"/>
                <w:sz w:val="18"/>
                <w:szCs w:val="18"/>
                <w:color w:val="auto"/>
              </w:rPr>
              <w:t>Solid GT</w:t>
            </w:r>
          </w:p>
        </w:tc>
        <w:tc>
          <w:tcPr>
            <w:tcW w:w="0" w:type="dxa"/>
            <w:vAlign w:val="bottom"/>
          </w:tcPr>
          <w:p>
            <w:pPr>
              <w:spacing w:after="0"/>
              <w:rPr>
                <w:sz w:val="1"/>
                <w:szCs w:val="1"/>
                <w:color w:val="auto"/>
              </w:rPr>
            </w:pPr>
          </w:p>
        </w:tc>
      </w:tr>
      <w:tr>
        <w:trPr>
          <w:trHeight w:val="107"/>
        </w:trPr>
        <w:tc>
          <w:tcPr>
            <w:tcW w:w="2400" w:type="dxa"/>
            <w:vAlign w:val="bottom"/>
          </w:tcPr>
          <w:p>
            <w:pPr>
              <w:spacing w:after="0"/>
              <w:rPr>
                <w:sz w:val="9"/>
                <w:szCs w:val="9"/>
                <w:color w:val="auto"/>
              </w:rPr>
            </w:pPr>
          </w:p>
        </w:tc>
        <w:tc>
          <w:tcPr>
            <w:tcW w:w="5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5020" w:type="dxa"/>
            <w:vAlign w:val="bottom"/>
          </w:tcPr>
          <w:p>
            <w:pPr>
              <w:ind w:left="940"/>
              <w:spacing w:after="0"/>
              <w:rPr>
                <w:sz w:val="20"/>
                <w:szCs w:val="20"/>
                <w:color w:val="auto"/>
              </w:rPr>
            </w:pPr>
            <w:r>
              <w:rPr>
                <w:rFonts w:ascii="Arial" w:cs="Arial" w:eastAsia="Arial" w:hAnsi="Arial"/>
                <w:sz w:val="18"/>
                <w:szCs w:val="18"/>
                <w:color w:val="auto"/>
              </w:rPr>
              <w:t>One Broadway</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5020" w:type="dxa"/>
            <w:vAlign w:val="bottom"/>
          </w:tcPr>
          <w:p>
            <w:pPr>
              <w:ind w:left="940"/>
              <w:spacing w:after="0"/>
              <w:rPr>
                <w:sz w:val="20"/>
                <w:szCs w:val="20"/>
                <w:color w:val="auto"/>
              </w:rPr>
            </w:pPr>
            <w:r>
              <w:rPr>
                <w:rFonts w:ascii="Arial" w:cs="Arial" w:eastAsia="Arial" w:hAnsi="Arial"/>
                <w:sz w:val="18"/>
                <w:szCs w:val="18"/>
                <w:color w:val="auto"/>
              </w:rPr>
              <w:t>Cambridge, MA 02142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u w:val="single" w:color="auto"/>
          <w:color w:val="auto"/>
        </w:rPr>
        <w:t>No Other Relationship.</w:t>
      </w:r>
      <w:r>
        <w:rPr>
          <w:rFonts w:ascii="Arial" w:cs="Arial" w:eastAsia="Arial" w:hAnsi="Arial"/>
          <w:sz w:val="17"/>
          <w:szCs w:val="17"/>
          <w:color w:val="auto"/>
        </w:rPr>
        <w:t xml:space="preserve"> In assuming and performing the respective obligations under this AGREEMENT, LICENSEE and UNIVERSITY are each acting as independent parties and neither shall be considered or represent itself as a joint venture, partner, agent or employee of the other.</w:t>
      </w:r>
    </w:p>
    <w:p>
      <w:pPr>
        <w:spacing w:after="0" w:line="14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u w:val="single" w:color="auto"/>
          <w:color w:val="auto"/>
        </w:rPr>
        <w:t>No Waiver.</w:t>
      </w:r>
      <w:r>
        <w:rPr>
          <w:rFonts w:ascii="Arial" w:cs="Arial" w:eastAsia="Arial" w:hAnsi="Arial"/>
          <w:sz w:val="16"/>
          <w:szCs w:val="16"/>
          <w:color w:val="auto"/>
        </w:rPr>
        <w:t xml:space="preserve"> None of the terms, covenants, and conditions of this AGREEMENT can be waived except by the written consent of the PARTY waiving compliance. A failure by one of the PARTIES to this AGREEMENT to assert its rights for or upon any breach or default of this AGREEMENT shall not be deemed a waiver of such rights nor shall any such waiver be implied from acceptance of any payment. No such failure or waiver in writing by any one of the PARTIES hereto with respect to any rights, shall extend to or affect any subsequent breach or impair any right consequent thereon.</w:t>
      </w:r>
    </w:p>
    <w:p>
      <w:pPr>
        <w:spacing w:after="0" w:line="15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sentence, paragraph, clause or combination of the same is found by a court of competent jurisdiction to be in violation of any applicable law or regulation, or is unenforceable or void for any reason whatsoever, such sentence, paragraph, clause or combinations of the same shall be severed from the AGREEMENT and the remainder of the AGREEMENT shall remain binding upon the PARTIES.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u w:val="single" w:color="auto"/>
          <w:color w:val="auto"/>
        </w:rPr>
        <w:t>Headings.</w:t>
      </w:r>
      <w:r>
        <w:rPr>
          <w:rFonts w:ascii="Arial" w:cs="Arial" w:eastAsia="Arial" w:hAnsi="Arial"/>
          <w:sz w:val="17"/>
          <w:szCs w:val="17"/>
          <w:color w:val="auto"/>
        </w:rPr>
        <w:t xml:space="preserve"> The headings of the paragraphs of this AGREEMENT are inserted for convenience only and shall not constitute a part hereof.</w:t>
      </w:r>
    </w:p>
    <w:p>
      <w:pPr>
        <w:spacing w:after="0" w:line="23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u w:val="single" w:color="auto"/>
          <w:color w:val="auto"/>
        </w:rPr>
        <w:t>Choice of Law and Venue.</w:t>
      </w:r>
      <w:r>
        <w:rPr>
          <w:rFonts w:ascii="Arial" w:cs="Arial" w:eastAsia="Arial" w:hAnsi="Arial"/>
          <w:sz w:val="17"/>
          <w:szCs w:val="17"/>
          <w:color w:val="auto"/>
        </w:rPr>
        <w:t xml:space="preserve"> This AGREEMENT shall be construed, interpreted, and applied in accordance with the laws of the State of Missouri. Any action to enforce the provisions of the AGREEMENT shall be brought in a court of competent jurisdiction and proper venue in the State of Missouri. LICENSEE irrevocably submits to the jurisdiction of such courts in any such action or proceeding. LICENSEE further irrevocably and unconditionally waives any objection to the laying of venue of any suit, action or proceeding in such courts and irrevocably waives and agrees not to plead or claim in any court that such suit, action or proceeding brought in any such court has been brought in an inconvenient forum.</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Sovereign Immunity</w:t>
      </w:r>
      <w:r>
        <w:rPr>
          <w:rFonts w:ascii="Arial" w:cs="Arial" w:eastAsia="Arial" w:hAnsi="Arial"/>
          <w:sz w:val="18"/>
          <w:szCs w:val="18"/>
          <w:color w:val="auto"/>
        </w:rPr>
        <w:t>. The PARTIES agree that nothing in this AGREEMENT is intended or shall be construed as a waiver, either express or implied, of any of the immunities, lights, benefits, defenses or protections provided to UNIVERSITY under governmental or sovereign immunity laws from time to time applicable to UNIVERSITY.</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8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14" w:name="page615"/>
    <w:bookmarkEnd w:id="6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or more counterparts, each of which shall be deemed an original and all of which together shall constitute but one and the same instrument.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and only agreement between the PARTIES for PATENT RIGHTS and all other prior negotiations, representations, agreements, and understandings are superseded hereby. No agreements altering or supplementing the terms hereof may be made except by a written document signed by both PARTIES.</w:t>
      </w:r>
    </w:p>
    <w:p>
      <w:pPr>
        <w:spacing w:after="0" w:line="18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IN WITNESS WHEREOF, the PARTIES hereto have executed this AGREEMENT in duplicate originals by their duly authorized officers or representatives.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THE CURATORS OF THE</w:t>
            </w:r>
          </w:p>
        </w:tc>
        <w:tc>
          <w:tcPr>
            <w:tcW w:w="6020" w:type="dxa"/>
            <w:vAlign w:val="bottom"/>
            <w:gridSpan w:val="2"/>
          </w:tcPr>
          <w:p>
            <w:pPr>
              <w:ind w:left="560"/>
              <w:spacing w:after="0"/>
              <w:rPr>
                <w:sz w:val="20"/>
                <w:szCs w:val="20"/>
                <w:color w:val="auto"/>
              </w:rPr>
            </w:pPr>
            <w:r>
              <w:rPr>
                <w:rFonts w:ascii="Arial" w:cs="Arial" w:eastAsia="Arial" w:hAnsi="Arial"/>
                <w:sz w:val="18"/>
                <w:szCs w:val="18"/>
                <w:color w:val="auto"/>
              </w:rPr>
              <w:t>LICENSEE</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UNIVERSITY OF MISSOURI</w:t>
            </w:r>
          </w:p>
        </w:tc>
        <w:tc>
          <w:tcPr>
            <w:tcW w:w="124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Fender</w:t>
            </w:r>
          </w:p>
        </w:tc>
        <w:tc>
          <w:tcPr>
            <w:tcW w:w="1240" w:type="dxa"/>
            <w:vAlign w:val="bottom"/>
          </w:tcPr>
          <w:p>
            <w:pPr>
              <w:ind w:left="5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Ilan Ganot</w:t>
            </w:r>
          </w:p>
        </w:tc>
      </w:tr>
      <w:tr>
        <w:trPr>
          <w:trHeight w:val="439"/>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Christopher Fender</w:t>
            </w:r>
          </w:p>
        </w:tc>
        <w:tc>
          <w:tcPr>
            <w:tcW w:w="1240" w:type="dxa"/>
            <w:vAlign w:val="bottom"/>
          </w:tcPr>
          <w:p>
            <w:pPr>
              <w:ind w:left="5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ILAN GANOT</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Director, Office of Technology</w:t>
            </w:r>
          </w:p>
        </w:tc>
        <w:tc>
          <w:tcPr>
            <w:tcW w:w="1240" w:type="dxa"/>
            <w:vAlign w:val="bottom"/>
          </w:tcPr>
          <w:p>
            <w:pPr>
              <w:ind w:left="5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CEO</w:t>
            </w:r>
          </w:p>
        </w:tc>
      </w:tr>
      <w:tr>
        <w:trPr>
          <w:trHeight w:val="230"/>
        </w:trPr>
        <w:tc>
          <w:tcPr>
            <w:tcW w:w="7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Management and Industry Relations</w:t>
            </w:r>
          </w:p>
        </w:tc>
        <w:tc>
          <w:tcPr>
            <w:tcW w:w="124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680" w:type="dxa"/>
            <w:vAlign w:val="bottom"/>
          </w:tcPr>
          <w:p>
            <w:pPr>
              <w:spacing w:after="0"/>
              <w:rPr>
                <w:sz w:val="20"/>
                <w:szCs w:val="20"/>
                <w:color w:val="auto"/>
              </w:rPr>
            </w:pPr>
            <w:r>
              <w:rPr>
                <w:rFonts w:ascii="Arial" w:cs="Arial" w:eastAsia="Arial" w:hAnsi="Arial"/>
                <w:sz w:val="18"/>
                <w:szCs w:val="18"/>
                <w:color w:val="auto"/>
              </w:rPr>
              <w:t>October 15 2015</w:t>
            </w:r>
          </w:p>
        </w:tc>
        <w:tc>
          <w:tcPr>
            <w:tcW w:w="1240" w:type="dxa"/>
            <w:vAlign w:val="bottom"/>
          </w:tcPr>
          <w:p>
            <w:pPr>
              <w:ind w:left="560"/>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October 15 2015</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86"/>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15" w:name="page616"/>
    <w:bookmarkEnd w:id="6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patents licensed and corresponding invention disclosure numbers)</w:t>
      </w: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Disclosure</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Application Type</w:t>
            </w:r>
          </w:p>
        </w:tc>
        <w:tc>
          <w:tcPr>
            <w:tcW w:w="17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Country</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Status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Application</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Patent Number</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0" w:type="dxa"/>
            <w:vAlign w:val="bottom"/>
          </w:tcPr>
          <w:p>
            <w:pPr>
              <w:spacing w:after="0"/>
              <w:rPr>
                <w:sz w:val="1"/>
                <w:szCs w:val="1"/>
                <w:color w:val="auto"/>
              </w:rPr>
            </w:pPr>
          </w:p>
        </w:tc>
      </w:tr>
      <w:tr>
        <w:trPr>
          <w:trHeight w:val="149"/>
        </w:trPr>
        <w:tc>
          <w:tcPr>
            <w:tcW w:w="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8"/>
              </w:rPr>
              <w:t>Number</w:t>
            </w:r>
          </w:p>
        </w:tc>
        <w:tc>
          <w:tcPr>
            <w:tcW w:w="170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80" w:type="dxa"/>
            <w:vAlign w:val="bottom"/>
            <w:gridSpan w:val="2"/>
            <w:vMerge w:val="restart"/>
          </w:tcPr>
          <w:p>
            <w:pPr>
              <w:jc w:val="center"/>
              <w:ind w:right="560"/>
              <w:spacing w:after="0"/>
              <w:rPr>
                <w:sz w:val="20"/>
                <w:szCs w:val="20"/>
                <w:color w:val="auto"/>
              </w:rPr>
            </w:pPr>
            <w:r>
              <w:rPr>
                <w:rFonts w:ascii="Arial" w:cs="Arial" w:eastAsia="Arial" w:hAnsi="Arial"/>
                <w:sz w:val="18"/>
                <w:szCs w:val="18"/>
                <w:color w:val="auto"/>
              </w:rPr>
              <w:t>[XXX]</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180" w:type="dxa"/>
            <w:vAlign w:val="bottom"/>
            <w:gridSpan w:val="2"/>
            <w:vMerge w:val="continue"/>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[XXX]</w:t>
            </w:r>
          </w:p>
        </w:tc>
        <w:tc>
          <w:tcPr>
            <w:tcW w:w="100" w:type="dxa"/>
            <w:vAlign w:val="bottom"/>
            <w:vMerge w:val="continue"/>
          </w:tcPr>
          <w:p>
            <w:pPr>
              <w:spacing w:after="0"/>
              <w:rPr>
                <w:sz w:val="19"/>
                <w:szCs w:val="19"/>
                <w:color w:val="auto"/>
              </w:rPr>
            </w:pPr>
          </w:p>
        </w:tc>
        <w:tc>
          <w:tcPr>
            <w:tcW w:w="1600" w:type="dxa"/>
            <w:vAlign w:val="bottom"/>
          </w:tcPr>
          <w:p>
            <w:pPr>
              <w:ind w:left="540"/>
              <w:spacing w:after="0"/>
              <w:rPr>
                <w:sz w:val="20"/>
                <w:szCs w:val="20"/>
                <w:color w:val="auto"/>
              </w:rPr>
            </w:pPr>
            <w:r>
              <w:rPr>
                <w:rFonts w:ascii="Arial" w:cs="Arial" w:eastAsia="Arial" w:hAnsi="Arial"/>
                <w:sz w:val="18"/>
                <w:szCs w:val="18"/>
                <w:color w:val="auto"/>
              </w:rPr>
              <w:t>[XXX]</w:t>
            </w:r>
          </w:p>
        </w:tc>
        <w:tc>
          <w:tcPr>
            <w:tcW w:w="100" w:type="dxa"/>
            <w:vAlign w:val="bottom"/>
            <w:vMerge w:val="continue"/>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[XXX]</w:t>
            </w:r>
          </w:p>
        </w:tc>
        <w:tc>
          <w:tcPr>
            <w:tcW w:w="100" w:type="dxa"/>
            <w:vAlign w:val="bottom"/>
            <w:vMerge w:val="continue"/>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[XXX]</w:t>
            </w:r>
          </w:p>
        </w:tc>
        <w:tc>
          <w:tcPr>
            <w:tcW w:w="100" w:type="dxa"/>
            <w:vAlign w:val="bottom"/>
            <w:vMerge w:val="continue"/>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[XXX]</w:t>
            </w:r>
          </w:p>
        </w:tc>
        <w:tc>
          <w:tcPr>
            <w:tcW w:w="100" w:type="dxa"/>
            <w:vAlign w:val="bottom"/>
            <w:vMerge w:val="continue"/>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[XXX]</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8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16" w:name="page617"/>
    <w:bookmarkEnd w:id="6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B: COMMERCIALIZATION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[XXX]</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88"/>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17" w:name="page618"/>
    <w:bookmarkEnd w:id="6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[XXX]</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8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18" w:name="page619"/>
    <w:bookmarkEnd w:id="6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83" w:lineRule="exact"/>
        <w:rPr>
          <w:sz w:val="20"/>
          <w:szCs w:val="20"/>
          <w:color w:val="auto"/>
        </w:rPr>
      </w:pPr>
    </w:p>
    <w:p>
      <w:pPr>
        <w:jc w:val="right"/>
        <w:ind w:right="9520" w:firstLine="454"/>
        <w:spacing w:after="0" w:line="483" w:lineRule="auto"/>
        <w:tabs>
          <w:tab w:leader="none" w:pos="891" w:val="left"/>
        </w:tabs>
        <w:numPr>
          <w:ilvl w:val="0"/>
          <w:numId w:val="590"/>
        </w:numPr>
        <w:rPr>
          <w:rFonts w:ascii="Arial" w:cs="Arial" w:eastAsia="Arial" w:hAnsi="Arial"/>
          <w:sz w:val="16"/>
          <w:szCs w:val="16"/>
          <w:color w:val="auto"/>
        </w:rPr>
      </w:pPr>
      <w:r>
        <w:rPr>
          <w:rFonts w:ascii="Arial" w:cs="Arial" w:eastAsia="Arial" w:hAnsi="Arial"/>
          <w:sz w:val="16"/>
          <w:szCs w:val="16"/>
          <w:color w:val="auto"/>
        </w:rPr>
        <w:t>Program Plan Solid GT Program Targets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[XXX]</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91"/>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619" w:name="page620"/>
    <w:bookmarkEnd w:id="6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00" w:lineRule="exact"/>
        <w:rPr>
          <w:sz w:val="20"/>
          <w:szCs w:val="20"/>
          <w:color w:val="auto"/>
        </w:rPr>
      </w:pPr>
    </w:p>
    <w:p>
      <w:pPr>
        <w:spacing w:after="0" w:line="205" w:lineRule="exact"/>
        <w:rPr>
          <w:sz w:val="20"/>
          <w:szCs w:val="20"/>
          <w:color w:val="auto"/>
        </w:rPr>
      </w:pPr>
    </w:p>
    <w:p>
      <w:pPr>
        <w:ind w:left="900" w:hanging="446"/>
        <w:spacing w:after="0"/>
        <w:tabs>
          <w:tab w:leader="none" w:pos="900" w:val="left"/>
        </w:tabs>
        <w:numPr>
          <w:ilvl w:val="0"/>
          <w:numId w:val="592"/>
        </w:numPr>
        <w:rPr>
          <w:rFonts w:ascii="Arial" w:cs="Arial" w:eastAsia="Arial" w:hAnsi="Arial"/>
          <w:sz w:val="18"/>
          <w:szCs w:val="18"/>
          <w:b w:val="1"/>
          <w:bCs w:val="1"/>
          <w:color w:val="auto"/>
        </w:rPr>
      </w:pPr>
      <w:r>
        <w:rPr>
          <w:rFonts w:ascii="Arial" w:cs="Arial" w:eastAsia="Arial" w:hAnsi="Arial"/>
          <w:sz w:val="18"/>
          <w:szCs w:val="18"/>
          <w:color w:val="auto"/>
        </w:rPr>
        <w:t>Table 2. Market Size Estimate for a Gene Therapy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[XXX]</w:t>
      </w:r>
    </w:p>
    <w:p>
      <w:pPr>
        <w:spacing w:after="0" w:line="252" w:lineRule="exact"/>
        <w:rPr>
          <w:sz w:val="20"/>
          <w:szCs w:val="20"/>
          <w:color w:val="auto"/>
        </w:rPr>
      </w:pPr>
    </w:p>
    <w:p>
      <w:pPr>
        <w:ind w:left="900" w:hanging="446"/>
        <w:spacing w:after="0"/>
        <w:tabs>
          <w:tab w:leader="none" w:pos="90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Table 3. Market Penetration to Peak Sales (5 years)</w:t>
      </w:r>
    </w:p>
    <w:p>
      <w:pPr>
        <w:spacing w:after="0" w:line="23" w:lineRule="exact"/>
        <w:rPr>
          <w:rFonts w:ascii="Arial" w:cs="Arial" w:eastAsia="Arial" w:hAnsi="Arial"/>
          <w:sz w:val="18"/>
          <w:szCs w:val="18"/>
          <w:color w:val="auto"/>
        </w:rPr>
      </w:pPr>
    </w:p>
    <w:p>
      <w:pPr>
        <w:ind w:left="2700"/>
        <w:spacing w:after="0"/>
        <w:rPr>
          <w:rFonts w:ascii="Arial" w:cs="Arial" w:eastAsia="Arial" w:hAnsi="Arial"/>
          <w:sz w:val="18"/>
          <w:szCs w:val="18"/>
          <w:color w:val="auto"/>
        </w:rPr>
      </w:pPr>
      <w:r>
        <w:rPr>
          <w:rFonts w:ascii="Arial" w:cs="Arial" w:eastAsia="Arial" w:hAnsi="Arial"/>
          <w:sz w:val="18"/>
          <w:szCs w:val="18"/>
          <w:b w:val="1"/>
          <w:bCs w:val="1"/>
          <w:color w:val="auto"/>
        </w:rPr>
        <w:t>Peak Market Penetration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]XXX]</w:t>
      </w:r>
    </w:p>
    <w:p>
      <w:pPr>
        <w:spacing w:after="0" w:line="252" w:lineRule="exact"/>
        <w:rPr>
          <w:sz w:val="20"/>
          <w:szCs w:val="20"/>
          <w:color w:val="auto"/>
        </w:rPr>
      </w:pPr>
    </w:p>
    <w:p>
      <w:pPr>
        <w:ind w:left="900" w:hanging="446"/>
        <w:spacing w:after="0"/>
        <w:tabs>
          <w:tab w:leader="none" w:pos="90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Patient Population Assumptions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9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20" w:name="page621"/>
    <w:bookmarkEnd w:id="6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[XXX]</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96"/>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621" w:name="page622"/>
    <w:bookmarkEnd w:id="6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C: ROYALTY REPORT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QUATERLY REPORT TEMPLATE (AFTER FIRST COMMERCIAL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License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Licensee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INSTRUCTIONS: </w:t>
      </w:r>
      <w:r>
        <w:rPr>
          <w:rFonts w:ascii="Arial" w:cs="Arial" w:eastAsia="Arial" w:hAnsi="Arial"/>
          <w:sz w:val="18"/>
          <w:szCs w:val="18"/>
          <w:b w:val="1"/>
          <w:bCs w:val="1"/>
          <w:i w:val="1"/>
          <w:iCs w:val="1"/>
          <w:color w:val="auto"/>
        </w:rPr>
        <w:t>Please provide all information (write “none” if not applicable), and sign and date at bottom.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LICENSED PRODUCT commercial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LICENSED PRODUCT commercial product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Patent application(s) and/or issued patent(s) of the UNIVERSITY covering the LICENSED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Government Approvals (</w:t>
      </w:r>
      <w:r>
        <w:rPr>
          <w:rFonts w:ascii="Arial" w:cs="Arial" w:eastAsia="Arial" w:hAnsi="Arial"/>
          <w:sz w:val="18"/>
          <w:szCs w:val="18"/>
          <w:i w:val="1"/>
          <w:iCs w:val="1"/>
          <w:color w:val="auto"/>
        </w:rPr>
        <w:t>provide details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Quarterly Summary Report of SALES by </w:t>
      </w:r>
      <w:r>
        <w:rPr>
          <w:rFonts w:ascii="Arial" w:cs="Arial" w:eastAsia="Arial" w:hAnsi="Arial"/>
          <w:sz w:val="18"/>
          <w:szCs w:val="18"/>
          <w:b w:val="1"/>
          <w:bCs w:val="1"/>
          <w:u w:val="single" w:color="auto"/>
          <w:color w:val="auto"/>
        </w:rPr>
        <w:t>LICENSEE: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Country of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of Units Sold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 Price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Sales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Rate (if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Allowable offsets ($) (provide details,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Net Sales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Royalty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Creditable Minimum Annual Royalties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Royalties Due ($) with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Details of allowable offsets: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Quarterly Summary Report of SALES by </w:t>
      </w:r>
      <w:r>
        <w:rPr>
          <w:rFonts w:ascii="Arial" w:cs="Arial" w:eastAsia="Arial" w:hAnsi="Arial"/>
          <w:sz w:val="18"/>
          <w:szCs w:val="18"/>
          <w:b w:val="1"/>
          <w:bCs w:val="1"/>
          <w:u w:val="single" w:color="auto"/>
          <w:color w:val="auto"/>
        </w:rPr>
        <w:t>SUBLICENSEE: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SUBLICENSEE: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Country of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of Units Sold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 Price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Sublicensee Sales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Rate (if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Allowable offsets ($) (provide details,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Net Sublicensee Sales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Royalty rate under Sublicense Agreement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9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22" w:name="page623"/>
    <w:bookmarkEnd w:id="6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Earned Royalties received by Licensee (in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Royalty rate under License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Creditable Minimum Annual Royalties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Royalties Due ($) with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Details of allowable offsets:</w:t>
      </w:r>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By signing below, I both certify that I am an authorized representative for the LICENSEE and that the information above is true and correct to the best of my knowledge.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spacing w:after="0"/>
              <w:rPr>
                <w:sz w:val="20"/>
                <w:szCs w:val="20"/>
                <w:color w:val="auto"/>
              </w:rPr>
            </w:pPr>
            <w:r>
              <w:rPr>
                <w:rFonts w:ascii="Arial" w:cs="Arial" w:eastAsia="Arial" w:hAnsi="Arial"/>
                <w:sz w:val="18"/>
                <w:szCs w:val="18"/>
                <w:color w:val="auto"/>
              </w:rPr>
              <w:t>By</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2"/>
          </w:tcPr>
          <w:p>
            <w:pPr>
              <w:ind w:left="1040"/>
              <w:spacing w:after="0"/>
              <w:rPr>
                <w:sz w:val="20"/>
                <w:szCs w:val="20"/>
                <w:color w:val="auto"/>
              </w:rPr>
            </w:pPr>
            <w:r>
              <w:rPr>
                <w:rFonts w:ascii="Arial" w:cs="Arial" w:eastAsia="Arial" w:hAnsi="Arial"/>
                <w:sz w:val="18"/>
                <w:szCs w:val="18"/>
                <w:color w:val="auto"/>
              </w:rPr>
              <w:t>Date</w:t>
            </w:r>
          </w:p>
        </w:tc>
        <w:tc>
          <w:tcPr>
            <w:tcW w:w="280" w:type="dxa"/>
            <w:vAlign w:val="bottom"/>
          </w:tcPr>
          <w:p>
            <w:pPr>
              <w:spacing w:after="0"/>
              <w:rPr>
                <w:sz w:val="17"/>
                <w:szCs w:val="17"/>
                <w:color w:val="auto"/>
              </w:rPr>
            </w:pPr>
          </w:p>
        </w:tc>
      </w:tr>
      <w:tr>
        <w:trPr>
          <w:trHeight w:val="237"/>
        </w:trPr>
        <w:tc>
          <w:tcPr>
            <w:tcW w:w="360" w:type="dxa"/>
            <w:vAlign w:val="bottom"/>
          </w:tcPr>
          <w:p>
            <w:pPr>
              <w:spacing w:after="0"/>
              <w:rPr>
                <w:sz w:val="20"/>
                <w:szCs w:val="20"/>
                <w:color w:val="auto"/>
              </w:rPr>
            </w:pPr>
          </w:p>
        </w:tc>
        <w:tc>
          <w:tcPr>
            <w:tcW w:w="4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authorized representative</w:t>
            </w:r>
          </w:p>
        </w:tc>
        <w:tc>
          <w:tcPr>
            <w:tcW w:w="1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419"/>
        </w:trPr>
        <w:tc>
          <w:tcPr>
            <w:tcW w:w="1100" w:type="dxa"/>
            <w:vAlign w:val="bottom"/>
            <w:gridSpan w:val="2"/>
          </w:tcPr>
          <w:p>
            <w:pPr>
              <w:spacing w:after="0"/>
              <w:rPr>
                <w:sz w:val="20"/>
                <w:szCs w:val="20"/>
                <w:color w:val="auto"/>
              </w:rPr>
            </w:pPr>
            <w:r>
              <w:rPr>
                <w:rFonts w:ascii="Arial" w:cs="Arial" w:eastAsia="Arial" w:hAnsi="Arial"/>
                <w:sz w:val="18"/>
                <w:szCs w:val="18"/>
                <w:color w:val="auto"/>
                <w:w w:val="93"/>
              </w:rPr>
              <w:t>Printed Name:</w:t>
            </w:r>
          </w:p>
        </w:tc>
        <w:tc>
          <w:tcPr>
            <w:tcW w:w="3860" w:type="dxa"/>
            <w:vAlign w:val="bottom"/>
            <w:tcBorders>
              <w:bottom w:val="single" w:sz="8" w:color="auto"/>
            </w:tcBorders>
          </w:tcPr>
          <w:p>
            <w:pPr>
              <w:spacing w:after="0"/>
              <w:rPr>
                <w:sz w:val="24"/>
                <w:szCs w:val="24"/>
                <w:color w:val="auto"/>
              </w:rPr>
            </w:pPr>
          </w:p>
        </w:tc>
        <w:tc>
          <w:tcPr>
            <w:tcW w:w="1440" w:type="dxa"/>
            <w:vAlign w:val="bottom"/>
            <w:gridSpan w:val="2"/>
          </w:tcPr>
          <w:p>
            <w:pPr>
              <w:ind w:left="860"/>
              <w:spacing w:after="0"/>
              <w:rPr>
                <w:sz w:val="20"/>
                <w:szCs w:val="20"/>
                <w:color w:val="auto"/>
              </w:rPr>
            </w:pPr>
            <w:r>
              <w:rPr>
                <w:rFonts w:ascii="Arial" w:cs="Arial" w:eastAsia="Arial" w:hAnsi="Arial"/>
                <w:sz w:val="18"/>
                <w:szCs w:val="18"/>
                <w:color w:val="auto"/>
              </w:rPr>
              <w:t>Title:</w:t>
            </w:r>
          </w:p>
        </w:tc>
        <w:tc>
          <w:tcPr>
            <w:tcW w:w="342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453"/>
        </w:trPr>
        <w:tc>
          <w:tcPr>
            <w:tcW w:w="4960" w:type="dxa"/>
            <w:vAlign w:val="bottom"/>
            <w:gridSpan w:val="3"/>
          </w:tcPr>
          <w:p>
            <w:pPr>
              <w:spacing w:after="0"/>
              <w:rPr>
                <w:sz w:val="20"/>
                <w:szCs w:val="20"/>
                <w:color w:val="auto"/>
              </w:rPr>
            </w:pPr>
            <w:r>
              <w:rPr>
                <w:rFonts w:ascii="Arial" w:cs="Arial" w:eastAsia="Arial" w:hAnsi="Arial"/>
                <w:sz w:val="18"/>
                <w:szCs w:val="18"/>
                <w:color w:val="auto"/>
              </w:rPr>
              <w:t>Email Address: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2"/>
        </w:trPr>
        <w:tc>
          <w:tcPr>
            <w:tcW w:w="4960" w:type="dxa"/>
            <w:vAlign w:val="bottom"/>
            <w:gridSpan w:val="3"/>
          </w:tcPr>
          <w:p>
            <w:pPr>
              <w:spacing w:after="0"/>
              <w:rPr>
                <w:sz w:val="20"/>
                <w:szCs w:val="20"/>
                <w:color w:val="auto"/>
              </w:rPr>
            </w:pPr>
            <w:r>
              <w:rPr>
                <w:rFonts w:ascii="Arial" w:cs="Arial" w:eastAsia="Arial" w:hAnsi="Arial"/>
                <w:sz w:val="18"/>
                <w:szCs w:val="18"/>
                <w:color w:val="auto"/>
              </w:rPr>
              <w:t>Telephone No:</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2"/>
        </w:trPr>
        <w:tc>
          <w:tcPr>
            <w:tcW w:w="4960" w:type="dxa"/>
            <w:vAlign w:val="bottom"/>
            <w:gridSpan w:val="3"/>
          </w:tcPr>
          <w:p>
            <w:pPr>
              <w:spacing w:after="0"/>
              <w:rPr>
                <w:sz w:val="20"/>
                <w:szCs w:val="20"/>
                <w:color w:val="auto"/>
              </w:rPr>
            </w:pPr>
            <w:r>
              <w:rPr>
                <w:rFonts w:ascii="Arial" w:cs="Arial" w:eastAsia="Arial" w:hAnsi="Arial"/>
                <w:sz w:val="18"/>
                <w:szCs w:val="18"/>
                <w:color w:val="auto"/>
              </w:rPr>
              <w:t>Fax No:</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158" w:lineRule="exact"/>
        <w:rPr>
          <w:sz w:val="20"/>
          <w:szCs w:val="20"/>
          <w:color w:val="auto"/>
        </w:rPr>
      </w:pPr>
    </w:p>
    <w:p>
      <w:pPr>
        <w:ind w:left="1580" w:right="1380" w:hanging="191"/>
        <w:spacing w:after="0" w:line="308" w:lineRule="auto"/>
        <w:tabs>
          <w:tab w:leader="none" w:pos="1945" w:val="left"/>
        </w:tabs>
        <w:numPr>
          <w:ilvl w:val="0"/>
          <w:numId w:val="598"/>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1" w:right="239" w:bottom="1440" w:gutter="0" w:footer="0" w:header="0"/>
        </w:sectPr>
      </w:pPr>
    </w:p>
    <w:bookmarkStart w:id="623" w:name="page624"/>
    <w:bookmarkEnd w:id="623"/>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[XXX] LICENSE AGREEMENT</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This [XXX]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or the “</w:t>
      </w:r>
      <w:r>
        <w:rPr>
          <w:rFonts w:ascii="Arial" w:cs="Arial" w:eastAsia="Arial" w:hAnsi="Arial"/>
          <w:sz w:val="18"/>
          <w:szCs w:val="18"/>
          <w:b w:val="1"/>
          <w:bCs w:val="1"/>
          <w:color w:val="auto"/>
        </w:rPr>
        <w:t>LICENSE</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effective as of November 20, 2016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by and between [XXX], a Delaware corporation having its principal place of business at [XXX]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LICENSOR</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Solid Biosciences, a Delaware limited liability company having its principal place of business at 161 Third Street, Third Floor, Cambridge, MA 02142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LICENSEE</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Each of LICENSOR and LICENSEE may be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6"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BACKGROUND 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WHEREAS, LICENSOR has developed certain [XXX]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CELLS</w:t>
      </w:r>
      <w:r>
        <w:rPr>
          <w:rFonts w:ascii="Arial" w:cs="Arial" w:eastAsia="Arial" w:hAnsi="Arial"/>
          <w:sz w:val="18"/>
          <w:szCs w:val="18"/>
          <w:color w:val="auto"/>
        </w:rPr>
        <w:t>”, as defined below);</w:t>
      </w:r>
    </w:p>
    <w:p>
      <w:pPr>
        <w:spacing w:after="0" w:line="12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WHEREAS, LICENSEE desires to obtain a non-exclusive license to use such CELLS for producing adeno-associated virus vectors for certain purposes, including, but not limited to, research, development (including human clinical trials), manufacturing and commercial uses;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WHEREAS, is willing to grant to LICENSEE a non-exclusive license to use CELLS under the terms and conditions set forth hereunder.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NOW THEREFORE, in consideration of the premises and of the mutual covenants and agreements contained herein and for other good and valuable consideration, the receipt and sufficiency of which are hereby acknowledged, the PARTIES intending to be legally bound agree as follows:</w:t>
      </w:r>
    </w:p>
    <w:p>
      <w:pPr>
        <w:spacing w:after="0" w:line="120" w:lineRule="exact"/>
        <w:rPr>
          <w:sz w:val="20"/>
          <w:szCs w:val="20"/>
          <w:color w:val="auto"/>
        </w:rPr>
      </w:pPr>
    </w:p>
    <w:p>
      <w:pPr>
        <w:ind w:left="360" w:hanging="352"/>
        <w:spacing w:after="0"/>
        <w:tabs>
          <w:tab w:leader="none" w:pos="360" w:val="left"/>
        </w:tabs>
        <w:numPr>
          <w:ilvl w:val="0"/>
          <w:numId w:val="5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purposes of this AGREEMENT, the terms set forth hereinafter are defined as follows:</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LICENSEE, any entity Controlled by LICENSEE, so long as such Control exists and with respect to LICENSOR, any entity Controlling, Controlled by, or under common Control with LICENSOR, for only so long as such control exists. For the purposes of this definition, the word “CONTROL”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w:t>
      </w:r>
    </w:p>
    <w:p>
      <w:pPr>
        <w:spacing w:after="0" w:line="184"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Sunday or any other day on which commercial banks located in the U.S. are authorized or obligated by LAWS to close.</w:t>
      </w:r>
    </w:p>
    <w:p>
      <w:pPr>
        <w:spacing w:after="0" w:line="16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CLAIMS</w:t>
      </w:r>
      <w:r>
        <w:rPr>
          <w:rFonts w:ascii="Arial" w:cs="Arial" w:eastAsia="Arial" w:hAnsi="Arial"/>
          <w:sz w:val="16"/>
          <w:szCs w:val="16"/>
          <w:color w:val="auto"/>
        </w:rPr>
        <w:t>” has the meaning set forth in Section 11.1.</w:t>
      </w:r>
    </w:p>
    <w:p>
      <w:pPr>
        <w:spacing w:after="0" w:line="225"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COMMERCIALIZATION</w:t>
      </w:r>
      <w:r>
        <w:rPr>
          <w:rFonts w:ascii="Arial" w:cs="Arial" w:eastAsia="Arial" w:hAnsi="Arial"/>
          <w:sz w:val="18"/>
          <w:szCs w:val="18"/>
          <w:color w:val="auto"/>
        </w:rPr>
        <w:t>” means any and all activities directed to the preparation for sale of, offering for sale of, or sale of, a LICENSEE PRODUCT, including activities related to making (or having made by SERVICE PROVIDERS), manufacturing, marketing, promoting, distributing and importing such LICENSEE PRODUCT, and interacting with REGULATORY AUTHORITIES regarding any of the foregoing. “</w:t>
      </w:r>
      <w:r>
        <w:rPr>
          <w:rFonts w:ascii="Arial" w:cs="Arial" w:eastAsia="Arial" w:hAnsi="Arial"/>
          <w:sz w:val="18"/>
          <w:szCs w:val="18"/>
          <w:b w:val="1"/>
          <w:bCs w:val="1"/>
          <w:color w:val="auto"/>
        </w:rPr>
        <w:t>COMMERCIALIZE</w:t>
      </w:r>
      <w:r>
        <w:rPr>
          <w:rFonts w:ascii="Arial" w:cs="Arial" w:eastAsia="Arial" w:hAnsi="Arial"/>
          <w:sz w:val="18"/>
          <w:szCs w:val="18"/>
          <w:color w:val="auto"/>
        </w:rPr>
        <w:t>” means to engage in COMMERCIALIZATION.</w:t>
      </w:r>
    </w:p>
    <w:p>
      <w:pPr>
        <w:spacing w:after="0" w:line="18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has the meaning set forth in Section 5.1.</w:t>
      </w:r>
    </w:p>
    <w:p>
      <w:pPr>
        <w:spacing w:after="0" w:line="16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Page 1 of 16</w:t>
      </w:r>
    </w:p>
    <w:p>
      <w:pPr>
        <w:spacing w:after="0" w:line="158" w:lineRule="exact"/>
        <w:rPr>
          <w:sz w:val="20"/>
          <w:szCs w:val="20"/>
          <w:color w:val="auto"/>
        </w:rPr>
      </w:pPr>
    </w:p>
    <w:p>
      <w:pPr>
        <w:jc w:val="both"/>
        <w:ind w:left="2420" w:right="2400" w:firstLine="44"/>
        <w:spacing w:after="0" w:line="274" w:lineRule="auto"/>
        <w:tabs>
          <w:tab w:leader="none" w:pos="3025" w:val="left"/>
        </w:tabs>
        <w:numPr>
          <w:ilvl w:val="0"/>
          <w:numId w:val="600"/>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420"/>
          </w:cols>
          <w:pgMar w:left="240" w:top="121" w:right="239" w:bottom="1440" w:gutter="0" w:footer="0" w:header="0"/>
        </w:sectPr>
      </w:pPr>
    </w:p>
    <w:bookmarkStart w:id="624" w:name="page625"/>
    <w:bookmarkEnd w:id="6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CURE PERIOD</w:t>
      </w:r>
      <w:r>
        <w:rPr>
          <w:rFonts w:ascii="Arial" w:cs="Arial" w:eastAsia="Arial" w:hAnsi="Arial"/>
          <w:sz w:val="16"/>
          <w:szCs w:val="16"/>
          <w:color w:val="auto"/>
        </w:rPr>
        <w:t>” has the meaning set forth in Section 7.3.</w:t>
      </w:r>
    </w:p>
    <w:p>
      <w:pPr>
        <w:spacing w:after="0" w:line="225"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DISTRIBUTOR</w:t>
      </w:r>
      <w:r>
        <w:rPr>
          <w:rFonts w:ascii="Arial" w:cs="Arial" w:eastAsia="Arial" w:hAnsi="Arial"/>
          <w:sz w:val="18"/>
          <w:szCs w:val="18"/>
          <w:color w:val="auto"/>
        </w:rPr>
        <w:t>” means a THIRD PARTY to whom, pursuant to a written agreement with such THIRD PARTY, LICENSEE sells LICENSEE PRODUCTS under LICENSEE’S label for resale to customers. In no event shall any THIRD PARTY have the rights to make modifications to any LICENSEE PRODUCTS or part thereof, including relabeling such LICENSEE PRODUCTS or part thereof, except for placement of the DISTRIBUTOR’S name on such LICENSEE PRODUCT to comply with any country-specific regulatory requirements.</w:t>
      </w:r>
    </w:p>
    <w:p>
      <w:pPr>
        <w:spacing w:after="0" w:line="18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U.S. Food and Drug Administration or any successor agency thereto.</w:t>
      </w:r>
    </w:p>
    <w:p>
      <w:pPr>
        <w:spacing w:after="0" w:line="22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FEE(S)</w:t>
      </w:r>
      <w:r>
        <w:rPr>
          <w:rFonts w:ascii="Arial" w:cs="Arial" w:eastAsia="Arial" w:hAnsi="Arial"/>
          <w:sz w:val="16"/>
          <w:szCs w:val="16"/>
          <w:color w:val="auto"/>
        </w:rPr>
        <w:t>” has the meaning set forth in Section 3.</w:t>
      </w:r>
    </w:p>
    <w:p>
      <w:pPr>
        <w:spacing w:after="0" w:line="225" w:lineRule="exact"/>
        <w:rPr>
          <w:sz w:val="20"/>
          <w:szCs w:val="20"/>
          <w:color w:val="auto"/>
        </w:rPr>
      </w:pPr>
    </w:p>
    <w:p>
      <w:pPr>
        <w:ind w:right="220" w:firstLine="456"/>
        <w:spacing w:after="0" w:line="313"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multi-national, federal, state, local, municipal or other government authority of any nature (including any governmental division, subdivision, department, agency, bureau, branch, office, commission, council, court, or other tribunal).</w:t>
      </w:r>
    </w:p>
    <w:p>
      <w:pPr>
        <w:spacing w:after="0" w:line="138"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LAWS</w:t>
      </w:r>
      <w:r>
        <w:rPr>
          <w:rFonts w:ascii="Arial" w:cs="Arial" w:eastAsia="Arial" w:hAnsi="Arial"/>
          <w:sz w:val="18"/>
          <w:szCs w:val="18"/>
          <w:color w:val="auto"/>
        </w:rPr>
        <w:t>” means all applicable laws, statutes, rules, regulations, ordinances, compliance guidance in final form, and other pronouncements, all as amended from time to time, having the effect of law of any federal, national, multinational, state, provincial, county, city or other political subdivision, domestic or foreign.</w:t>
      </w:r>
    </w:p>
    <w:p>
      <w:pPr>
        <w:spacing w:after="0" w:line="17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LICENSEE PRODUCT(S)</w:t>
      </w:r>
      <w:r>
        <w:rPr>
          <w:rFonts w:ascii="Arial" w:cs="Arial" w:eastAsia="Arial" w:hAnsi="Arial"/>
          <w:sz w:val="18"/>
          <w:szCs w:val="18"/>
          <w:color w:val="auto"/>
        </w:rPr>
        <w:t>” means genetically engineered adeno-associated virus vectors that (i) are developed and manufactured by LICENSEE or its AFFILIATES, or on behalf of LICENSEE by SERVICE PROVIDER(S), through the use of CELLS, and (ii) are used in the treatment of or in the preparation of the treatment of Duchenne Muscular Dystrophy (DMD).</w:t>
      </w:r>
    </w:p>
    <w:p>
      <w:pPr>
        <w:spacing w:after="0" w:line="176"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CELLS</w:t>
      </w:r>
      <w:r>
        <w:rPr>
          <w:rFonts w:ascii="Arial" w:cs="Arial" w:eastAsia="Arial" w:hAnsi="Arial"/>
          <w:sz w:val="18"/>
          <w:szCs w:val="18"/>
          <w:color w:val="auto"/>
        </w:rPr>
        <w:t>” means (i) [XXX] transferred by LICENSOR to LICENSEE’S designated SERVICE PROVIDER prior to the EFFECTIVE DATE; and (ii) any and all progeny thereof generated by LICENSEE or its AFFILIATES.</w:t>
      </w:r>
    </w:p>
    <w:p>
      <w:pPr>
        <w:spacing w:after="0" w:line="162"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INDEMNITEES</w:t>
      </w:r>
      <w:r>
        <w:rPr>
          <w:rFonts w:ascii="Arial" w:cs="Arial" w:eastAsia="Arial" w:hAnsi="Arial"/>
          <w:sz w:val="16"/>
          <w:szCs w:val="16"/>
          <w:color w:val="auto"/>
        </w:rPr>
        <w:t>” has the meaning set forth in Section 11.1.</w:t>
      </w:r>
    </w:p>
    <w:p>
      <w:pPr>
        <w:spacing w:after="0" w:line="225"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RIGHTS</w:t>
      </w:r>
      <w:r>
        <w:rPr>
          <w:rFonts w:ascii="Arial" w:cs="Arial" w:eastAsia="Arial" w:hAnsi="Arial"/>
          <w:sz w:val="18"/>
          <w:szCs w:val="18"/>
          <w:color w:val="auto"/>
        </w:rPr>
        <w:t>” means (i) all proprietary rights of LICENSOR in and to the LICENSOR CELLS including biological materials rights; (ii) all proprietary know-how, trade secrets, data, test results, techniques, procedures, compositions, methods, formulas, protocols and information, in each case, if developed and provided by LICENSOR or its AFFILIATES.</w:t>
      </w:r>
    </w:p>
    <w:p>
      <w:pPr>
        <w:spacing w:after="0" w:line="176"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NON-COMPLIANT ENTITY</w:t>
      </w:r>
      <w:r>
        <w:rPr>
          <w:rFonts w:ascii="Arial" w:cs="Arial" w:eastAsia="Arial" w:hAnsi="Arial"/>
          <w:sz w:val="17"/>
          <w:szCs w:val="17"/>
          <w:color w:val="auto"/>
        </w:rPr>
        <w:t>” has the meaning set forth in Section 7.3.</w:t>
      </w:r>
    </w:p>
    <w:p>
      <w:pPr>
        <w:spacing w:after="0" w:line="225"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PHASE I CLINICAL STUDY</w:t>
      </w:r>
      <w:r>
        <w:rPr>
          <w:rFonts w:ascii="Arial" w:cs="Arial" w:eastAsia="Arial" w:hAnsi="Arial"/>
          <w:sz w:val="18"/>
          <w:szCs w:val="18"/>
          <w:color w:val="auto"/>
        </w:rPr>
        <w:t>” means a clinical study of a LICENSEE PRODUCT in human volunteers or patients with the endpoint of determining initial tolerance, toxicity, safety, or pharmacokinetic information, which will be deemed commenced when the first volunteer or patient in such study has received his or her initial dose of a LICENSEE PRODUCT.</w:t>
      </w:r>
    </w:p>
    <w:p>
      <w:pPr>
        <w:spacing w:after="0" w:line="176"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REGULATORY AUTHORIZATION</w:t>
      </w:r>
      <w:r>
        <w:rPr>
          <w:rFonts w:ascii="Arial" w:cs="Arial" w:eastAsia="Arial" w:hAnsi="Arial"/>
          <w:sz w:val="18"/>
          <w:szCs w:val="18"/>
          <w:color w:val="auto"/>
        </w:rPr>
        <w:t>” means any approval or authorization of any REGULATORY AUTHORITY in a particular jurisdiction that is necessary for the development (including human clinical trials), manufacture, use, storage, import, transport and/or sale of LICENSEE PRODUCTS in such jurisdiction in accordance with LAWS.</w:t>
      </w:r>
    </w:p>
    <w:p>
      <w:pPr>
        <w:spacing w:after="0" w:line="176" w:lineRule="exact"/>
        <w:rPr>
          <w:sz w:val="20"/>
          <w:szCs w:val="20"/>
          <w:color w:val="auto"/>
        </w:rPr>
      </w:pPr>
    </w:p>
    <w:p>
      <w:pPr>
        <w:ind w:right="760" w:firstLine="456"/>
        <w:spacing w:after="0" w:line="266"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GOVERNMENTAL AUTHORITY involved in granting REGULATORY AUTHORIZATION in any country or jurisdiction, including without limitation, in the U.S., the FDA and any other applicable GOVERNMENTAL AUTHORITY having jurisdiction over the CELLS or over LICENSEE PRODUCTS.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 of 16</w:t>
      </w:r>
    </w:p>
    <w:p>
      <w:pPr>
        <w:spacing w:after="0" w:line="158" w:lineRule="exact"/>
        <w:rPr>
          <w:sz w:val="20"/>
          <w:szCs w:val="20"/>
          <w:color w:val="auto"/>
        </w:rPr>
      </w:pPr>
    </w:p>
    <w:p>
      <w:pPr>
        <w:jc w:val="both"/>
        <w:ind w:left="2420" w:right="2380" w:firstLine="44"/>
        <w:spacing w:after="0" w:line="274" w:lineRule="auto"/>
        <w:tabs>
          <w:tab w:leader="none" w:pos="3025" w:val="left"/>
        </w:tabs>
        <w:numPr>
          <w:ilvl w:val="0"/>
          <w:numId w:val="601"/>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400"/>
          </w:cols>
          <w:pgMar w:left="240" w:top="270" w:right="259" w:bottom="1440" w:gutter="0" w:footer="0" w:header="0"/>
        </w:sectPr>
      </w:pPr>
    </w:p>
    <w:bookmarkStart w:id="625" w:name="page626"/>
    <w:bookmarkEnd w:id="6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b w:val="1"/>
          <w:bCs w:val="1"/>
          <w:color w:val="auto"/>
        </w:rPr>
        <w:t>REGULATORY FILINGS</w:t>
      </w:r>
      <w:r>
        <w:rPr>
          <w:rFonts w:ascii="Arial" w:cs="Arial" w:eastAsia="Arial" w:hAnsi="Arial"/>
          <w:sz w:val="17"/>
          <w:szCs w:val="17"/>
          <w:color w:val="auto"/>
        </w:rPr>
        <w:t>” means regulatory applications, submissions, notifications, registrations, REGULATORY AUTHORIZATIONS, or other submissions made to or with a REGULATORY AUTHORITY that are necessary or reasonably desirable in order to research, develop (including human clinical trials), manufacture, market, sell or otherwise commercialize LICENSEE PRODUCTS in a particular country or jurisdiction.</w:t>
      </w:r>
    </w:p>
    <w:p>
      <w:pPr>
        <w:spacing w:after="0" w:line="158"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SERVICE PROVIDER</w:t>
      </w:r>
      <w:r>
        <w:rPr>
          <w:rFonts w:ascii="Arial" w:cs="Arial" w:eastAsia="Arial" w:hAnsi="Arial"/>
          <w:sz w:val="18"/>
          <w:szCs w:val="18"/>
          <w:color w:val="auto"/>
        </w:rPr>
        <w:t>” means a THIRD PARTY, including, but not limited to a contractor, subcontractor or contract service organization, that performs services for consideration on behalf of LICENSEE or its AFFILIATE and solely for the benefit of LICENSEE or such AFFILIATE of LICENSEE, and with whom LICENSEE or its AFFILIATE has entered into a written agreement for the provision of services for LICENSEE or its AFFILIATE that employs CELLS, for purposes which include, without limitation, the research, development (including human clinical trials), testing, analysis, expression, assay, manufacture, production and storage of LICENSEE PRODUCTS.</w:t>
      </w:r>
    </w:p>
    <w:p>
      <w:pPr>
        <w:spacing w:after="0" w:line="184"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has the meaning set forth in Section 7.1.</w:t>
      </w:r>
    </w:p>
    <w:p>
      <w:pPr>
        <w:spacing w:after="0" w:line="225"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worldwide.</w:t>
      </w:r>
    </w:p>
    <w:p>
      <w:pPr>
        <w:spacing w:after="0" w:line="225"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or entity other than LICENSOR, AFFILIATES of LICENSOR, LICENSEE, and AFFILIATES of LICENSEE.</w:t>
      </w:r>
    </w:p>
    <w:p>
      <w:pPr>
        <w:spacing w:after="0" w:line="162"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of America.</w:t>
      </w:r>
    </w:p>
    <w:p>
      <w:pPr>
        <w:spacing w:after="0" w:line="333" w:lineRule="exact"/>
        <w:rPr>
          <w:sz w:val="20"/>
          <w:szCs w:val="20"/>
          <w:color w:val="auto"/>
        </w:rPr>
      </w:pPr>
    </w:p>
    <w:p>
      <w:pPr>
        <w:ind w:left="460" w:right="6740" w:hanging="452"/>
        <w:spacing w:after="0" w:line="378" w:lineRule="auto"/>
        <w:tabs>
          <w:tab w:leader="none" w:pos="318" w:val="left"/>
        </w:tabs>
        <w:numPr>
          <w:ilvl w:val="0"/>
          <w:numId w:val="6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License; Affiliates; Service Providers;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2.1 </w:t>
      </w:r>
      <w:r>
        <w:rPr>
          <w:rFonts w:ascii="Arial" w:cs="Arial" w:eastAsia="Arial" w:hAnsi="Arial"/>
          <w:sz w:val="18"/>
          <w:szCs w:val="18"/>
          <w:u w:val="single" w:color="auto"/>
          <w:color w:val="auto"/>
        </w:rPr>
        <w:t>Grant of License</w:t>
      </w:r>
      <w:r>
        <w:rPr>
          <w:rFonts w:ascii="Arial" w:cs="Arial" w:eastAsia="Arial" w:hAnsi="Arial"/>
          <w:sz w:val="18"/>
          <w:szCs w:val="18"/>
          <w:color w:val="auto"/>
        </w:rPr>
        <w:t>.</w:t>
      </w:r>
    </w:p>
    <w:p>
      <w:pPr>
        <w:ind w:right="320" w:firstLine="921"/>
        <w:spacing w:after="0" w:line="291" w:lineRule="auto"/>
        <w:tabs>
          <w:tab w:leader="none" w:pos="1293" w:val="left"/>
        </w:tabs>
        <w:numPr>
          <w:ilvl w:val="1"/>
          <w:numId w:val="602"/>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and the payment of the applicable FEES, LICENSOR hereby grants to LICENSEE, and LICENSEE hereby accepts from LICENSOR, a worldwide, non-exclusive, royalty-free, non-transferable (except as set forth in Sections</w:t>
      </w:r>
    </w:p>
    <w:p>
      <w:pPr>
        <w:ind w:right="300"/>
        <w:spacing w:after="0" w:line="277" w:lineRule="auto"/>
        <w:rPr>
          <w:rFonts w:ascii="Arial" w:cs="Arial" w:eastAsia="Arial" w:hAnsi="Arial"/>
          <w:sz w:val="16"/>
          <w:szCs w:val="16"/>
          <w:color w:val="auto"/>
        </w:rPr>
      </w:pPr>
      <w:r>
        <w:rPr>
          <w:rFonts w:ascii="Arial" w:cs="Arial" w:eastAsia="Arial" w:hAnsi="Arial"/>
          <w:sz w:val="17"/>
          <w:szCs w:val="17"/>
          <w:color w:val="auto"/>
        </w:rPr>
        <w:t>2.1(c) and 2.1(d) hereof) license in the TERRITORY under the RIGHTS for LICENSEE to use the CELLS (i) to develop LICENSEE PRODUCTS and to have SERVICE PROVIDERS develop LICENSEE PRODUCTS for or on behalf of LICENSEE only and (ii) to make, have made by SERVICE PROVIDERS, import, sell and have sold by DISTRIBUTORS such LICENSEE PRODUCTS, all solely under LICENSEE’s brand.</w:t>
      </w:r>
    </w:p>
    <w:p>
      <w:pPr>
        <w:spacing w:after="0" w:line="173" w:lineRule="exact"/>
        <w:rPr>
          <w:rFonts w:ascii="Arial" w:cs="Arial" w:eastAsia="Arial" w:hAnsi="Arial"/>
          <w:sz w:val="16"/>
          <w:szCs w:val="16"/>
          <w:color w:val="auto"/>
        </w:rPr>
      </w:pPr>
    </w:p>
    <w:p>
      <w:pPr>
        <w:ind w:firstLine="921"/>
        <w:spacing w:after="0" w:line="257" w:lineRule="auto"/>
        <w:tabs>
          <w:tab w:leader="none" w:pos="1293" w:val="left"/>
        </w:tabs>
        <w:numPr>
          <w:ilvl w:val="1"/>
          <w:numId w:val="602"/>
        </w:numPr>
        <w:rPr>
          <w:rFonts w:ascii="Arial" w:cs="Arial" w:eastAsia="Arial" w:hAnsi="Arial"/>
          <w:sz w:val="18"/>
          <w:szCs w:val="18"/>
          <w:color w:val="auto"/>
        </w:rPr>
      </w:pPr>
      <w:r>
        <w:rPr>
          <w:rFonts w:ascii="Arial" w:cs="Arial" w:eastAsia="Arial" w:hAnsi="Arial"/>
          <w:sz w:val="18"/>
          <w:szCs w:val="18"/>
          <w:color w:val="auto"/>
        </w:rPr>
        <w:t>Any rights of LICENSEE under this AGREEMENT may be exercised and any obligations of LICENSEE under this AGREEMENT may be performed by any AFFILIATE of LICENSEE to the extent that the AFFILIATE remains an AFFILIATE of LICENSEE. LICENSEE hereby unconditionally guarantees the compliance with and performance by its AFFILIATES of all applicable provisions of this AGREEMENT and will be responsible and jointly and severally liable for all of its and its AFFILIATES’ obligations due pursuant to this AGREEMENT. A breach of this AGREEMENT by any of LICENSEE’s AFFILIATES will be deemed a breach by LICENSEE.</w:t>
      </w:r>
    </w:p>
    <w:p>
      <w:pPr>
        <w:spacing w:after="0" w:line="188" w:lineRule="exact"/>
        <w:rPr>
          <w:rFonts w:ascii="Arial" w:cs="Arial" w:eastAsia="Arial" w:hAnsi="Arial"/>
          <w:sz w:val="18"/>
          <w:szCs w:val="18"/>
          <w:color w:val="auto"/>
        </w:rPr>
      </w:pPr>
    </w:p>
    <w:p>
      <w:pPr>
        <w:ind w:right="120" w:firstLine="921"/>
        <w:spacing w:after="0" w:line="257" w:lineRule="auto"/>
        <w:tabs>
          <w:tab w:leader="none" w:pos="1293" w:val="left"/>
        </w:tabs>
        <w:numPr>
          <w:ilvl w:val="1"/>
          <w:numId w:val="602"/>
        </w:numPr>
        <w:rPr>
          <w:rFonts w:ascii="Arial" w:cs="Arial" w:eastAsia="Arial" w:hAnsi="Arial"/>
          <w:sz w:val="18"/>
          <w:szCs w:val="18"/>
          <w:color w:val="auto"/>
        </w:rPr>
      </w:pPr>
      <w:r>
        <w:rPr>
          <w:rFonts w:ascii="Arial" w:cs="Arial" w:eastAsia="Arial" w:hAnsi="Arial"/>
          <w:sz w:val="18"/>
          <w:szCs w:val="18"/>
          <w:color w:val="auto"/>
        </w:rPr>
        <w:t xml:space="preserve">For clarity, nothing herein will preclude LICENSEE from entering into, or will require consent from LICENSOR with respect to, agreements with any SERVICE PROVIDERS to transfer CELLS to SERVICE PROVIDERS, for use by such SERVICE PROVIDERS for purposes which include, without limitation, the research, development (including human clinical trials), testing, analysis, expression, manufacture, production and storage of LICENSEE PRODUCTS in accordance with the rights granted hereunder,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each such SERVICE PROVIDER to which CELLS are transferred after the EFFECTIVE DATE agrees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 of 16</w:t>
      </w:r>
    </w:p>
    <w:p>
      <w:pPr>
        <w:spacing w:after="0" w:line="158" w:lineRule="exact"/>
        <w:rPr>
          <w:sz w:val="20"/>
          <w:szCs w:val="20"/>
          <w:color w:val="auto"/>
        </w:rPr>
      </w:pPr>
    </w:p>
    <w:p>
      <w:pPr>
        <w:jc w:val="both"/>
        <w:ind w:left="2420" w:right="2380" w:firstLine="44"/>
        <w:spacing w:after="0" w:line="274" w:lineRule="auto"/>
        <w:tabs>
          <w:tab w:leader="none" w:pos="3025" w:val="left"/>
        </w:tabs>
        <w:numPr>
          <w:ilvl w:val="0"/>
          <w:numId w:val="603"/>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400"/>
          </w:cols>
          <w:pgMar w:left="240" w:top="270" w:right="259" w:bottom="1440" w:gutter="0" w:footer="0" w:header="0"/>
        </w:sectPr>
      </w:pPr>
    </w:p>
    <w:bookmarkStart w:id="626" w:name="page627"/>
    <w:bookmarkEnd w:id="6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writing (i) only to use such CELLS on behalf of LICENSEE as provided hereunder; (ii) not to transfer CELLS to, or use CELLS on behalf of, any THIRD PARTY; (iii) not to use CELLS for the benefit of such SERVICE PROVIDER other than such use on behalf of LICENSEE hereunder; and (iv) to return to LICENSEE or destroy all CELLS in its possession upon completion or termination of its activities on behalf of LICENSEE, and to certify such return or destruction in writing to LICENSEE (with a copy of such certification provided to LICENSOR upon request). LICENSEE shall promptly notify LICENSOR once it becomes aware that any SERVICE PROVIDER is using CELLS other than as permitted under this AGREEMENT. LICENSEE agrees that its continued employment of a SERVICE PROVIDER when LICENSEE and/or its AFFILIATES are aware or should be aware that such SERVICE PROVIDER is using CELLS other than as permitted hereunder, if not cured as provided under Section 7.3, shall constitute a material breach by LICENSEE under this AGREEMENT. Notwithstanding the foregoing, LICENSEE shall remain responsible for its own and its SERVICE PROVIDERS’ performance under this AGREEMENT.</w:t>
      </w:r>
    </w:p>
    <w:p>
      <w:pPr>
        <w:spacing w:after="0" w:line="197" w:lineRule="exact"/>
        <w:rPr>
          <w:sz w:val="20"/>
          <w:szCs w:val="20"/>
          <w:color w:val="auto"/>
        </w:rPr>
      </w:pPr>
    </w:p>
    <w:p>
      <w:pPr>
        <w:ind w:firstLine="921"/>
        <w:spacing w:after="0" w:line="277" w:lineRule="auto"/>
        <w:tabs>
          <w:tab w:leader="none" w:pos="1303" w:val="left"/>
        </w:tabs>
        <w:numPr>
          <w:ilvl w:val="0"/>
          <w:numId w:val="604"/>
        </w:numPr>
        <w:rPr>
          <w:rFonts w:ascii="Arial" w:cs="Arial" w:eastAsia="Arial" w:hAnsi="Arial"/>
          <w:sz w:val="18"/>
          <w:szCs w:val="18"/>
          <w:color w:val="auto"/>
        </w:rPr>
      </w:pPr>
      <w:r>
        <w:rPr>
          <w:rFonts w:ascii="Arial" w:cs="Arial" w:eastAsia="Arial" w:hAnsi="Arial"/>
          <w:sz w:val="18"/>
          <w:szCs w:val="18"/>
          <w:color w:val="auto"/>
        </w:rPr>
        <w:t>No licenses provided under this AGREEMENT may be sublicensed, assigned, or otherwise transferred by LICENSEE except in accordance with Section 8, below.</w:t>
      </w:r>
    </w:p>
    <w:p>
      <w:pPr>
        <w:spacing w:after="0" w:line="170" w:lineRule="exact"/>
        <w:rPr>
          <w:rFonts w:ascii="Arial" w:cs="Arial" w:eastAsia="Arial" w:hAnsi="Arial"/>
          <w:sz w:val="18"/>
          <w:szCs w:val="18"/>
          <w:color w:val="auto"/>
        </w:rPr>
      </w:pPr>
    </w:p>
    <w:p>
      <w:pPr>
        <w:ind w:right="380" w:firstLine="921"/>
        <w:spacing w:after="0" w:line="277" w:lineRule="auto"/>
        <w:tabs>
          <w:tab w:leader="none" w:pos="1293" w:val="left"/>
        </w:tabs>
        <w:numPr>
          <w:ilvl w:val="0"/>
          <w:numId w:val="604"/>
        </w:numPr>
        <w:rPr>
          <w:rFonts w:ascii="Arial" w:cs="Arial" w:eastAsia="Arial" w:hAnsi="Arial"/>
          <w:sz w:val="18"/>
          <w:szCs w:val="18"/>
          <w:color w:val="auto"/>
        </w:rPr>
      </w:pPr>
      <w:r>
        <w:rPr>
          <w:rFonts w:ascii="Arial" w:cs="Arial" w:eastAsia="Arial" w:hAnsi="Arial"/>
          <w:sz w:val="18"/>
          <w:szCs w:val="18"/>
          <w:color w:val="auto"/>
        </w:rPr>
        <w:t>Except as set forth in Section 2.1(c) or Section 2.1(d) hereof, LICENSEE shall have no right to transfer CELLS to any THIRD PARTY under this AGREEMENT.</w:t>
      </w:r>
    </w:p>
    <w:p>
      <w:pPr>
        <w:spacing w:after="0" w:line="170" w:lineRule="exact"/>
        <w:rPr>
          <w:rFonts w:ascii="Arial" w:cs="Arial" w:eastAsia="Arial" w:hAnsi="Arial"/>
          <w:sz w:val="18"/>
          <w:szCs w:val="18"/>
          <w:color w:val="auto"/>
        </w:rPr>
      </w:pPr>
    </w:p>
    <w:p>
      <w:pPr>
        <w:ind w:left="1280" w:hanging="359"/>
        <w:spacing w:after="0"/>
        <w:tabs>
          <w:tab w:leader="none" w:pos="128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No other rights are conveyed to LICENSEE by LICENSOR by implication, estoppel or otherwise.</w:t>
      </w:r>
    </w:p>
    <w:p>
      <w:pPr>
        <w:spacing w:after="0" w:line="22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Limitations</w:t>
      </w:r>
      <w:r>
        <w:rPr>
          <w:rFonts w:ascii="Arial" w:cs="Arial" w:eastAsia="Arial" w:hAnsi="Arial"/>
          <w:sz w:val="16"/>
          <w:szCs w:val="16"/>
          <w:color w:val="auto"/>
        </w:rPr>
        <w:t>. LICENSEE acknowledges and agrees that LICENSEE does not acquire any rights hereunder to:</w:t>
      </w:r>
    </w:p>
    <w:p>
      <w:pPr>
        <w:spacing w:after="0" w:line="225" w:lineRule="exact"/>
        <w:rPr>
          <w:sz w:val="20"/>
          <w:szCs w:val="20"/>
          <w:color w:val="auto"/>
        </w:rPr>
      </w:pPr>
    </w:p>
    <w:p>
      <w:pPr>
        <w:ind w:right="520" w:firstLine="921"/>
        <w:spacing w:after="0" w:line="277" w:lineRule="auto"/>
        <w:tabs>
          <w:tab w:leader="none" w:pos="1293"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transfer CELLS to any THIRD PARTY other than its SERVICE PROVIDERS or the SERVICE PROVIDERS of its AFFILIATES as specifically set forth in Section 2.1;</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sell or offer to sell CELLS to any THIRD PARTY;</w:t>
      </w:r>
    </w:p>
    <w:p>
      <w:pPr>
        <w:spacing w:after="0" w:line="225" w:lineRule="exact"/>
        <w:rPr>
          <w:rFonts w:ascii="Arial" w:cs="Arial" w:eastAsia="Arial" w:hAnsi="Arial"/>
          <w:sz w:val="18"/>
          <w:szCs w:val="18"/>
          <w:color w:val="auto"/>
        </w:rPr>
      </w:pPr>
    </w:p>
    <w:p>
      <w:pPr>
        <w:ind w:left="1300" w:hanging="379"/>
        <w:spacing w:after="0"/>
        <w:tabs>
          <w:tab w:leader="none" w:pos="130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directly administer the CELLS into humans or animals; or</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direct the replication of or the use of the CELLS for any purpose other than as set forth in Section 2.1 or as otherwise specified herein.</w:t>
      </w:r>
    </w:p>
    <w:p>
      <w:pPr>
        <w:spacing w:after="0" w:line="23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No Implied License</w:t>
      </w:r>
      <w:r>
        <w:rPr>
          <w:rFonts w:ascii="Arial" w:cs="Arial" w:eastAsia="Arial" w:hAnsi="Arial"/>
          <w:sz w:val="17"/>
          <w:szCs w:val="17"/>
          <w:color w:val="auto"/>
        </w:rPr>
        <w:t>. Nothing in this AGREEMENT shall be construed as conferring explicitly or by implication, estoppel or otherwise any license, right or immunity under any rights that LICENSOR (and its successors, AFFILIATES and assigns, and successors, AFFILIATES and assigns of each of the foregoing) now owns or holds a license to, or acquires or obtains a license to in the future, other than the specifically identified RIGHTS for use in connection with LICENSEE PRODUCTS, regardless of whether such other rights are dominant or subordinate to the RIGHTS. Furthermore, LICENSEE and its AFFILIATES have not provided and will not provide, and LICENSOR and its AFFILIATES have not received and will not receive, any consideration except that which is expressly provided herein for the specific rights expressly granted herein. LICENSOR and its AFFILIATES do not represent or warrant that the RIGHTS include all rights owned, licensed or controlled by LICENSOR and/or its AFFILIATES that may pertain to (i) the full breadth and scope of RIGHTS and/or LICENSEE PRODUCTS, (ii) the full breadth and scope of compositions and/or methods LICENSEE and/or its AFFILIATES may employ related to RIGHTS and/or LICENSEE PRODUCTS, (iii) the full breadth and scope of methods and/or compositions an end user customer may employ related to RIGHTS and/or LICENSEE PRODUCTS, and/or (iv) the full breadth and scope of intellectual property that may arise related to RIGHTS and/or LICENSEE PRODUCTS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 of 16</w:t>
      </w:r>
    </w:p>
    <w:p>
      <w:pPr>
        <w:spacing w:after="0" w:line="158" w:lineRule="exact"/>
        <w:rPr>
          <w:sz w:val="20"/>
          <w:szCs w:val="20"/>
          <w:color w:val="auto"/>
        </w:rPr>
      </w:pPr>
    </w:p>
    <w:p>
      <w:pPr>
        <w:jc w:val="both"/>
        <w:ind w:left="2420" w:right="2380" w:firstLine="44"/>
        <w:spacing w:after="0" w:line="274" w:lineRule="auto"/>
        <w:tabs>
          <w:tab w:leader="none" w:pos="3025" w:val="left"/>
        </w:tabs>
        <w:numPr>
          <w:ilvl w:val="0"/>
          <w:numId w:val="606"/>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400"/>
          </w:cols>
          <w:pgMar w:left="240" w:top="270" w:right="259" w:bottom="1440" w:gutter="0" w:footer="0" w:header="0"/>
        </w:sectPr>
      </w:pPr>
    </w:p>
    <w:bookmarkStart w:id="627" w:name="page628"/>
    <w:bookmarkEnd w:id="6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Regulatory Support</w:t>
      </w:r>
      <w:r>
        <w:rPr>
          <w:rFonts w:ascii="Arial" w:cs="Arial" w:eastAsia="Arial" w:hAnsi="Arial"/>
          <w:sz w:val="18"/>
          <w:szCs w:val="18"/>
          <w:color w:val="auto"/>
        </w:rPr>
        <w:t>. In the event that LICENSEE engages in clinical and regulatory activities directed towards obtaining regulatory approval of a LICENSEE PRODUCT and desires additional assistance or information from LICENSOR with respect to the cell lineage history, testing results or any other cell line documentation relating to the CELLS, then LICENSOR shall, at the expense of LICENSEE, use commercially reasonable efforts to provide such assistance or information.</w:t>
      </w:r>
    </w:p>
    <w:p>
      <w:pPr>
        <w:spacing w:after="0" w:line="183" w:lineRule="exact"/>
        <w:rPr>
          <w:sz w:val="20"/>
          <w:szCs w:val="20"/>
          <w:color w:val="auto"/>
        </w:rPr>
      </w:pPr>
    </w:p>
    <w:p>
      <w:pPr>
        <w:ind w:firstLine="8"/>
        <w:spacing w:after="0" w:line="266" w:lineRule="auto"/>
        <w:tabs>
          <w:tab w:leader="none" w:pos="315" w:val="left"/>
        </w:tabs>
        <w:numPr>
          <w:ilvl w:val="0"/>
          <w:numId w:val="6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Fees</w:t>
      </w:r>
      <w:r>
        <w:rPr>
          <w:rFonts w:ascii="Arial" w:cs="Arial" w:eastAsia="Arial" w:hAnsi="Arial"/>
          <w:sz w:val="18"/>
          <w:szCs w:val="18"/>
          <w:b w:val="1"/>
          <w:bCs w:val="1"/>
          <w:color w:val="auto"/>
        </w:rPr>
        <w:t xml:space="preserve">. </w:t>
      </w:r>
      <w:r>
        <w:rPr>
          <w:rFonts w:ascii="Arial" w:cs="Arial" w:eastAsia="Arial" w:hAnsi="Arial"/>
          <w:sz w:val="18"/>
          <w:szCs w:val="18"/>
          <w:color w:val="auto"/>
        </w:rPr>
        <w:t>As consideration for the rights granted hereunder, LICENSEE agrees to pay LICENSOR a non-refundable, non-creditable license fee of [XXX],</w:t>
      </w:r>
      <w:r>
        <w:rPr>
          <w:rFonts w:ascii="Arial" w:cs="Arial" w:eastAsia="Arial" w:hAnsi="Arial"/>
          <w:sz w:val="18"/>
          <w:szCs w:val="18"/>
          <w:b w:val="1"/>
          <w:bCs w:val="1"/>
          <w:color w:val="auto"/>
        </w:rPr>
        <w:t xml:space="preserve"> </w:t>
      </w:r>
      <w:r>
        <w:rPr>
          <w:rFonts w:ascii="Arial" w:cs="Arial" w:eastAsia="Arial" w:hAnsi="Arial"/>
          <w:sz w:val="18"/>
          <w:szCs w:val="18"/>
          <w:color w:val="auto"/>
        </w:rPr>
        <w:t>due upon the EFFECTIVE DATE and payable within fifteen (15) days thereof (“</w:t>
      </w:r>
      <w:r>
        <w:rPr>
          <w:rFonts w:ascii="Arial" w:cs="Arial" w:eastAsia="Arial" w:hAnsi="Arial"/>
          <w:sz w:val="18"/>
          <w:szCs w:val="18"/>
          <w:b w:val="1"/>
          <w:bCs w:val="1"/>
          <w:color w:val="auto"/>
        </w:rPr>
        <w:t>LICENSE FEE</w:t>
      </w:r>
      <w:r>
        <w:rPr>
          <w:rFonts w:ascii="Arial" w:cs="Arial" w:eastAsia="Arial" w:hAnsi="Arial"/>
          <w:sz w:val="18"/>
          <w:szCs w:val="18"/>
          <w:color w:val="auto"/>
        </w:rPr>
        <w:t>”). For clarity, termination of this AGREEMENT at any time after the EFFECTIVE DATE shall not relieve LICENSEE of any unfulfilled payment obligations of the LICENSE FEE.</w:t>
      </w:r>
    </w:p>
    <w:p>
      <w:pPr>
        <w:spacing w:after="0" w:line="176" w:lineRule="exact"/>
        <w:rPr>
          <w:rFonts w:ascii="Arial" w:cs="Arial" w:eastAsia="Arial" w:hAnsi="Arial"/>
          <w:sz w:val="18"/>
          <w:szCs w:val="18"/>
          <w:b w:val="1"/>
          <w:bCs w:val="1"/>
          <w:color w:val="auto"/>
        </w:rPr>
      </w:pPr>
    </w:p>
    <w:p>
      <w:pPr>
        <w:ind w:left="460" w:right="60" w:hanging="452"/>
        <w:spacing w:after="0" w:line="407" w:lineRule="auto"/>
        <w:tabs>
          <w:tab w:leader="none" w:pos="318" w:val="left"/>
        </w:tabs>
        <w:numPr>
          <w:ilvl w:val="0"/>
          <w:numId w:val="6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All payments due hereunder shall be payable in U.S. dollars and shall be made by check or wire transfer to the appropriate account as follows:</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by check shall be made 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by wire transfer shall be made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LICENSEE shall be responsible for any and all bank transfer charges associated with payments required to be made by it or its AFFILIATES under this AGREEMENT.</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Any amount not paid by LICENSEE when due will bear interest at an annual rate of [XXX] over the prime rate offered by Citibank N.A. on the date the payment is due until the due date the payment is made. The payment of such interest shall not prohibit LICENSOR from exercising any other rights it may have as a consequence of the lateness of the payment.</w:t>
      </w:r>
    </w:p>
    <w:p>
      <w:pPr>
        <w:spacing w:after="0" w:line="285" w:lineRule="exact"/>
        <w:rPr>
          <w:sz w:val="20"/>
          <w:szCs w:val="20"/>
          <w:color w:val="auto"/>
        </w:rPr>
      </w:pPr>
    </w:p>
    <w:p>
      <w:pPr>
        <w:ind w:left="320" w:hanging="312"/>
        <w:spacing w:after="0"/>
        <w:tabs>
          <w:tab w:leader="none" w:pos="320" w:val="left"/>
        </w:tabs>
        <w:numPr>
          <w:ilvl w:val="0"/>
          <w:numId w:val="6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Press Release; Use of Marks</w:t>
      </w:r>
      <w:r>
        <w:rPr>
          <w:rFonts w:ascii="Arial" w:cs="Arial" w:eastAsia="Arial" w:hAnsi="Arial"/>
          <w:sz w:val="18"/>
          <w:szCs w:val="18"/>
          <w:b w:val="1"/>
          <w:bCs w:val="1"/>
          <w:color w:val="auto"/>
        </w:rPr>
        <w:t>.</w:t>
      </w:r>
    </w:p>
    <w:p>
      <w:pPr>
        <w:spacing w:after="0" w:line="11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term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in this AGREEMENT means all non-public or proprietary information disclosed by or on behalf of a PARTY or its AFFILIATES to the other PARTY pursuant to this AGREEMENT, which may include ideas, inventions, discoveries, concepts, compounds, compositions, formulations, formulas, practices, procedures, processes, methods, knowledge, know-how, trade secrets, technology, inventories, machines, techniques, development, designs, drawings, computer programs, skill, experience, documents, apparatus, results, clinical and regulatory strategies,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16</w:t>
      </w:r>
    </w:p>
    <w:p>
      <w:pPr>
        <w:spacing w:after="0" w:line="158" w:lineRule="exact"/>
        <w:rPr>
          <w:sz w:val="20"/>
          <w:szCs w:val="20"/>
          <w:color w:val="auto"/>
        </w:rPr>
      </w:pPr>
    </w:p>
    <w:p>
      <w:pPr>
        <w:jc w:val="both"/>
        <w:ind w:left="2420" w:right="2380" w:firstLine="44"/>
        <w:spacing w:after="0" w:line="274" w:lineRule="auto"/>
        <w:tabs>
          <w:tab w:leader="none" w:pos="3025" w:val="left"/>
        </w:tabs>
        <w:numPr>
          <w:ilvl w:val="0"/>
          <w:numId w:val="60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400"/>
          </w:cols>
          <w:pgMar w:left="240" w:top="270" w:right="259" w:bottom="1440" w:gutter="0" w:footer="0" w:header="0"/>
        </w:sectPr>
      </w:pPr>
    </w:p>
    <w:bookmarkStart w:id="628" w:name="page629"/>
    <w:bookmarkEnd w:id="6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380"/>
        <w:spacing w:after="0" w:line="276" w:lineRule="auto"/>
        <w:rPr>
          <w:sz w:val="20"/>
          <w:szCs w:val="20"/>
          <w:color w:val="auto"/>
        </w:rPr>
      </w:pPr>
      <w:r>
        <w:rPr>
          <w:rFonts w:ascii="Arial" w:cs="Arial" w:eastAsia="Arial" w:hAnsi="Arial"/>
          <w:sz w:val="17"/>
          <w:szCs w:val="17"/>
          <w:color w:val="auto"/>
        </w:rPr>
        <w:t>regulatory documentation, information and submissions pertaining to, or made in association with, filings with any REGULATORY AUTHORITY, data, including pharmacological, toxicological and clinical data, analytical and quality control data, manufacturing data and descriptions, patent and legal data, market data, financial data or descriptions, devices, assays, chemical formulations, specifications, material, product samples and other samples, physical, chemical and biological materials and compounds, and the like, in whatever form or medium, and whether or not designated or marked “confidential” or “proprietary.” CONFIDENTIAL INFORMATION shall include the terms and conditions of this AGREEMENT.</w:t>
      </w:r>
    </w:p>
    <w:p>
      <w:pPr>
        <w:spacing w:after="0" w:line="173"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Exclusions</w:t>
      </w:r>
      <w:r>
        <w:rPr>
          <w:rFonts w:ascii="Arial" w:cs="Arial" w:eastAsia="Arial" w:hAnsi="Arial"/>
          <w:sz w:val="17"/>
          <w:szCs w:val="17"/>
          <w:color w:val="auto"/>
        </w:rPr>
        <w:t xml:space="preserve">. Notwithstanding any other provision of this AGREEMENT, CONFIDENTIAL INFORMATION shall not include any item of information that the receiving party demonstrates: (i) became generally available to the public other than as a result of disclosure by the receiving party or its AFFILIATES; (ii) was available to the receiving party and its AFFILIATES on a non-confidential basis prior to the disclosure to the receiving party by the disclosing party; (iii) became available to the receiving party or its AFFILIATES on a non-confidential basis from a source other than the disclosing party;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such source is not bound by an obligation of confidentiality to the disclosing party; or (iv) was independently developed by the receiving party</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use of the CONFIDENTIAL INFORMATION as evidenced by written records.</w:t>
      </w:r>
    </w:p>
    <w:p>
      <w:pPr>
        <w:spacing w:after="0" w:line="17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Non-Use and Confidentiality</w:t>
      </w:r>
      <w:r>
        <w:rPr>
          <w:rFonts w:ascii="Arial" w:cs="Arial" w:eastAsia="Arial" w:hAnsi="Arial"/>
          <w:sz w:val="18"/>
          <w:szCs w:val="18"/>
          <w:color w:val="auto"/>
        </w:rPr>
        <w:t>. The PARTIES shall maintain the CONFIDENTIAL INFORMATION in strict confidence and the PARTIES shall use CONFIDENTIAL INFORMATION only in accordance with the terms and conditions of this AGREEMENT. Each PARTY shall (i) limit its dissemination of CONFIDENTIAL INFORMATION to only those employees and agents of such PARTY and such PARTY’s AFFILIATES, who require such CONFIDENTIAL INFORMATION in order to exercise the rights of each PARTY and such PARTY’s AFFILIATES under this AGREEMENT and such employees and agents shall be subject to obligations of confidentiality at least as restrictive as those specified herein; and (ii) not disclose, without the prior written consent of the other PARTY, CONFIDENTIAL INFORMATION to any THIRD PARTY other than to (a) an AFFILIATE or SERVICE PROVIDER to the extent required for the purposes of this AGREEMENT, (b) to a REGULATORY AUTHORITY in connection with REGULATORY FILINGS, or (c) to any GOVERNMENTAL AUTHORITY in accordance with LAWS. In the event that the receiving party or anyone to whom it transmits the CONFIDENTIAL INFORMATION pursuant to this AGREEMENT becomes legally required to disclose any such CONFIDENTIAL INFORMATION, the receiving party shall provide the disclosing party with prompt notice of such required disclosure so that the disclosing party may seek a protective order or other appropriate remedy and/or waive compliance with the provisions of this AGREEMENT. In the event that such protective order or other remedy is not obtained, the receiving party shall furnish only that portion of the CONFIDENTIAL INFORMATION which is legally required to be furnished in the written opinion of the receiving party’s counsel. The burdens of non-use and confidentiality under this Agreement will continue until terminated by mutual agreement between the PARTIES hereto.</w:t>
      </w:r>
    </w:p>
    <w:p>
      <w:pPr>
        <w:spacing w:after="0" w:line="19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Press Release</w:t>
      </w:r>
      <w:r>
        <w:rPr>
          <w:rFonts w:ascii="Arial" w:cs="Arial" w:eastAsia="Arial" w:hAnsi="Arial"/>
          <w:sz w:val="18"/>
          <w:szCs w:val="18"/>
          <w:color w:val="auto"/>
        </w:rPr>
        <w:t>. Neither PARTY will make any public press release or similar publicity announcement or disclosure that includes the other PARTY’s names, logos, trademarks or service marks, or the physical likeness or names of its employees or investigators or other symbols of the other PARTY without the other PARTY’s prior written consent.</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Limited Use of Marks</w:t>
      </w:r>
      <w:r>
        <w:rPr>
          <w:rFonts w:ascii="Arial" w:cs="Arial" w:eastAsia="Arial" w:hAnsi="Arial"/>
          <w:sz w:val="17"/>
          <w:szCs w:val="17"/>
          <w:color w:val="auto"/>
        </w:rPr>
        <w:t xml:space="preserve">. LICENSEE shall not, at any time, employ any of the trade names, trademarks, trade dress, slogans, designs, or the like of LICENSOR or its AFFILIATES for any advertising, promotional, or other purposes without prior written permission to do so from LICENSOR;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LICENSEE may disclose the existence of this AGREEMENT and the name of LICENSOR and its AFFILIATES to LICENSEE’s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SERVICE PROVIDERS and THIRD PARTIES, and to REGULATORY AUTHORITIES in connection with REGULATORY FILINGS and in accordance with the requirements of any GOVERNMENTAL AUTHORITIES (subject to Section 5.3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16</w:t>
      </w:r>
    </w:p>
    <w:p>
      <w:pPr>
        <w:spacing w:after="0" w:line="158" w:lineRule="exact"/>
        <w:rPr>
          <w:sz w:val="20"/>
          <w:szCs w:val="20"/>
          <w:color w:val="auto"/>
        </w:rPr>
      </w:pPr>
    </w:p>
    <w:p>
      <w:pPr>
        <w:jc w:val="both"/>
        <w:ind w:left="2420" w:right="2400" w:firstLine="44"/>
        <w:spacing w:after="0" w:line="274" w:lineRule="auto"/>
        <w:tabs>
          <w:tab w:leader="none" w:pos="3025" w:val="left"/>
        </w:tabs>
        <w:numPr>
          <w:ilvl w:val="0"/>
          <w:numId w:val="610"/>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420"/>
          </w:cols>
          <w:pgMar w:left="240" w:top="269" w:right="239" w:bottom="1440" w:gutter="0" w:footer="0" w:header="0"/>
        </w:sectPr>
      </w:pPr>
    </w:p>
    <w:bookmarkStart w:id="629" w:name="page630"/>
    <w:bookmarkEnd w:id="6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ind w:right="120" w:firstLine="8"/>
        <w:spacing w:after="0" w:line="256" w:lineRule="auto"/>
        <w:tabs>
          <w:tab w:leader="none" w:pos="180" w:val="left"/>
        </w:tabs>
        <w:numPr>
          <w:ilvl w:val="0"/>
          <w:numId w:val="6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Reservation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not limit the rights of LICENSOR or its AFFILIATES in any way regarding RIGHTS. It is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understood that as between the PARTIES to this AGREEMENT, LICENSOR reserves the right for itself or through its AFFILIATES to exercise its rights in its intellectual property, and to license, sublicense, assign or otherwise transfer such rights to others for any purpose whatsoever, under any terms it so chooses, in its sole discretion or not at all, including terms and conditions that are substantially similar to or different from those in this AGREEMENT. For purposes of clarification, LICENSOR may provide THIRD PARTIES with draft contracts that are substantially similar to this AGREEMENT at its sole discretion.</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AGREEMENT shall also not limit the rights of LICENSEE or its AFFILIATES to license their own intellectual property rights to any THIRD PARTY. For clarity, in order for any THIRD PARTY to use CELLS or any LICENSOR intellectual property rights thereto (including RIGHTS) for commercial purposes (including without limitation pre-IND commercial research), except as set forth in 2.1 (c), such a THIRD PARTY must obtain a separate license from LICENSOR for consideration and on terms and conditions to be determined by LICENSOR, and it is a material condition of this AGREEMENT that LICENSEE inform its clients, potential licensees and other THIRD PARTIES interested in such rights of this requirement in writing with a copy of each such notification to LICENSOR.</w:t>
      </w:r>
    </w:p>
    <w:p>
      <w:pPr>
        <w:spacing w:after="0" w:line="297" w:lineRule="exact"/>
        <w:rPr>
          <w:sz w:val="20"/>
          <w:szCs w:val="20"/>
          <w:color w:val="auto"/>
        </w:rPr>
      </w:pPr>
    </w:p>
    <w:p>
      <w:pPr>
        <w:ind w:left="180" w:hanging="172"/>
        <w:spacing w:after="0"/>
        <w:tabs>
          <w:tab w:leader="none" w:pos="180" w:val="left"/>
        </w:tabs>
        <w:numPr>
          <w:ilvl w:val="0"/>
          <w:numId w:val="6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w:t>
      </w:r>
      <w:r>
        <w:rPr>
          <w:rFonts w:ascii="Arial" w:cs="Arial" w:eastAsia="Arial" w:hAnsi="Arial"/>
          <w:sz w:val="18"/>
          <w:szCs w:val="18"/>
          <w:color w:val="auto"/>
        </w:rPr>
        <w:t>. This license is granted to LICENSEE as of the EFFECTIVE DATE, and will continue in perpetuity unless earlier terminated in accordance with this Section 7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Termination by LICENSEE</w:t>
      </w:r>
      <w:r>
        <w:rPr>
          <w:rFonts w:ascii="Arial" w:cs="Arial" w:eastAsia="Arial" w:hAnsi="Arial"/>
          <w:sz w:val="18"/>
          <w:szCs w:val="18"/>
          <w:color w:val="auto"/>
        </w:rPr>
        <w:t>. LICENSEE may terminate this AGREEMENT without specification of any reason with thirty (30) days’ prior written notice to LICENSOR. Any such termination shall become effective at the end of the thirty (30) day notice period.</w:t>
      </w:r>
    </w:p>
    <w:p>
      <w:pPr>
        <w:spacing w:after="0" w:line="27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Termination by LICENSOR</w:t>
      </w:r>
      <w:r>
        <w:rPr>
          <w:rFonts w:ascii="Arial" w:cs="Arial" w:eastAsia="Arial" w:hAnsi="Arial"/>
          <w:sz w:val="16"/>
          <w:szCs w:val="16"/>
          <w:color w:val="auto"/>
        </w:rPr>
        <w:t>.</w:t>
      </w:r>
    </w:p>
    <w:p>
      <w:pPr>
        <w:spacing w:after="0" w:line="117" w:lineRule="exact"/>
        <w:rPr>
          <w:sz w:val="20"/>
          <w:szCs w:val="20"/>
          <w:color w:val="auto"/>
        </w:rPr>
      </w:pPr>
    </w:p>
    <w:p>
      <w:pPr>
        <w:jc w:val="both"/>
        <w:ind w:firstLine="921"/>
        <w:spacing w:after="0" w:line="279" w:lineRule="auto"/>
        <w:tabs>
          <w:tab w:leader="none" w:pos="1263" w:val="left"/>
        </w:tabs>
        <w:numPr>
          <w:ilvl w:val="1"/>
          <w:numId w:val="613"/>
        </w:numPr>
        <w:rPr>
          <w:rFonts w:ascii="Arial" w:cs="Arial" w:eastAsia="Arial" w:hAnsi="Arial"/>
          <w:sz w:val="17"/>
          <w:szCs w:val="17"/>
          <w:color w:val="auto"/>
        </w:rPr>
      </w:pPr>
      <w:r>
        <w:rPr>
          <w:rFonts w:ascii="Arial" w:cs="Arial" w:eastAsia="Arial" w:hAnsi="Arial"/>
          <w:sz w:val="17"/>
          <w:szCs w:val="17"/>
          <w:color w:val="auto"/>
        </w:rPr>
        <w:t>Upon a material breach or default of a material term under this AGREEMENT by LICENSEE or an AFFILIATE of LICENSEE, including without limitation a failure to pay fees owed as specified in this AGREEMENT, this AGREEMENT may be terminated by LICENSOR upon sixty (60) days prior written notice to LICENSEE (the “</w:t>
      </w:r>
      <w:r>
        <w:rPr>
          <w:rFonts w:ascii="Arial" w:cs="Arial" w:eastAsia="Arial" w:hAnsi="Arial"/>
          <w:sz w:val="17"/>
          <w:szCs w:val="17"/>
          <w:b w:val="1"/>
          <w:bCs w:val="1"/>
          <w:color w:val="auto"/>
        </w:rPr>
        <w:t>CURE PERIOD</w:t>
      </w:r>
      <w:r>
        <w:rPr>
          <w:rFonts w:ascii="Arial" w:cs="Arial" w:eastAsia="Arial" w:hAnsi="Arial"/>
          <w:sz w:val="17"/>
          <w:szCs w:val="17"/>
          <w:color w:val="auto"/>
        </w:rPr>
        <w:t>”). Any termination of this AGREEMENT pursuant to this Section 7.3 shall become effective at the end of the CURE PERIOD, unless LICENSEE has cured any such material breach prior to the expiration of such CURE PERIOD.</w:t>
      </w:r>
    </w:p>
    <w:p>
      <w:pPr>
        <w:spacing w:after="0" w:line="171" w:lineRule="exact"/>
        <w:rPr>
          <w:rFonts w:ascii="Arial" w:cs="Arial" w:eastAsia="Arial" w:hAnsi="Arial"/>
          <w:sz w:val="17"/>
          <w:szCs w:val="17"/>
          <w:color w:val="auto"/>
        </w:rPr>
      </w:pPr>
    </w:p>
    <w:p>
      <w:pPr>
        <w:ind w:firstLine="921"/>
        <w:spacing w:after="0" w:line="271" w:lineRule="auto"/>
        <w:tabs>
          <w:tab w:leader="none" w:pos="1313" w:val="left"/>
        </w:tabs>
        <w:numPr>
          <w:ilvl w:val="1"/>
          <w:numId w:val="613"/>
        </w:numPr>
        <w:rPr>
          <w:rFonts w:ascii="Arial" w:cs="Arial" w:eastAsia="Arial" w:hAnsi="Arial"/>
          <w:sz w:val="17"/>
          <w:szCs w:val="17"/>
          <w:color w:val="auto"/>
        </w:rPr>
      </w:pPr>
      <w:r>
        <w:rPr>
          <w:rFonts w:ascii="Arial" w:cs="Arial" w:eastAsia="Arial" w:hAnsi="Arial"/>
          <w:sz w:val="17"/>
          <w:szCs w:val="17"/>
          <w:color w:val="auto"/>
        </w:rPr>
        <w:t>In the event that LICENSEE notifies LICENSOR, or LICENSOR becomes independently aware, that any of LICENSEE’s AFFILIATES or a particular SERVICE PROVIDER is using CELLS other than as permitted under this AGREEMENT (a “</w:t>
      </w:r>
      <w:r>
        <w:rPr>
          <w:rFonts w:ascii="Arial" w:cs="Arial" w:eastAsia="Arial" w:hAnsi="Arial"/>
          <w:sz w:val="17"/>
          <w:szCs w:val="17"/>
          <w:b w:val="1"/>
          <w:bCs w:val="1"/>
          <w:color w:val="auto"/>
        </w:rPr>
        <w:t>NON-COMPLIANT ENTITY</w:t>
      </w:r>
      <w:r>
        <w:rPr>
          <w:rFonts w:ascii="Arial" w:cs="Arial" w:eastAsia="Arial" w:hAnsi="Arial"/>
          <w:sz w:val="17"/>
          <w:szCs w:val="17"/>
          <w:color w:val="auto"/>
        </w:rPr>
        <w:t>”), the rights conveyed by LICENSEE or its AFFILIATES to such NON-COMPLIANT ENTITY under this AGREEMENT may be terminated by LICENSOR upon sixty</w:t>
      </w:r>
    </w:p>
    <w:p>
      <w:pPr>
        <w:ind w:right="160" w:firstLine="8"/>
        <w:spacing w:after="0" w:line="323" w:lineRule="auto"/>
        <w:tabs>
          <w:tab w:leader="none" w:pos="345" w:val="left"/>
        </w:tabs>
        <w:numPr>
          <w:ilvl w:val="0"/>
          <w:numId w:val="614"/>
        </w:numPr>
        <w:rPr>
          <w:rFonts w:ascii="Arial" w:cs="Arial" w:eastAsia="Arial" w:hAnsi="Arial"/>
          <w:sz w:val="16"/>
          <w:szCs w:val="16"/>
          <w:color w:val="auto"/>
        </w:rPr>
      </w:pPr>
      <w:r>
        <w:rPr>
          <w:rFonts w:ascii="Arial" w:cs="Arial" w:eastAsia="Arial" w:hAnsi="Arial"/>
          <w:sz w:val="16"/>
          <w:szCs w:val="16"/>
          <w:color w:val="auto"/>
        </w:rPr>
        <w:t>days’ written notice to LICENSEE. Said notice shall become effective at the end of the sixty (60) day period, unless during said period LICENSEE causes the NON-COMPLIANT ENTITY to cure the non-compliant activities, and LICENSEE provides clear written evidence of such cure to LICENSOR.</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 of 16</w:t>
      </w:r>
    </w:p>
    <w:p>
      <w:pPr>
        <w:spacing w:after="0" w:line="158" w:lineRule="exact"/>
        <w:rPr>
          <w:sz w:val="20"/>
          <w:szCs w:val="20"/>
          <w:color w:val="auto"/>
        </w:rPr>
      </w:pPr>
    </w:p>
    <w:p>
      <w:pPr>
        <w:jc w:val="both"/>
        <w:ind w:left="2420" w:right="2340" w:firstLine="44"/>
        <w:spacing w:after="0" w:line="274" w:lineRule="auto"/>
        <w:tabs>
          <w:tab w:leader="none" w:pos="3025" w:val="left"/>
        </w:tabs>
        <w:numPr>
          <w:ilvl w:val="0"/>
          <w:numId w:val="61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360"/>
          </w:cols>
          <w:pgMar w:left="240" w:top="271" w:right="299" w:bottom="1440" w:gutter="0" w:footer="0" w:header="0"/>
        </w:sectPr>
      </w:pPr>
    </w:p>
    <w:bookmarkStart w:id="630" w:name="page631"/>
    <w:bookmarkEnd w:id="6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180" w:firstLine="921"/>
        <w:spacing w:after="0" w:line="257" w:lineRule="auto"/>
        <w:tabs>
          <w:tab w:leader="none" w:pos="1363" w:val="left"/>
        </w:tabs>
        <w:numPr>
          <w:ilvl w:val="0"/>
          <w:numId w:val="616"/>
        </w:numPr>
        <w:rPr>
          <w:rFonts w:ascii="Arial" w:cs="Arial" w:eastAsia="Arial" w:hAnsi="Arial"/>
          <w:sz w:val="18"/>
          <w:szCs w:val="18"/>
          <w:color w:val="auto"/>
        </w:rPr>
      </w:pPr>
      <w:r>
        <w:rPr>
          <w:rFonts w:ascii="Arial" w:cs="Arial" w:eastAsia="Arial" w:hAnsi="Arial"/>
          <w:sz w:val="18"/>
          <w:szCs w:val="18"/>
          <w:color w:val="auto"/>
        </w:rPr>
        <w:t>LICENSOR shall have the right to terminate this AGREEMENT immediately at any time upon written notice to LICENSEE in the event that LICENSOR reasonably determines that continued performance under the AGREEMENT may violate any LAWS. LICENSOR shall communicate with LICENSEE regarding the circumstances giving rise to such termination and shall use commercially reasonable efforts to provide LICENSEE with advance notice of such termination. Prior to terminating the AGREEMENT as set forth herein, LICENSOR shall use commercially reasonable efforts to mitigate the potential violation of any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Termination by LICENSOR in compliance with this Section 7.3 shall not, in any event, constitute a breach of this AGREEMENT.</w:t>
      </w:r>
    </w:p>
    <w:p>
      <w:pPr>
        <w:spacing w:after="0" w:line="33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117" w:lineRule="exact"/>
        <w:rPr>
          <w:sz w:val="20"/>
          <w:szCs w:val="20"/>
          <w:color w:val="auto"/>
        </w:rPr>
      </w:pPr>
    </w:p>
    <w:p>
      <w:pPr>
        <w:ind w:right="180" w:firstLine="921"/>
        <w:spacing w:after="0" w:line="279" w:lineRule="auto"/>
        <w:tabs>
          <w:tab w:leader="none" w:pos="1293" w:val="left"/>
        </w:tabs>
        <w:numPr>
          <w:ilvl w:val="1"/>
          <w:numId w:val="617"/>
        </w:numPr>
        <w:rPr>
          <w:rFonts w:ascii="Arial" w:cs="Arial" w:eastAsia="Arial" w:hAnsi="Arial"/>
          <w:sz w:val="17"/>
          <w:szCs w:val="17"/>
          <w:color w:val="auto"/>
        </w:rPr>
      </w:pPr>
      <w:r>
        <w:rPr>
          <w:rFonts w:ascii="Arial" w:cs="Arial" w:eastAsia="Arial" w:hAnsi="Arial"/>
          <w:sz w:val="17"/>
          <w:szCs w:val="17"/>
          <w:color w:val="auto"/>
        </w:rPr>
        <w:t>Upon the effective date of termination of this AGREEMENT, all rights and licenses granted to LICENSEE and its AFFILIATES by LICENSOR hereunder, including any rights extended by LICENSEE and/or its AFFILIATES to SERVICE PROVIDERS or DISTRIBUTORS shall automatically and immediately terminate and LICENSEE shall immediately stop, and shall cause (if applicable) its AFFILIATES, SERVICE PROVIDERS, and DISTRIBUTORS to immediately stop, exercising the license rights granted to LICENSEE in Section 2.1 of this AGREEMENT.</w:t>
      </w:r>
    </w:p>
    <w:p>
      <w:pPr>
        <w:spacing w:after="0" w:line="171" w:lineRule="exact"/>
        <w:rPr>
          <w:rFonts w:ascii="Arial" w:cs="Arial" w:eastAsia="Arial" w:hAnsi="Arial"/>
          <w:sz w:val="17"/>
          <w:szCs w:val="17"/>
          <w:color w:val="auto"/>
        </w:rPr>
      </w:pPr>
    </w:p>
    <w:p>
      <w:pPr>
        <w:ind w:right="80" w:firstLine="921"/>
        <w:spacing w:after="0" w:line="259" w:lineRule="auto"/>
        <w:tabs>
          <w:tab w:leader="none" w:pos="1303" w:val="left"/>
        </w:tabs>
        <w:numPr>
          <w:ilvl w:val="1"/>
          <w:numId w:val="617"/>
        </w:numPr>
        <w:rPr>
          <w:rFonts w:ascii="Arial" w:cs="Arial" w:eastAsia="Arial" w:hAnsi="Arial"/>
          <w:sz w:val="18"/>
          <w:szCs w:val="18"/>
          <w:color w:val="auto"/>
        </w:rPr>
      </w:pPr>
      <w:r>
        <w:rPr>
          <w:rFonts w:ascii="Arial" w:cs="Arial" w:eastAsia="Arial" w:hAnsi="Arial"/>
          <w:sz w:val="18"/>
          <w:szCs w:val="18"/>
          <w:color w:val="auto"/>
        </w:rPr>
        <w:t>LICENSEE shall, as soon as practicable, but in any event, within sixty (60) days following the effective date of termination of this AGREEMENT cause its AFFILIATES and SERVICE PROVIDERS to return to LICENSEE or destroy all CELLS in such AFFILIATES’ and/or SERVICE PROVIDERS’ possession, with certification of such return or destruction in writing to LICENSEE (with a copy of such certification provided to LICENSOR upon request).</w:t>
      </w:r>
    </w:p>
    <w:p>
      <w:pPr>
        <w:spacing w:after="0" w:line="186" w:lineRule="exact"/>
        <w:rPr>
          <w:rFonts w:ascii="Arial" w:cs="Arial" w:eastAsia="Arial" w:hAnsi="Arial"/>
          <w:sz w:val="18"/>
          <w:szCs w:val="18"/>
          <w:color w:val="auto"/>
        </w:rPr>
      </w:pPr>
    </w:p>
    <w:p>
      <w:pPr>
        <w:ind w:right="20" w:firstLine="921"/>
        <w:spacing w:after="0" w:line="274" w:lineRule="auto"/>
        <w:tabs>
          <w:tab w:leader="none" w:pos="1293" w:val="left"/>
        </w:tabs>
        <w:numPr>
          <w:ilvl w:val="1"/>
          <w:numId w:val="617"/>
        </w:numPr>
        <w:rPr>
          <w:rFonts w:ascii="Arial" w:cs="Arial" w:eastAsia="Arial" w:hAnsi="Arial"/>
          <w:sz w:val="17"/>
          <w:szCs w:val="17"/>
          <w:color w:val="auto"/>
        </w:rPr>
      </w:pPr>
      <w:r>
        <w:rPr>
          <w:rFonts w:ascii="Arial" w:cs="Arial" w:eastAsia="Arial" w:hAnsi="Arial"/>
          <w:sz w:val="17"/>
          <w:szCs w:val="17"/>
          <w:color w:val="auto"/>
        </w:rPr>
        <w:t>Upon termination for any reason of rights conveyed by LICENSEE or its AFFILIATES to any AFFILIATE or SERVICE PROVIDER under this AGREEMENT, which termination does not include termination of the licenses granted to LICENSEE hereunder, LICENSEE shall, within thirty</w:t>
      </w:r>
    </w:p>
    <w:p>
      <w:pPr>
        <w:jc w:val="both"/>
        <w:ind w:right="100" w:firstLine="8"/>
        <w:spacing w:after="0" w:line="255" w:lineRule="auto"/>
        <w:tabs>
          <w:tab w:leader="none" w:pos="345" w:val="left"/>
        </w:tabs>
        <w:numPr>
          <w:ilvl w:val="0"/>
          <w:numId w:val="618"/>
        </w:numPr>
        <w:rPr>
          <w:rFonts w:ascii="Arial" w:cs="Arial" w:eastAsia="Arial" w:hAnsi="Arial"/>
          <w:sz w:val="18"/>
          <w:szCs w:val="18"/>
          <w:color w:val="auto"/>
        </w:rPr>
      </w:pPr>
      <w:r>
        <w:rPr>
          <w:rFonts w:ascii="Arial" w:cs="Arial" w:eastAsia="Arial" w:hAnsi="Arial"/>
          <w:sz w:val="18"/>
          <w:szCs w:val="18"/>
          <w:color w:val="auto"/>
        </w:rPr>
        <w:t>days following the effective date of such termination, cause the terminated AFFILIATE or SERVICE PROVIDER to return to LICENSEE or destroy all CELLS in such AFFILIATE’s or SERVICE PROVIDER’s possession and to certify such return or destruction in writing to LICENSEE (with a copy of such certification provided to LICENSOR upon request).</w:t>
      </w:r>
    </w:p>
    <w:p>
      <w:pPr>
        <w:spacing w:after="0" w:line="190" w:lineRule="exact"/>
        <w:rPr>
          <w:rFonts w:ascii="Arial" w:cs="Arial" w:eastAsia="Arial" w:hAnsi="Arial"/>
          <w:sz w:val="18"/>
          <w:szCs w:val="18"/>
          <w:color w:val="auto"/>
        </w:rPr>
      </w:pPr>
    </w:p>
    <w:p>
      <w:pPr>
        <w:jc w:val="both"/>
        <w:ind w:right="20" w:firstLine="921"/>
        <w:spacing w:after="0" w:line="288" w:lineRule="auto"/>
        <w:tabs>
          <w:tab w:leader="none" w:pos="1293" w:val="left"/>
        </w:tabs>
        <w:numPr>
          <w:ilvl w:val="1"/>
          <w:numId w:val="618"/>
        </w:numPr>
        <w:rPr>
          <w:rFonts w:ascii="Arial" w:cs="Arial" w:eastAsia="Arial" w:hAnsi="Arial"/>
          <w:sz w:val="16"/>
          <w:szCs w:val="16"/>
          <w:color w:val="auto"/>
        </w:rPr>
      </w:pPr>
      <w:r>
        <w:rPr>
          <w:rFonts w:ascii="Arial" w:cs="Arial" w:eastAsia="Arial" w:hAnsi="Arial"/>
          <w:sz w:val="16"/>
          <w:szCs w:val="16"/>
          <w:color w:val="auto"/>
        </w:rPr>
        <w:t>All rights and obligations of the PARTIES set forth herein that expressly or by their nature survive the expiration, assignment or termination of this AGREEMENT shall continue in full force and effect subsequent to, and notwithstanding the termination of this AGREEMENT until they are satisfied or by their nature expire and shall bind the PARTIES and their legal representatives, successors, and permitted assigns, including, without limitation</w:t>
      </w: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(i) Sections 3 and 4 (to the extent that payment obligations existing before expiration or termination of this AGREEMENT remain unmet upon expiration or termination of this AGREEMENT); and (ii) Sections 1, 5, 6, 7.4, 8, 9.5, 9.6, 10, 11 and 12.</w:t>
      </w:r>
    </w:p>
    <w:p>
      <w:pPr>
        <w:spacing w:after="0" w:line="288" w:lineRule="exact"/>
        <w:rPr>
          <w:sz w:val="20"/>
          <w:szCs w:val="20"/>
          <w:color w:val="auto"/>
        </w:rPr>
      </w:pPr>
    </w:p>
    <w:p>
      <w:pPr>
        <w:ind w:left="180" w:hanging="172"/>
        <w:spacing w:after="0"/>
        <w:tabs>
          <w:tab w:leader="none" w:pos="180" w:val="left"/>
        </w:tabs>
        <w:numPr>
          <w:ilvl w:val="0"/>
          <w:numId w:val="6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Assignment/Transferability</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Assignment by LICENSEE</w:t>
      </w:r>
      <w:r>
        <w:rPr>
          <w:rFonts w:ascii="Arial" w:cs="Arial" w:eastAsia="Arial" w:hAnsi="Arial"/>
          <w:sz w:val="18"/>
          <w:szCs w:val="18"/>
          <w:color w:val="auto"/>
        </w:rPr>
        <w:t>. This AGREEMENT is personal to LICENSEE and neither this AGREEMENT nor any right or obligation hereunder may be assigned or otherwise transferred (whether voluntarily, by operation of law or otherwise, including, without limitation (i) through the acquisition by any person or group, directly or indirectly, of the beneficial ownership of more than fifty percent (50%) of the total voting power of LICENSEE; (ii) through a merger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16</w:t>
      </w:r>
    </w:p>
    <w:p>
      <w:pPr>
        <w:spacing w:after="0" w:line="158" w:lineRule="exact"/>
        <w:rPr>
          <w:sz w:val="20"/>
          <w:szCs w:val="20"/>
          <w:color w:val="auto"/>
        </w:rPr>
      </w:pPr>
    </w:p>
    <w:p>
      <w:pPr>
        <w:jc w:val="both"/>
        <w:ind w:left="2420" w:right="2400" w:firstLine="44"/>
        <w:spacing w:after="0" w:line="274" w:lineRule="auto"/>
        <w:tabs>
          <w:tab w:leader="none" w:pos="3025" w:val="left"/>
        </w:tabs>
        <w:numPr>
          <w:ilvl w:val="0"/>
          <w:numId w:val="620"/>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420"/>
          </w:cols>
          <w:pgMar w:left="240" w:top="270" w:right="239" w:bottom="1440" w:gutter="0" w:footer="0" w:header="0"/>
        </w:sectPr>
      </w:pPr>
    </w:p>
    <w:bookmarkStart w:id="631" w:name="page632"/>
    <w:bookmarkEnd w:id="6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 xml:space="preserve">LICENSEE into another person or entity; and (iii) through the sale, lease or transfer of all or substantially all of the assets of LICENSEE to any person or entity in one or a series of related transactions with any of the foregoing referred to as a </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by LICENSEE, without the prior express written consent of LICENSOR, which shall not be unreasonably withheld, except that, without such consent, LICENSEE may transfer this Agreement to SOLID GT, LLC.</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Assignment by LICENSOR</w:t>
      </w:r>
      <w:r>
        <w:rPr>
          <w:rFonts w:ascii="Arial" w:cs="Arial" w:eastAsia="Arial" w:hAnsi="Arial"/>
          <w:sz w:val="18"/>
          <w:szCs w:val="18"/>
          <w:color w:val="auto"/>
        </w:rPr>
        <w:t>. LICENSOR may assign all or any part of its rights and obligations under this AGREEMENT at any time without the consent of LICENSEE or its AFFILIATES or (if applicable) any successor or permitted transferee of LICENSEE to whom this AGREEMENT may have been assigned pursuant to Section 8.1. LICENSEE or (if applicable) any successor or permitted transferee agrees to execute such further acknowledgments or other instruments as LICENSOR may reasonably request in connection with such assignment.</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Binding Effect</w:t>
      </w:r>
      <w:r>
        <w:rPr>
          <w:rFonts w:ascii="Arial" w:cs="Arial" w:eastAsia="Arial" w:hAnsi="Arial"/>
          <w:sz w:val="18"/>
          <w:szCs w:val="18"/>
          <w:color w:val="auto"/>
        </w:rPr>
        <w:t>. Any permitted assignment of this AGREEMENT shall be binding on the assignee. Any purported assignment or other transfer of this AGREEMENT other than as expressly set forth in Section 2.1 or this Section 8 shall be null and void.</w:t>
      </w:r>
    </w:p>
    <w:p>
      <w:pPr>
        <w:spacing w:after="0" w:line="275" w:lineRule="exact"/>
        <w:rPr>
          <w:sz w:val="20"/>
          <w:szCs w:val="20"/>
          <w:color w:val="auto"/>
        </w:rPr>
      </w:pPr>
    </w:p>
    <w:p>
      <w:pPr>
        <w:ind w:left="180" w:hanging="172"/>
        <w:spacing w:after="0"/>
        <w:tabs>
          <w:tab w:leader="none" w:pos="180" w:val="left"/>
        </w:tabs>
        <w:numPr>
          <w:ilvl w:val="0"/>
          <w:numId w:val="6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Warranties and Representations; Acknowledgements; Limitation of Liability</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By LICENSOR</w:t>
      </w:r>
      <w:r>
        <w:rPr>
          <w:rFonts w:ascii="Arial" w:cs="Arial" w:eastAsia="Arial" w:hAnsi="Arial"/>
          <w:sz w:val="18"/>
          <w:szCs w:val="18"/>
          <w:color w:val="auto"/>
        </w:rPr>
        <w:t>. LICENSOR represents and warrants that, as of the EFFECTIVE DATE, it has the full right and authority to enter into this AGREEMENT and to grant to LICENSEE the rights granted in Section 2 of this AGREEMENT. For the avoidance of doubt, CELLS were provided “as is” solely for LICENSEE to generate derivatives products. Except as provided in this Section 9.1, LICENSOR makes no representations or warranties concerning the CELLS.</w:t>
      </w:r>
    </w:p>
    <w:p>
      <w:pPr>
        <w:spacing w:after="0" w:line="29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u w:val="single" w:color="auto"/>
          <w:color w:val="auto"/>
        </w:rPr>
        <w:t>By LICENSEE</w:t>
      </w:r>
      <w:r>
        <w:rPr>
          <w:rFonts w:ascii="Arial" w:cs="Arial" w:eastAsia="Arial" w:hAnsi="Arial"/>
          <w:sz w:val="17"/>
          <w:szCs w:val="17"/>
          <w:color w:val="auto"/>
        </w:rPr>
        <w:t>.</w:t>
      </w:r>
    </w:p>
    <w:p>
      <w:pPr>
        <w:spacing w:after="0" w:line="225" w:lineRule="exact"/>
        <w:rPr>
          <w:sz w:val="20"/>
          <w:szCs w:val="20"/>
          <w:color w:val="auto"/>
        </w:rPr>
      </w:pPr>
    </w:p>
    <w:p>
      <w:pPr>
        <w:ind w:left="1300" w:hanging="379"/>
        <w:spacing w:after="0"/>
        <w:tabs>
          <w:tab w:leader="none" w:pos="1300" w:val="left"/>
        </w:tabs>
        <w:numPr>
          <w:ilvl w:val="1"/>
          <w:numId w:val="622"/>
        </w:numPr>
        <w:rPr>
          <w:rFonts w:ascii="Arial" w:cs="Arial" w:eastAsia="Arial" w:hAnsi="Arial"/>
          <w:sz w:val="18"/>
          <w:szCs w:val="18"/>
          <w:color w:val="auto"/>
        </w:rPr>
      </w:pPr>
      <w:r>
        <w:rPr>
          <w:rFonts w:ascii="Arial" w:cs="Arial" w:eastAsia="Arial" w:hAnsi="Arial"/>
          <w:sz w:val="18"/>
          <w:szCs w:val="18"/>
          <w:color w:val="auto"/>
        </w:rPr>
        <w:t>LICENSEE represents, warrants and covenants to LICENSOR that:</w:t>
      </w:r>
    </w:p>
    <w:p>
      <w:pPr>
        <w:spacing w:after="0" w:line="225" w:lineRule="exact"/>
        <w:rPr>
          <w:rFonts w:ascii="Arial" w:cs="Arial" w:eastAsia="Arial" w:hAnsi="Arial"/>
          <w:sz w:val="18"/>
          <w:szCs w:val="18"/>
          <w:color w:val="auto"/>
        </w:rPr>
      </w:pPr>
    </w:p>
    <w:p>
      <w:pPr>
        <w:ind w:left="1840" w:hanging="348"/>
        <w:spacing w:after="0"/>
        <w:tabs>
          <w:tab w:leader="none" w:pos="1840" w:val="left"/>
        </w:tabs>
        <w:numPr>
          <w:ilvl w:val="2"/>
          <w:numId w:val="622"/>
        </w:numPr>
        <w:rPr>
          <w:rFonts w:ascii="Arial" w:cs="Arial" w:eastAsia="Arial" w:hAnsi="Arial"/>
          <w:sz w:val="18"/>
          <w:szCs w:val="18"/>
          <w:color w:val="auto"/>
        </w:rPr>
      </w:pPr>
      <w:r>
        <w:rPr>
          <w:rFonts w:ascii="Arial" w:cs="Arial" w:eastAsia="Arial" w:hAnsi="Arial"/>
          <w:sz w:val="18"/>
          <w:szCs w:val="18"/>
          <w:color w:val="auto"/>
        </w:rPr>
        <w:t>LICENSEE has the full right and authority to enter into this AGREEMENT;</w:t>
      </w:r>
    </w:p>
    <w:p>
      <w:pPr>
        <w:spacing w:after="0" w:line="225" w:lineRule="exact"/>
        <w:rPr>
          <w:rFonts w:ascii="Arial" w:cs="Arial" w:eastAsia="Arial" w:hAnsi="Arial"/>
          <w:sz w:val="18"/>
          <w:szCs w:val="18"/>
          <w:color w:val="auto"/>
        </w:rPr>
      </w:pPr>
    </w:p>
    <w:p>
      <w:pPr>
        <w:ind w:right="480" w:firstLine="1492"/>
        <w:spacing w:after="0" w:line="277" w:lineRule="auto"/>
        <w:tabs>
          <w:tab w:leader="none" w:pos="1883" w:val="left"/>
        </w:tabs>
        <w:numPr>
          <w:ilvl w:val="2"/>
          <w:numId w:val="622"/>
        </w:numPr>
        <w:rPr>
          <w:rFonts w:ascii="Arial" w:cs="Arial" w:eastAsia="Arial" w:hAnsi="Arial"/>
          <w:sz w:val="18"/>
          <w:szCs w:val="18"/>
          <w:color w:val="auto"/>
        </w:rPr>
      </w:pPr>
      <w:r>
        <w:rPr>
          <w:rFonts w:ascii="Arial" w:cs="Arial" w:eastAsia="Arial" w:hAnsi="Arial"/>
          <w:sz w:val="18"/>
          <w:szCs w:val="18"/>
          <w:color w:val="auto"/>
        </w:rPr>
        <w:t>the use of CELLS by LICENSEE, its AFFILIATES and SERVICE PROVIDERS prior to the EFFECTIVE DATE has been in compliance with the non-financial terms and conditions of this AGREEMENT;</w:t>
      </w:r>
    </w:p>
    <w:p>
      <w:pPr>
        <w:spacing w:after="0" w:line="170" w:lineRule="exact"/>
        <w:rPr>
          <w:rFonts w:ascii="Arial" w:cs="Arial" w:eastAsia="Arial" w:hAnsi="Arial"/>
          <w:sz w:val="18"/>
          <w:szCs w:val="18"/>
          <w:color w:val="auto"/>
        </w:rPr>
      </w:pPr>
    </w:p>
    <w:p>
      <w:pPr>
        <w:ind w:left="1940" w:hanging="448"/>
        <w:spacing w:after="0"/>
        <w:tabs>
          <w:tab w:leader="none" w:pos="1940" w:val="left"/>
        </w:tabs>
        <w:numPr>
          <w:ilvl w:val="2"/>
          <w:numId w:val="622"/>
        </w:numPr>
        <w:rPr>
          <w:rFonts w:ascii="Arial" w:cs="Arial" w:eastAsia="Arial" w:hAnsi="Arial"/>
          <w:sz w:val="16"/>
          <w:szCs w:val="16"/>
          <w:color w:val="auto"/>
        </w:rPr>
      </w:pPr>
      <w:r>
        <w:rPr>
          <w:rFonts w:ascii="Arial" w:cs="Arial" w:eastAsia="Arial" w:hAnsi="Arial"/>
          <w:sz w:val="16"/>
          <w:szCs w:val="16"/>
          <w:color w:val="auto"/>
        </w:rPr>
        <w:t>LICENSEE has complied with and shall comply with and require its AFFILIATES and SERVICE PROVIDERS to comply with all</w:t>
      </w:r>
    </w:p>
    <w:p>
      <w:pPr>
        <w:spacing w:after="0" w:line="46" w:lineRule="exact"/>
        <w:rPr>
          <w:rFonts w:ascii="Arial" w:cs="Arial" w:eastAsia="Arial" w:hAnsi="Arial"/>
          <w:sz w:val="16"/>
          <w:szCs w:val="16"/>
          <w:color w:val="auto"/>
        </w:rPr>
      </w:pPr>
    </w:p>
    <w:p>
      <w:pPr>
        <w:ind w:right="420" w:firstLine="8"/>
        <w:spacing w:after="0" w:line="261" w:lineRule="auto"/>
        <w:tabs>
          <w:tab w:leader="none" w:pos="215" w:val="left"/>
        </w:tabs>
        <w:numPr>
          <w:ilvl w:val="0"/>
          <w:numId w:val="623"/>
        </w:numPr>
        <w:rPr>
          <w:rFonts w:ascii="Arial" w:cs="Arial" w:eastAsia="Arial" w:hAnsi="Arial"/>
          <w:sz w:val="18"/>
          <w:szCs w:val="18"/>
          <w:color w:val="auto"/>
        </w:rPr>
      </w:pPr>
      <w:r>
        <w:rPr>
          <w:rFonts w:ascii="Arial" w:cs="Arial" w:eastAsia="Arial" w:hAnsi="Arial"/>
          <w:sz w:val="18"/>
          <w:szCs w:val="18"/>
          <w:color w:val="auto"/>
        </w:rPr>
        <w:t>LAWS; and (ii) requirements of REGULATORY AUTHORITIES in connection with the exercise of the rights granted to LICENSEE by LICENSOR hereunder;</w:t>
      </w:r>
    </w:p>
    <w:p>
      <w:pPr>
        <w:spacing w:after="0" w:line="183" w:lineRule="exact"/>
        <w:rPr>
          <w:rFonts w:ascii="Arial" w:cs="Arial" w:eastAsia="Arial" w:hAnsi="Arial"/>
          <w:sz w:val="18"/>
          <w:szCs w:val="18"/>
          <w:color w:val="auto"/>
        </w:rPr>
      </w:pPr>
    </w:p>
    <w:p>
      <w:pPr>
        <w:ind w:left="1940" w:hanging="448"/>
        <w:spacing w:after="0"/>
        <w:tabs>
          <w:tab w:leader="none" w:pos="1940" w:val="left"/>
        </w:tabs>
        <w:numPr>
          <w:ilvl w:val="2"/>
          <w:numId w:val="623"/>
        </w:numPr>
        <w:rPr>
          <w:rFonts w:ascii="Arial" w:cs="Arial" w:eastAsia="Arial" w:hAnsi="Arial"/>
          <w:sz w:val="18"/>
          <w:szCs w:val="18"/>
          <w:color w:val="auto"/>
        </w:rPr>
      </w:pPr>
      <w:r>
        <w:rPr>
          <w:rFonts w:ascii="Arial" w:cs="Arial" w:eastAsia="Arial" w:hAnsi="Arial"/>
          <w:sz w:val="18"/>
          <w:szCs w:val="18"/>
          <w:color w:val="auto"/>
        </w:rPr>
        <w:t>LICENSEE will not resell CELLS;</w:t>
      </w:r>
    </w:p>
    <w:p>
      <w:pPr>
        <w:spacing w:after="0" w:line="225" w:lineRule="exact"/>
        <w:rPr>
          <w:rFonts w:ascii="Arial" w:cs="Arial" w:eastAsia="Arial" w:hAnsi="Arial"/>
          <w:sz w:val="18"/>
          <w:szCs w:val="18"/>
          <w:color w:val="auto"/>
        </w:rPr>
      </w:pPr>
    </w:p>
    <w:p>
      <w:pPr>
        <w:ind w:right="680" w:firstLine="1492"/>
        <w:spacing w:after="0" w:line="277" w:lineRule="auto"/>
        <w:tabs>
          <w:tab w:leader="none" w:pos="1873" w:val="left"/>
        </w:tabs>
        <w:numPr>
          <w:ilvl w:val="2"/>
          <w:numId w:val="623"/>
        </w:numPr>
        <w:rPr>
          <w:rFonts w:ascii="Arial" w:cs="Arial" w:eastAsia="Arial" w:hAnsi="Arial"/>
          <w:sz w:val="18"/>
          <w:szCs w:val="18"/>
          <w:color w:val="auto"/>
        </w:rPr>
      </w:pPr>
      <w:r>
        <w:rPr>
          <w:rFonts w:ascii="Arial" w:cs="Arial" w:eastAsia="Arial" w:hAnsi="Arial"/>
          <w:sz w:val="18"/>
          <w:szCs w:val="18"/>
          <w:color w:val="auto"/>
        </w:rPr>
        <w:t>LICENSEE has and will maintain the technical and other requisite competencies to determine, and is solely responsible for determining, the suitability of the CELLS purchased from LICENSOR for use by LICENSEE;</w:t>
      </w:r>
    </w:p>
    <w:p>
      <w:pPr>
        <w:spacing w:after="0" w:line="170" w:lineRule="exact"/>
        <w:rPr>
          <w:rFonts w:ascii="Arial" w:cs="Arial" w:eastAsia="Arial" w:hAnsi="Arial"/>
          <w:sz w:val="18"/>
          <w:szCs w:val="18"/>
          <w:color w:val="auto"/>
        </w:rPr>
      </w:pPr>
    </w:p>
    <w:p>
      <w:pPr>
        <w:ind w:right="100" w:firstLine="1492"/>
        <w:spacing w:after="0" w:line="288" w:lineRule="auto"/>
        <w:tabs>
          <w:tab w:leader="none" w:pos="1923" w:val="left"/>
        </w:tabs>
        <w:numPr>
          <w:ilvl w:val="2"/>
          <w:numId w:val="623"/>
        </w:numPr>
        <w:rPr>
          <w:rFonts w:ascii="Arial" w:cs="Arial" w:eastAsia="Arial" w:hAnsi="Arial"/>
          <w:sz w:val="16"/>
          <w:szCs w:val="16"/>
          <w:color w:val="auto"/>
        </w:rPr>
      </w:pPr>
      <w:r>
        <w:rPr>
          <w:rFonts w:ascii="Arial" w:cs="Arial" w:eastAsia="Arial" w:hAnsi="Arial"/>
          <w:sz w:val="16"/>
          <w:szCs w:val="16"/>
          <w:color w:val="auto"/>
        </w:rPr>
        <w:t>LICENSEE and its AFFILIATES, as applicable, will conduct all necessary tests, comply with all applicable regulatory requirements and obtain all applicable REGULATORY AUTHORIZATIONS, issue all appropriate warnings and information to users, and be responsible for obtaining any required THIRD PARTY intellectual property rights with respect to LICENSEE’S and its AFFILIATES’ (a) use of CELLS or RIGHTS and</w:t>
      </w:r>
    </w:p>
    <w:p>
      <w:pPr>
        <w:spacing w:after="0"/>
        <w:rPr>
          <w:rFonts w:ascii="Arial" w:cs="Arial" w:eastAsia="Arial" w:hAnsi="Arial"/>
          <w:sz w:val="16"/>
          <w:szCs w:val="16"/>
          <w:color w:val="auto"/>
        </w:rPr>
      </w:pPr>
      <w:r>
        <w:rPr>
          <w:rFonts w:ascii="Arial" w:cs="Arial" w:eastAsia="Arial" w:hAnsi="Arial"/>
          <w:sz w:val="18"/>
          <w:szCs w:val="18"/>
          <w:color w:val="auto"/>
        </w:rPr>
        <w:t>(b) COMMERCIALIZATION of LICENSEE PRODUCTS;</w:t>
      </w:r>
    </w:p>
    <w:p>
      <w:pPr>
        <w:spacing w:after="0" w:line="210" w:lineRule="exact"/>
        <w:rPr>
          <w:rFonts w:ascii="Arial" w:cs="Arial" w:eastAsia="Arial" w:hAnsi="Arial"/>
          <w:sz w:val="16"/>
          <w:szCs w:val="16"/>
          <w:color w:val="auto"/>
        </w:rPr>
      </w:pPr>
    </w:p>
    <w:p>
      <w:pPr>
        <w:ind w:right="240" w:firstLine="1492"/>
        <w:spacing w:after="0" w:line="264" w:lineRule="auto"/>
        <w:tabs>
          <w:tab w:leader="none" w:pos="1973" w:val="left"/>
        </w:tabs>
        <w:numPr>
          <w:ilvl w:val="2"/>
          <w:numId w:val="623"/>
        </w:numPr>
        <w:rPr>
          <w:rFonts w:ascii="Arial" w:cs="Arial" w:eastAsia="Arial" w:hAnsi="Arial"/>
          <w:sz w:val="18"/>
          <w:szCs w:val="18"/>
          <w:color w:val="auto"/>
        </w:rPr>
      </w:pPr>
      <w:r>
        <w:rPr>
          <w:rFonts w:ascii="Arial" w:cs="Arial" w:eastAsia="Arial" w:hAnsi="Arial"/>
          <w:sz w:val="18"/>
          <w:szCs w:val="18"/>
          <w:color w:val="auto"/>
        </w:rPr>
        <w:t>LICENSEE will adhere to LICENSEE’S procedures, current Good Manufacturing Practices (cGMP) process for manufacturing LICENSEE PRODUCTS, and will conduct all testing needed to ensure the safety, potency and purity of LICENSEE PRODUCTS and compliance with 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16</w:t>
      </w:r>
    </w:p>
    <w:p>
      <w:pPr>
        <w:spacing w:after="0" w:line="158" w:lineRule="exact"/>
        <w:rPr>
          <w:sz w:val="20"/>
          <w:szCs w:val="20"/>
          <w:color w:val="auto"/>
        </w:rPr>
      </w:pPr>
    </w:p>
    <w:p>
      <w:pPr>
        <w:jc w:val="both"/>
        <w:ind w:left="2420" w:right="2400" w:firstLine="44"/>
        <w:spacing w:after="0" w:line="274" w:lineRule="auto"/>
        <w:tabs>
          <w:tab w:leader="none" w:pos="3025" w:val="left"/>
        </w:tabs>
        <w:numPr>
          <w:ilvl w:val="0"/>
          <w:numId w:val="62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420"/>
          </w:cols>
          <w:pgMar w:left="240" w:top="269" w:right="239" w:bottom="1440" w:gutter="0" w:footer="0" w:header="0"/>
        </w:sectPr>
      </w:pPr>
    </w:p>
    <w:bookmarkStart w:id="632" w:name="page633"/>
    <w:bookmarkEnd w:id="6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00" w:firstLine="1492"/>
        <w:spacing w:after="0" w:line="264" w:lineRule="auto"/>
        <w:tabs>
          <w:tab w:leader="none" w:pos="2023" w:val="left"/>
        </w:tabs>
        <w:numPr>
          <w:ilvl w:val="1"/>
          <w:numId w:val="625"/>
        </w:numPr>
        <w:rPr>
          <w:rFonts w:ascii="Arial" w:cs="Arial" w:eastAsia="Arial" w:hAnsi="Arial"/>
          <w:sz w:val="18"/>
          <w:szCs w:val="18"/>
          <w:color w:val="auto"/>
        </w:rPr>
      </w:pPr>
      <w:r>
        <w:rPr>
          <w:rFonts w:ascii="Arial" w:cs="Arial" w:eastAsia="Arial" w:hAnsi="Arial"/>
          <w:sz w:val="18"/>
          <w:szCs w:val="18"/>
          <w:color w:val="auto"/>
        </w:rPr>
        <w:t>LICENSEE shall diligently pursue REGULATORY AUTHORIZATION for LICENSEE PRODUCTS and shall not sell or cause to be sold, use or cause to be used such LICENSEE PRODUCTS in any manner requiring such REGULATORY AUTHORIZATION until it is finally obtained; and</w:t>
      </w:r>
    </w:p>
    <w:p>
      <w:pPr>
        <w:spacing w:after="0" w:line="181" w:lineRule="exact"/>
        <w:rPr>
          <w:rFonts w:ascii="Arial" w:cs="Arial" w:eastAsia="Arial" w:hAnsi="Arial"/>
          <w:sz w:val="18"/>
          <w:szCs w:val="18"/>
          <w:color w:val="auto"/>
        </w:rPr>
      </w:pPr>
    </w:p>
    <w:p>
      <w:pPr>
        <w:ind w:firstLine="1492"/>
        <w:spacing w:after="0" w:line="257" w:lineRule="auto"/>
        <w:tabs>
          <w:tab w:leader="none" w:pos="1923" w:val="left"/>
        </w:tabs>
        <w:numPr>
          <w:ilvl w:val="1"/>
          <w:numId w:val="625"/>
        </w:numPr>
        <w:rPr>
          <w:rFonts w:ascii="Arial" w:cs="Arial" w:eastAsia="Arial" w:hAnsi="Arial"/>
          <w:sz w:val="18"/>
          <w:szCs w:val="18"/>
          <w:color w:val="auto"/>
        </w:rPr>
      </w:pPr>
      <w:r>
        <w:rPr>
          <w:rFonts w:ascii="Arial" w:cs="Arial" w:eastAsia="Arial" w:hAnsi="Arial"/>
          <w:sz w:val="18"/>
          <w:szCs w:val="18"/>
          <w:color w:val="auto"/>
        </w:rPr>
        <w:t>LICENSEE will comply with all applicable anticorruption and antibribery laws and will not knowingly take any action that would cause LICENSOR or any of its AFFILIATES to be in violation of such laws. As part of such compliance, LICENSEE represents that it shall not offer or make any improper payments of money or anything of value to a non-U.S. Government Official in connection with this AGREEMENT. Licensee shall not offer or make improper payments to a THIRD PARTY knowing, or suspecting, that the THIRD PARTY will give the payment, or a portion of it, to a Government Official.</w:t>
      </w:r>
    </w:p>
    <w:p>
      <w:pPr>
        <w:spacing w:after="0" w:line="188" w:lineRule="exact"/>
        <w:rPr>
          <w:rFonts w:ascii="Arial" w:cs="Arial" w:eastAsia="Arial" w:hAnsi="Arial"/>
          <w:sz w:val="18"/>
          <w:szCs w:val="18"/>
          <w:color w:val="auto"/>
        </w:rPr>
      </w:pPr>
    </w:p>
    <w:p>
      <w:pPr>
        <w:ind w:left="1320" w:hanging="399"/>
        <w:spacing w:after="0"/>
        <w:tabs>
          <w:tab w:leader="none" w:pos="132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LICENSEE acknowledges and covenants that:</w:t>
      </w:r>
    </w:p>
    <w:p>
      <w:pPr>
        <w:spacing w:after="0" w:line="225" w:lineRule="exact"/>
        <w:rPr>
          <w:rFonts w:ascii="Arial" w:cs="Arial" w:eastAsia="Arial" w:hAnsi="Arial"/>
          <w:sz w:val="18"/>
          <w:szCs w:val="18"/>
          <w:color w:val="auto"/>
        </w:rPr>
      </w:pPr>
    </w:p>
    <w:p>
      <w:pPr>
        <w:ind w:right="200" w:firstLine="1492"/>
        <w:spacing w:after="0" w:line="264" w:lineRule="auto"/>
        <w:tabs>
          <w:tab w:leader="none" w:pos="1878" w:val="left"/>
        </w:tabs>
        <w:numPr>
          <w:ilvl w:val="1"/>
          <w:numId w:val="626"/>
        </w:numPr>
        <w:rPr>
          <w:rFonts w:ascii="Arial" w:cs="Arial" w:eastAsia="Arial" w:hAnsi="Arial"/>
          <w:sz w:val="18"/>
          <w:szCs w:val="18"/>
          <w:color w:val="auto"/>
        </w:rPr>
      </w:pPr>
      <w:r>
        <w:rPr>
          <w:rFonts w:ascii="Arial" w:cs="Arial" w:eastAsia="Arial" w:hAnsi="Arial"/>
          <w:sz w:val="18"/>
          <w:szCs w:val="18"/>
          <w:color w:val="auto"/>
        </w:rPr>
        <w:t>CELLS were originally sold by LICENSOR and its AFFILIATES for research use only and are expressly not qualified for commercial, therapeutic or biotherapeutic purposes by LICENSOR or its AFFILIATES. LICENSEE assumes all responsibility and liability associated with LICENSEE’S use of CELLS for human use;</w:t>
      </w:r>
    </w:p>
    <w:p>
      <w:pPr>
        <w:spacing w:after="0" w:line="181" w:lineRule="exact"/>
        <w:rPr>
          <w:rFonts w:ascii="Arial" w:cs="Arial" w:eastAsia="Arial" w:hAnsi="Arial"/>
          <w:sz w:val="18"/>
          <w:szCs w:val="18"/>
          <w:color w:val="auto"/>
        </w:rPr>
      </w:pPr>
    </w:p>
    <w:p>
      <w:pPr>
        <w:ind w:right="820" w:firstLine="1492"/>
        <w:spacing w:after="0" w:line="342" w:lineRule="auto"/>
        <w:tabs>
          <w:tab w:leader="none" w:pos="1928" w:val="left"/>
        </w:tabs>
        <w:numPr>
          <w:ilvl w:val="1"/>
          <w:numId w:val="626"/>
        </w:numPr>
        <w:rPr>
          <w:rFonts w:ascii="Arial" w:cs="Arial" w:eastAsia="Arial" w:hAnsi="Arial"/>
          <w:sz w:val="16"/>
          <w:szCs w:val="16"/>
          <w:color w:val="auto"/>
        </w:rPr>
      </w:pPr>
      <w:r>
        <w:rPr>
          <w:rFonts w:ascii="Arial" w:cs="Arial" w:eastAsia="Arial" w:hAnsi="Arial"/>
          <w:sz w:val="16"/>
          <w:szCs w:val="16"/>
          <w:color w:val="auto"/>
        </w:rPr>
        <w:t>CELLS have not been tested by or for LICENSOR for safety or efficacy or any other purpose, unless expressly stated in LICENSOR’s catalogues or on the label or other documentation accompanying the CELLS at the time the CELLS were sold to LICENSEE;</w:t>
      </w:r>
    </w:p>
    <w:p>
      <w:pPr>
        <w:spacing w:after="0" w:line="123" w:lineRule="exact"/>
        <w:rPr>
          <w:rFonts w:ascii="Arial" w:cs="Arial" w:eastAsia="Arial" w:hAnsi="Arial"/>
          <w:sz w:val="16"/>
          <w:szCs w:val="16"/>
          <w:color w:val="auto"/>
        </w:rPr>
      </w:pPr>
    </w:p>
    <w:p>
      <w:pPr>
        <w:ind w:right="280" w:firstLine="1492"/>
        <w:spacing w:after="0" w:line="277" w:lineRule="auto"/>
        <w:tabs>
          <w:tab w:leader="none" w:pos="1933" w:val="left"/>
        </w:tabs>
        <w:numPr>
          <w:ilvl w:val="1"/>
          <w:numId w:val="626"/>
        </w:numPr>
        <w:rPr>
          <w:rFonts w:ascii="Arial" w:cs="Arial" w:eastAsia="Arial" w:hAnsi="Arial"/>
          <w:sz w:val="18"/>
          <w:szCs w:val="18"/>
          <w:color w:val="auto"/>
        </w:rPr>
      </w:pPr>
      <w:r>
        <w:rPr>
          <w:rFonts w:ascii="Arial" w:cs="Arial" w:eastAsia="Arial" w:hAnsi="Arial"/>
          <w:sz w:val="18"/>
          <w:szCs w:val="18"/>
          <w:color w:val="auto"/>
        </w:rPr>
        <w:t>Except as provided in Section 2.4, LICENSOR has no obligation to develop any cell lineage history, testing results or any other cell line documentation relating to the CELLS;</w:t>
      </w:r>
    </w:p>
    <w:p>
      <w:pPr>
        <w:spacing w:after="0" w:line="170" w:lineRule="exact"/>
        <w:rPr>
          <w:rFonts w:ascii="Arial" w:cs="Arial" w:eastAsia="Arial" w:hAnsi="Arial"/>
          <w:sz w:val="18"/>
          <w:szCs w:val="18"/>
          <w:color w:val="auto"/>
        </w:rPr>
      </w:pPr>
    </w:p>
    <w:p>
      <w:pPr>
        <w:ind w:right="140" w:firstLine="1492"/>
        <w:spacing w:after="0" w:line="264" w:lineRule="auto"/>
        <w:tabs>
          <w:tab w:leader="none" w:pos="1923" w:val="left"/>
        </w:tabs>
        <w:numPr>
          <w:ilvl w:val="1"/>
          <w:numId w:val="626"/>
        </w:numPr>
        <w:rPr>
          <w:rFonts w:ascii="Arial" w:cs="Arial" w:eastAsia="Arial" w:hAnsi="Arial"/>
          <w:sz w:val="18"/>
          <w:szCs w:val="18"/>
          <w:color w:val="auto"/>
        </w:rPr>
      </w:pPr>
      <w:r>
        <w:rPr>
          <w:rFonts w:ascii="Arial" w:cs="Arial" w:eastAsia="Arial" w:hAnsi="Arial"/>
          <w:sz w:val="18"/>
          <w:szCs w:val="18"/>
          <w:color w:val="auto"/>
        </w:rPr>
        <w:t>Except as provided in Section 2.4, LICENSOR has not provided, nor does any term in this AGREEMENT require it to provide to LICENSEE, its AFFILIATES or any THIRD PARTY, any cell lineage history, testing results or any other cell line documentation relating to the CELLS at any time;</w:t>
      </w:r>
    </w:p>
    <w:p>
      <w:pPr>
        <w:spacing w:after="0" w:line="181" w:lineRule="exact"/>
        <w:rPr>
          <w:rFonts w:ascii="Arial" w:cs="Arial" w:eastAsia="Arial" w:hAnsi="Arial"/>
          <w:sz w:val="18"/>
          <w:szCs w:val="18"/>
          <w:color w:val="auto"/>
        </w:rPr>
      </w:pPr>
    </w:p>
    <w:p>
      <w:pPr>
        <w:ind w:right="80" w:firstLine="1492"/>
        <w:spacing w:after="0" w:line="273" w:lineRule="auto"/>
        <w:tabs>
          <w:tab w:leader="none" w:pos="1873" w:val="left"/>
        </w:tabs>
        <w:numPr>
          <w:ilvl w:val="1"/>
          <w:numId w:val="626"/>
        </w:numPr>
        <w:rPr>
          <w:rFonts w:ascii="Arial" w:cs="Arial" w:eastAsia="Arial" w:hAnsi="Arial"/>
          <w:sz w:val="17"/>
          <w:szCs w:val="17"/>
          <w:color w:val="auto"/>
        </w:rPr>
      </w:pPr>
      <w:r>
        <w:rPr>
          <w:rFonts w:ascii="Arial" w:cs="Arial" w:eastAsia="Arial" w:hAnsi="Arial"/>
          <w:sz w:val="17"/>
          <w:szCs w:val="17"/>
          <w:color w:val="auto"/>
        </w:rPr>
        <w:t>there are gaps in the cell line history of CELLS. Except as provided in Section 2.4, LICENSEE agrees to assume all responsibility for addressing those gaps and documenting the steps it took to address those gaps. LICENSEE agrees to assume all responsibility for testing the CELLS, any derivatives thereof, and any products, including LICENSEE PRODUCTS that LICENSEE or its AFFILIATES offers for sale or sells or services that LICENSEE or its AFFILIATES performs that are manufactured using, derivatives of, or ever came in contact with the CELLS, for viral and/or bacterial contamination or other adventitious agents, and that it will remove any such contamination or adventitious agent from any additional processes, materials, or products that LICENSEE may create using or that came in contact with CELLS;</w:t>
      </w:r>
    </w:p>
    <w:p>
      <w:pPr>
        <w:spacing w:after="0" w:line="178" w:lineRule="exact"/>
        <w:rPr>
          <w:rFonts w:ascii="Arial" w:cs="Arial" w:eastAsia="Arial" w:hAnsi="Arial"/>
          <w:sz w:val="17"/>
          <w:szCs w:val="17"/>
          <w:color w:val="auto"/>
        </w:rPr>
      </w:pPr>
    </w:p>
    <w:p>
      <w:pPr>
        <w:ind w:left="1940" w:hanging="448"/>
        <w:spacing w:after="0"/>
        <w:tabs>
          <w:tab w:leader="none" w:pos="1940" w:val="left"/>
        </w:tabs>
        <w:numPr>
          <w:ilvl w:val="1"/>
          <w:numId w:val="626"/>
        </w:numPr>
        <w:rPr>
          <w:rFonts w:ascii="Arial" w:cs="Arial" w:eastAsia="Arial" w:hAnsi="Arial"/>
          <w:sz w:val="17"/>
          <w:szCs w:val="17"/>
          <w:color w:val="auto"/>
        </w:rPr>
      </w:pPr>
      <w:r>
        <w:rPr>
          <w:rFonts w:ascii="Arial" w:cs="Arial" w:eastAsia="Arial" w:hAnsi="Arial"/>
          <w:sz w:val="17"/>
          <w:szCs w:val="17"/>
          <w:color w:val="auto"/>
        </w:rPr>
        <w:t>LICENSOR developed CELLS and provided CELLS to LICENSEE without expectation that CELLS would be used in humans;</w:t>
      </w:r>
    </w:p>
    <w:p>
      <w:pPr>
        <w:spacing w:after="0" w:line="236" w:lineRule="exact"/>
        <w:rPr>
          <w:rFonts w:ascii="Arial" w:cs="Arial" w:eastAsia="Arial" w:hAnsi="Arial"/>
          <w:sz w:val="17"/>
          <w:szCs w:val="17"/>
          <w:color w:val="auto"/>
        </w:rPr>
      </w:pPr>
    </w:p>
    <w:p>
      <w:pPr>
        <w:ind w:right="240" w:firstLine="1492"/>
        <w:spacing w:after="0" w:line="308" w:lineRule="auto"/>
        <w:tabs>
          <w:tab w:leader="none" w:pos="1973" w:val="left"/>
        </w:tabs>
        <w:numPr>
          <w:ilvl w:val="1"/>
          <w:numId w:val="626"/>
        </w:numPr>
        <w:rPr>
          <w:rFonts w:ascii="Arial" w:cs="Arial" w:eastAsia="Arial" w:hAnsi="Arial"/>
          <w:sz w:val="17"/>
          <w:szCs w:val="17"/>
          <w:color w:val="auto"/>
        </w:rPr>
      </w:pPr>
      <w:r>
        <w:rPr>
          <w:rFonts w:ascii="Arial" w:cs="Arial" w:eastAsia="Arial" w:hAnsi="Arial"/>
          <w:sz w:val="17"/>
          <w:szCs w:val="17"/>
          <w:color w:val="auto"/>
        </w:rPr>
        <w:t>LICENSEE’s use of CELLS may require authorization from or licensure of THIRD PARTY intellectual property or proprietary rights and such THIRD PARTY rights are not herein conferred by LICENSOR to LICENSEE by implication, estoppel, or otherwise;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16</w:t>
      </w:r>
    </w:p>
    <w:p>
      <w:pPr>
        <w:spacing w:after="0" w:line="158" w:lineRule="exact"/>
        <w:rPr>
          <w:sz w:val="20"/>
          <w:szCs w:val="20"/>
          <w:color w:val="auto"/>
        </w:rPr>
      </w:pPr>
    </w:p>
    <w:p>
      <w:pPr>
        <w:jc w:val="both"/>
        <w:ind w:left="2420" w:right="2380" w:firstLine="44"/>
        <w:spacing w:after="0" w:line="274" w:lineRule="auto"/>
        <w:tabs>
          <w:tab w:leader="none" w:pos="3025" w:val="left"/>
        </w:tabs>
        <w:numPr>
          <w:ilvl w:val="0"/>
          <w:numId w:val="62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400"/>
          </w:cols>
          <w:pgMar w:left="240" w:top="271" w:right="259" w:bottom="1440" w:gutter="0" w:footer="0" w:header="0"/>
        </w:sectPr>
      </w:pPr>
    </w:p>
    <w:bookmarkStart w:id="633" w:name="page634"/>
    <w:bookmarkEnd w:id="6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720" w:firstLine="1492"/>
        <w:spacing w:after="0" w:line="308" w:lineRule="auto"/>
        <w:tabs>
          <w:tab w:leader="none" w:pos="2023" w:val="left"/>
        </w:tabs>
        <w:numPr>
          <w:ilvl w:val="0"/>
          <w:numId w:val="628"/>
        </w:numPr>
        <w:rPr>
          <w:rFonts w:ascii="Arial" w:cs="Arial" w:eastAsia="Arial" w:hAnsi="Arial"/>
          <w:sz w:val="17"/>
          <w:szCs w:val="17"/>
          <w:color w:val="auto"/>
        </w:rPr>
      </w:pPr>
      <w:r>
        <w:rPr>
          <w:rFonts w:ascii="Arial" w:cs="Arial" w:eastAsia="Arial" w:hAnsi="Arial"/>
          <w:sz w:val="17"/>
          <w:szCs w:val="17"/>
          <w:color w:val="auto"/>
        </w:rPr>
        <w:t>nothing in this AGREEMENT shall be construed as conferring the right to use in advertising, publicity or otherwise any trademarks or any contraction, abbreviation, simulation or adaptation thereof, of LICENSOR, except as expressly set forth herein.</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Mutual</w:t>
      </w:r>
      <w:r>
        <w:rPr>
          <w:rFonts w:ascii="Arial" w:cs="Arial" w:eastAsia="Arial" w:hAnsi="Arial"/>
          <w:sz w:val="18"/>
          <w:szCs w:val="18"/>
          <w:color w:val="auto"/>
        </w:rPr>
        <w:t>. Each PARTY represents and warrants to the other PARTY that (i) such PARTY is a company or corporation duly organized, validly existing and in good standing under the laws of the jurisdiction in which it is organized; (ii) such PARTY has the legal power and authority to execute, deliver and perform this AGREEMENT; (iii) the execution, delivery and performance by such PARTY of this AGREEMENT has been duly authorized by all necessary corporate action; (iv) this AGREEMENT constitutes the legal, valid and binding obligation of such PARTY, enforceable against such PARTY in accordance with its terms; and (v) the execution, delivery and performance of this AGREEMENT will not cause or result in a violation of any law, of such PARTY’s charter documents, or of any contract by which such PARTY is bound.</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Anti-Boycott</w:t>
      </w:r>
      <w:r>
        <w:rPr>
          <w:rFonts w:ascii="Arial" w:cs="Arial" w:eastAsia="Arial" w:hAnsi="Arial"/>
          <w:sz w:val="18"/>
          <w:szCs w:val="18"/>
          <w:color w:val="auto"/>
        </w:rPr>
        <w:t>. Notwithstanding any other provision of this AGREEMENT, neither LICENSEE nor LICENSOR shall be required to take or refrain from taking any action impermissible or penalized under the laws of the United States or any applicable foreign jurisdiction, including without limitation the anti-boycott laws administered by the U.S. Commerce and Treasury Departments.</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Disclaimer of Other Warranties</w:t>
      </w:r>
      <w:r>
        <w:rPr>
          <w:rFonts w:ascii="Arial" w:cs="Arial" w:eastAsia="Arial" w:hAnsi="Arial"/>
          <w:sz w:val="18"/>
          <w:szCs w:val="18"/>
          <w:color w:val="auto"/>
        </w:rPr>
        <w:t>. EXCEPT AS EXPRESSLY SET FORTH HEREIN, NEITHER LICENSOR NOR ANY OF ITS AFFILIATES MAKES ANY WARRANTIES, EXPRESS OR IMPLIED OF MERCHANTABILITY OR FITNESS FOR A PARTICULAR PURPOSE, OR THAT THE MANUFACTURE, USE, IMPORT OR SALE OF CELLS OR LICENSEE PRODUCTS WILL BE FREE FROM INFRINGEMENT OF ANY PATENT OR OTHER INTELLECTUAL OR PROPRIETARY RIGHTS OF A THIRD PARTY. LICENSOR AND ITS AFFILIATES EXPRESSLY DISCLAIM ANY AND ALL WARRANTIES THAT THE USE OF CELLS, INCLUDING WITHOUT LIMITATION, THE USE OF CELLS IN THE MANUFACTURE OF LICENSEE PRODUCTS OR COMPONENTS THEREOF, THE USE OF THE RIGHTS OR THE USE OR TRANSFER OF SUCH LICENSEE PRODUCTS OR COMPONENTS THEREOF BY OR TO ANY AFFILIATE OR THIRD PARTY (INCLUDING A SERVICE PROVIDER), AND/OR ANY RESULTS OBTAINED BY USING SUCH CELLS, RIGHTS OR LICENSEE PRODUCTS OR COMPONENTS THEREOF, ARE, OR WILL BE, FREE FROM INFRINGEMENT OF ANY PATENT OR OTHER INTELLECTUAL OR PROPRIETARY RIGHTS OF THIRD PARTIES; AND THIS ALLOCATION OF RISK BETWEEN THE PARTIES IS REFLECTED IN THE TERMS OF THE AGREEMENT AND IS AN ESSENTIAL ELEMENT OF THE BARGAIN BETWEEN THE PARTIES.</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NEITHER LICENSOR NOR ANY OF ITS AFFILIATES MAKES ANY WARRANTIES, EXPRESS OR IMPLIED, AS TO THE SUITABILITY OF THE CELLS FOR HUMAN USE OR COMMERCIALIZATION.</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Indirect Damages</w:t>
      </w:r>
      <w:r>
        <w:rPr>
          <w:rFonts w:ascii="Arial" w:cs="Arial" w:eastAsia="Arial" w:hAnsi="Arial"/>
          <w:sz w:val="17"/>
          <w:szCs w:val="17"/>
          <w:color w:val="auto"/>
        </w:rPr>
        <w:t>. NEITHER LICENSOR NOR ITS AFFILIATES SHALL BE LIABLE HEREUNDER TO LICENSEE, ITS AFFILIATES OR ANY OTHER PERSON OR ENTITY FOR SPECIAL, INCIDENTAL, CONSEQUENTIAL, EXEMPLARY OR OTHER INDIRECT DAMAGES (INCLUDING, BUT NOT LIMITED TO, LOSS OF PROFITS OR LOSS OF USE DAMAGES) ARISING FROM THE MANUFACTURE OR USE OF CELLS OR LICENSEE PRODUCTS, OR THE USE OF THE RIGHTS, OR IN CONNECTION WITH THE PERFORMANCE OF THIS AGREEMENT, EVEN IF LICENSOR AND/OR ITS AFFILIATES HAVE BEEN ADVISED OF THE POSSIBILITY OF SUCH DAMAGES OR LOSSES.</w:t>
      </w:r>
    </w:p>
    <w:p>
      <w:pPr>
        <w:spacing w:after="0" w:line="173" w:lineRule="exact"/>
        <w:rPr>
          <w:sz w:val="20"/>
          <w:szCs w:val="20"/>
          <w:color w:val="auto"/>
        </w:rPr>
      </w:pPr>
    </w:p>
    <w:p>
      <w:pPr>
        <w:ind w:right="760" w:firstLine="456"/>
        <w:spacing w:after="0" w:line="308"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UNDER NO CIRCUMSTANCES SHALL THE TOTAL LIABILITY OF LICENSOR AND ITS AFFILIATES, ARISING OUT OF OR RELATED TO THIS AGREEMENT INCLUDING, REGARDLESS OF THE FORUM AND REGARDLESS 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11 of 16</w:t>
      </w:r>
    </w:p>
    <w:p>
      <w:pPr>
        <w:spacing w:after="0" w:line="158" w:lineRule="exact"/>
        <w:rPr>
          <w:sz w:val="20"/>
          <w:szCs w:val="20"/>
          <w:color w:val="auto"/>
        </w:rPr>
      </w:pPr>
    </w:p>
    <w:p>
      <w:pPr>
        <w:jc w:val="both"/>
        <w:ind w:left="2420" w:right="2380" w:firstLine="44"/>
        <w:spacing w:after="0" w:line="274" w:lineRule="auto"/>
        <w:tabs>
          <w:tab w:leader="none" w:pos="3025" w:val="left"/>
        </w:tabs>
        <w:numPr>
          <w:ilvl w:val="0"/>
          <w:numId w:val="62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400"/>
          </w:cols>
          <w:pgMar w:left="240" w:top="270" w:right="259" w:bottom="1440" w:gutter="0" w:footer="0" w:header="0"/>
        </w:sectPr>
      </w:pPr>
    </w:p>
    <w:bookmarkStart w:id="634" w:name="page635"/>
    <w:bookmarkEnd w:id="6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WHETHER ANY ACTION OR CLAIM IS BASED ON CONTRACT, TORT, OR ANY OTHER LEGAL THEORY, EXCEED THE TOTAL AMOUNT PAID BY LICENSEE COLLECTIVELY TO LICENSOR AND ITS AFFILIATES HEREUNDER (DETERMINED AS OF THE DATE OF ANY FINAL JUDGMENT IN SUCH ACTION).</w:t>
      </w:r>
    </w:p>
    <w:p>
      <w:pPr>
        <w:spacing w:after="0" w:line="177" w:lineRule="exact"/>
        <w:rPr>
          <w:sz w:val="20"/>
          <w:szCs w:val="20"/>
          <w:color w:val="auto"/>
        </w:rPr>
      </w:pPr>
    </w:p>
    <w:p>
      <w:pPr>
        <w:ind w:firstLine="8"/>
        <w:spacing w:after="0" w:line="270" w:lineRule="auto"/>
        <w:tabs>
          <w:tab w:leader="none" w:pos="405" w:val="left"/>
        </w:tabs>
        <w:numPr>
          <w:ilvl w:val="0"/>
          <w:numId w:val="6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Export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LICENSEE on behalf of itself and its AFFILIATES hereby agrees to comply with all applicable U.S. export laws administered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FDA and U.S. export control and economic sanctions laws, regulations, and orders, including without limitation those regulations maintained by the U.S. Treasury Department’s Office of Foreign Assets Control and the U.S. Commerce Department’s Bureau of Industry and Security. Without limiting the foregoing, LICENSEE covenants and agrees that neither it nor its AFFILIATES shall, directly or indirectly, sell, export, re-export, transfer, divert, or otherwise release or dispose of any equipment, product, commodities, services, software, samples, materials, information, technical data, or technology received under this AGREEMENT to or through any individual, entity, or destination, or for use prohibited by the laws or regulations of the U.S. or any other applicable jurisdiction without having obtained prior authorization from the competent GOVERNMENTAL AUTHORITIES as required by all such laws and regulations. LICENSEE’s or any of its AFFILIATES’ breach of this provision shall constitute cause for immediate termination of this AGREEMENT. LICENSEE agrees to indemnify and hold harmless LICENSOR and its AFFILIATES for LICENSEE’s or any of its AFFILIATES’ non-compliance with these controls in connection with a breach of this provision.</w:t>
      </w:r>
    </w:p>
    <w:p>
      <w:pPr>
        <w:spacing w:after="0" w:line="285" w:lineRule="exact"/>
        <w:rPr>
          <w:rFonts w:ascii="Arial" w:cs="Arial" w:eastAsia="Arial" w:hAnsi="Arial"/>
          <w:sz w:val="17"/>
          <w:szCs w:val="17"/>
          <w:b w:val="1"/>
          <w:bCs w:val="1"/>
          <w:color w:val="auto"/>
        </w:rPr>
      </w:pPr>
    </w:p>
    <w:p>
      <w:pPr>
        <w:ind w:left="400" w:hanging="392"/>
        <w:spacing w:after="0"/>
        <w:tabs>
          <w:tab w:leader="none" w:pos="400" w:val="left"/>
        </w:tabs>
        <w:numPr>
          <w:ilvl w:val="0"/>
          <w:numId w:val="6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Indemnity; Insurance</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Indemnification by LICENSEE</w:t>
      </w:r>
      <w:r>
        <w:rPr>
          <w:rFonts w:ascii="Arial" w:cs="Arial" w:eastAsia="Arial" w:hAnsi="Arial"/>
          <w:sz w:val="16"/>
          <w:szCs w:val="16"/>
          <w:color w:val="auto"/>
        </w:rPr>
        <w:t xml:space="preserve">. LICENSEE shall defend, indemnify and hold LICENSOR, AFFILIATES, and its and their respective officers, directors, employees and agents (the </w:t>
      </w:r>
      <w:r>
        <w:rPr>
          <w:rFonts w:ascii="Arial" w:cs="Arial" w:eastAsia="Arial" w:hAnsi="Arial"/>
          <w:sz w:val="16"/>
          <w:szCs w:val="16"/>
          <w:b w:val="1"/>
          <w:bCs w:val="1"/>
          <w:color w:val="auto"/>
        </w:rPr>
        <w:t>“INDEMNITEES”),</w:t>
      </w:r>
      <w:r>
        <w:rPr>
          <w:rFonts w:ascii="Arial" w:cs="Arial" w:eastAsia="Arial" w:hAnsi="Arial"/>
          <w:sz w:val="16"/>
          <w:szCs w:val="16"/>
          <w:color w:val="auto"/>
        </w:rPr>
        <w:t xml:space="preserve"> harmless from and against all liability, damages, expenses (including reasonable attorneys’ and expert witness fees and expenses), recoveries and losses resulting from any death, personal injury, illness or property damage (collectively, </w:t>
      </w:r>
      <w:r>
        <w:rPr>
          <w:rFonts w:ascii="Arial" w:cs="Arial" w:eastAsia="Arial" w:hAnsi="Arial"/>
          <w:sz w:val="16"/>
          <w:szCs w:val="16"/>
          <w:b w:val="1"/>
          <w:bCs w:val="1"/>
          <w:color w:val="auto"/>
        </w:rPr>
        <w:t>“LOSSES”)</w:t>
      </w:r>
      <w:r>
        <w:rPr>
          <w:rFonts w:ascii="Arial" w:cs="Arial" w:eastAsia="Arial" w:hAnsi="Arial"/>
          <w:sz w:val="16"/>
          <w:szCs w:val="16"/>
          <w:color w:val="auto"/>
        </w:rPr>
        <w:t xml:space="preserve"> resulting from any claims (including any claims for infringement or misappropriation of intellectual property), demands, actions, suits or proceedings (collectively, </w:t>
      </w:r>
      <w:r>
        <w:rPr>
          <w:rFonts w:ascii="Arial" w:cs="Arial" w:eastAsia="Arial" w:hAnsi="Arial"/>
          <w:sz w:val="16"/>
          <w:szCs w:val="16"/>
          <w:b w:val="1"/>
          <w:bCs w:val="1"/>
          <w:color w:val="auto"/>
        </w:rPr>
        <w:t>“CLAIMS”)</w:t>
      </w:r>
      <w:r>
        <w:rPr>
          <w:rFonts w:ascii="Arial" w:cs="Arial" w:eastAsia="Arial" w:hAnsi="Arial"/>
          <w:sz w:val="16"/>
          <w:szCs w:val="16"/>
          <w:color w:val="auto"/>
        </w:rPr>
        <w:t xml:space="preserve"> brought by a THIRD PARTY to the extent that such CLAIMS arise out of, are based on, or result from (i) the replication or use of CELLS by LICENSEE, its AFFILIATES or SERVICE PROVIDERS; (ii) the use of RIGHTS by LICENSEE, its AFFILIATES or SERVICE PROVIDERS;</w:t>
      </w:r>
    </w:p>
    <w:p>
      <w:pPr>
        <w:spacing w:after="0" w:line="5" w:lineRule="exact"/>
        <w:rPr>
          <w:sz w:val="20"/>
          <w:szCs w:val="20"/>
          <w:color w:val="auto"/>
        </w:rPr>
      </w:pPr>
    </w:p>
    <w:p>
      <w:pPr>
        <w:ind w:right="80" w:firstLine="8"/>
        <w:spacing w:after="0" w:line="277" w:lineRule="auto"/>
        <w:tabs>
          <w:tab w:leader="none" w:pos="315" w:val="left"/>
        </w:tabs>
        <w:numPr>
          <w:ilvl w:val="0"/>
          <w:numId w:val="631"/>
        </w:numPr>
        <w:rPr>
          <w:rFonts w:ascii="Arial" w:cs="Arial" w:eastAsia="Arial" w:hAnsi="Arial"/>
          <w:sz w:val="17"/>
          <w:szCs w:val="17"/>
          <w:color w:val="auto"/>
        </w:rPr>
      </w:pPr>
      <w:r>
        <w:rPr>
          <w:rFonts w:ascii="Arial" w:cs="Arial" w:eastAsia="Arial" w:hAnsi="Arial"/>
          <w:sz w:val="17"/>
          <w:szCs w:val="17"/>
          <w:color w:val="auto"/>
        </w:rPr>
        <w:t>breach by LICENSEE or any of its AFFILIATES or SERVICE PROVIDERS of any representation, warranty or covenant made by LICENSEE in this AGREEMENT or (iv) any use, sale, or import of LICENSEE PRODUCTS, including but not limited to, use or reliance upon such LICENSEE PRODUCTS or RIGHTS, by LICENSEE, its AFFILIATES, SERVICE PROVIDERS and/or its or their DISTRIBUTORS or customers.</w:t>
      </w:r>
    </w:p>
    <w:p>
      <w:pPr>
        <w:spacing w:after="0" w:line="17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xml:space="preserve">. INDEMNITEES shall give written notice to LICENSEE in a reasonably timely manner after learning of such CLAIM. INDEMNITEES shall provide LICENSEE with reasonable assistance, at LICENSEE’s expense, in connection with the defense of the CLAIM for which indemnity is being sought. INDEMNITEES may participate in and monitor such defense with counsel of its own choosing at its sole expense;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LICENSEE shall have the right to assume and conduct the defense of the CLAIM with counsel of its choice. LICENSEE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settle any CLAIM without the prior written consent of the INDEMNITEES, not to be unreasonably withheld or delayed, unless the settlement involves only the payment of money. INDEMNITEES shall not settle any CLAIM without the prior written consent of LICENSEE. If LICENSEE does not assume and conduct the defense of the CLAIM as provided above, (i) INDEMNITEES may defend against, and consent to the entry of any judgment or enter into any settlement with respect to,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12 of 16</w:t>
      </w:r>
    </w:p>
    <w:p>
      <w:pPr>
        <w:spacing w:after="0" w:line="158" w:lineRule="exact"/>
        <w:rPr>
          <w:sz w:val="20"/>
          <w:szCs w:val="20"/>
          <w:color w:val="auto"/>
        </w:rPr>
      </w:pPr>
    </w:p>
    <w:p>
      <w:pPr>
        <w:jc w:val="both"/>
        <w:ind w:left="2420" w:right="2340" w:firstLine="44"/>
        <w:spacing w:after="0" w:line="274" w:lineRule="auto"/>
        <w:tabs>
          <w:tab w:leader="none" w:pos="3025" w:val="left"/>
        </w:tabs>
        <w:numPr>
          <w:ilvl w:val="0"/>
          <w:numId w:val="632"/>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360"/>
          </w:cols>
          <w:pgMar w:left="240" w:top="270" w:right="299" w:bottom="1440" w:gutter="0" w:footer="0" w:header="0"/>
        </w:sectPr>
      </w:pPr>
    </w:p>
    <w:bookmarkStart w:id="635" w:name="page636"/>
    <w:bookmarkEnd w:id="6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CLAIM in any manner the INDEMNITEES may deem reasonably appropriate (and INDEMNITEES need not consult with, or obtain any consent from, LICENSEE in connection therewith); and (ii) LICENSEE will remain responsible to indemnify the INDEMNITEES as provided in this Section 11.</w:t>
      </w:r>
    </w:p>
    <w:p>
      <w:pPr>
        <w:spacing w:after="0" w:line="147"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LICENSEE will maintain the following insurance policies:</w:t>
      </w:r>
    </w:p>
    <w:p>
      <w:pPr>
        <w:spacing w:after="0" w:line="225" w:lineRule="exact"/>
        <w:rPr>
          <w:sz w:val="20"/>
          <w:szCs w:val="20"/>
          <w:color w:val="auto"/>
        </w:rPr>
      </w:pPr>
    </w:p>
    <w:p>
      <w:pPr>
        <w:ind w:right="460" w:firstLine="921"/>
        <w:spacing w:after="0" w:line="264" w:lineRule="auto"/>
        <w:tabs>
          <w:tab w:leader="none" w:pos="1293" w:val="left"/>
        </w:tabs>
        <w:numPr>
          <w:ilvl w:val="0"/>
          <w:numId w:val="633"/>
        </w:numPr>
        <w:rPr>
          <w:rFonts w:ascii="Arial" w:cs="Arial" w:eastAsia="Arial" w:hAnsi="Arial"/>
          <w:sz w:val="18"/>
          <w:szCs w:val="18"/>
          <w:color w:val="auto"/>
        </w:rPr>
      </w:pPr>
      <w:r>
        <w:rPr>
          <w:rFonts w:ascii="Arial" w:cs="Arial" w:eastAsia="Arial" w:hAnsi="Arial"/>
          <w:sz w:val="18"/>
          <w:szCs w:val="18"/>
          <w:u w:val="single" w:color="auto"/>
          <w:color w:val="auto"/>
        </w:rPr>
        <w:t>Research and Development</w:t>
      </w:r>
      <w:r>
        <w:rPr>
          <w:rFonts w:ascii="Arial" w:cs="Arial" w:eastAsia="Arial" w:hAnsi="Arial"/>
          <w:sz w:val="18"/>
          <w:szCs w:val="18"/>
          <w:color w:val="auto"/>
        </w:rPr>
        <w:t>. As of the EFFECTIVE DATE of this AGREEMENT and until the date on which LICENSEE obtains a REGULATORY AUTHORIZATION to COMMERCIALIZE LICENSEE PRODUCT, LICENSEE will maintain in effect commercial general liability coverage, covering LICENSEE’S obligations under this AGREEMENT with limits not less than [XXX].</w:t>
      </w:r>
    </w:p>
    <w:p>
      <w:pPr>
        <w:spacing w:after="0" w:line="181" w:lineRule="exact"/>
        <w:rPr>
          <w:rFonts w:ascii="Arial" w:cs="Arial" w:eastAsia="Arial" w:hAnsi="Arial"/>
          <w:sz w:val="18"/>
          <w:szCs w:val="18"/>
          <w:color w:val="auto"/>
        </w:rPr>
      </w:pPr>
    </w:p>
    <w:p>
      <w:pPr>
        <w:ind w:left="1320" w:hanging="399"/>
        <w:spacing w:after="0"/>
        <w:tabs>
          <w:tab w:leader="none" w:pos="1320" w:val="left"/>
        </w:tabs>
        <w:numPr>
          <w:ilvl w:val="0"/>
          <w:numId w:val="633"/>
        </w:numPr>
        <w:rPr>
          <w:rFonts w:ascii="Arial" w:cs="Arial" w:eastAsia="Arial" w:hAnsi="Arial"/>
          <w:sz w:val="18"/>
          <w:szCs w:val="18"/>
          <w:color w:val="auto"/>
        </w:rPr>
      </w:pPr>
      <w:r>
        <w:rPr>
          <w:rFonts w:ascii="Arial" w:cs="Arial" w:eastAsia="Arial" w:hAnsi="Arial"/>
          <w:sz w:val="18"/>
          <w:szCs w:val="18"/>
          <w:u w:val="single" w:color="auto"/>
          <w:color w:val="auto"/>
        </w:rPr>
        <w:t>Clinical Trials Insurance</w:t>
      </w:r>
      <w:r>
        <w:rPr>
          <w:rFonts w:ascii="Arial" w:cs="Arial" w:eastAsia="Arial" w:hAnsi="Arial"/>
          <w:sz w:val="18"/>
          <w:szCs w:val="18"/>
          <w:color w:val="auto"/>
        </w:rPr>
        <w:t>. From the first day LICENSEE commences clinical trials using materials manufactured using CELLS</w:t>
      </w:r>
    </w:p>
    <w:p>
      <w:pPr>
        <w:spacing w:after="0" w:line="2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LICENSEE’S CLINICAL TRIAL(S)</w:t>
      </w:r>
      <w:r>
        <w:rPr>
          <w:rFonts w:ascii="Arial" w:cs="Arial" w:eastAsia="Arial" w:hAnsi="Arial"/>
          <w:sz w:val="18"/>
          <w:szCs w:val="18"/>
          <w:color w:val="auto"/>
        </w:rPr>
        <w:t>”) and for at least five (5) years of consistent coverage (tail coverage for claims-made policy) after termination of this Agreement, LICENSEE will maintain in effect clinical trial insurance coverage with limits and policy terms required by local LAWS in the territories where the LICENSEE’S CLINICAL TRIALS are taking place and not less than:</w:t>
      </w:r>
    </w:p>
    <w:p>
      <w:pPr>
        <w:spacing w:after="0" w:line="190" w:lineRule="exact"/>
        <w:rPr>
          <w:sz w:val="20"/>
          <w:szCs w:val="20"/>
          <w:color w:val="auto"/>
        </w:rPr>
      </w:pPr>
    </w:p>
    <w:p>
      <w:pPr>
        <w:ind w:left="1840" w:hanging="348"/>
        <w:spacing w:after="0"/>
        <w:tabs>
          <w:tab w:leader="none" w:pos="1840" w:val="left"/>
        </w:tabs>
        <w:numPr>
          <w:ilvl w:val="2"/>
          <w:numId w:val="634"/>
        </w:numPr>
        <w:rPr>
          <w:rFonts w:ascii="Arial" w:cs="Arial" w:eastAsia="Arial" w:hAnsi="Arial"/>
          <w:sz w:val="18"/>
          <w:szCs w:val="18"/>
          <w:color w:val="auto"/>
        </w:rPr>
      </w:pPr>
      <w:r>
        <w:rPr>
          <w:rFonts w:ascii="Arial" w:cs="Arial" w:eastAsia="Arial" w:hAnsi="Arial"/>
          <w:sz w:val="18"/>
          <w:szCs w:val="18"/>
          <w:color w:val="auto"/>
        </w:rPr>
        <w:t>[XXX] upon commencement of PHASE I CLINICAL STUDY; and</w:t>
      </w:r>
    </w:p>
    <w:p>
      <w:pPr>
        <w:spacing w:after="0" w:line="225" w:lineRule="exact"/>
        <w:rPr>
          <w:rFonts w:ascii="Arial" w:cs="Arial" w:eastAsia="Arial" w:hAnsi="Arial"/>
          <w:sz w:val="18"/>
          <w:szCs w:val="18"/>
          <w:color w:val="auto"/>
        </w:rPr>
      </w:pPr>
    </w:p>
    <w:p>
      <w:pPr>
        <w:ind w:left="1900" w:hanging="408"/>
        <w:spacing w:after="0"/>
        <w:tabs>
          <w:tab w:leader="none" w:pos="1900" w:val="left"/>
        </w:tabs>
        <w:numPr>
          <w:ilvl w:val="2"/>
          <w:numId w:val="634"/>
        </w:numPr>
        <w:rPr>
          <w:rFonts w:ascii="Arial" w:cs="Arial" w:eastAsia="Arial" w:hAnsi="Arial"/>
          <w:sz w:val="18"/>
          <w:szCs w:val="18"/>
          <w:color w:val="auto"/>
        </w:rPr>
      </w:pPr>
      <w:r>
        <w:rPr>
          <w:rFonts w:ascii="Arial" w:cs="Arial" w:eastAsia="Arial" w:hAnsi="Arial"/>
          <w:sz w:val="18"/>
          <w:szCs w:val="18"/>
          <w:color w:val="auto"/>
        </w:rPr>
        <w:t>[XXX] upon commencement of any LICENSEE’S CLINICAL TRIALS beyond PHASE I CLINICAL TRIAL.</w:t>
      </w:r>
    </w:p>
    <w:p>
      <w:pPr>
        <w:spacing w:after="0" w:line="225" w:lineRule="exact"/>
        <w:rPr>
          <w:rFonts w:ascii="Arial" w:cs="Arial" w:eastAsia="Arial" w:hAnsi="Arial"/>
          <w:sz w:val="18"/>
          <w:szCs w:val="18"/>
          <w:color w:val="auto"/>
        </w:rPr>
      </w:pPr>
    </w:p>
    <w:p>
      <w:pPr>
        <w:ind w:firstLine="921"/>
        <w:spacing w:after="0" w:line="286" w:lineRule="auto"/>
        <w:tabs>
          <w:tab w:leader="none" w:pos="1293" w:val="left"/>
        </w:tabs>
        <w:numPr>
          <w:ilvl w:val="1"/>
          <w:numId w:val="635"/>
        </w:numPr>
        <w:rPr>
          <w:rFonts w:ascii="Arial" w:cs="Arial" w:eastAsia="Arial" w:hAnsi="Arial"/>
          <w:sz w:val="16"/>
          <w:szCs w:val="16"/>
          <w:color w:val="auto"/>
        </w:rPr>
      </w:pPr>
      <w:r>
        <w:rPr>
          <w:rFonts w:ascii="Arial" w:cs="Arial" w:eastAsia="Arial" w:hAnsi="Arial"/>
          <w:sz w:val="16"/>
          <w:szCs w:val="16"/>
          <w:u w:val="single" w:color="auto"/>
          <w:color w:val="auto"/>
        </w:rPr>
        <w:t>Insurance upon COMMERCIALIZATION</w:t>
      </w:r>
      <w:r>
        <w:rPr>
          <w:rFonts w:ascii="Arial" w:cs="Arial" w:eastAsia="Arial" w:hAnsi="Arial"/>
          <w:sz w:val="16"/>
          <w:szCs w:val="16"/>
          <w:color w:val="auto"/>
        </w:rPr>
        <w:t>. Prior to or upon the grant of a REGULATORY AUTHORIZATION to COMMERCIALIZE LICENSEE PRODUCT, LICENSEE will maintain commercial general liability and product liability insurance, covering therapeutic products and LICENSEE’S obligations under the terms of this AGREEMENT, including its indemnification obligations and costs for defense, for any claims arising from bodily injury and property damage regarding the use of CELLS with limits not less than [XXX]. This insurance policy will be maintained until the later of:</w:t>
      </w:r>
    </w:p>
    <w:p>
      <w:pPr>
        <w:spacing w:after="0" w:line="1" w:lineRule="exact"/>
        <w:rPr>
          <w:rFonts w:ascii="Arial" w:cs="Arial" w:eastAsia="Arial" w:hAnsi="Arial"/>
          <w:sz w:val="16"/>
          <w:szCs w:val="16"/>
          <w:color w:val="auto"/>
        </w:rPr>
      </w:pPr>
    </w:p>
    <w:p>
      <w:pPr>
        <w:ind w:right="120" w:firstLine="8"/>
        <w:spacing w:after="0" w:line="261" w:lineRule="auto"/>
        <w:tabs>
          <w:tab w:leader="none" w:pos="215" w:val="left"/>
        </w:tabs>
        <w:numPr>
          <w:ilvl w:val="0"/>
          <w:numId w:val="636"/>
        </w:numPr>
        <w:rPr>
          <w:rFonts w:ascii="Arial" w:cs="Arial" w:eastAsia="Arial" w:hAnsi="Arial"/>
          <w:sz w:val="18"/>
          <w:szCs w:val="18"/>
          <w:color w:val="auto"/>
        </w:rPr>
      </w:pPr>
      <w:r>
        <w:rPr>
          <w:rFonts w:ascii="Arial" w:cs="Arial" w:eastAsia="Arial" w:hAnsi="Arial"/>
          <w:sz w:val="18"/>
          <w:szCs w:val="18"/>
          <w:color w:val="auto"/>
        </w:rPr>
        <w:t>the expiration of any applicable statute of limitations, (ii) five (5) years following termination of this AGREEMENT, or (iii) five (5) years following the last sale of LICENSEE PRODUCTS.</w:t>
      </w:r>
    </w:p>
    <w:p>
      <w:pPr>
        <w:spacing w:after="0" w:line="183" w:lineRule="exact"/>
        <w:rPr>
          <w:rFonts w:ascii="Arial" w:cs="Arial" w:eastAsia="Arial" w:hAnsi="Arial"/>
          <w:sz w:val="18"/>
          <w:szCs w:val="18"/>
          <w:color w:val="auto"/>
        </w:rPr>
      </w:pPr>
    </w:p>
    <w:p>
      <w:pPr>
        <w:ind w:left="1300" w:hanging="379"/>
        <w:spacing w:after="0"/>
        <w:tabs>
          <w:tab w:leader="none" w:pos="1300" w:val="left"/>
        </w:tabs>
        <w:numPr>
          <w:ilvl w:val="1"/>
          <w:numId w:val="636"/>
        </w:numPr>
        <w:rPr>
          <w:rFonts w:ascii="Arial" w:cs="Arial" w:eastAsia="Arial" w:hAnsi="Arial"/>
          <w:sz w:val="18"/>
          <w:szCs w:val="18"/>
          <w:color w:val="auto"/>
        </w:rPr>
      </w:pPr>
      <w:r>
        <w:rPr>
          <w:rFonts w:ascii="Arial" w:cs="Arial" w:eastAsia="Arial" w:hAnsi="Arial"/>
          <w:sz w:val="18"/>
          <w:szCs w:val="18"/>
          <w:color w:val="auto"/>
        </w:rPr>
        <w:t>The insurance policies, or certificates issued to LICENSEE evidencing such insurance coverage shall:</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2"/>
          <w:numId w:val="636"/>
        </w:numPr>
        <w:rPr>
          <w:rFonts w:ascii="Arial" w:cs="Arial" w:eastAsia="Arial" w:hAnsi="Arial"/>
          <w:sz w:val="18"/>
          <w:szCs w:val="18"/>
          <w:color w:val="auto"/>
        </w:rPr>
      </w:pPr>
      <w:r>
        <w:rPr>
          <w:rFonts w:ascii="Arial" w:cs="Arial" w:eastAsia="Arial" w:hAnsi="Arial"/>
          <w:sz w:val="18"/>
          <w:szCs w:val="18"/>
          <w:color w:val="auto"/>
        </w:rPr>
        <w:t>Name as additional insured each of LICENSOR and its AFFILIATES;</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2"/>
          <w:numId w:val="636"/>
        </w:numPr>
        <w:rPr>
          <w:rFonts w:ascii="Arial" w:cs="Arial" w:eastAsia="Arial" w:hAnsi="Arial"/>
          <w:sz w:val="18"/>
          <w:szCs w:val="18"/>
          <w:color w:val="auto"/>
        </w:rPr>
      </w:pPr>
      <w:r>
        <w:rPr>
          <w:rFonts w:ascii="Arial" w:cs="Arial" w:eastAsia="Arial" w:hAnsi="Arial"/>
          <w:sz w:val="18"/>
          <w:szCs w:val="18"/>
          <w:color w:val="auto"/>
        </w:rPr>
        <w:t>Be primary and non-contributing with, and not in excess of, any other insurance available to LICENSOR;</w:t>
      </w:r>
    </w:p>
    <w:p>
      <w:pPr>
        <w:spacing w:after="0" w:line="225" w:lineRule="exact"/>
        <w:rPr>
          <w:rFonts w:ascii="Arial" w:cs="Arial" w:eastAsia="Arial" w:hAnsi="Arial"/>
          <w:sz w:val="18"/>
          <w:szCs w:val="18"/>
          <w:color w:val="auto"/>
        </w:rPr>
      </w:pPr>
    </w:p>
    <w:p>
      <w:pPr>
        <w:ind w:right="1080" w:firstLine="1492"/>
        <w:spacing w:after="0" w:line="277" w:lineRule="auto"/>
        <w:tabs>
          <w:tab w:leader="none" w:pos="1933" w:val="left"/>
        </w:tabs>
        <w:numPr>
          <w:ilvl w:val="2"/>
          <w:numId w:val="636"/>
        </w:numPr>
        <w:rPr>
          <w:rFonts w:ascii="Arial" w:cs="Arial" w:eastAsia="Arial" w:hAnsi="Arial"/>
          <w:sz w:val="18"/>
          <w:szCs w:val="18"/>
          <w:color w:val="auto"/>
        </w:rPr>
      </w:pPr>
      <w:r>
        <w:rPr>
          <w:rFonts w:ascii="Arial" w:cs="Arial" w:eastAsia="Arial" w:hAnsi="Arial"/>
          <w:sz w:val="18"/>
          <w:szCs w:val="18"/>
          <w:color w:val="auto"/>
        </w:rPr>
        <w:t>Have reasonable and customary deductible amounts compared to other similar companies in the biotechnology and biopharmaceutical industry;</w:t>
      </w:r>
    </w:p>
    <w:p>
      <w:pPr>
        <w:spacing w:after="0" w:line="170" w:lineRule="exact"/>
        <w:rPr>
          <w:rFonts w:ascii="Arial" w:cs="Arial" w:eastAsia="Arial" w:hAnsi="Arial"/>
          <w:sz w:val="18"/>
          <w:szCs w:val="18"/>
          <w:color w:val="auto"/>
        </w:rPr>
      </w:pPr>
    </w:p>
    <w:p>
      <w:pPr>
        <w:ind w:right="40" w:firstLine="1492"/>
        <w:spacing w:after="0" w:line="277" w:lineRule="auto"/>
        <w:tabs>
          <w:tab w:leader="none" w:pos="1923" w:val="left"/>
        </w:tabs>
        <w:numPr>
          <w:ilvl w:val="2"/>
          <w:numId w:val="636"/>
        </w:numPr>
        <w:rPr>
          <w:rFonts w:ascii="Arial" w:cs="Arial" w:eastAsia="Arial" w:hAnsi="Arial"/>
          <w:sz w:val="18"/>
          <w:szCs w:val="18"/>
          <w:color w:val="auto"/>
        </w:rPr>
      </w:pPr>
      <w:r>
        <w:rPr>
          <w:rFonts w:ascii="Arial" w:cs="Arial" w:eastAsia="Arial" w:hAnsi="Arial"/>
          <w:sz w:val="18"/>
          <w:szCs w:val="18"/>
          <w:color w:val="auto"/>
        </w:rPr>
        <w:t>Be issued by responsible insurance carriers licensed to do business in the state in which the project is located, and with a rating of not less than A-, as rated in the most currently available “Best’s Insurance Guide;”</w:t>
      </w:r>
    </w:p>
    <w:p>
      <w:pPr>
        <w:spacing w:after="0" w:line="170" w:lineRule="exact"/>
        <w:rPr>
          <w:rFonts w:ascii="Arial" w:cs="Arial" w:eastAsia="Arial" w:hAnsi="Arial"/>
          <w:sz w:val="18"/>
          <w:szCs w:val="18"/>
          <w:color w:val="auto"/>
        </w:rPr>
      </w:pPr>
    </w:p>
    <w:p>
      <w:pPr>
        <w:ind w:right="40" w:firstLine="921"/>
        <w:spacing w:after="0" w:line="257" w:lineRule="auto"/>
        <w:tabs>
          <w:tab w:leader="none" w:pos="1293" w:val="left"/>
        </w:tabs>
        <w:numPr>
          <w:ilvl w:val="1"/>
          <w:numId w:val="636"/>
        </w:numPr>
        <w:rPr>
          <w:rFonts w:ascii="Arial" w:cs="Arial" w:eastAsia="Arial" w:hAnsi="Arial"/>
          <w:sz w:val="18"/>
          <w:szCs w:val="18"/>
          <w:color w:val="auto"/>
        </w:rPr>
      </w:pPr>
      <w:r>
        <w:rPr>
          <w:rFonts w:ascii="Arial" w:cs="Arial" w:eastAsia="Arial" w:hAnsi="Arial"/>
          <w:sz w:val="18"/>
          <w:szCs w:val="18"/>
          <w:color w:val="auto"/>
        </w:rPr>
        <w:t>LICENSEE will also maintain locally admitted commercial general liability and/or other clinical trial coverage and product liability insurance, covering therapeutic products and LICENSEE’S obligations under the terms of this AGREEMENT, in any other territories where (i) LICENSEE operates, (ii) LICENSEE’S CLINICAL TRIALS are taking place, or (iii) LICENSEE PRODUCTS are manufactured, COMMERCIALIZED, or used, as required by applicable LAWS. Such insurance policies shall name as additional insured each of LICENSOR and its AFFILIATES, if such additional insured language is customary in these territories.</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13 of 16</w:t>
      </w:r>
    </w:p>
    <w:p>
      <w:pPr>
        <w:spacing w:after="0" w:line="158" w:lineRule="exact"/>
        <w:rPr>
          <w:sz w:val="20"/>
          <w:szCs w:val="20"/>
          <w:color w:val="auto"/>
        </w:rPr>
      </w:pPr>
    </w:p>
    <w:p>
      <w:pPr>
        <w:jc w:val="both"/>
        <w:ind w:left="2420" w:right="2280" w:firstLine="44"/>
        <w:spacing w:after="0" w:line="274" w:lineRule="auto"/>
        <w:tabs>
          <w:tab w:leader="none" w:pos="3025" w:val="left"/>
        </w:tabs>
        <w:numPr>
          <w:ilvl w:val="0"/>
          <w:numId w:val="63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300"/>
          </w:cols>
          <w:pgMar w:left="240" w:top="270" w:right="359" w:bottom="1440" w:gutter="0" w:footer="0" w:header="0"/>
        </w:sectPr>
      </w:pPr>
    </w:p>
    <w:bookmarkStart w:id="636" w:name="page637"/>
    <w:bookmarkEnd w:id="6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right="300" w:firstLine="921"/>
        <w:spacing w:after="0" w:line="291" w:lineRule="auto"/>
        <w:tabs>
          <w:tab w:leader="none" w:pos="1273" w:val="left"/>
        </w:tabs>
        <w:numPr>
          <w:ilvl w:val="1"/>
          <w:numId w:val="638"/>
        </w:numPr>
        <w:rPr>
          <w:rFonts w:ascii="Arial" w:cs="Arial" w:eastAsia="Arial" w:hAnsi="Arial"/>
          <w:sz w:val="16"/>
          <w:szCs w:val="16"/>
          <w:color w:val="auto"/>
        </w:rPr>
      </w:pPr>
      <w:r>
        <w:rPr>
          <w:rFonts w:ascii="Arial" w:cs="Arial" w:eastAsia="Arial" w:hAnsi="Arial"/>
          <w:sz w:val="16"/>
          <w:szCs w:val="16"/>
          <w:color w:val="auto"/>
        </w:rPr>
        <w:t>Certificates of insurance evidencing the coverage as required by this Section 11.3 will be delivered to LICENSOR by LICENSEE upon request. LICENSEE will notify LICENSOR if the insurance policy is cancelled, suspended, non-renewed, terminated, or materially altered, within thirty</w:t>
      </w:r>
    </w:p>
    <w:p>
      <w:pPr>
        <w:ind w:left="360" w:hanging="352"/>
        <w:spacing w:after="0"/>
        <w:tabs>
          <w:tab w:leader="none" w:pos="36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days from such change.</w:t>
      </w:r>
    </w:p>
    <w:p>
      <w:pPr>
        <w:spacing w:after="0" w:line="210" w:lineRule="exact"/>
        <w:rPr>
          <w:rFonts w:ascii="Arial" w:cs="Arial" w:eastAsia="Arial" w:hAnsi="Arial"/>
          <w:sz w:val="18"/>
          <w:szCs w:val="18"/>
          <w:color w:val="auto"/>
        </w:rPr>
      </w:pPr>
    </w:p>
    <w:p>
      <w:pPr>
        <w:ind w:right="40" w:firstLine="921"/>
        <w:spacing w:after="0" w:line="264" w:lineRule="auto"/>
        <w:tabs>
          <w:tab w:leader="none" w:pos="1303" w:val="left"/>
        </w:tabs>
        <w:numPr>
          <w:ilvl w:val="1"/>
          <w:numId w:val="639"/>
        </w:numPr>
        <w:rPr>
          <w:rFonts w:ascii="Arial" w:cs="Arial" w:eastAsia="Arial" w:hAnsi="Arial"/>
          <w:sz w:val="18"/>
          <w:szCs w:val="18"/>
          <w:color w:val="auto"/>
        </w:rPr>
      </w:pPr>
      <w:r>
        <w:rPr>
          <w:rFonts w:ascii="Arial" w:cs="Arial" w:eastAsia="Arial" w:hAnsi="Arial"/>
          <w:sz w:val="18"/>
          <w:szCs w:val="18"/>
          <w:color w:val="auto"/>
        </w:rPr>
        <w:t>LICENSEE is solely responsible to ensure it maintains the appropriate insurance and level of coverage as required herein. In the event of a failure to carry and maintain the levels of insurance required herein or a failure to remedy any non-conformity, LICENSOR will be entitled to treat such failure as a material breach of the Agreement, in addition to all other rights and remedies available to LICENSOR.</w:t>
      </w:r>
    </w:p>
    <w:p>
      <w:pPr>
        <w:spacing w:after="0" w:line="285" w:lineRule="exact"/>
        <w:rPr>
          <w:sz w:val="20"/>
          <w:szCs w:val="20"/>
          <w:color w:val="auto"/>
        </w:rPr>
      </w:pPr>
    </w:p>
    <w:p>
      <w:pPr>
        <w:ind w:left="420" w:hanging="412"/>
        <w:spacing w:after="0"/>
        <w:tabs>
          <w:tab w:leader="none" w:pos="420" w:val="left"/>
        </w:tabs>
        <w:numPr>
          <w:ilvl w:val="0"/>
          <w:numId w:val="6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w:t>
      </w:r>
    </w:p>
    <w:p>
      <w:pPr>
        <w:spacing w:after="0" w:line="121"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LICENSOR and LICENSEE as to the subject matter hereof, and all prior negotiations, representations, agreements and understandings are merged into, extinguished by and completely expressed by this AGREEMENT. This AGREEMENT may be modified or amended only by a writing executed by authorized officers of both of the PARTIES.</w:t>
      </w:r>
    </w:p>
    <w:p>
      <w:pPr>
        <w:spacing w:after="0" w:line="147"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to be given by this AGREEMENT shall be given in writing in English by postpaid, first class, registered or certified mail, or by courier or facsimile, properly addressed to the other PARTY at the respective address as follows:</w:t>
      </w:r>
    </w:p>
    <w:p>
      <w:pPr>
        <w:spacing w:after="0" w:line="174" w:lineRule="exact"/>
        <w:rPr>
          <w:sz w:val="20"/>
          <w:szCs w:val="20"/>
          <w:color w:val="auto"/>
        </w:rPr>
      </w:pPr>
    </w:p>
    <w:p>
      <w:pPr>
        <w:ind w:left="460"/>
        <w:spacing w:after="0"/>
        <w:tabs>
          <w:tab w:leader="none" w:pos="6020" w:val="left"/>
        </w:tabs>
        <w:rPr>
          <w:sz w:val="20"/>
          <w:szCs w:val="20"/>
          <w:color w:val="auto"/>
        </w:rPr>
      </w:pPr>
      <w:r>
        <w:rPr>
          <w:rFonts w:ascii="Arial" w:cs="Arial" w:eastAsia="Arial" w:hAnsi="Arial"/>
          <w:sz w:val="18"/>
          <w:szCs w:val="18"/>
          <w:color w:val="auto"/>
        </w:rPr>
        <w:t>If to LICENSOR:</w:t>
      </w:r>
      <w:r>
        <w:rPr>
          <w:sz w:val="20"/>
          <w:szCs w:val="20"/>
          <w:color w:val="auto"/>
        </w:rPr>
        <w:tab/>
      </w:r>
      <w:r>
        <w:rPr>
          <w:rFonts w:ascii="Arial" w:cs="Arial" w:eastAsia="Arial" w:hAnsi="Arial"/>
          <w:sz w:val="16"/>
          <w:szCs w:val="16"/>
          <w:color w:val="auto"/>
        </w:rPr>
        <w:t>With a copy, which shall not constitute notice to:</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LICENSEE: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Solid Biosciences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161 First St.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Cambridge, MA 02142</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Either PARTY may change its address by providing notice to the other PARTY. Unless otherwise specified herein, any notice given in accordance with the foregoing shall be deemed given within four (4) BUSINESS DAYS after the day of mailing, or one (1) BUSINESS DAY after the date of delivery to the courier, as the case may be.</w:t>
      </w:r>
    </w:p>
    <w:p>
      <w:pPr>
        <w:spacing w:after="0" w:line="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interpreted and enforced in accordance with laws of the State of California in the United States of America, without regard to its conflicts of laws rules, provided, that those matters pertaining to the validity or enforceability of patent rights shall be interpreted and enforced in accordance with the laws of the territory in which such patent rights exist. The parties expressly agree that the application of the United Nations Convention on Contracts for the International Sale of Goods (1980) is specifically excluded and shall NOT apply to this Agreement.</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14 of 16</w:t>
      </w:r>
    </w:p>
    <w:p>
      <w:pPr>
        <w:spacing w:after="0" w:line="158" w:lineRule="exact"/>
        <w:rPr>
          <w:sz w:val="20"/>
          <w:szCs w:val="20"/>
          <w:color w:val="auto"/>
        </w:rPr>
      </w:pPr>
    </w:p>
    <w:p>
      <w:pPr>
        <w:jc w:val="both"/>
        <w:ind w:left="2420" w:right="2320" w:firstLine="44"/>
        <w:spacing w:after="0" w:line="274" w:lineRule="auto"/>
        <w:tabs>
          <w:tab w:leader="none" w:pos="3025" w:val="left"/>
        </w:tabs>
        <w:numPr>
          <w:ilvl w:val="0"/>
          <w:numId w:val="641"/>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340"/>
          </w:cols>
          <w:pgMar w:left="240" w:top="270" w:right="319" w:bottom="1440" w:gutter="0" w:footer="0" w:header="0"/>
        </w:sectPr>
      </w:pPr>
    </w:p>
    <w:bookmarkStart w:id="637" w:name="page638"/>
    <w:bookmarkEnd w:id="6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PARTY agrees to comply with LAWS in exercising its rights and performing its obligations under this AGREEMENT. Nothing in this AGREEMENT shall be construed so as to require the commission of any act contrary to law, and wherever there is any conflict between any provision of this AGREEMENT or concerning the legal right of the PARTIES to enter into this AGREEMENT and any statute, law, ordinance or treaty, the latter shall prevail, but in such event the affected provisions of this AGREEMENT shall be curtailed and limited only to the extent necessary to bring it within the applicable legal requirements.</w:t>
      </w:r>
    </w:p>
    <w:p>
      <w:pPr>
        <w:spacing w:after="0" w:line="18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Injunctive Relief</w:t>
      </w:r>
      <w:r>
        <w:rPr>
          <w:rFonts w:ascii="Arial" w:cs="Arial" w:eastAsia="Arial" w:hAnsi="Arial"/>
          <w:sz w:val="18"/>
          <w:szCs w:val="18"/>
          <w:color w:val="auto"/>
        </w:rPr>
        <w:t>. Notwithstanding anything herein seemingly to the contrary, either PARTY may seek injunctive relief from a court of competent jurisdiction to prevent or limit damage to that PARTY’s CONFIDENTIAL INFORMATION or otherwise preserve the status quo pending the proceeding.</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Relationship of Parties</w:t>
      </w:r>
      <w:r>
        <w:rPr>
          <w:rFonts w:ascii="Arial" w:cs="Arial" w:eastAsia="Arial" w:hAnsi="Arial"/>
          <w:sz w:val="18"/>
          <w:szCs w:val="18"/>
          <w:color w:val="auto"/>
        </w:rPr>
        <w:t>. The relationship of the PARTIES is that of independent contractors, and nothing herein shall be construed as establishing one PARTY or its AFFILIATES as the agent, legal representative, joint venturer, partner, employee, or servant of the other PARTY or its AFFILIATES. Except as set forth herein, neither PARTY shall have any right, power or authority to assume, create or incur any expense, liability or obligation, express or implied, on behalf of the other PARTY or its AFFILIATES. No PARTY shall hold itself out as being the agent, legal representative, joint venturer, partner, employee, or servant of the other PARTY or its AFFILIATES or as having authority to represent or act for the other PARTY or its AFFILIATES in any capacity whatsoever, except as authorized herein.</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Force Majeure</w:t>
      </w:r>
      <w:r>
        <w:rPr>
          <w:rFonts w:ascii="Arial" w:cs="Arial" w:eastAsia="Arial" w:hAnsi="Arial"/>
          <w:sz w:val="18"/>
          <w:szCs w:val="18"/>
          <w:color w:val="auto"/>
        </w:rPr>
        <w:t>. If the performance of this AGREEMENT or any obligation hereunder (except for the payment of money) is prevented, restricted or interfered with by reason of fire or other casualty or accident, strikes or labor disputes, inability to procure raw materials, power or supplies, war, invasion, civil commotion or other violence, compliance with any order of any governmental authorities or any other act or conditions whatsoever beyond the reasonable control of either PARTY hereto, the PARTY so affected upon giving a prompt notice to the other PARTY shall be excused from such performance to the extent of such prevention, restriction or interference; provided, however, that the PARTY so affected shall use commercially reasonable efforts to avoid or remove such causes of non-performance and shall continue performance hereunder with the utmost dispatch whenever such causes are removed, to the extent commercially reasonable.</w:t>
      </w:r>
    </w:p>
    <w:p>
      <w:pPr>
        <w:spacing w:after="0" w:line="18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Unenforceabilitv</w:t>
      </w:r>
      <w:r>
        <w:rPr>
          <w:rFonts w:ascii="Arial" w:cs="Arial" w:eastAsia="Arial" w:hAnsi="Arial"/>
          <w:sz w:val="18"/>
          <w:szCs w:val="18"/>
          <w:color w:val="auto"/>
        </w:rPr>
        <w:t>. If any provision of this AGREEMENT is held to be unenforceable for any reason, it shall be adjusted rather than voided, if possible, in order to achieve the intent of the PARTIES to the extent possible. In any event, all other provisions of this AGREEMENT shall be deemed valid and enforceable to the full extent possible.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Waiver, Modifications and Amendments</w:t>
      </w:r>
      <w:r>
        <w:rPr>
          <w:rFonts w:ascii="Arial" w:cs="Arial" w:eastAsia="Arial" w:hAnsi="Arial"/>
          <w:sz w:val="18"/>
          <w:szCs w:val="18"/>
          <w:color w:val="auto"/>
        </w:rPr>
        <w:t>. The failure of any PARTY to insist on the performance of any obligation hereunder shall not be deemed to be a waiver of such obligation. Waiver of any breach of any provision hereof shall not be deemed a waiver of any other breach of such provision or any other provision on such occasion or any succeeding occasion. No waiver, modification, release or amendment of any obligation under or provision of this AGREEMENT shall be valid or effective unless in writing and signed by the PARTIES.</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Headings</w:t>
      </w:r>
      <w:r>
        <w:rPr>
          <w:rFonts w:ascii="Arial" w:cs="Arial" w:eastAsia="Arial" w:hAnsi="Arial"/>
          <w:sz w:val="18"/>
          <w:szCs w:val="18"/>
          <w:color w:val="auto"/>
        </w:rPr>
        <w:t>. Headings used herein are for descriptive purposes only and shall not control or alter the meaning of this AGREEMENT as set forth in the text.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 of 16</w:t>
      </w:r>
    </w:p>
    <w:p>
      <w:pPr>
        <w:spacing w:after="0" w:line="158" w:lineRule="exact"/>
        <w:rPr>
          <w:sz w:val="20"/>
          <w:szCs w:val="20"/>
          <w:color w:val="auto"/>
        </w:rPr>
      </w:pPr>
    </w:p>
    <w:p>
      <w:pPr>
        <w:jc w:val="both"/>
        <w:ind w:left="2420" w:right="2380" w:firstLine="44"/>
        <w:spacing w:after="0" w:line="274" w:lineRule="auto"/>
        <w:tabs>
          <w:tab w:leader="none" w:pos="3025" w:val="left"/>
        </w:tabs>
        <w:numPr>
          <w:ilvl w:val="0"/>
          <w:numId w:val="642"/>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w:t>
      </w:r>
    </w:p>
    <w:p>
      <w:pPr>
        <w:ind w:left="3820"/>
        <w:spacing w:after="0"/>
        <w:rPr>
          <w:rFonts w:ascii="Arial" w:cs="Arial" w:eastAsia="Arial" w:hAnsi="Arial"/>
          <w:sz w:val="17"/>
          <w:szCs w:val="17"/>
          <w:color w:val="auto"/>
        </w:rPr>
      </w:pPr>
      <w:r>
        <w:rPr>
          <w:rFonts w:ascii="Arial" w:cs="Arial" w:eastAsia="Arial" w:hAnsi="Arial"/>
          <w:sz w:val="18"/>
          <w:szCs w:val="18"/>
          <w:color w:val="auto"/>
        </w:rPr>
        <w:t>WITH RESPECT TO THE OMITTED PORTIONS.</w:t>
      </w:r>
    </w:p>
    <w:p>
      <w:pPr>
        <w:sectPr>
          <w:pgSz w:w="11900" w:h="16838" w:orient="portrait"/>
          <w:cols w:equalWidth="0" w:num="1">
            <w:col w:w="11400"/>
          </w:cols>
          <w:pgMar w:left="240" w:top="270" w:right="259" w:bottom="1440" w:gutter="0" w:footer="0" w:header="0"/>
        </w:sectPr>
      </w:pPr>
    </w:p>
    <w:bookmarkStart w:id="638" w:name="page639"/>
    <w:bookmarkEnd w:id="6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one or more of the provisions contained in this AGREEMENT be held invalid, illegal or unenforceable by a court or tribunal with jurisdiction to do so, then the validity, legality and enforceability of the remaining provisions contained herein shall not be affected or impaired thereby, unless the absence of the invalidated provision(s) adversely affect the PARTIES’ substantive rights. In such instance, the PARTIES shall use their best efforts to replace the invalid, illegal or unenforceable provision(s) with valid, legal and enforceable provision(s) which, insofar as practical, implement the purposes of this AGREEMENT.</w:t>
      </w:r>
    </w:p>
    <w:p>
      <w:pPr>
        <w:spacing w:after="0" w:line="18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signed in one or more counterparts, all of which together shall constitute one and the same AGREEMENT, binding on the PARTIES as if such PARTIES had signed the same document. The execution and delivery of this Agreement by either Party hereto by facsimile transmission or e-mail delivery of a “.pdf’ or similarly formatted data file will constitute valid execution and delivery of this Agreement.</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WITNESS WHEREOF, the PARTIES intending to be legally bound have caused this AGREEMENT to be executed by their respective duly authorized representatives as of the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For LICENSOR:</w:t>
            </w:r>
          </w:p>
        </w:tc>
        <w:tc>
          <w:tcPr>
            <w:tcW w:w="1800" w:type="dxa"/>
            <w:vAlign w:val="bottom"/>
          </w:tcPr>
          <w:p>
            <w:pPr>
              <w:ind w:left="200"/>
              <w:spacing w:after="0"/>
              <w:rPr>
                <w:sz w:val="20"/>
                <w:szCs w:val="20"/>
                <w:color w:val="auto"/>
              </w:rPr>
            </w:pPr>
            <w:r>
              <w:rPr>
                <w:rFonts w:ascii="Arial" w:cs="Arial" w:eastAsia="Arial" w:hAnsi="Arial"/>
                <w:sz w:val="18"/>
                <w:szCs w:val="18"/>
                <w:b w:val="1"/>
                <w:bCs w:val="1"/>
                <w:color w:val="auto"/>
              </w:rPr>
              <w:t>For LICENSEE:</w:t>
            </w:r>
          </w:p>
        </w:tc>
        <w:tc>
          <w:tcPr>
            <w:tcW w:w="4680" w:type="dxa"/>
            <w:vAlign w:val="bottom"/>
          </w:tcPr>
          <w:p>
            <w:pPr>
              <w:spacing w:after="0"/>
              <w:rPr>
                <w:sz w:val="20"/>
                <w:szCs w:val="20"/>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[XXX]</w:t>
            </w:r>
          </w:p>
        </w:tc>
        <w:tc>
          <w:tcPr>
            <w:tcW w:w="4380" w:type="dxa"/>
            <w:vAlign w:val="bottom"/>
          </w:tcPr>
          <w:p>
            <w:pPr>
              <w:spacing w:after="0"/>
              <w:rPr>
                <w:sz w:val="24"/>
                <w:szCs w:val="24"/>
                <w:color w:val="auto"/>
              </w:rPr>
            </w:pPr>
          </w:p>
        </w:tc>
        <w:tc>
          <w:tcPr>
            <w:tcW w:w="1800" w:type="dxa"/>
            <w:vAlign w:val="bottom"/>
          </w:tcPr>
          <w:p>
            <w:pPr>
              <w:ind w:left="200"/>
              <w:spacing w:after="0"/>
              <w:rPr>
                <w:sz w:val="20"/>
                <w:szCs w:val="20"/>
                <w:color w:val="auto"/>
              </w:rPr>
            </w:pPr>
            <w:r>
              <w:rPr>
                <w:rFonts w:ascii="Arial" w:cs="Arial" w:eastAsia="Arial" w:hAnsi="Arial"/>
                <w:sz w:val="18"/>
                <w:szCs w:val="18"/>
                <w:b w:val="1"/>
                <w:bCs w:val="1"/>
                <w:color w:val="auto"/>
              </w:rPr>
              <w:t>Solid Biosciences</w:t>
            </w:r>
          </w:p>
        </w:tc>
        <w:tc>
          <w:tcPr>
            <w:tcW w:w="4680" w:type="dxa"/>
            <w:vAlign w:val="bottom"/>
          </w:tcPr>
          <w:p>
            <w:pPr>
              <w:spacing w:after="0"/>
              <w:rPr>
                <w:sz w:val="24"/>
                <w:szCs w:val="24"/>
                <w:color w:val="auto"/>
              </w:rPr>
            </w:pPr>
          </w:p>
        </w:tc>
      </w:tr>
      <w:tr>
        <w:trPr>
          <w:trHeight w:val="44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[XXX]</w:t>
            </w:r>
          </w:p>
        </w:tc>
        <w:tc>
          <w:tcPr>
            <w:tcW w:w="1800" w:type="dxa"/>
            <w:vAlign w:val="bottom"/>
          </w:tcPr>
          <w:p>
            <w:pPr>
              <w:ind w:left="1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Ilan Ganot</w:t>
            </w:r>
          </w:p>
        </w:tc>
      </w:tr>
      <w:tr>
        <w:trPr>
          <w:trHeight w:val="224"/>
        </w:trPr>
        <w:tc>
          <w:tcPr>
            <w:tcW w:w="494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1800" w:type="dxa"/>
            <w:vAlign w:val="bottom"/>
          </w:tcPr>
          <w:p>
            <w:pPr>
              <w:ind w:left="100"/>
              <w:spacing w:after="0"/>
              <w:rPr>
                <w:sz w:val="20"/>
                <w:szCs w:val="20"/>
                <w:color w:val="auto"/>
              </w:rPr>
            </w:pPr>
            <w:r>
              <w:rPr>
                <w:rFonts w:ascii="Arial" w:cs="Arial" w:eastAsia="Arial" w:hAnsi="Arial"/>
                <w:sz w:val="18"/>
                <w:szCs w:val="18"/>
                <w:color w:val="auto"/>
              </w:rPr>
              <w:t>(signature)</w:t>
            </w:r>
          </w:p>
        </w:tc>
        <w:tc>
          <w:tcPr>
            <w:tcW w:w="4680" w:type="dxa"/>
            <w:vAlign w:val="bottom"/>
          </w:tcPr>
          <w:p>
            <w:pPr>
              <w:spacing w:after="0"/>
              <w:rPr>
                <w:sz w:val="19"/>
                <w:szCs w:val="19"/>
                <w:color w:val="auto"/>
              </w:rPr>
            </w:pPr>
          </w:p>
        </w:tc>
      </w:tr>
      <w:tr>
        <w:trPr>
          <w:trHeight w:val="418"/>
        </w:trPr>
        <w:tc>
          <w:tcPr>
            <w:tcW w:w="4940" w:type="dxa"/>
            <w:vAlign w:val="bottom"/>
            <w:gridSpan w:val="3"/>
          </w:tcPr>
          <w:p>
            <w:pPr>
              <w:spacing w:after="0"/>
              <w:rPr>
                <w:sz w:val="20"/>
                <w:szCs w:val="20"/>
                <w:color w:val="auto"/>
              </w:rPr>
            </w:pPr>
            <w:r>
              <w:rPr>
                <w:rFonts w:ascii="Arial" w:cs="Arial" w:eastAsia="Arial" w:hAnsi="Arial"/>
                <w:sz w:val="18"/>
                <w:szCs w:val="18"/>
                <w:color w:val="auto"/>
              </w:rPr>
              <w:t>Name:  [XXX]</w:t>
            </w:r>
          </w:p>
        </w:tc>
        <w:tc>
          <w:tcPr>
            <w:tcW w:w="1800" w:type="dxa"/>
            <w:vAlign w:val="bottom"/>
          </w:tcPr>
          <w:p>
            <w:pPr>
              <w:ind w:left="100"/>
              <w:spacing w:after="0"/>
              <w:rPr>
                <w:sz w:val="20"/>
                <w:szCs w:val="20"/>
                <w:color w:val="auto"/>
              </w:rPr>
            </w:pPr>
            <w:r>
              <w:rPr>
                <w:rFonts w:ascii="Arial" w:cs="Arial" w:eastAsia="Arial" w:hAnsi="Arial"/>
                <w:sz w:val="18"/>
                <w:szCs w:val="18"/>
                <w:color w:val="auto"/>
              </w:rPr>
              <w:t>Name: llan Ganot</w:t>
            </w:r>
          </w:p>
        </w:tc>
        <w:tc>
          <w:tcPr>
            <w:tcW w:w="4680" w:type="dxa"/>
            <w:vAlign w:val="bottom"/>
          </w:tcPr>
          <w:p>
            <w:pPr>
              <w:spacing w:after="0"/>
              <w:rPr>
                <w:sz w:val="24"/>
                <w:szCs w:val="24"/>
                <w:color w:val="auto"/>
              </w:rPr>
            </w:pP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w w:val="81"/>
              </w:rPr>
              <w:t>(please</w:t>
            </w:r>
          </w:p>
        </w:tc>
        <w:tc>
          <w:tcPr>
            <w:tcW w:w="44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print)</w:t>
            </w:r>
          </w:p>
        </w:tc>
        <w:tc>
          <w:tcPr>
            <w:tcW w:w="1800" w:type="dxa"/>
            <w:vAlign w:val="bottom"/>
          </w:tcPr>
          <w:p>
            <w:pPr>
              <w:ind w:left="100"/>
              <w:spacing w:after="0"/>
              <w:rPr>
                <w:sz w:val="20"/>
                <w:szCs w:val="20"/>
                <w:color w:val="auto"/>
              </w:rPr>
            </w:pPr>
            <w:r>
              <w:rPr>
                <w:rFonts w:ascii="Arial" w:cs="Arial" w:eastAsia="Arial" w:hAnsi="Arial"/>
                <w:sz w:val="18"/>
                <w:szCs w:val="18"/>
                <w:color w:val="auto"/>
              </w:rPr>
              <w:t>(please print)</w:t>
            </w:r>
          </w:p>
        </w:tc>
        <w:tc>
          <w:tcPr>
            <w:tcW w:w="4680" w:type="dxa"/>
            <w:vAlign w:val="bottom"/>
            <w:tcBorders>
              <w:top w:val="single" w:sz="8" w:color="auto"/>
            </w:tcBorders>
          </w:tcPr>
          <w:p>
            <w:pPr>
              <w:spacing w:after="0"/>
              <w:rPr>
                <w:sz w:val="19"/>
                <w:szCs w:val="19"/>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[XXX]</w:t>
            </w:r>
          </w:p>
        </w:tc>
        <w:tc>
          <w:tcPr>
            <w:tcW w:w="1800" w:type="dxa"/>
            <w:vAlign w:val="bottom"/>
          </w:tcPr>
          <w:p>
            <w:pPr>
              <w:ind w:left="100"/>
              <w:spacing w:after="0"/>
              <w:rPr>
                <w:sz w:val="20"/>
                <w:szCs w:val="20"/>
                <w:color w:val="auto"/>
              </w:rPr>
            </w:pPr>
            <w:r>
              <w:rPr>
                <w:rFonts w:ascii="Arial" w:cs="Arial" w:eastAsia="Arial" w:hAnsi="Arial"/>
                <w:sz w:val="18"/>
                <w:szCs w:val="18"/>
                <w:color w:val="auto"/>
              </w:rPr>
              <w:t>Title: CEO</w:t>
            </w:r>
          </w:p>
        </w:tc>
        <w:tc>
          <w:tcPr>
            <w:tcW w:w="4680" w:type="dxa"/>
            <w:vAlign w:val="bottom"/>
            <w:tcBorders>
              <w:bottom w:val="single" w:sz="8" w:color="auto"/>
            </w:tcBorders>
          </w:tcPr>
          <w:p>
            <w:pPr>
              <w:spacing w:after="0"/>
              <w:rPr>
                <w:sz w:val="24"/>
                <w:szCs w:val="24"/>
                <w:color w:val="auto"/>
              </w:rPr>
            </w:pPr>
          </w:p>
        </w:tc>
      </w:tr>
      <w:tr>
        <w:trPr>
          <w:trHeight w:val="412"/>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4380" w:type="dxa"/>
            <w:vAlign w:val="bottom"/>
          </w:tcPr>
          <w:p>
            <w:pPr>
              <w:ind w:left="40"/>
              <w:spacing w:after="0"/>
              <w:rPr>
                <w:sz w:val="20"/>
                <w:szCs w:val="20"/>
                <w:color w:val="auto"/>
              </w:rPr>
            </w:pPr>
            <w:r>
              <w:rPr>
                <w:rFonts w:ascii="Arial" w:cs="Arial" w:eastAsia="Arial" w:hAnsi="Arial"/>
                <w:sz w:val="18"/>
                <w:szCs w:val="18"/>
                <w:color w:val="auto"/>
              </w:rPr>
              <w:t>12.01.16</w:t>
            </w:r>
          </w:p>
        </w:tc>
        <w:tc>
          <w:tcPr>
            <w:tcW w:w="1800" w:type="dxa"/>
            <w:vAlign w:val="bottom"/>
          </w:tcPr>
          <w:p>
            <w:pPr>
              <w:ind w:left="100"/>
              <w:spacing w:after="0"/>
              <w:rPr>
                <w:sz w:val="20"/>
                <w:szCs w:val="20"/>
                <w:color w:val="auto"/>
              </w:rPr>
            </w:pPr>
            <w:r>
              <w:rPr>
                <w:rFonts w:ascii="Arial" w:cs="Arial" w:eastAsia="Arial" w:hAnsi="Arial"/>
                <w:sz w:val="18"/>
                <w:szCs w:val="18"/>
                <w:color w:val="auto"/>
              </w:rPr>
              <w:t>Date:</w:t>
            </w:r>
          </w:p>
        </w:tc>
        <w:tc>
          <w:tcPr>
            <w:tcW w:w="4680" w:type="dxa"/>
            <w:vAlign w:val="bottom"/>
          </w:tcPr>
          <w:p>
            <w:pPr>
              <w:spacing w:after="0"/>
              <w:rPr>
                <w:sz w:val="24"/>
                <w:szCs w:val="24"/>
                <w:color w:val="auto"/>
              </w:rPr>
            </w:pPr>
          </w:p>
        </w:tc>
      </w:tr>
      <w:tr>
        <w:trPr>
          <w:trHeight w:val="358"/>
        </w:trPr>
        <w:tc>
          <w:tcPr>
            <w:tcW w:w="5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380" w:type="dxa"/>
            <w:vAlign w:val="bottom"/>
            <w:tcBorders>
              <w:top w:val="single" w:sz="8" w:color="auto"/>
            </w:tcBorders>
          </w:tcPr>
          <w:p>
            <w:pPr>
              <w:spacing w:after="0"/>
              <w:rPr>
                <w:sz w:val="24"/>
                <w:szCs w:val="24"/>
                <w:color w:val="auto"/>
              </w:rPr>
            </w:pPr>
          </w:p>
        </w:tc>
        <w:tc>
          <w:tcPr>
            <w:tcW w:w="1800" w:type="dxa"/>
            <w:vAlign w:val="bottom"/>
          </w:tcPr>
          <w:p>
            <w:pPr>
              <w:ind w:left="280"/>
              <w:spacing w:after="0"/>
              <w:rPr>
                <w:sz w:val="20"/>
                <w:szCs w:val="20"/>
                <w:color w:val="auto"/>
              </w:rPr>
            </w:pPr>
            <w:r>
              <w:rPr>
                <w:rFonts w:ascii="Arial" w:cs="Arial" w:eastAsia="Arial" w:hAnsi="Arial"/>
                <w:sz w:val="18"/>
                <w:szCs w:val="18"/>
                <w:color w:val="auto"/>
              </w:rPr>
              <w:t>Page 16 of 16</w:t>
            </w:r>
          </w:p>
        </w:tc>
        <w:tc>
          <w:tcPr>
            <w:tcW w:w="4680" w:type="dxa"/>
            <w:vAlign w:val="bottom"/>
            <w:tcBorders>
              <w:top w:val="single" w:sz="8" w:color="auto"/>
            </w:tcBorders>
          </w:tcPr>
          <w:p>
            <w:pPr>
              <w:spacing w:after="0"/>
              <w:rPr>
                <w:sz w:val="24"/>
                <w:szCs w:val="24"/>
                <w:color w:val="auto"/>
              </w:rPr>
            </w:pPr>
          </w:p>
        </w:tc>
      </w:tr>
    </w:tbl>
    <w:p>
      <w:pPr>
        <w:spacing w:after="0" w:line="134" w:lineRule="exact"/>
        <w:rPr>
          <w:sz w:val="20"/>
          <w:szCs w:val="20"/>
          <w:color w:val="auto"/>
        </w:rPr>
      </w:pPr>
    </w:p>
    <w:p>
      <w:pPr>
        <w:jc w:val="center"/>
        <w:ind w:left="260" w:right="2400"/>
        <w:spacing w:after="0" w:line="264" w:lineRule="auto"/>
        <w:rPr>
          <w:sz w:val="20"/>
          <w:szCs w:val="20"/>
          <w:color w:val="auto"/>
        </w:rPr>
      </w:pPr>
      <w:r>
        <w:rPr>
          <w:rFonts w:ascii="Arial" w:cs="Arial" w:eastAsia="Arial" w:hAnsi="Arial"/>
          <w:sz w:val="18"/>
          <w:szCs w:val="18"/>
          <w:color w:val="auto"/>
        </w:rPr>
        <w:t>[XXX] 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39" w:name="page640"/>
    <w:bookmarkEnd w:id="639"/>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color w:val="auto"/>
        </w:rPr>
        <w:t>This License Agreement is entered into as of this 23</w:t>
      </w:r>
      <w:r>
        <w:rPr>
          <w:rFonts w:ascii="Arial" w:cs="Arial" w:eastAsia="Arial" w:hAnsi="Arial"/>
          <w:sz w:val="13"/>
          <w:szCs w:val="13"/>
          <w:color w:val="auto"/>
        </w:rPr>
        <w:t>rd</w:t>
      </w:r>
      <w:r>
        <w:rPr>
          <w:rFonts w:ascii="Arial" w:cs="Arial" w:eastAsia="Arial" w:hAnsi="Arial"/>
          <w:sz w:val="16"/>
          <w:szCs w:val="16"/>
          <w:color w:val="auto"/>
        </w:rPr>
        <w:t xml:space="preserve"> day of June, 2016 (the “Effective Date”), by and between </w:t>
      </w:r>
      <w:r>
        <w:rPr>
          <w:rFonts w:ascii="Arial" w:cs="Arial" w:eastAsia="Arial" w:hAnsi="Arial"/>
          <w:sz w:val="16"/>
          <w:szCs w:val="16"/>
          <w:b w:val="1"/>
          <w:bCs w:val="1"/>
          <w:color w:val="auto"/>
        </w:rPr>
        <w:t>Solid GT, LLC,</w:t>
      </w:r>
      <w:r>
        <w:rPr>
          <w:rFonts w:ascii="Arial" w:cs="Arial" w:eastAsia="Arial" w:hAnsi="Arial"/>
          <w:sz w:val="16"/>
          <w:szCs w:val="16"/>
          <w:color w:val="auto"/>
        </w:rPr>
        <w:t xml:space="preserve"> a company organized under the laws of Delaware and having an address at 161 First Street, Suite #300, Cambridge, MA 02142 (“Licensee”) and </w:t>
      </w:r>
      <w:r>
        <w:rPr>
          <w:rFonts w:ascii="Arial" w:cs="Arial" w:eastAsia="Arial" w:hAnsi="Arial"/>
          <w:sz w:val="16"/>
          <w:szCs w:val="16"/>
          <w:b w:val="1"/>
          <w:bCs w:val="1"/>
          <w:color w:val="auto"/>
        </w:rPr>
        <w:t>President and Fellows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Harvard College, </w:t>
      </w:r>
      <w:r>
        <w:rPr>
          <w:rFonts w:ascii="Arial" w:cs="Arial" w:eastAsia="Arial" w:hAnsi="Arial"/>
          <w:sz w:val="16"/>
          <w:szCs w:val="16"/>
          <w:color w:val="auto"/>
        </w:rPr>
        <w:t>an educational and charitable corporation existing under the laws and the constitution of the Commonwealth of Massachusetts, having a</w:t>
      </w:r>
      <w:r>
        <w:rPr>
          <w:rFonts w:ascii="Arial" w:cs="Arial" w:eastAsia="Arial" w:hAnsi="Arial"/>
          <w:sz w:val="16"/>
          <w:szCs w:val="16"/>
          <w:b w:val="1"/>
          <w:bCs w:val="1"/>
          <w:color w:val="auto"/>
        </w:rPr>
        <w:t xml:space="preserve"> </w:t>
      </w:r>
      <w:r>
        <w:rPr>
          <w:rFonts w:ascii="Arial" w:cs="Arial" w:eastAsia="Arial" w:hAnsi="Arial"/>
          <w:sz w:val="16"/>
          <w:szCs w:val="16"/>
          <w:color w:val="auto"/>
        </w:rPr>
        <w:t>place of business at Richard A. and Susan F. Smith Campus Center, Suite 727, 1350 Massachusetts Avenue, Cambridge, Massachusetts 02138 (“Harvard”).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certain Biological Material (as defined below) was developed in research conducted by Harvard researcher [XXX];</w:t>
      </w:r>
    </w:p>
    <w:p>
      <w:pPr>
        <w:spacing w:after="0" w:line="225"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Harvard is committed to the policy that ideas or creative works produced at Harvard should be used for the greatest possible public</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and believes that every reasonable incentive should be provided for the prompt introduction of such ideas into public use, all in a manner consistent with the public interest;</w:t>
      </w:r>
    </w:p>
    <w:p>
      <w:pPr>
        <w:spacing w:after="0" w:line="17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Licensee desires to obtain a non-exclusive license to use the Biological Material and associated Technology Transfer Material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to produce Viruses (as defined below) and to use Viruses to manufacture Products for sale; and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Harvard desires to grant such a license to Licensee in accordance with the terms and conditions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hereto, intending to be legally bound, hereby agree as follows:</w:t>
      </w:r>
    </w:p>
    <w:p>
      <w:pPr>
        <w:spacing w:after="0" w:line="374" w:lineRule="exact"/>
        <w:rPr>
          <w:sz w:val="20"/>
          <w:szCs w:val="20"/>
          <w:color w:val="auto"/>
        </w:rPr>
      </w:pPr>
    </w:p>
    <w:p>
      <w:pPr>
        <w:ind w:left="460" w:hanging="452"/>
        <w:spacing w:after="0"/>
        <w:tabs>
          <w:tab w:leader="none" w:pos="460" w:val="left"/>
        </w:tabs>
        <w:numPr>
          <w:ilvl w:val="0"/>
          <w:numId w:val="64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Whenever used in this Agreement with an initial capital letter, the terms defined in this Article 1, whether used in the singular or the plural, will have the meanings specified below.</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1.1. “Affiliate” </w:t>
      </w:r>
      <w:r>
        <w:rPr>
          <w:rFonts w:ascii="Arial" w:cs="Arial" w:eastAsia="Arial" w:hAnsi="Arial"/>
          <w:sz w:val="18"/>
          <w:szCs w:val="18"/>
          <w:color w:val="auto"/>
        </w:rPr>
        <w:t>means, with respect to a person, organization or entity, any person, organization or entity controlling, controlled by or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such person, organization or entity. For purposes of this definition only, “control” of another person, organization or entity will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will be presumed to exist when a person, organization or entity (a) owns or directly controls fifty percent (50%) or more of the outstanding voting stock or other ownership interest of the other organization or entity or (b) possesses, directly or indirectly, the power to elect or appoint fifty percent (50%) or more of the members of the governing body of</w:t>
      </w:r>
    </w:p>
    <w:p>
      <w:pPr>
        <w:spacing w:after="0" w:line="126" w:lineRule="exact"/>
        <w:rPr>
          <w:sz w:val="20"/>
          <w:szCs w:val="20"/>
          <w:color w:val="auto"/>
        </w:rPr>
      </w:pPr>
    </w:p>
    <w:p>
      <w:pPr>
        <w:ind w:left="1580" w:right="1380" w:hanging="191"/>
        <w:spacing w:after="0" w:line="308" w:lineRule="auto"/>
        <w:tabs>
          <w:tab w:leader="none" w:pos="1945" w:val="left"/>
        </w:tabs>
        <w:numPr>
          <w:ilvl w:val="0"/>
          <w:numId w:val="64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122" w:right="239" w:bottom="1440" w:gutter="0" w:footer="0" w:header="0"/>
        </w:sectPr>
      </w:pPr>
    </w:p>
    <w:bookmarkStart w:id="640" w:name="page641"/>
    <w:bookmarkEnd w:id="6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other organization or entity. The parties acknowledge that in the case of certain entities organized under the laws of certain countries outside of the United States, the maximum percentage ownership permitted by law for a foreign investor may be less than fifty percent (50%), and that in such cases such lower percentage will be substituted in the preceding sentence.</w:t>
      </w:r>
    </w:p>
    <w:p>
      <w:pPr>
        <w:spacing w:after="0" w:line="28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“Aggregate Consideration” </w:t>
      </w:r>
      <w:r>
        <w:rPr>
          <w:rFonts w:ascii="Arial" w:cs="Arial" w:eastAsia="Arial" w:hAnsi="Arial"/>
          <w:sz w:val="16"/>
          <w:szCs w:val="16"/>
          <w:color w:val="auto"/>
        </w:rPr>
        <w:t>means the amount equal to:</w:t>
      </w:r>
    </w:p>
    <w:p>
      <w:pPr>
        <w:spacing w:after="0" w:line="117" w:lineRule="exact"/>
        <w:rPr>
          <w:sz w:val="20"/>
          <w:szCs w:val="20"/>
          <w:color w:val="auto"/>
        </w:rPr>
      </w:pPr>
    </w:p>
    <w:p>
      <w:pPr>
        <w:ind w:right="60" w:firstLine="913"/>
        <w:spacing w:after="0" w:line="303"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color w:val="auto"/>
        </w:rPr>
        <w:t>in the case of an Asset Sale, the sum of (a) all cash and the fair market value of all securities or other property transferred to Licensee or</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Licensee’s direct or indirect parent company at the time of the transaction, less all current and long-term liabilities (but not contingent liabilities) of Licensee that are not discharged or assumed by the buyer (or its affiliates) in connection with the Asset Sale and (b) all cash and the fair market value of all securities and other property for Trailing Consideration payable to Licensee or Licensee’s direct or indirect parent company, when and if, actually paid; or</w:t>
      </w:r>
    </w:p>
    <w:p>
      <w:pPr>
        <w:spacing w:after="0" w:line="151"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in the case of a Merger or Stock Sale, the sum of (a) all cash and the fair market value of all securities and other property transferred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Licensee or Licensee’s direct or indirect parent company (and any option holders or warrant holders) in return for their stock (or options or warrants) in Licensee or Licensee’s direct or indirect parent company at the time of the transaction and (b) all cash and the fair market value of all securities and other property transferred to the stockholders of Licensee or Licensee’s direct or indirect parent company (and any option holders or warrant holders) for Trailing Consideration payable to the holders of Licensee’s or Licensee’s direct or indirect parent company’s securities, when and if actually paid.</w:t>
      </w:r>
    </w:p>
    <w:p>
      <w:pPr>
        <w:spacing w:after="0" w:line="5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valuation of any securities or other property shall be determined by reference to the operative transaction agreement for a respective Merger, Stock Sale or Asset Sale; provided that, if no such valuation is readily determinable from such operative transaction agreement, then for securities for which there is an active public market:</w:t>
      </w:r>
    </w:p>
    <w:p>
      <w:pPr>
        <w:spacing w:after="0" w:line="73" w:lineRule="exact"/>
        <w:rPr>
          <w:sz w:val="20"/>
          <w:szCs w:val="20"/>
          <w:color w:val="auto"/>
        </w:rPr>
      </w:pPr>
    </w:p>
    <w:p>
      <w:pPr>
        <w:ind w:left="460" w:right="60" w:firstLine="4"/>
        <w:spacing w:after="0" w:line="277" w:lineRule="auto"/>
        <w:tabs>
          <w:tab w:leader="none" w:pos="705" w:val="left"/>
        </w:tabs>
        <w:numPr>
          <w:ilvl w:val="0"/>
          <w:numId w:val="645"/>
        </w:numPr>
        <w:rPr>
          <w:rFonts w:ascii="Arial" w:cs="Arial" w:eastAsia="Arial" w:hAnsi="Arial"/>
          <w:sz w:val="18"/>
          <w:szCs w:val="18"/>
          <w:color w:val="auto"/>
        </w:rPr>
      </w:pPr>
      <w:r>
        <w:rPr>
          <w:rFonts w:ascii="Arial" w:cs="Arial" w:eastAsia="Arial" w:hAnsi="Arial"/>
          <w:sz w:val="18"/>
          <w:szCs w:val="18"/>
          <w:color w:val="auto"/>
        </w:rPr>
        <w:t>if traded on a securities exchange or the NASDAQ Stock Market, the value shall be deemed to be the average of the closing prices of the securities on such exchange or market over the 30-period ending three days prior to the closing of such transaction; or</w:t>
      </w:r>
    </w:p>
    <w:p>
      <w:pPr>
        <w:spacing w:after="0" w:line="62" w:lineRule="exact"/>
        <w:rPr>
          <w:rFonts w:ascii="Arial" w:cs="Arial" w:eastAsia="Arial" w:hAnsi="Arial"/>
          <w:sz w:val="18"/>
          <w:szCs w:val="18"/>
          <w:color w:val="auto"/>
        </w:rPr>
      </w:pPr>
    </w:p>
    <w:p>
      <w:pPr>
        <w:ind w:left="460" w:right="200" w:firstLine="4"/>
        <w:spacing w:after="0" w:line="277" w:lineRule="auto"/>
        <w:tabs>
          <w:tab w:leader="none" w:pos="715" w:val="left"/>
        </w:tabs>
        <w:numPr>
          <w:ilvl w:val="0"/>
          <w:numId w:val="645"/>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average of the closing bid prices over the 30-day period ending three days prior to the closing of such transaction.</w:t>
      </w:r>
    </w:p>
    <w:p>
      <w:pPr>
        <w:spacing w:after="0" w:line="62"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The method of valuation of securities subject to investment letters or other similar restrictions on free marketability shall take into account an appropriate discount from the market value as determined pursuant to clause (a) or (b) immediately above so as to reflect the approximate fair market value thereof.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158" w:lineRule="exact"/>
        <w:rPr>
          <w:sz w:val="20"/>
          <w:szCs w:val="20"/>
          <w:color w:val="auto"/>
        </w:rPr>
      </w:pPr>
    </w:p>
    <w:p>
      <w:pPr>
        <w:ind w:left="1580" w:right="1320" w:hanging="191"/>
        <w:spacing w:after="0" w:line="308" w:lineRule="auto"/>
        <w:tabs>
          <w:tab w:leader="none" w:pos="1945" w:val="left"/>
        </w:tabs>
        <w:numPr>
          <w:ilvl w:val="0"/>
          <w:numId w:val="646"/>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60"/>
          </w:cols>
          <w:pgMar w:left="240" w:top="271" w:right="299" w:bottom="1440" w:gutter="0" w:footer="0" w:header="0"/>
        </w:sectPr>
      </w:pPr>
    </w:p>
    <w:bookmarkStart w:id="641" w:name="page642"/>
    <w:bookmarkEnd w:id="6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jc w:val="both"/>
        <w:ind w:left="460" w:right="280"/>
        <w:spacing w:after="0" w:line="286" w:lineRule="auto"/>
        <w:rPr>
          <w:sz w:val="20"/>
          <w:szCs w:val="20"/>
          <w:color w:val="auto"/>
        </w:rPr>
      </w:pPr>
      <w:r>
        <w:rPr>
          <w:rFonts w:ascii="Arial" w:cs="Arial" w:eastAsia="Arial" w:hAnsi="Arial"/>
          <w:sz w:val="17"/>
          <w:szCs w:val="17"/>
          <w:color w:val="auto"/>
        </w:rPr>
        <w:t>For securities for which there is no active public market, the value shall be the fair market value thereof as either (a) determined in good faith by the board of directors of Licensee or Licensee’s direct or indirect parent company, as the case may be, (b) approved by Harvard, such approval not to be unreasonably withheld or (c) determined by a third party appraiser appointed and paid for by Licensee.</w:t>
      </w:r>
    </w:p>
    <w:p>
      <w:pPr>
        <w:spacing w:after="0" w:line="162" w:lineRule="exact"/>
        <w:rPr>
          <w:sz w:val="20"/>
          <w:szCs w:val="20"/>
          <w:color w:val="auto"/>
        </w:rPr>
      </w:pPr>
    </w:p>
    <w:p>
      <w:pPr>
        <w:ind w:right="280" w:firstLine="456"/>
        <w:spacing w:after="0" w:line="313" w:lineRule="auto"/>
        <w:rPr>
          <w:sz w:val="20"/>
          <w:szCs w:val="20"/>
          <w:color w:val="auto"/>
        </w:rPr>
      </w:pPr>
      <w:r>
        <w:rPr>
          <w:rFonts w:ascii="Arial" w:cs="Arial" w:eastAsia="Arial" w:hAnsi="Arial"/>
          <w:sz w:val="17"/>
          <w:szCs w:val="17"/>
          <w:b w:val="1"/>
          <w:bCs w:val="1"/>
          <w:color w:val="auto"/>
        </w:rPr>
        <w:t xml:space="preserve">1.3. “Biological Material” </w:t>
      </w:r>
      <w:r>
        <w:rPr>
          <w:rFonts w:ascii="Arial" w:cs="Arial" w:eastAsia="Arial" w:hAnsi="Arial"/>
          <w:sz w:val="17"/>
          <w:szCs w:val="17"/>
          <w:color w:val="auto"/>
        </w:rPr>
        <w:t>means any material listed in Exhibit 1.3 to this Agreement, together with all progeny, mutants, replicates and derivatives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(modified or unmodified)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no event shall a Virus or a Product be deemed Biological Material.</w:t>
      </w:r>
    </w:p>
    <w:p>
      <w:pPr>
        <w:spacing w:after="0" w:line="138"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b w:val="1"/>
          <w:bCs w:val="1"/>
          <w:color w:val="auto"/>
        </w:rPr>
        <w:t xml:space="preserve">1.4. “Calendar Quarter” </w:t>
      </w:r>
      <w:r>
        <w:rPr>
          <w:rFonts w:ascii="Arial" w:cs="Arial" w:eastAsia="Arial" w:hAnsi="Arial"/>
          <w:sz w:val="18"/>
          <w:szCs w:val="18"/>
          <w:color w:val="auto"/>
        </w:rPr>
        <w:t>means each of the periods of three (3) consecutive calendar months ending on March 31, June 30, September 30 and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during the Term.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1.5. “Change of Control” </w:t>
      </w:r>
      <w:r>
        <w:rPr>
          <w:rFonts w:ascii="Arial" w:cs="Arial" w:eastAsia="Arial" w:hAnsi="Arial"/>
          <w:sz w:val="17"/>
          <w:szCs w:val="17"/>
          <w:color w:val="auto"/>
        </w:rPr>
        <w:t>means (a) a merger, share exchange or other reorganization in which Licensee (or its successor) is a constituent party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(“Merger”), </w:t>
      </w:r>
      <w:r>
        <w:rPr>
          <w:rFonts w:ascii="Arial" w:cs="Arial" w:eastAsia="Arial" w:hAnsi="Arial"/>
          <w:sz w:val="16"/>
          <w:szCs w:val="16"/>
          <w:color w:val="auto"/>
        </w:rPr>
        <w:t>(b) the acquisition, in a single transaction or series of related transactions, by a person or entity or a group of related persons or entities,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majority of the voting power of Licensee (or such successor) from persons holding (either directly or indirectly) securities of Licensee (or such successor)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Sale”</w:t>
      </w:r>
      <w:r>
        <w:rPr>
          <w:rFonts w:ascii="Arial" w:cs="Arial" w:eastAsia="Arial" w:hAnsi="Arial"/>
          <w:sz w:val="16"/>
          <w:szCs w:val="16"/>
          <w:color w:val="auto"/>
        </w:rPr>
        <w:t>), or (c) the sale, lease, transfer, or other disposition, in a single transaction or series of related transactions of all or substantially all of the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Licensee (or such successor) (or that portion of its assets related to the subject matter of this Agreement)(</w:t>
      </w:r>
      <w:r>
        <w:rPr>
          <w:rFonts w:ascii="Arial" w:cs="Arial" w:eastAsia="Arial" w:hAnsi="Arial"/>
          <w:sz w:val="16"/>
          <w:szCs w:val="16"/>
          <w:b w:val="1"/>
          <w:bCs w:val="1"/>
          <w:color w:val="auto"/>
        </w:rPr>
        <w:t>“Asset Sale”)</w:t>
      </w:r>
      <w:r>
        <w:rPr>
          <w:rFonts w:ascii="Arial" w:cs="Arial" w:eastAsia="Arial" w:hAnsi="Arial"/>
          <w:sz w:val="16"/>
          <w:szCs w:val="16"/>
          <w:color w:val="auto"/>
        </w:rPr>
        <w:t>, in which, for each of (a), (b)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 the security holders of Licensee (or such successor) that control a majority of the voting power of Licensee (or such successor) prior to such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 not control, directly or indirectly, a majority of the voting power of the acquiring, surviving or successor entity, as the case may be; provided however, that</w:t>
      </w:r>
    </w:p>
    <w:p>
      <w:pPr>
        <w:spacing w:after="0" w:line="32" w:lineRule="exact"/>
        <w:rPr>
          <w:sz w:val="20"/>
          <w:szCs w:val="20"/>
          <w:color w:val="auto"/>
        </w:rPr>
      </w:pPr>
    </w:p>
    <w:p>
      <w:pPr>
        <w:jc w:val="both"/>
        <w:ind w:right="580" w:firstLine="8"/>
        <w:spacing w:after="0" w:line="255" w:lineRule="auto"/>
        <w:tabs>
          <w:tab w:leader="none" w:pos="255" w:val="left"/>
        </w:tabs>
        <w:numPr>
          <w:ilvl w:val="0"/>
          <w:numId w:val="647"/>
        </w:numPr>
        <w:rPr>
          <w:rFonts w:ascii="Arial" w:cs="Arial" w:eastAsia="Arial" w:hAnsi="Arial"/>
          <w:sz w:val="18"/>
          <w:szCs w:val="18"/>
          <w:color w:val="auto"/>
        </w:rPr>
      </w:pPr>
      <w:r>
        <w:rPr>
          <w:rFonts w:ascii="Arial" w:cs="Arial" w:eastAsia="Arial" w:hAnsi="Arial"/>
          <w:sz w:val="18"/>
          <w:szCs w:val="18"/>
          <w:color w:val="auto"/>
        </w:rPr>
        <w:t>a transaction in which working capital is raised through the non-public issuance of equity in Licensee to investors shall not constitute a “Change of Control” and (2) Licensee’s merger, combination or other transaction with its direct or indirect parent company or other Affiliate of Licensee shall not constitute a “Change of Control”.</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“FDA” </w:t>
      </w:r>
      <w:r>
        <w:rPr>
          <w:rFonts w:ascii="Arial" w:cs="Arial" w:eastAsia="Arial" w:hAnsi="Arial"/>
          <w:sz w:val="18"/>
          <w:szCs w:val="18"/>
          <w:color w:val="auto"/>
        </w:rPr>
        <w:t>means the United States Food and Drug Administration.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“Field” </w:t>
      </w:r>
      <w:r>
        <w:rPr>
          <w:rFonts w:ascii="Arial" w:cs="Arial" w:eastAsia="Arial" w:hAnsi="Arial"/>
          <w:sz w:val="18"/>
          <w:szCs w:val="18"/>
          <w:color w:val="auto"/>
        </w:rPr>
        <w:t>means the treatment of Duchenne Muscular Dystrophy.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1.8. “Major Country” </w:t>
      </w:r>
      <w:r>
        <w:rPr>
          <w:rFonts w:ascii="Arial" w:cs="Arial" w:eastAsia="Arial" w:hAnsi="Arial"/>
          <w:sz w:val="16"/>
          <w:szCs w:val="16"/>
          <w:color w:val="auto"/>
        </w:rPr>
        <w:t>means the United States, Japan, Germany, Italy, Spain, France and the United Kingdom, or the European Union, as a whole.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“Market Countries” </w:t>
      </w:r>
      <w:r>
        <w:rPr>
          <w:rFonts w:ascii="Arial" w:cs="Arial" w:eastAsia="Arial" w:hAnsi="Arial"/>
          <w:sz w:val="18"/>
          <w:szCs w:val="18"/>
          <w:color w:val="auto"/>
        </w:rPr>
        <w:t>means:</w:t>
      </w:r>
    </w:p>
    <w:p>
      <w:pPr>
        <w:spacing w:after="0" w:line="135" w:lineRule="exact"/>
        <w:rPr>
          <w:sz w:val="20"/>
          <w:szCs w:val="20"/>
          <w:color w:val="auto"/>
        </w:rPr>
      </w:pPr>
    </w:p>
    <w:p>
      <w:pPr>
        <w:ind w:left="900" w:right="240" w:hanging="446"/>
        <w:spacing w:after="0" w:line="277" w:lineRule="auto"/>
        <w:tabs>
          <w:tab w:leader="none" w:pos="90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All current and future Organization for Economic Cooperation and Development (OECD) countries, presently consisting of Australia, Austria, Belgium, Canada, Czech Republic, Denmark, Finland, France, Germany, Greece, Hungary, Iceland,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158" w:lineRule="exact"/>
        <w:rPr>
          <w:sz w:val="20"/>
          <w:szCs w:val="20"/>
          <w:color w:val="auto"/>
        </w:rPr>
      </w:pPr>
    </w:p>
    <w:p>
      <w:pPr>
        <w:ind w:left="1580" w:right="1380" w:hanging="191"/>
        <w:spacing w:after="0" w:line="308" w:lineRule="auto"/>
        <w:tabs>
          <w:tab w:leader="none" w:pos="1945" w:val="left"/>
        </w:tabs>
        <w:numPr>
          <w:ilvl w:val="0"/>
          <w:numId w:val="64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42" w:name="page643"/>
    <w:bookmarkEnd w:id="6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920" w:right="580"/>
        <w:spacing w:after="0" w:line="277" w:lineRule="auto"/>
        <w:rPr>
          <w:sz w:val="20"/>
          <w:szCs w:val="20"/>
          <w:color w:val="auto"/>
        </w:rPr>
      </w:pPr>
      <w:r>
        <w:rPr>
          <w:rFonts w:ascii="Arial" w:cs="Arial" w:eastAsia="Arial" w:hAnsi="Arial"/>
          <w:sz w:val="18"/>
          <w:szCs w:val="18"/>
          <w:color w:val="auto"/>
        </w:rPr>
        <w:t>Ireland, Italy, Republic of Korea, Japan, Luxembourg, Mexico, the Netherlands, New Zealand, Norway, Poland, Portugal, Spain, Sweden, Switzerland, Turkey, the UK, and the United States; and</w:t>
      </w:r>
    </w:p>
    <w:p>
      <w:pPr>
        <w:spacing w:after="0" w:line="76" w:lineRule="exact"/>
        <w:rPr>
          <w:sz w:val="20"/>
          <w:szCs w:val="20"/>
          <w:color w:val="auto"/>
        </w:rPr>
      </w:pPr>
    </w:p>
    <w:p>
      <w:pPr>
        <w:ind w:left="900" w:hanging="446"/>
        <w:spacing w:after="0"/>
        <w:tabs>
          <w:tab w:leader="none" w:pos="90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All current and future members of the European Union not otherwise members of the OECD;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People’s Republic of China, India, Malaysia, Russian Federation, Singapore, and Taiwan.</w:t>
      </w:r>
    </w:p>
    <w:p>
      <w:pPr>
        <w:spacing w:after="0" w:line="221"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1.10. “Marketing Approval” </w:t>
      </w:r>
      <w:r>
        <w:rPr>
          <w:rFonts w:ascii="Arial" w:cs="Arial" w:eastAsia="Arial" w:hAnsi="Arial"/>
          <w:sz w:val="18"/>
          <w:szCs w:val="18"/>
          <w:color w:val="auto"/>
        </w:rPr>
        <w:t>means all approvals from the relevant Regulatory Authority of a Major Country necessary to market and sell a Product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country or territory.</w:t>
      </w:r>
    </w:p>
    <w:p>
      <w:pPr>
        <w:spacing w:after="0" w:line="16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b w:val="1"/>
          <w:bCs w:val="1"/>
          <w:color w:val="auto"/>
        </w:rPr>
        <w:t xml:space="preserve">1.11. “Net Sales” </w:t>
      </w:r>
      <w:r>
        <w:rPr>
          <w:rFonts w:ascii="Arial" w:cs="Arial" w:eastAsia="Arial" w:hAnsi="Arial"/>
          <w:sz w:val="17"/>
          <w:szCs w:val="17"/>
          <w:color w:val="auto"/>
        </w:rPr>
        <w:t>means the gross amount billed or invoiced by or on behalf of Licensee or its Sublicensees (in each case, the “Invoicing Entity”) on</w:t>
      </w:r>
      <w:r>
        <w:rPr>
          <w:rFonts w:ascii="Arial" w:cs="Arial" w:eastAsia="Arial" w:hAnsi="Arial"/>
          <w:sz w:val="17"/>
          <w:szCs w:val="17"/>
          <w:b w:val="1"/>
          <w:bCs w:val="1"/>
          <w:color w:val="auto"/>
        </w:rPr>
        <w:t xml:space="preserve"> </w:t>
      </w:r>
      <w:r>
        <w:rPr>
          <w:rFonts w:ascii="Arial" w:cs="Arial" w:eastAsia="Arial" w:hAnsi="Arial"/>
          <w:sz w:val="17"/>
          <w:szCs w:val="17"/>
          <w:color w:val="auto"/>
        </w:rPr>
        <w:t>sales, leases or other transfers of Products, less the following to the extent applicable with respect to such sales, leases or other transfers and not previously deducted from the gross invoice price: (a) customary trade, quantity or cash discounts to the extent actually allowed and taken; (b) amounts actually repaid or credited by reason of rejection or return of any previously sold, leased or otherwise transferred Products; (c) customer freight, shipping, transportation, delivery, packaging and/or cost of insurance prepaid charges that are paid or actually allowed by or on behalf of the Invoicing Entity; and (d) to the extent separately stated on purchase orders, invoices or other documents of sale, any sales, use, value added or similar taxes, tariffs, custom duties or other similar governmental charges levied directly on the production, sale, transportation, delivery or use of a Product that are paid by or on behalf of the Invoicing Entity, but not including any tax levied with respect to income; provided that:</w:t>
      </w:r>
    </w:p>
    <w:p>
      <w:pPr>
        <w:spacing w:after="0" w:line="172"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 xml:space="preserve">1.11.1. </w:t>
      </w:r>
      <w:r>
        <w:rPr>
          <w:rFonts w:ascii="Arial" w:cs="Arial" w:eastAsia="Arial" w:hAnsi="Arial"/>
          <w:sz w:val="18"/>
          <w:szCs w:val="18"/>
          <w:color w:val="auto"/>
        </w:rPr>
        <w:t>in any transfers of Products between an Invoicing Entity and an Affiliate of such Invoicing Entity not for the purpose of resale by such</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Net Sales will be equal to the fair market value of the Products so transferred, assuming an arm’s length transaction made in the ordinary course of business, and</w:t>
      </w:r>
    </w:p>
    <w:p>
      <w:pPr>
        <w:spacing w:after="0" w:line="176"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color w:val="auto"/>
        </w:rPr>
        <w:t>in the event that an Invoicing Entity receives non-cash consideration for any Products or in the case of transactions not at arm’s length</w:t>
      </w:r>
      <w:r>
        <w:rPr>
          <w:rFonts w:ascii="Arial" w:cs="Arial" w:eastAsia="Arial" w:hAnsi="Arial"/>
          <w:sz w:val="18"/>
          <w:szCs w:val="18"/>
          <w:b w:val="1"/>
          <w:bCs w:val="1"/>
          <w:color w:val="auto"/>
        </w:rPr>
        <w:t xml:space="preserve"> </w:t>
      </w:r>
      <w:r>
        <w:rPr>
          <w:rFonts w:ascii="Arial" w:cs="Arial" w:eastAsia="Arial" w:hAnsi="Arial"/>
          <w:sz w:val="18"/>
          <w:szCs w:val="18"/>
          <w:color w:val="auto"/>
        </w:rPr>
        <w:t>with a non-Affiliate of an Invoicing Entity, Net Sales will be calculated based on the fair market value of such consideration or transaction, assuming an arm’s length transaction made in the ordinary course of business;</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1.11.3. </w:t>
      </w:r>
      <w:r>
        <w:rPr>
          <w:rFonts w:ascii="Arial" w:cs="Arial" w:eastAsia="Arial" w:hAnsi="Arial"/>
          <w:sz w:val="16"/>
          <w:szCs w:val="16"/>
          <w:color w:val="auto"/>
        </w:rPr>
        <w:t>sales of Products to Public Sector entities in Non-Suit Countries for end use solely in Non-Suit Countries will not be deemed Net Sales;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58" w:lineRule="exact"/>
        <w:rPr>
          <w:sz w:val="20"/>
          <w:szCs w:val="20"/>
          <w:color w:val="auto"/>
        </w:rPr>
      </w:pPr>
    </w:p>
    <w:p>
      <w:pPr>
        <w:ind w:left="1580" w:right="1380" w:hanging="191"/>
        <w:spacing w:after="0" w:line="308" w:lineRule="auto"/>
        <w:tabs>
          <w:tab w:leader="none" w:pos="1945" w:val="left"/>
        </w:tabs>
        <w:numPr>
          <w:ilvl w:val="0"/>
          <w:numId w:val="651"/>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1" w:right="239" w:bottom="1440" w:gutter="0" w:footer="0" w:header="0"/>
        </w:sectPr>
      </w:pPr>
    </w:p>
    <w:bookmarkStart w:id="643" w:name="page644"/>
    <w:bookmarkEnd w:id="6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sales of Products by an Invoicing Entity to its Affiliate or a Sublicensee for resale by such Affiliate or Sublicensee will not be deemed Net</w:t>
      </w:r>
      <w:r>
        <w:rPr>
          <w:rFonts w:ascii="Arial" w:cs="Arial" w:eastAsia="Arial" w:hAnsi="Arial"/>
          <w:sz w:val="18"/>
          <w:szCs w:val="18"/>
          <w:b w:val="1"/>
          <w:bCs w:val="1"/>
          <w:color w:val="auto"/>
        </w:rPr>
        <w:t xml:space="preserve"> </w:t>
      </w:r>
      <w:r>
        <w:rPr>
          <w:rFonts w:ascii="Arial" w:cs="Arial" w:eastAsia="Arial" w:hAnsi="Arial"/>
          <w:sz w:val="18"/>
          <w:szCs w:val="18"/>
          <w:color w:val="auto"/>
        </w:rPr>
        <w:t>Sales. Instead, Net Sales will be determined based on the gross amount billed or invoiced by such Affiliate or Sublicensee upon resale of such Products to a third party purchaser.</w:t>
      </w:r>
    </w:p>
    <w:p>
      <w:pPr>
        <w:spacing w:after="0" w:line="17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1.12. “Non-Royalty Income” </w:t>
      </w:r>
      <w:r>
        <w:rPr>
          <w:rFonts w:ascii="Arial" w:cs="Arial" w:eastAsia="Arial" w:hAnsi="Arial"/>
          <w:sz w:val="16"/>
          <w:szCs w:val="16"/>
          <w:color w:val="auto"/>
        </w:rPr>
        <w:t>means any payments or other consideration that Licensee or any of its Affiliates receives in connection with a Sublicense</w:t>
      </w:r>
      <w:r>
        <w:rPr>
          <w:rFonts w:ascii="Arial" w:cs="Arial" w:eastAsia="Arial" w:hAnsi="Arial"/>
          <w:sz w:val="16"/>
          <w:szCs w:val="16"/>
          <w:b w:val="1"/>
          <w:bCs w:val="1"/>
          <w:color w:val="auto"/>
        </w:rPr>
        <w:t xml:space="preserve"> </w:t>
      </w:r>
      <w:r>
        <w:rPr>
          <w:rFonts w:ascii="Arial" w:cs="Arial" w:eastAsia="Arial" w:hAnsi="Arial"/>
          <w:sz w:val="16"/>
          <w:szCs w:val="16"/>
          <w:color w:val="auto"/>
        </w:rPr>
        <w:t>or Strategic Partnership, including without limitation, fees, milestone payments, agreement maintenance fees, and other payments, but specifically excluding</w:t>
      </w:r>
    </w:p>
    <w:p>
      <w:pPr>
        <w:spacing w:after="0" w:line="1" w:lineRule="exact"/>
        <w:rPr>
          <w:sz w:val="20"/>
          <w:szCs w:val="20"/>
          <w:color w:val="auto"/>
        </w:rPr>
      </w:pPr>
    </w:p>
    <w:p>
      <w:pPr>
        <w:ind w:left="260" w:hanging="252"/>
        <w:spacing w:after="0"/>
        <w:tabs>
          <w:tab w:leader="none" w:pos="260" w:val="left"/>
        </w:tabs>
        <w:numPr>
          <w:ilvl w:val="0"/>
          <w:numId w:val="652"/>
        </w:numPr>
        <w:rPr>
          <w:rFonts w:ascii="Arial" w:cs="Arial" w:eastAsia="Arial" w:hAnsi="Arial"/>
          <w:sz w:val="16"/>
          <w:szCs w:val="16"/>
          <w:color w:val="auto"/>
        </w:rPr>
      </w:pPr>
      <w:r>
        <w:rPr>
          <w:rFonts w:ascii="Arial" w:cs="Arial" w:eastAsia="Arial" w:hAnsi="Arial"/>
          <w:sz w:val="16"/>
          <w:szCs w:val="16"/>
          <w:color w:val="auto"/>
        </w:rPr>
        <w:t>royalties based on Net Sales, (b) amounts received from a Sublicensee or Strategic Partner to cover reasonable, fully-burdened costs incurred or to be</w:t>
      </w:r>
    </w:p>
    <w:p>
      <w:pPr>
        <w:spacing w:after="0" w:line="32" w:lineRule="exact"/>
        <w:rPr>
          <w:rFonts w:ascii="Arial" w:cs="Arial" w:eastAsia="Arial" w:hAnsi="Arial"/>
          <w:sz w:val="16"/>
          <w:szCs w:val="16"/>
          <w:color w:val="auto"/>
        </w:rPr>
      </w:pPr>
    </w:p>
    <w:p>
      <w:pPr>
        <w:ind w:right="160"/>
        <w:spacing w:after="0" w:line="281" w:lineRule="auto"/>
        <w:rPr>
          <w:rFonts w:ascii="Arial" w:cs="Arial" w:eastAsia="Arial" w:hAnsi="Arial"/>
          <w:sz w:val="16"/>
          <w:szCs w:val="16"/>
          <w:color w:val="auto"/>
        </w:rPr>
      </w:pPr>
      <w:r>
        <w:rPr>
          <w:rFonts w:ascii="Arial" w:cs="Arial" w:eastAsia="Arial" w:hAnsi="Arial"/>
          <w:sz w:val="16"/>
          <w:szCs w:val="16"/>
          <w:color w:val="auto"/>
        </w:rPr>
        <w:t>incurred by Licensee in the performance of research or development activities after the Effective Date, (c) amounts received from a Sublicensee or Strategic Partner as reimbursement for out-of- pocket costs incurred by Licensee in the preparation, filing, prosecution and maintenance of the Patent Rights, or</w:t>
      </w:r>
    </w:p>
    <w:p>
      <w:pPr>
        <w:spacing w:after="0" w:line="1" w:lineRule="exact"/>
        <w:rPr>
          <w:rFonts w:ascii="Arial" w:cs="Arial" w:eastAsia="Arial" w:hAnsi="Arial"/>
          <w:sz w:val="16"/>
          <w:szCs w:val="16"/>
          <w:color w:val="auto"/>
        </w:rPr>
      </w:pPr>
    </w:p>
    <w:p>
      <w:pPr>
        <w:ind w:right="20" w:firstLine="8"/>
        <w:spacing w:after="0" w:line="287" w:lineRule="auto"/>
        <w:tabs>
          <w:tab w:leader="none" w:pos="255" w:val="left"/>
        </w:tabs>
        <w:numPr>
          <w:ilvl w:val="0"/>
          <w:numId w:val="653"/>
        </w:numPr>
        <w:rPr>
          <w:rFonts w:ascii="Arial" w:cs="Arial" w:eastAsia="Arial" w:hAnsi="Arial"/>
          <w:sz w:val="16"/>
          <w:szCs w:val="16"/>
          <w:color w:val="auto"/>
        </w:rPr>
      </w:pPr>
      <w:r>
        <w:rPr>
          <w:rFonts w:ascii="Arial" w:cs="Arial" w:eastAsia="Arial" w:hAnsi="Arial"/>
          <w:sz w:val="16"/>
          <w:szCs w:val="16"/>
          <w:color w:val="auto"/>
        </w:rPr>
        <w:t>consideration for the issuance of equity interests in Licensee to the extent the amount paid for such equity does not exceed its fair market value. If Licensee or its Affiliate receives non-cash consideration in connection with a Sublicense or Strategic Partnership, or in the case of transactions not at arm’s length, Non-Royalty Income will be calculated based on the fair market value of such consideration or transaction, at the time of the transaction, assuming an arm’s length transaction made in the ordinary course of business. To the extent Licensee receives compensation for both a grant of a Sublicense of rights to the Biological Material and/or the Technology Transfer Material under Section 2.1 and the grant of other rights or licenses to intellectual property other than a Sublicense of rights granted under Section 2.1, such compensation will be reasonably apportioned between that amount attributable to the Sublicense of rights under Section 2.1, which shall be deemed Non-Royalty Income, and that amount attributable to the grant of other rights or licenses in such other intellectual property, which shall be excluded from Non-Royalty Income, such apportionment to be reasonably agreed upon by the Parties.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1.13. “Non-Suit Countries” </w:t>
      </w:r>
      <w:r>
        <w:rPr>
          <w:rFonts w:ascii="Arial" w:cs="Arial" w:eastAsia="Arial" w:hAnsi="Arial"/>
          <w:sz w:val="18"/>
          <w:szCs w:val="18"/>
          <w:color w:val="auto"/>
        </w:rPr>
        <w:t>means all countries other than Market Countries.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1.14. “Product” </w:t>
      </w:r>
      <w:r>
        <w:rPr>
          <w:rFonts w:ascii="Arial" w:cs="Arial" w:eastAsia="Arial" w:hAnsi="Arial"/>
          <w:sz w:val="18"/>
          <w:szCs w:val="18"/>
          <w:color w:val="auto"/>
        </w:rPr>
        <w:t>means any product produced by a Virus or through the use of the Biological Material or Technology Transfer Material.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1.15. “Public Sector” </w:t>
      </w:r>
      <w:r>
        <w:rPr>
          <w:rFonts w:ascii="Arial" w:cs="Arial" w:eastAsia="Arial" w:hAnsi="Arial"/>
          <w:sz w:val="18"/>
          <w:szCs w:val="18"/>
          <w:color w:val="auto"/>
        </w:rPr>
        <w:t>will include:</w:t>
      </w:r>
    </w:p>
    <w:p>
      <w:pPr>
        <w:spacing w:after="0" w:line="135" w:lineRule="exact"/>
        <w:rPr>
          <w:sz w:val="20"/>
          <w:szCs w:val="20"/>
          <w:color w:val="auto"/>
        </w:rPr>
      </w:pPr>
    </w:p>
    <w:p>
      <w:pPr>
        <w:ind w:left="900" w:hanging="446"/>
        <w:spacing w:after="0"/>
        <w:tabs>
          <w:tab w:leader="none" w:pos="9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the sovereign government of a country;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agencies of the United Nations and the World Health Organization;</w:t>
      </w:r>
    </w:p>
    <w:p>
      <w:pPr>
        <w:spacing w:after="0" w:line="130" w:lineRule="exact"/>
        <w:rPr>
          <w:rFonts w:ascii="Arial" w:cs="Arial" w:eastAsia="Arial" w:hAnsi="Arial"/>
          <w:sz w:val="18"/>
          <w:szCs w:val="18"/>
          <w:color w:val="auto"/>
        </w:rPr>
      </w:pPr>
    </w:p>
    <w:p>
      <w:pPr>
        <w:ind w:left="5660" w:right="2440" w:hanging="5206"/>
        <w:spacing w:after="0" w:line="422" w:lineRule="auto"/>
        <w:tabs>
          <w:tab w:leader="none" w:pos="89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non-profit organizations which are members of the International Committee of the Red Cross and Red Crescent; 5</w:t>
      </w:r>
    </w:p>
    <w:p>
      <w:pPr>
        <w:spacing w:after="0" w:line="1" w:lineRule="exact"/>
        <w:rPr>
          <w:rFonts w:ascii="Arial" w:cs="Arial" w:eastAsia="Arial" w:hAnsi="Arial"/>
          <w:sz w:val="18"/>
          <w:szCs w:val="18"/>
          <w:color w:val="auto"/>
        </w:rPr>
      </w:pPr>
    </w:p>
    <w:p>
      <w:pPr>
        <w:ind w:left="1580" w:right="1380" w:hanging="191"/>
        <w:spacing w:after="0" w:line="308" w:lineRule="auto"/>
        <w:tabs>
          <w:tab w:leader="none" w:pos="1945" w:val="left"/>
        </w:tabs>
        <w:numPr>
          <w:ilvl w:val="1"/>
          <w:numId w:val="65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44" w:name="page645"/>
    <w:bookmarkEnd w:id="6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left="900" w:right="300" w:hanging="446"/>
        <w:spacing w:after="0" w:line="277" w:lineRule="auto"/>
        <w:tabs>
          <w:tab w:leader="none" w:pos="90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international charitable agencies (also known as Non-Governmental Agencies) including but not limited to Oxfam, Medecins Sans Frontieres, and so forth;</w:t>
      </w:r>
    </w:p>
    <w:p>
      <w:pPr>
        <w:spacing w:after="0" w:line="75" w:lineRule="exact"/>
        <w:rPr>
          <w:rFonts w:ascii="Arial" w:cs="Arial" w:eastAsia="Arial" w:hAnsi="Arial"/>
          <w:sz w:val="18"/>
          <w:szCs w:val="18"/>
          <w:color w:val="auto"/>
        </w:rPr>
      </w:pPr>
    </w:p>
    <w:p>
      <w:pPr>
        <w:jc w:val="both"/>
        <w:ind w:left="900" w:right="800" w:hanging="446"/>
        <w:spacing w:after="0" w:line="264" w:lineRule="auto"/>
        <w:tabs>
          <w:tab w:leader="none" w:pos="90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non-profit organizations substantially supported by philanthropic organizations including but not limited to the Bill and Melinda Gates Foundation, the Rockefeller Foundation and so forth, specifically including global product development and distribution public-private partnerships.</w:t>
      </w:r>
    </w:p>
    <w:p>
      <w:pPr>
        <w:spacing w:after="0" w:line="177"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b w:val="1"/>
          <w:bCs w:val="1"/>
          <w:color w:val="auto"/>
        </w:rPr>
        <w:t xml:space="preserve">1.16. “Regulatory Authority” </w:t>
      </w:r>
      <w:r>
        <w:rPr>
          <w:rFonts w:ascii="Arial" w:cs="Arial" w:eastAsia="Arial" w:hAnsi="Arial"/>
          <w:sz w:val="18"/>
          <w:szCs w:val="18"/>
          <w:color w:val="auto"/>
        </w:rPr>
        <w:t>means any applicable government regulatory authority involved in granting approvals for the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of a Product, including, in the United States, the FDA.</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1.17. “Strategic Partner” </w:t>
      </w:r>
      <w:r>
        <w:rPr>
          <w:rFonts w:ascii="Arial" w:cs="Arial" w:eastAsia="Arial" w:hAnsi="Arial"/>
          <w:sz w:val="18"/>
          <w:szCs w:val="18"/>
          <w:color w:val="auto"/>
        </w:rPr>
        <w:t>means any entity that agrees to compensate Licensee or its Affiliate in exchange for: Licensee’s or its Affiliate’s practice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Patent Rights and/or development of Products, on behalf of or in collaboration with such entity, including without limitation, for commercialization and development activities for Products. Any entity which meets the foregoing criteria, that also receives a Sublicense shall be considered a Sublicensee, and not a Strategic Partner, for the purposes of this Agreement.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1.18. “Strategic Partnership” </w:t>
      </w:r>
      <w:r>
        <w:rPr>
          <w:rFonts w:ascii="Arial" w:cs="Arial" w:eastAsia="Arial" w:hAnsi="Arial"/>
          <w:sz w:val="18"/>
          <w:szCs w:val="18"/>
          <w:color w:val="auto"/>
        </w:rPr>
        <w:t>means any agreement with a Strategic Partner.</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1.19. “Sublicense” </w:t>
      </w:r>
      <w:r>
        <w:rPr>
          <w:rFonts w:ascii="Arial" w:cs="Arial" w:eastAsia="Arial" w:hAnsi="Arial"/>
          <w:sz w:val="18"/>
          <w:szCs w:val="18"/>
          <w:color w:val="auto"/>
        </w:rPr>
        <w:t>shall mean (a) any right granted, license given or agreement entered into by Licensee to or with any other person or entity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strategic or development partnerships), under or with respect to or permitting any use or exploitation of the Biological Material and/or the Technology Transfer Material for the purpose of producing Viruses to be used in the production of Products, or otherwise permitting the development, manufacture, marketing, distribution, use and/or sale of Products; (b) any option or other right granted by Licensee to any other person or entity to negotiate for or receive any of the rights described under clause (a); or (c) any standstill or similar obligation undertaken by Licensee toward any other person or entity not to grant any of the rights described in clause (a) or (b) to any third party; in each case regardless of whether such grant of rights, license given or agreement entered into is referred to or is described as a sublicense.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“Sublicensee” </w:t>
      </w:r>
      <w:r>
        <w:rPr>
          <w:rFonts w:ascii="Arial" w:cs="Arial" w:eastAsia="Arial" w:hAnsi="Arial"/>
          <w:sz w:val="18"/>
          <w:szCs w:val="18"/>
          <w:color w:val="auto"/>
        </w:rPr>
        <w:t>shall mean any person or entity granted a Sublicense.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1.21. “Technology Transfer Material” </w:t>
      </w:r>
      <w:r>
        <w:rPr>
          <w:rFonts w:ascii="Arial" w:cs="Arial" w:eastAsia="Arial" w:hAnsi="Arial"/>
          <w:sz w:val="18"/>
          <w:szCs w:val="18"/>
          <w:color w:val="auto"/>
        </w:rPr>
        <w:t>means the methods, protocols and other information listed in Exhibit 1.21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1.22. “Term” </w:t>
      </w:r>
      <w:r>
        <w:rPr>
          <w:rFonts w:ascii="Arial" w:cs="Arial" w:eastAsia="Arial" w:hAnsi="Arial"/>
          <w:sz w:val="18"/>
          <w:szCs w:val="18"/>
          <w:color w:val="auto"/>
        </w:rPr>
        <w:t>means the term of this Agreement as set forth in Section 6.1.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1.23. “Third Party” </w:t>
      </w:r>
      <w:r>
        <w:rPr>
          <w:rFonts w:ascii="Arial" w:cs="Arial" w:eastAsia="Arial" w:hAnsi="Arial"/>
          <w:sz w:val="18"/>
          <w:szCs w:val="18"/>
          <w:color w:val="auto"/>
        </w:rPr>
        <w:t>means any person or entity other than Harvard, Licensee and Licensee’s Affiliates.</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158" w:lineRule="exact"/>
        <w:rPr>
          <w:sz w:val="20"/>
          <w:szCs w:val="20"/>
          <w:color w:val="auto"/>
        </w:rPr>
      </w:pPr>
    </w:p>
    <w:p>
      <w:pPr>
        <w:ind w:left="1580" w:right="1380" w:hanging="191"/>
        <w:spacing w:after="0" w:line="308" w:lineRule="auto"/>
        <w:tabs>
          <w:tab w:leader="none" w:pos="1945" w:val="left"/>
        </w:tabs>
        <w:numPr>
          <w:ilvl w:val="0"/>
          <w:numId w:val="656"/>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45" w:name="page646"/>
    <w:bookmarkEnd w:id="6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 xml:space="preserve">1.24. “Trailing Consideration” </w:t>
      </w:r>
      <w:r>
        <w:rPr>
          <w:rFonts w:ascii="Arial" w:cs="Arial" w:eastAsia="Arial" w:hAnsi="Arial"/>
          <w:sz w:val="18"/>
          <w:szCs w:val="18"/>
          <w:color w:val="auto"/>
        </w:rPr>
        <w:t>means any payments due for any deferred or contingent aggregate consideration payable to Licensee, its direct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parent company, or its security holders, as the case may be, with respect to an Asset Sale, Merger or Stock Sale, including, without limitation, any post-closing milestone payment, escrow or holdback of consideration.</w:t>
      </w:r>
    </w:p>
    <w:p>
      <w:pPr>
        <w:spacing w:after="0" w:line="176"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 xml:space="preserve">1.25. “Virus” </w:t>
      </w:r>
      <w:r>
        <w:rPr>
          <w:rFonts w:ascii="Arial" w:cs="Arial" w:eastAsia="Arial" w:hAnsi="Arial"/>
          <w:sz w:val="18"/>
          <w:szCs w:val="18"/>
          <w:color w:val="auto"/>
        </w:rPr>
        <w:t>means any virus produced by Licensee or a Sublicensee through use of the Biological Material that does not contain any Biological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or any functional portion or functional fragment thereof.</w:t>
      </w:r>
    </w:p>
    <w:p>
      <w:pPr>
        <w:spacing w:after="0" w:line="310" w:lineRule="exact"/>
        <w:rPr>
          <w:sz w:val="20"/>
          <w:szCs w:val="20"/>
          <w:color w:val="auto"/>
        </w:rPr>
      </w:pPr>
    </w:p>
    <w:p>
      <w:pPr>
        <w:ind w:left="460" w:hanging="452"/>
        <w:spacing w:after="0"/>
        <w:tabs>
          <w:tab w:leader="none" w:pos="460" w:val="left"/>
        </w:tabs>
        <w:numPr>
          <w:ilvl w:val="0"/>
          <w:numId w:val="657"/>
        </w:numPr>
        <w:rPr>
          <w:rFonts w:ascii="Arial" w:cs="Arial" w:eastAsia="Arial" w:hAnsi="Arial"/>
          <w:sz w:val="18"/>
          <w:szCs w:val="18"/>
          <w:b w:val="1"/>
          <w:bCs w:val="1"/>
          <w:color w:val="auto"/>
        </w:rPr>
      </w:pPr>
      <w:r>
        <w:rPr>
          <w:rFonts w:ascii="Arial" w:cs="Arial" w:eastAsia="Arial" w:hAnsi="Arial"/>
          <w:sz w:val="18"/>
          <w:szCs w:val="18"/>
          <w:b w:val="1"/>
          <w:bCs w:val="1"/>
          <w:color w:val="auto"/>
        </w:rPr>
        <w:t>License.</w:t>
      </w:r>
    </w:p>
    <w:p>
      <w:pPr>
        <w:spacing w:after="0" w:line="11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2.1. License Grant. </w:t>
      </w:r>
      <w:r>
        <w:rPr>
          <w:rFonts w:ascii="Arial" w:cs="Arial" w:eastAsia="Arial" w:hAnsi="Arial"/>
          <w:sz w:val="18"/>
          <w:szCs w:val="18"/>
          <w:color w:val="auto"/>
        </w:rPr>
        <w:t>Subject to the terms and conditions set forth in this Agreement, Harvard hereby grants to Licensee a non-exclusive, royalty-bearing, worldwide license, sublicensable solely in accordance with Section 2.2, to use the Biological Material and the Technology Transfer Material solely to produce Viruses solely to make and sell Products for use in the Field.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Sublicenses.</w:t>
      </w:r>
    </w:p>
    <w:p>
      <w:pPr>
        <w:spacing w:after="0" w:line="11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2.2.1. Sublicense Grant. </w:t>
      </w:r>
      <w:r>
        <w:rPr>
          <w:rFonts w:ascii="Arial" w:cs="Arial" w:eastAsia="Arial" w:hAnsi="Arial"/>
          <w:sz w:val="18"/>
          <w:szCs w:val="18"/>
          <w:color w:val="auto"/>
        </w:rPr>
        <w:t>Licensee will be entitled to grant Sublicenses to Third Parties under the license granted pursuant to Section 2.1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terms of this Section 2.2;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grant is made (a) in conjunction with a license to technology owned or controlled by Licensee (other than the Biological Material and the Technology Transfer Material) that is included in or useful for the making of Products, and (b) solely for the manufacture of Viruses solely to make and sell Products for use in the Field. Affiliates of Licensee shall be permitted to exercise such right as a Sublicensee only with Harvard’s prior written consent, not to be unreasonably withheld or delayed;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Licensee shall ensure that any such Affiliate complies with the terms of this Section 2.2.</w:t>
      </w:r>
    </w:p>
    <w:p>
      <w:pPr>
        <w:spacing w:after="0" w:line="188"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b w:val="1"/>
          <w:bCs w:val="1"/>
          <w:color w:val="auto"/>
        </w:rPr>
        <w:t xml:space="preserve">2.2.2. Sublicense Agreements. </w:t>
      </w:r>
      <w:r>
        <w:rPr>
          <w:rFonts w:ascii="Arial" w:cs="Arial" w:eastAsia="Arial" w:hAnsi="Arial"/>
          <w:sz w:val="18"/>
          <w:szCs w:val="18"/>
          <w:color w:val="auto"/>
        </w:rPr>
        <w:t>Sublicenses shall be granted pursuant to written agreements, which will be subject and subordinate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this Agreement. Such Sublicense agreements will contain, among other things, the following:</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2.2.2.1. </w:t>
      </w:r>
      <w:r>
        <w:rPr>
          <w:rFonts w:ascii="Arial" w:cs="Arial" w:eastAsia="Arial" w:hAnsi="Arial"/>
          <w:sz w:val="18"/>
          <w:szCs w:val="18"/>
          <w:color w:val="auto"/>
        </w:rPr>
        <w:t>all provisions necessary to ensure Licensee’s ability to perform its obligations under this Agreement;</w:t>
      </w:r>
    </w:p>
    <w:p>
      <w:pPr>
        <w:spacing w:after="0" w:line="225" w:lineRule="exact"/>
        <w:rPr>
          <w:sz w:val="20"/>
          <w:szCs w:val="20"/>
          <w:color w:val="auto"/>
        </w:rPr>
      </w:pPr>
    </w:p>
    <w:p>
      <w:pPr>
        <w:ind w:right="740" w:firstLine="1484"/>
        <w:spacing w:after="0" w:line="313" w:lineRule="auto"/>
        <w:rPr>
          <w:sz w:val="20"/>
          <w:szCs w:val="20"/>
          <w:color w:val="auto"/>
        </w:rPr>
      </w:pPr>
      <w:r>
        <w:rPr>
          <w:rFonts w:ascii="Arial" w:cs="Arial" w:eastAsia="Arial" w:hAnsi="Arial"/>
          <w:sz w:val="17"/>
          <w:szCs w:val="17"/>
          <w:b w:val="1"/>
          <w:bCs w:val="1"/>
          <w:color w:val="auto"/>
        </w:rPr>
        <w:t xml:space="preserve">2.2.2.2. </w:t>
      </w:r>
      <w:r>
        <w:rPr>
          <w:rFonts w:ascii="Arial" w:cs="Arial" w:eastAsia="Arial" w:hAnsi="Arial"/>
          <w:sz w:val="17"/>
          <w:szCs w:val="17"/>
          <w:color w:val="auto"/>
        </w:rPr>
        <w:t>a section substantially the same as Article 5 of this Agreement, which also will state that the Indemnitees (as defined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5.1) are intended third party beneficiaries of such Sublicense agreement for the purpose of enforcing such indemnification;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158" w:lineRule="exact"/>
        <w:rPr>
          <w:sz w:val="20"/>
          <w:szCs w:val="20"/>
          <w:color w:val="auto"/>
        </w:rPr>
      </w:pPr>
    </w:p>
    <w:p>
      <w:pPr>
        <w:ind w:left="1580" w:right="1360" w:hanging="191"/>
        <w:spacing w:after="0" w:line="308" w:lineRule="auto"/>
        <w:tabs>
          <w:tab w:leader="none" w:pos="1945" w:val="left"/>
        </w:tabs>
        <w:numPr>
          <w:ilvl w:val="0"/>
          <w:numId w:val="658"/>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71" w:right="259" w:bottom="1440" w:gutter="0" w:footer="0" w:header="0"/>
        </w:sectPr>
      </w:pPr>
    </w:p>
    <w:bookmarkStart w:id="646" w:name="page647"/>
    <w:bookmarkEnd w:id="6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80" w:firstLine="1484"/>
        <w:spacing w:after="0" w:line="277" w:lineRule="auto"/>
        <w:rPr>
          <w:sz w:val="20"/>
          <w:szCs w:val="20"/>
          <w:color w:val="auto"/>
        </w:rPr>
      </w:pPr>
      <w:r>
        <w:rPr>
          <w:rFonts w:ascii="Arial" w:cs="Arial" w:eastAsia="Arial" w:hAnsi="Arial"/>
          <w:sz w:val="17"/>
          <w:szCs w:val="17"/>
          <w:b w:val="1"/>
          <w:bCs w:val="1"/>
          <w:color w:val="auto"/>
        </w:rPr>
        <w:t xml:space="preserve">2.2.2.3. </w:t>
      </w:r>
      <w:r>
        <w:rPr>
          <w:rFonts w:ascii="Arial" w:cs="Arial" w:eastAsia="Arial" w:hAnsi="Arial"/>
          <w:sz w:val="17"/>
          <w:szCs w:val="17"/>
          <w:color w:val="auto"/>
        </w:rPr>
        <w:t>a provision clarifying that, in the event of termination of the license set forth in Section 2.1 (in whole or in part), any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Sublicense agreement shall terminate to the extent of such terminated license;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each Sublicensee, upon termination of the license, if the Sublicensee is not then in breach of the Sublicense agreement such that Licensee would have the right to terminate such Sublicense agreement, such Sublicensee shall have the right to obtain a direct license from Harvard on the same terms and conditions as set forth herein, which direct license shall not impose any representations, warranties, obligations or liabilities on Harvard that are not included in this Agreement;</w:t>
      </w:r>
    </w:p>
    <w:p>
      <w:pPr>
        <w:spacing w:after="0" w:line="168" w:lineRule="exact"/>
        <w:rPr>
          <w:sz w:val="20"/>
          <w:szCs w:val="20"/>
          <w:color w:val="auto"/>
        </w:rPr>
      </w:pPr>
    </w:p>
    <w:p>
      <w:pPr>
        <w:ind w:right="160" w:firstLine="1484"/>
        <w:spacing w:after="0" w:line="282" w:lineRule="auto"/>
        <w:rPr>
          <w:sz w:val="20"/>
          <w:szCs w:val="20"/>
          <w:color w:val="auto"/>
        </w:rPr>
      </w:pPr>
      <w:r>
        <w:rPr>
          <w:rFonts w:ascii="Arial" w:cs="Arial" w:eastAsia="Arial" w:hAnsi="Arial"/>
          <w:sz w:val="18"/>
          <w:szCs w:val="18"/>
          <w:b w:val="1"/>
          <w:bCs w:val="1"/>
          <w:color w:val="auto"/>
        </w:rPr>
        <w:t xml:space="preserve">2.2.2.4. </w:t>
      </w:r>
      <w:r>
        <w:rPr>
          <w:rFonts w:ascii="Arial" w:cs="Arial" w:eastAsia="Arial" w:hAnsi="Arial"/>
          <w:sz w:val="18"/>
          <w:szCs w:val="18"/>
          <w:color w:val="auto"/>
        </w:rPr>
        <w:t>a provision clarifying that the Sublicensee shall only be entitled to sublicense its rights under such Sublicense agreement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set forth in this Section 2.2; and</w:t>
      </w:r>
    </w:p>
    <w:p>
      <w:pPr>
        <w:spacing w:after="0" w:line="162" w:lineRule="exact"/>
        <w:rPr>
          <w:sz w:val="20"/>
          <w:szCs w:val="20"/>
          <w:color w:val="auto"/>
        </w:rPr>
      </w:pPr>
    </w:p>
    <w:p>
      <w:pPr>
        <w:ind w:right="20" w:firstLine="1484"/>
        <w:spacing w:after="0" w:line="261" w:lineRule="auto"/>
        <w:rPr>
          <w:sz w:val="20"/>
          <w:szCs w:val="20"/>
          <w:color w:val="auto"/>
        </w:rPr>
      </w:pPr>
      <w:r>
        <w:rPr>
          <w:rFonts w:ascii="Arial" w:cs="Arial" w:eastAsia="Arial" w:hAnsi="Arial"/>
          <w:sz w:val="18"/>
          <w:szCs w:val="18"/>
          <w:b w:val="1"/>
          <w:bCs w:val="1"/>
          <w:color w:val="auto"/>
        </w:rPr>
        <w:t xml:space="preserve">2.2.2.5. </w:t>
      </w:r>
      <w:r>
        <w:rPr>
          <w:rFonts w:ascii="Arial" w:cs="Arial" w:eastAsia="Arial" w:hAnsi="Arial"/>
          <w:sz w:val="18"/>
          <w:szCs w:val="18"/>
          <w:color w:val="auto"/>
        </w:rPr>
        <w:t>a provision prohibiting the Sublicensee from assigning the Sublicense agreement without the prior written consent of Harvard,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that Sublicensee may assign the Sublicense agreement to a successor in connection with the merger, consolidation or other reorganization of the Sublicensee, or the sale of all or substantially all of its assets or that portion of its business to which the Sublicense agreement relates; provided, however, that any permitted assignee agrees in writing to be bound by the terms of such Sublicense agreement.</w:t>
      </w:r>
    </w:p>
    <w:p>
      <w:pPr>
        <w:spacing w:after="0" w:line="180" w:lineRule="exact"/>
        <w:rPr>
          <w:sz w:val="20"/>
          <w:szCs w:val="20"/>
          <w:color w:val="auto"/>
        </w:rPr>
      </w:pPr>
    </w:p>
    <w:p>
      <w:pPr>
        <w:ind w:firstLine="913"/>
        <w:spacing w:after="0" w:line="303" w:lineRule="auto"/>
        <w:rPr>
          <w:sz w:val="20"/>
          <w:szCs w:val="20"/>
          <w:color w:val="auto"/>
        </w:rPr>
      </w:pPr>
      <w:r>
        <w:rPr>
          <w:rFonts w:ascii="Arial" w:cs="Arial" w:eastAsia="Arial" w:hAnsi="Arial"/>
          <w:sz w:val="16"/>
          <w:szCs w:val="16"/>
          <w:b w:val="1"/>
          <w:bCs w:val="1"/>
          <w:color w:val="auto"/>
        </w:rPr>
        <w:t xml:space="preserve">2.2.3. Delivery of Sublicense Agreement. </w:t>
      </w:r>
      <w:r>
        <w:rPr>
          <w:rFonts w:ascii="Arial" w:cs="Arial" w:eastAsia="Arial" w:hAnsi="Arial"/>
          <w:sz w:val="16"/>
          <w:szCs w:val="16"/>
          <w:color w:val="auto"/>
        </w:rPr>
        <w:t>Licensee shall furnish Harvard with a fully executed copy of any Sublicense agreement, redacted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matters not relevant to Harvard’s interest, promptly after its execution (or promptly after the Effective Date with respect to Sublicense agreements entered into prior to the Effective Date). Harvard shall keep all such agreements and their terms confidential and shall use them solely for the purpose of monitoring Licensee’s and Sublicensees’ compliance with their obligations hereunder and enforcing Harvard’s rights under this Agreement.</w:t>
      </w:r>
    </w:p>
    <w:p>
      <w:pPr>
        <w:spacing w:after="0" w:line="151"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 xml:space="preserve">2.2.4. Breach by Sublicensee. </w:t>
      </w:r>
      <w:r>
        <w:rPr>
          <w:rFonts w:ascii="Arial" w:cs="Arial" w:eastAsia="Arial" w:hAnsi="Arial"/>
          <w:sz w:val="18"/>
          <w:szCs w:val="18"/>
          <w:color w:val="auto"/>
        </w:rPr>
        <w:t>During the term of this Agreement, Licensee shall be responsible for any breach of a Sublicense agreement by a</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 that results in a material breach of this Agreement. Licensee may elect (a) to cure such breach in accordance with Section 6.2.2 of this Agreement or (b) to enforce its rights by terminating such Sublicense agreement in accordance with the terms thereof.</w:t>
      </w:r>
    </w:p>
    <w:p>
      <w:pPr>
        <w:spacing w:after="0" w:line="284"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Biological Material.</w:t>
      </w:r>
    </w:p>
    <w:p>
      <w:pPr>
        <w:spacing w:after="0" w:line="117" w:lineRule="exact"/>
        <w:rPr>
          <w:sz w:val="20"/>
          <w:szCs w:val="20"/>
          <w:color w:val="auto"/>
        </w:rPr>
      </w:pPr>
    </w:p>
    <w:p>
      <w:pPr>
        <w:ind w:right="380" w:firstLine="913"/>
        <w:spacing w:after="0" w:line="266"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As between the parties hereto, subject to the the terms herein, including without limitation, the license granted to Licensee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2.1 and any Sublicenses granted to Sublicensees pursuant to Section 2.2, all rights, title and interest in and to all Biological Material, and any intellectual property applying thereto, shall be owned solely and exclusively by Harvard.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158" w:lineRule="exact"/>
        <w:rPr>
          <w:sz w:val="20"/>
          <w:szCs w:val="20"/>
          <w:color w:val="auto"/>
        </w:rPr>
      </w:pPr>
    </w:p>
    <w:p>
      <w:pPr>
        <w:ind w:left="1580" w:right="1360" w:hanging="191"/>
        <w:spacing w:after="0" w:line="308" w:lineRule="auto"/>
        <w:tabs>
          <w:tab w:leader="none" w:pos="1945" w:val="left"/>
        </w:tabs>
        <w:numPr>
          <w:ilvl w:val="0"/>
          <w:numId w:val="65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70" w:right="259" w:bottom="1440" w:gutter="0" w:footer="0" w:header="0"/>
        </w:sectPr>
      </w:pPr>
    </w:p>
    <w:bookmarkStart w:id="647" w:name="page648"/>
    <w:bookmarkEnd w:id="6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ind w:right="60" w:firstLine="913"/>
        <w:spacing w:after="0" w:line="313" w:lineRule="auto"/>
        <w:rPr>
          <w:sz w:val="20"/>
          <w:szCs w:val="20"/>
          <w:color w:val="auto"/>
        </w:rPr>
      </w:pPr>
      <w:r>
        <w:rPr>
          <w:rFonts w:ascii="Arial" w:cs="Arial" w:eastAsia="Arial" w:hAnsi="Arial"/>
          <w:sz w:val="17"/>
          <w:szCs w:val="17"/>
          <w:b w:val="1"/>
          <w:bCs w:val="1"/>
          <w:color w:val="auto"/>
        </w:rPr>
        <w:t xml:space="preserve">2.3.2. </w:t>
      </w:r>
      <w:r>
        <w:rPr>
          <w:rFonts w:ascii="Arial" w:cs="Arial" w:eastAsia="Arial" w:hAnsi="Arial"/>
          <w:sz w:val="17"/>
          <w:szCs w:val="17"/>
          <w:color w:val="auto"/>
        </w:rPr>
        <w:t>Licensee shall not use Biological Material other than in accordance with the rights expressly granted to it hereunder. Except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Sublicenses granted pursuant to Section 2.2, Licensee shall not sell or otherwise transfer any Biological Material to any third party.</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2.3.3. </w:t>
      </w:r>
      <w:r>
        <w:rPr>
          <w:rFonts w:ascii="Arial" w:cs="Arial" w:eastAsia="Arial" w:hAnsi="Arial"/>
          <w:sz w:val="17"/>
          <w:szCs w:val="17"/>
          <w:color w:val="auto"/>
        </w:rPr>
        <w:t>The Biological Material is provided only for use in animals or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 vitro.</w:t>
      </w:r>
      <w:r>
        <w:rPr>
          <w:rFonts w:ascii="Arial" w:cs="Arial" w:eastAsia="Arial" w:hAnsi="Arial"/>
          <w:sz w:val="17"/>
          <w:szCs w:val="17"/>
          <w:b w:val="1"/>
          <w:bCs w:val="1"/>
          <w:color w:val="auto"/>
        </w:rPr>
        <w:t xml:space="preserve"> </w:t>
      </w:r>
      <w:r>
        <w:rPr>
          <w:rFonts w:ascii="Arial" w:cs="Arial" w:eastAsia="Arial" w:hAnsi="Arial"/>
          <w:sz w:val="17"/>
          <w:szCs w:val="17"/>
          <w:color w:val="auto"/>
        </w:rPr>
        <w:t>THE BIOLOGICAL MATERIAL SHALL NOT BE USED IN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HUMANS.</w:t>
      </w:r>
    </w:p>
    <w:p>
      <w:pPr>
        <w:spacing w:after="0" w:line="207"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color w:val="auto"/>
        </w:rPr>
        <w:t>Licensee shall inform Harvard’s Office of Technology Development (at 1350 Massachusetts Avenue, Richard A. and Susan F. Smith</w:t>
      </w:r>
      <w:r>
        <w:rPr>
          <w:rFonts w:ascii="Arial" w:cs="Arial" w:eastAsia="Arial" w:hAnsi="Arial"/>
          <w:sz w:val="18"/>
          <w:szCs w:val="18"/>
          <w:b w:val="1"/>
          <w:bCs w:val="1"/>
          <w:color w:val="auto"/>
        </w:rPr>
        <w:t xml:space="preserve"> </w:t>
      </w:r>
      <w:r>
        <w:rPr>
          <w:rFonts w:ascii="Arial" w:cs="Arial" w:eastAsia="Arial" w:hAnsi="Arial"/>
          <w:sz w:val="18"/>
          <w:szCs w:val="18"/>
          <w:color w:val="auto"/>
        </w:rPr>
        <w:t>Campus Center, Suite 727, Cambridge, MA 02138, (617) 495-3067, Attn: Chief Technology Development Officer) of any Biological Material created by Licensee that is different from, and a modification to, the Biological Material listed in Exhibit 1.3, and upon Harvard’s request, shall provide samples of such material to Harvard.</w:t>
      </w:r>
    </w:p>
    <w:p>
      <w:pPr>
        <w:spacing w:after="0" w:line="180" w:lineRule="exact"/>
        <w:rPr>
          <w:sz w:val="20"/>
          <w:szCs w:val="20"/>
          <w:color w:val="auto"/>
        </w:rPr>
      </w:pPr>
    </w:p>
    <w:p>
      <w:pPr>
        <w:ind w:right="580" w:firstLine="913"/>
        <w:spacing w:after="0" w:line="282" w:lineRule="auto"/>
        <w:rPr>
          <w:sz w:val="20"/>
          <w:szCs w:val="20"/>
          <w:color w:val="auto"/>
        </w:rPr>
      </w:pPr>
      <w:r>
        <w:rPr>
          <w:rFonts w:ascii="Arial" w:cs="Arial" w:eastAsia="Arial" w:hAnsi="Arial"/>
          <w:sz w:val="18"/>
          <w:szCs w:val="18"/>
          <w:b w:val="1"/>
          <w:bCs w:val="1"/>
          <w:color w:val="auto"/>
        </w:rPr>
        <w:t xml:space="preserve">2.3.5. </w:t>
      </w:r>
      <w:r>
        <w:rPr>
          <w:rFonts w:ascii="Arial" w:cs="Arial" w:eastAsia="Arial" w:hAnsi="Arial"/>
          <w:sz w:val="18"/>
          <w:szCs w:val="18"/>
          <w:color w:val="auto"/>
        </w:rPr>
        <w:t>Licensee shall deliver to Harvard between [XXX] and [XXX] of the product of Licensee’s expansion of the Biological Material, at</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Licensee’s expense, no later than August 15, 2016.</w:t>
      </w:r>
    </w:p>
    <w:p>
      <w:pPr>
        <w:spacing w:after="0" w:line="162"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As between the parties hereto, all right, title and interest in and to all Viruses, Products, and any intellectual property applying thereto 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production thereof, shall be owned solely and exclusively by Licensee. For the avoidance of doubt, nothing herein prohibits or is intended to prohibit the use of Products in humans.</w:t>
      </w:r>
    </w:p>
    <w:p>
      <w:pPr>
        <w:spacing w:after="0" w:line="176"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2.4. No Other Grant of Rights. </w:t>
      </w:r>
      <w:r>
        <w:rPr>
          <w:rFonts w:ascii="Arial" w:cs="Arial" w:eastAsia="Arial" w:hAnsi="Arial"/>
          <w:sz w:val="18"/>
          <w:szCs w:val="18"/>
          <w:color w:val="auto"/>
        </w:rPr>
        <w:t>Except as expressly provided herein, nothing in this Agreement will be construed to confer any ownership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or other rights upon Licensee by implication, estoppel or otherwise as to any technology, intellectual property rights, products or biological materials of Harvard, or any other entity, regardless of whether such technology, intellectual property rights, products or biological materials are dominant, subordinate or otherwise related to any Biological Material or Technology Transfer Material.</w:t>
      </w:r>
    </w:p>
    <w:p>
      <w:pPr>
        <w:spacing w:after="0" w:line="329" w:lineRule="exact"/>
        <w:rPr>
          <w:sz w:val="20"/>
          <w:szCs w:val="20"/>
          <w:color w:val="auto"/>
        </w:rPr>
      </w:pPr>
    </w:p>
    <w:p>
      <w:pPr>
        <w:ind w:left="460" w:hanging="452"/>
        <w:spacing w:after="0"/>
        <w:tabs>
          <w:tab w:leader="none" w:pos="460" w:val="left"/>
        </w:tabs>
        <w:numPr>
          <w:ilvl w:val="0"/>
          <w:numId w:val="660"/>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 for Grant of License.</w:t>
      </w:r>
    </w:p>
    <w:p>
      <w:pPr>
        <w:spacing w:after="0" w:line="117"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3.1. License Issuance Fee. </w:t>
      </w:r>
      <w:r>
        <w:rPr>
          <w:rFonts w:ascii="Arial" w:cs="Arial" w:eastAsia="Arial" w:hAnsi="Arial"/>
          <w:sz w:val="18"/>
          <w:szCs w:val="18"/>
          <w:color w:val="auto"/>
        </w:rPr>
        <w:t>Within thirty (30) days after the Effective Date, Licensee shall pay Harvard a non-refundable license issuance fee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[XXX]. Such license issuance fee shall be creditable against any royalty amounts payable under Section 3.3 below with respect to Products sold in calendar year 2016.</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158" w:lineRule="exact"/>
        <w:rPr>
          <w:sz w:val="20"/>
          <w:szCs w:val="20"/>
          <w:color w:val="auto"/>
        </w:rPr>
      </w:pPr>
    </w:p>
    <w:p>
      <w:pPr>
        <w:ind w:left="1580" w:right="1320" w:hanging="191"/>
        <w:spacing w:after="0" w:line="308" w:lineRule="auto"/>
        <w:tabs>
          <w:tab w:leader="none" w:pos="1945" w:val="left"/>
        </w:tabs>
        <w:numPr>
          <w:ilvl w:val="0"/>
          <w:numId w:val="661"/>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60"/>
          </w:cols>
          <w:pgMar w:left="240" w:top="270" w:right="299" w:bottom="1440" w:gutter="0" w:footer="0" w:header="0"/>
        </w:sectPr>
      </w:pPr>
    </w:p>
    <w:bookmarkStart w:id="648" w:name="page649"/>
    <w:bookmarkEnd w:id="6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3.2. License Maintenance Fee. </w:t>
      </w:r>
      <w:r>
        <w:rPr>
          <w:rFonts w:ascii="Arial" w:cs="Arial" w:eastAsia="Arial" w:hAnsi="Arial"/>
          <w:sz w:val="17"/>
          <w:szCs w:val="17"/>
          <w:color w:val="auto"/>
        </w:rPr>
        <w:t>Licensee shall pay Harvard a non-refundable annual license maintenance fee as follows: [XXX] for each (full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partial) calendar year prior to Marketing Approval; [XXX] for the first full calendar year after Marketing Approval; [XXX] for the second full calendar year after Marketing Approval; and [XXX] for the third full calendar year after Marketing Approval and each calendar year thereafter; </w:t>
      </w:r>
      <w:r>
        <w:rPr>
          <w:rFonts w:ascii="Arial" w:cs="Arial" w:eastAsia="Arial" w:hAnsi="Arial"/>
          <w:sz w:val="17"/>
          <w:szCs w:val="17"/>
          <w:u w:val="single" w:color="auto"/>
          <w:color w:val="auto"/>
        </w:rPr>
        <w:t>provided</w:t>
      </w:r>
      <w:r>
        <w:rPr>
          <w:rFonts w:ascii="Arial" w:cs="Arial" w:eastAsia="Arial" w:hAnsi="Arial"/>
          <w:sz w:val="17"/>
          <w:szCs w:val="17"/>
          <w:color w:val="auto"/>
        </w:rPr>
        <w:t>, that if Licensee grants rights to the Biological Material and/or the Technology Transfer Material to a Sublicensee or a Strategic Partner, the annual maintenance fee payable to Harvard as set forth above shall thereafter be [XXX]. Each such annual maintenance fee shall be due and payable on January 2</w:t>
      </w:r>
      <w:r>
        <w:rPr>
          <w:rFonts w:ascii="Arial" w:cs="Arial" w:eastAsia="Arial" w:hAnsi="Arial"/>
          <w:sz w:val="14"/>
          <w:szCs w:val="14"/>
          <w:color w:val="auto"/>
        </w:rPr>
        <w:t>nd</w:t>
      </w:r>
      <w:r>
        <w:rPr>
          <w:rFonts w:ascii="Arial" w:cs="Arial" w:eastAsia="Arial" w:hAnsi="Arial"/>
          <w:sz w:val="17"/>
          <w:szCs w:val="17"/>
          <w:color w:val="auto"/>
        </w:rPr>
        <w:t xml:space="preserve"> of the calendar year to which such fee applies. Each annual license maintenance fee shall be creditable against any royalty amounts payable under Section 3.3 below with respect to Products sold in the same calendar year that such annual license maintenance fee applies.</w:t>
      </w:r>
    </w:p>
    <w:p>
      <w:pPr>
        <w:spacing w:after="0" w:line="172"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3.3. Royalty on Net Sales. </w:t>
      </w:r>
      <w:r>
        <w:rPr>
          <w:rFonts w:ascii="Arial" w:cs="Arial" w:eastAsia="Arial" w:hAnsi="Arial"/>
          <w:sz w:val="18"/>
          <w:szCs w:val="18"/>
          <w:color w:val="auto"/>
        </w:rPr>
        <w:t>Licensee shall pay Harvard an amount equal to (i) [XXX] of Net Sales with respect to the first [XXX] of cumulative Net</w:t>
      </w:r>
      <w:r>
        <w:rPr>
          <w:rFonts w:ascii="Arial" w:cs="Arial" w:eastAsia="Arial" w:hAnsi="Arial"/>
          <w:sz w:val="18"/>
          <w:szCs w:val="18"/>
          <w:b w:val="1"/>
          <w:bCs w:val="1"/>
          <w:color w:val="auto"/>
        </w:rPr>
        <w:t xml:space="preserve"> </w:t>
      </w:r>
      <w:r>
        <w:rPr>
          <w:rFonts w:ascii="Arial" w:cs="Arial" w:eastAsia="Arial" w:hAnsi="Arial"/>
          <w:sz w:val="18"/>
          <w:szCs w:val="18"/>
          <w:color w:val="auto"/>
        </w:rPr>
        <w:t>Sales, and (ii) [XXX] of Net Sales with respect to cumulative Net Sales in excess of [XXX].</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3.4. Non-Royalty Income Fee. </w:t>
      </w:r>
      <w:r>
        <w:rPr>
          <w:rFonts w:ascii="Arial" w:cs="Arial" w:eastAsia="Arial" w:hAnsi="Arial"/>
          <w:sz w:val="18"/>
          <w:szCs w:val="18"/>
          <w:color w:val="auto"/>
        </w:rPr>
        <w:t>Licensee will pay Harvard an amount equal to [XXX] of all Non-Royalty Income.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3.5. Milestone Payments. </w:t>
      </w:r>
      <w:r>
        <w:rPr>
          <w:rFonts w:ascii="Arial" w:cs="Arial" w:eastAsia="Arial" w:hAnsi="Arial"/>
          <w:sz w:val="18"/>
          <w:szCs w:val="18"/>
          <w:color w:val="auto"/>
        </w:rPr>
        <w:t>With respect to each Product, Licensee will pay Harvard [XXX] within [XXX] after first [XXX] of such Product.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3.6. Change of Control Payment. </w:t>
      </w:r>
      <w:r>
        <w:rPr>
          <w:rFonts w:ascii="Arial" w:cs="Arial" w:eastAsia="Arial" w:hAnsi="Arial"/>
          <w:sz w:val="18"/>
          <w:szCs w:val="18"/>
          <w:color w:val="auto"/>
        </w:rPr>
        <w:t>[XXX]</w:t>
      </w:r>
    </w:p>
    <w:p>
      <w:pPr>
        <w:spacing w:after="0" w:line="225" w:lineRule="exact"/>
        <w:rPr>
          <w:sz w:val="20"/>
          <w:szCs w:val="20"/>
          <w:color w:val="auto"/>
        </w:rPr>
      </w:pPr>
    </w:p>
    <w:p>
      <w:pPr>
        <w:jc w:val="both"/>
        <w:ind w:right="80" w:firstLine="456"/>
        <w:spacing w:after="0" w:line="261" w:lineRule="auto"/>
        <w:rPr>
          <w:sz w:val="20"/>
          <w:szCs w:val="20"/>
          <w:color w:val="auto"/>
        </w:rPr>
      </w:pPr>
      <w:r>
        <w:rPr>
          <w:rFonts w:ascii="Arial" w:cs="Arial" w:eastAsia="Arial" w:hAnsi="Arial"/>
          <w:sz w:val="18"/>
          <w:szCs w:val="18"/>
          <w:b w:val="1"/>
          <w:bCs w:val="1"/>
          <w:color w:val="auto"/>
        </w:rPr>
        <w:t xml:space="preserve">3.7. Late Payment. </w:t>
      </w:r>
      <w:r>
        <w:rPr>
          <w:rFonts w:ascii="Arial" w:cs="Arial" w:eastAsia="Arial" w:hAnsi="Arial"/>
          <w:sz w:val="18"/>
          <w:szCs w:val="18"/>
          <w:color w:val="auto"/>
        </w:rPr>
        <w:t>Any payment by Licensee that is not paid on or before the date such payment is due under this Agreement will bear interest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lower of (a) [XXX] and (b) the maximum rate allowed by law. Interest will accrue beginning on the first day following the due date for payment and will be compounded quarterly. Payment of such interest by Licensee shall not limit, in any way, Harvard’s right to exercise any other remedies Harvard may have as a consequence of the lateness of any payment.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158" w:lineRule="exact"/>
        <w:rPr>
          <w:sz w:val="20"/>
          <w:szCs w:val="20"/>
          <w:color w:val="auto"/>
        </w:rPr>
      </w:pPr>
    </w:p>
    <w:p>
      <w:pPr>
        <w:ind w:left="1580" w:right="1340" w:hanging="191"/>
        <w:spacing w:after="0" w:line="308" w:lineRule="auto"/>
        <w:tabs>
          <w:tab w:leader="none" w:pos="1945" w:val="left"/>
        </w:tabs>
        <w:numPr>
          <w:ilvl w:val="0"/>
          <w:numId w:val="662"/>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649" w:name="page650"/>
    <w:bookmarkEnd w:id="6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3.8. Payment Method. </w:t>
      </w:r>
      <w:r>
        <w:rPr>
          <w:rFonts w:ascii="Arial" w:cs="Arial" w:eastAsia="Arial" w:hAnsi="Arial"/>
          <w:sz w:val="18"/>
          <w:szCs w:val="18"/>
          <w:color w:val="auto"/>
        </w:rPr>
        <w:t>Each payment due to Harvard under this Agreement shall be paid by check or wire transfer of funds to Harvard’s account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written instructions provided by Harvard. If made by wire transfer, such payments shall be marked so as to refer to this Agreement. All payments due under this Agreement will be paid in U.S. Dollars. Conversion of foreign currency to U.S. Dollars will be made at the conversion rate existing in the United States (as reported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on the last working day of the applicable Calendar Quarter. Such payments will be without deduction of exchange, collection or other charges.</w:t>
      </w:r>
    </w:p>
    <w:p>
      <w:pPr>
        <w:spacing w:after="0" w:line="184"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 xml:space="preserve">3.9. Reporting. </w:t>
      </w:r>
      <w:r>
        <w:rPr>
          <w:rFonts w:ascii="Arial" w:cs="Arial" w:eastAsia="Arial" w:hAnsi="Arial"/>
          <w:sz w:val="18"/>
          <w:szCs w:val="18"/>
          <w:color w:val="auto"/>
        </w:rPr>
        <w:t>Within thirty (30) days after the conclusion of each Calendar Quarter commencing with the first Calendar Quarter in which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are generated or Non-Royalty Income is received, Licensee shall deliver to Harvard a report containing the following information (in each instance, with a Product-by-Product breakdown):</w:t>
      </w:r>
    </w:p>
    <w:p>
      <w:pPr>
        <w:spacing w:after="0" w:line="176" w:lineRule="exact"/>
        <w:rPr>
          <w:sz w:val="20"/>
          <w:szCs w:val="20"/>
          <w:color w:val="auto"/>
        </w:rPr>
      </w:pPr>
    </w:p>
    <w:p>
      <w:pPr>
        <w:ind w:right="360" w:firstLine="913"/>
        <w:spacing w:after="0" w:line="282" w:lineRule="auto"/>
        <w:rPr>
          <w:sz w:val="20"/>
          <w:szCs w:val="20"/>
          <w:color w:val="auto"/>
        </w:rPr>
      </w:pPr>
      <w:r>
        <w:rPr>
          <w:rFonts w:ascii="Arial" w:cs="Arial" w:eastAsia="Arial" w:hAnsi="Arial"/>
          <w:sz w:val="18"/>
          <w:szCs w:val="18"/>
          <w:b w:val="1"/>
          <w:bCs w:val="1"/>
          <w:color w:val="auto"/>
        </w:rPr>
        <w:t xml:space="preserve">3.9.1. </w:t>
      </w:r>
      <w:r>
        <w:rPr>
          <w:rFonts w:ascii="Arial" w:cs="Arial" w:eastAsia="Arial" w:hAnsi="Arial"/>
          <w:sz w:val="18"/>
          <w:szCs w:val="18"/>
          <w:color w:val="auto"/>
        </w:rPr>
        <w:t>the number of units of Products sold, leased or otherwise transferred by Invoicing Entities for the applicable Calendar Quarter (with 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Product-by-Product breakdown);</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3.9.2. </w:t>
      </w:r>
      <w:r>
        <w:rPr>
          <w:rFonts w:ascii="Arial" w:cs="Arial" w:eastAsia="Arial" w:hAnsi="Arial"/>
          <w:sz w:val="16"/>
          <w:szCs w:val="16"/>
          <w:color w:val="auto"/>
        </w:rPr>
        <w:t>the gross amount billed or invoiced for Products sold, leased or otherwise transferred by Invoicing Entities during the applicable Calendar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3.9.3. </w:t>
      </w:r>
      <w:r>
        <w:rPr>
          <w:rFonts w:ascii="Arial" w:cs="Arial" w:eastAsia="Arial" w:hAnsi="Arial"/>
          <w:sz w:val="18"/>
          <w:szCs w:val="18"/>
          <w:color w:val="auto"/>
        </w:rPr>
        <w:t>a calculation of Net Sales for the applicable Calendar Quarter, including an itemized listing of allowable deductions;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3.9.4. </w:t>
      </w:r>
      <w:r>
        <w:rPr>
          <w:rFonts w:ascii="Arial" w:cs="Arial" w:eastAsia="Arial" w:hAnsi="Arial"/>
          <w:sz w:val="18"/>
          <w:szCs w:val="18"/>
          <w:color w:val="auto"/>
        </w:rPr>
        <w:t>a detailed accounting of all Non-Royalty Income received during the applicable Calendar Quarter; and</w:t>
      </w:r>
    </w:p>
    <w:p>
      <w:pPr>
        <w:spacing w:after="0" w:line="225"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b w:val="1"/>
          <w:bCs w:val="1"/>
          <w:color w:val="auto"/>
        </w:rPr>
        <w:t xml:space="preserve">3.9.6. </w:t>
      </w:r>
      <w:r>
        <w:rPr>
          <w:rFonts w:ascii="Arial" w:cs="Arial" w:eastAsia="Arial" w:hAnsi="Arial"/>
          <w:sz w:val="18"/>
          <w:szCs w:val="18"/>
          <w:color w:val="auto"/>
        </w:rPr>
        <w:t>the total amount payable to Harvard in U.S. Dollars on Net Sales and Non- Royalty Income for the applicable Calendar Quarter,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exchange rates used for conversion.</w:t>
      </w:r>
    </w:p>
    <w:p>
      <w:pPr>
        <w:spacing w:after="0" w:line="166"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Each such report shall be certified on behalf of Licensee as true, correct and complete in all material respects. If no amounts are due to Harvard for a particular Calendar Quarter, the report shall so state.</w:t>
      </w:r>
    </w:p>
    <w:p>
      <w:pPr>
        <w:spacing w:after="0" w:line="166"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3.10. Records. </w:t>
      </w:r>
      <w:r>
        <w:rPr>
          <w:rFonts w:ascii="Arial" w:cs="Arial" w:eastAsia="Arial" w:hAnsi="Arial"/>
          <w:sz w:val="17"/>
          <w:szCs w:val="17"/>
          <w:color w:val="auto"/>
        </w:rPr>
        <w:t>Licensee shall maintain, and shall cause its Affiliates and Sublicensees to maintain, complete and accurate records of Products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made, used, sold, leased or transferred under this Agreement, any amounts payable to Harvard in relation to such Products, and all Non-Royalty Income received by Licensee and its Affiliates, which records shall contain sufficient information to permit Harvard to confirm the accuracy of any reports or notifications delivered to Harvard under Section 3.9. Licensee, its Affiliates and/or its Sublicensees, as applicable, shall retain such records relating to a given Calendar Quarter for at least five (5) years after the conclusion of that Calendar Quarter, during which time Harvard will have the right, at its expense, to cause an independent, certified public accountant (or, in the event of a non-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158" w:lineRule="exact"/>
        <w:rPr>
          <w:sz w:val="20"/>
          <w:szCs w:val="20"/>
          <w:color w:val="auto"/>
        </w:rPr>
      </w:pPr>
    </w:p>
    <w:p>
      <w:pPr>
        <w:ind w:left="1580" w:right="1320" w:hanging="191"/>
        <w:spacing w:after="0" w:line="308" w:lineRule="auto"/>
        <w:tabs>
          <w:tab w:leader="none" w:pos="1945" w:val="left"/>
        </w:tabs>
        <w:numPr>
          <w:ilvl w:val="0"/>
          <w:numId w:val="663"/>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60"/>
          </w:cols>
          <w:pgMar w:left="240" w:top="270" w:right="299" w:bottom="1440" w:gutter="0" w:footer="0" w:header="0"/>
        </w:sectPr>
      </w:pPr>
    </w:p>
    <w:bookmarkStart w:id="650" w:name="page651"/>
    <w:bookmarkEnd w:id="6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financial audit, other appropriate auditor) to inspect such records during normal business hours for the purposes of verifying the accuracy of any reports and payments delivered under this Agreement and Licensee’s compliance with the terms hereof. Such accountant or other auditor, as applicable, shall not disclose to Harvard any information other than information relating to the accuracy of reports and payments delivered under this Agreement. The parties shall reconcile any underpayment or overpayment within thirty (30) days after the accountant delivers the results of the audit. If any audit performed under this Section 3.10 reveals an underpayment in excess of [XXX] in any calendar year, Licensee shall reimburse Harvard for all amounts incurred in connection with such audit. Harvard may exercise its rights under this Section 3.10 only once every year per audited entity and only with reasonable prior notice to the audited entity.</w:t>
      </w:r>
    </w:p>
    <w:p>
      <w:pPr>
        <w:spacing w:after="0" w:line="334" w:lineRule="exact"/>
        <w:rPr>
          <w:sz w:val="20"/>
          <w:szCs w:val="20"/>
          <w:color w:val="auto"/>
        </w:rPr>
      </w:pPr>
    </w:p>
    <w:p>
      <w:pPr>
        <w:ind w:left="460" w:hanging="452"/>
        <w:spacing w:after="0"/>
        <w:tabs>
          <w:tab w:leader="none" w:pos="460" w:val="left"/>
        </w:tabs>
        <w:numPr>
          <w:ilvl w:val="0"/>
          <w:numId w:val="664"/>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Limitation of Liability.</w:t>
      </w:r>
    </w:p>
    <w:p>
      <w:pPr>
        <w:spacing w:after="0" w:line="117"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b w:val="1"/>
          <w:bCs w:val="1"/>
          <w:color w:val="auto"/>
        </w:rPr>
        <w:t xml:space="preserve">4.1. Compliance with Law. </w:t>
      </w:r>
      <w:r>
        <w:rPr>
          <w:rFonts w:ascii="Arial" w:cs="Arial" w:eastAsia="Arial" w:hAnsi="Arial"/>
          <w:sz w:val="17"/>
          <w:szCs w:val="17"/>
          <w:color w:val="auto"/>
        </w:rPr>
        <w:t>Licensee represents and warrants that it will comply, and that it will ensure that its Affiliates comply, with all local, state</w:t>
      </w:r>
      <w:r>
        <w:rPr>
          <w:rFonts w:ascii="Arial" w:cs="Arial" w:eastAsia="Arial" w:hAnsi="Arial"/>
          <w:sz w:val="17"/>
          <w:szCs w:val="17"/>
          <w:b w:val="1"/>
          <w:bCs w:val="1"/>
          <w:color w:val="auto"/>
        </w:rPr>
        <w:t xml:space="preserve"> </w:t>
      </w:r>
      <w:r>
        <w:rPr>
          <w:rFonts w:ascii="Arial" w:cs="Arial" w:eastAsia="Arial" w:hAnsi="Arial"/>
          <w:sz w:val="17"/>
          <w:szCs w:val="17"/>
          <w:color w:val="auto"/>
        </w:rPr>
        <w:t>and international laws and regulations relating to the Biological Material and to the development, manufacture, use, sale and importation of Viruses and Products. Without limiting the foregoing, Licensee represents and warrants that it will comply with all United States export control laws and regulations with respect to Biological Material and any Viruses and Products developed or made through the use thereof.</w:t>
      </w:r>
    </w:p>
    <w:p>
      <w:pPr>
        <w:spacing w:after="0" w:line="16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4.2. Harvard Representations and Warranties. </w:t>
      </w:r>
      <w:r>
        <w:rPr>
          <w:rFonts w:ascii="Arial" w:cs="Arial" w:eastAsia="Arial" w:hAnsi="Arial"/>
          <w:sz w:val="18"/>
          <w:szCs w:val="18"/>
          <w:color w:val="auto"/>
        </w:rPr>
        <w:t>Harvard hereby represents and warrants to Licensee that Harvard has the authority to grant the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herein to the Biological Material and the Technology Transfer Material and Harvard has not granted to any Third Party any rights that would conflict with this Agreement.</w:t>
      </w:r>
    </w:p>
    <w:p>
      <w:pPr>
        <w:spacing w:after="0" w:line="176"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No Warranty.</w:t>
      </w:r>
    </w:p>
    <w:p>
      <w:pPr>
        <w:spacing w:after="0" w:line="225" w:lineRule="exact"/>
        <w:rPr>
          <w:sz w:val="20"/>
          <w:szCs w:val="20"/>
          <w:color w:val="auto"/>
        </w:rPr>
      </w:pPr>
    </w:p>
    <w:p>
      <w:pPr>
        <w:ind w:right="100" w:firstLine="913"/>
        <w:spacing w:after="0" w:line="281" w:lineRule="auto"/>
        <w:rPr>
          <w:sz w:val="20"/>
          <w:szCs w:val="20"/>
          <w:color w:val="auto"/>
        </w:rPr>
      </w:pPr>
      <w:r>
        <w:rPr>
          <w:rFonts w:ascii="Arial" w:cs="Arial" w:eastAsia="Arial" w:hAnsi="Arial"/>
          <w:sz w:val="17"/>
          <w:szCs w:val="17"/>
          <w:b w:val="1"/>
          <w:bCs w:val="1"/>
          <w:color w:val="auto"/>
        </w:rPr>
        <w:t xml:space="preserve">4.3.1. </w:t>
      </w:r>
      <w:r>
        <w:rPr>
          <w:rFonts w:ascii="Arial" w:cs="Arial" w:eastAsia="Arial" w:hAnsi="Arial"/>
          <w:sz w:val="17"/>
          <w:szCs w:val="17"/>
          <w:color w:val="auto"/>
        </w:rPr>
        <w:t>HARVARD MAKES NO REPRESENTATIONS OR WARRANTIES WHATSOEVER AS TO THE COMMERCIAL OR SCIENTIFIC</w:t>
      </w:r>
      <w:r>
        <w:rPr>
          <w:rFonts w:ascii="Arial" w:cs="Arial" w:eastAsia="Arial" w:hAnsi="Arial"/>
          <w:sz w:val="17"/>
          <w:szCs w:val="17"/>
          <w:b w:val="1"/>
          <w:bCs w:val="1"/>
          <w:color w:val="auto"/>
        </w:rPr>
        <w:t xml:space="preserve"> </w:t>
      </w:r>
      <w:r>
        <w:rPr>
          <w:rFonts w:ascii="Arial" w:cs="Arial" w:eastAsia="Arial" w:hAnsi="Arial"/>
          <w:sz w:val="17"/>
          <w:szCs w:val="17"/>
          <w:color w:val="auto"/>
        </w:rPr>
        <w:t>VALUE OF THE BIOLOGICAL MATERIAL. HARVARD MAKES NO REPRESENTATION OR WARRANTY THAT THE USE OF THE BIOLOGICAL MATERIAL, TECHNOLOGY TRANSFER MATERIAL, OR THE DEVELOPMENT, MANUFACTURE, USE, SALE OR IMPORTATION OF ANY VIRUS OR PRODUCT, OR ANY ELEMENT THEREOF, WILL NOT INFRINGE THE PATENT OR PROPRIETARY RIGHTS OF ANY THIRD PARTY.</w:t>
      </w:r>
    </w:p>
    <w:p>
      <w:pPr>
        <w:spacing w:after="0" w:line="165"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b w:val="1"/>
          <w:bCs w:val="1"/>
          <w:color w:val="auto"/>
        </w:rPr>
        <w:t xml:space="preserve">4.3.2. </w:t>
      </w:r>
      <w:r>
        <w:rPr>
          <w:rFonts w:ascii="Arial" w:cs="Arial" w:eastAsia="Arial" w:hAnsi="Arial"/>
          <w:sz w:val="18"/>
          <w:szCs w:val="18"/>
          <w:color w:val="auto"/>
        </w:rPr>
        <w:t>EXCEPT AS OTHERWISE EXPRESSLY PROVIDED IN THIS AGREEMENT, NEITHER PARTY MAKES ANY WARRANTY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TECHNOLOGY, PATENTS, MATERIALS (INCLUDING BIOLOGICAL MATERIAL), GOODS, SERVICES, RIGHTS, TECHNOLOGY TRANSFER MATERIAL OR OTHER SUBJECT MATTER OF THIS AGREEMENT AND EACH PARTY HEREBY DISCLAIMS WARRANTIES OF MERCHANTABILITY, FITNESS FOR A PARTICULAR PURPOSE AND NONINFRINGEMENT WITH RESPECT TO ANY AND ALL OF THE FOREGOING.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158" w:lineRule="exact"/>
        <w:rPr>
          <w:sz w:val="20"/>
          <w:szCs w:val="20"/>
          <w:color w:val="auto"/>
        </w:rPr>
      </w:pPr>
    </w:p>
    <w:p>
      <w:pPr>
        <w:ind w:left="1580" w:right="1380" w:hanging="191"/>
        <w:spacing w:after="0" w:line="308" w:lineRule="auto"/>
        <w:tabs>
          <w:tab w:leader="none" w:pos="1945" w:val="left"/>
        </w:tabs>
        <w:numPr>
          <w:ilvl w:val="0"/>
          <w:numId w:val="66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51" w:name="page652"/>
    <w:bookmarkEnd w:id="6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1140" w:firstLine="913"/>
        <w:spacing w:after="0" w:line="282" w:lineRule="auto"/>
        <w:rPr>
          <w:sz w:val="20"/>
          <w:szCs w:val="20"/>
          <w:color w:val="auto"/>
        </w:rPr>
      </w:pPr>
      <w:r>
        <w:rPr>
          <w:rFonts w:ascii="Arial" w:cs="Arial" w:eastAsia="Arial" w:hAnsi="Arial"/>
          <w:sz w:val="18"/>
          <w:szCs w:val="18"/>
          <w:b w:val="1"/>
          <w:bCs w:val="1"/>
          <w:color w:val="auto"/>
        </w:rPr>
        <w:t xml:space="preserve">4.3.3. </w:t>
      </w:r>
      <w:r>
        <w:rPr>
          <w:rFonts w:ascii="Arial" w:cs="Arial" w:eastAsia="Arial" w:hAnsi="Arial"/>
          <w:sz w:val="18"/>
          <w:szCs w:val="18"/>
          <w:color w:val="auto"/>
        </w:rPr>
        <w:t>ALL BIOLOGICAL MATERIAL IS EXPERIMENTAL IN NATURE AND SHALL BE USED WITH PRUDENCE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CAUTION SINCE NOT ALL OF THEIR CHARACTERISTICS ARE KNOWN.</w:t>
      </w:r>
    </w:p>
    <w:p>
      <w:pPr>
        <w:spacing w:after="0" w:line="270"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Limitation of Liability.</w:t>
      </w:r>
    </w:p>
    <w:p>
      <w:pPr>
        <w:spacing w:after="0" w:line="117" w:lineRule="exact"/>
        <w:rPr>
          <w:sz w:val="20"/>
          <w:szCs w:val="20"/>
          <w:color w:val="auto"/>
        </w:rPr>
      </w:pPr>
    </w:p>
    <w:p>
      <w:pPr>
        <w:ind w:firstLine="913"/>
        <w:spacing w:after="0" w:line="289" w:lineRule="auto"/>
        <w:rPr>
          <w:sz w:val="20"/>
          <w:szCs w:val="20"/>
          <w:color w:val="auto"/>
        </w:rPr>
      </w:pPr>
      <w:r>
        <w:rPr>
          <w:rFonts w:ascii="Arial" w:cs="Arial" w:eastAsia="Arial" w:hAnsi="Arial"/>
          <w:sz w:val="17"/>
          <w:szCs w:val="17"/>
          <w:b w:val="1"/>
          <w:bCs w:val="1"/>
          <w:color w:val="auto"/>
        </w:rPr>
        <w:t xml:space="preserve">4.4.1. </w:t>
      </w:r>
      <w:r>
        <w:rPr>
          <w:rFonts w:ascii="Arial" w:cs="Arial" w:eastAsia="Arial" w:hAnsi="Arial"/>
          <w:sz w:val="17"/>
          <w:szCs w:val="17"/>
          <w:color w:val="auto"/>
        </w:rPr>
        <w:t>Except with respect to matters for which Licensee is obligated to indemnify Harvard under Article 5, neither party will be liable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with respect to any subject matter of this Agreement under any contract, negligence, strict liability or other legal or equitable theory for (a) any indirect, incidental, consequential or punitive damages or lost profits or (b) cost of procurement of substitute goods, technology or services.</w:t>
      </w:r>
    </w:p>
    <w:p>
      <w:pPr>
        <w:spacing w:after="0" w:line="158" w:lineRule="exact"/>
        <w:rPr>
          <w:sz w:val="20"/>
          <w:szCs w:val="20"/>
          <w:color w:val="auto"/>
        </w:rPr>
      </w:pPr>
    </w:p>
    <w:p>
      <w:pPr>
        <w:ind w:right="560" w:firstLine="913"/>
        <w:spacing w:after="0" w:line="313" w:lineRule="auto"/>
        <w:rPr>
          <w:sz w:val="20"/>
          <w:szCs w:val="20"/>
          <w:color w:val="auto"/>
        </w:rPr>
      </w:pPr>
      <w:r>
        <w:rPr>
          <w:rFonts w:ascii="Arial" w:cs="Arial" w:eastAsia="Arial" w:hAnsi="Arial"/>
          <w:sz w:val="17"/>
          <w:szCs w:val="17"/>
          <w:b w:val="1"/>
          <w:bCs w:val="1"/>
          <w:color w:val="auto"/>
        </w:rPr>
        <w:t xml:space="preserve">4.4.2. </w:t>
      </w:r>
      <w:r>
        <w:rPr>
          <w:rFonts w:ascii="Arial" w:cs="Arial" w:eastAsia="Arial" w:hAnsi="Arial"/>
          <w:sz w:val="17"/>
          <w:szCs w:val="17"/>
          <w:color w:val="auto"/>
        </w:rPr>
        <w:t>Harvard’s aggregate liability for all damages of any kind arising out of or relating to this Agreement or its subject matter under any</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 negligence, strict liability or other legal or equitable theory shall not exceed the amounts paid to Harvard under this Agreement.</w:t>
      </w:r>
    </w:p>
    <w:p>
      <w:pPr>
        <w:spacing w:after="0" w:line="287" w:lineRule="exact"/>
        <w:rPr>
          <w:sz w:val="20"/>
          <w:szCs w:val="20"/>
          <w:color w:val="auto"/>
        </w:rPr>
      </w:pPr>
    </w:p>
    <w:p>
      <w:pPr>
        <w:ind w:left="460" w:right="8480" w:hanging="452"/>
        <w:spacing w:after="0" w:line="407" w:lineRule="auto"/>
        <w:tabs>
          <w:tab w:leader="none" w:pos="449" w:val="left"/>
        </w:tabs>
        <w:numPr>
          <w:ilvl w:val="0"/>
          <w:numId w:val="66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 5.1. Indemnity.</w:t>
      </w:r>
    </w:p>
    <w:p>
      <w:pPr>
        <w:spacing w:after="0" w:line="5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color w:val="auto"/>
        </w:rPr>
        <w:t>Licensee shall indemnify, defend and hold harmless Harvard and its current and former directors, governing board members, trustees,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officers, faculty, medical and professional staff, employees, students, and agents and their respective successors, heirs and assigns (collectively, the “Indemnitees”) from and against any claim, liability, cost, expense, damage, deficiency, loss or obligation of any kind or nature (including reasonable attorneys’ fees and other costs and expenses of litigation) by or owed to a third party, based upon, arising out of, or otherwise relating to the activities of Licensee and Sublicensees under this Agreement, including any cause of action relating to product liability concerning any product, process, or service made, used, sold or performed pursuant to any right or license granted under this Agreement (collectively, the “Claims”);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Licensee’s indemnification obligations hereunder shall not apply to any Claim to the extent that it is attributable to the gross negligence or willful misconduct of any Indemnitee.</w:t>
      </w:r>
    </w:p>
    <w:p>
      <w:pPr>
        <w:spacing w:after="0" w:line="185" w:lineRule="exact"/>
        <w:rPr>
          <w:sz w:val="20"/>
          <w:szCs w:val="20"/>
          <w:color w:val="auto"/>
        </w:rPr>
      </w:pPr>
    </w:p>
    <w:p>
      <w:pPr>
        <w:ind w:right="40" w:firstLine="913"/>
        <w:spacing w:after="0" w:line="281" w:lineRule="auto"/>
        <w:rPr>
          <w:sz w:val="20"/>
          <w:szCs w:val="20"/>
          <w:color w:val="auto"/>
        </w:rPr>
      </w:pPr>
      <w:r>
        <w:rPr>
          <w:rFonts w:ascii="Arial" w:cs="Arial" w:eastAsia="Arial" w:hAnsi="Arial"/>
          <w:sz w:val="17"/>
          <w:szCs w:val="17"/>
          <w:b w:val="1"/>
          <w:bCs w:val="1"/>
          <w:color w:val="auto"/>
        </w:rPr>
        <w:t xml:space="preserve">5.1.2. </w:t>
      </w:r>
      <w:r>
        <w:rPr>
          <w:rFonts w:ascii="Arial" w:cs="Arial" w:eastAsia="Arial" w:hAnsi="Arial"/>
          <w:sz w:val="17"/>
          <w:szCs w:val="17"/>
          <w:color w:val="auto"/>
        </w:rPr>
        <w:t>Licensee shall, at its own expense, provide attorneys reasonably acceptable to Harvard to defend against any actions brought or filed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against any Indemnitee hereunder with respect to the subject of indemnity contained herein, whether or not such actions are rightfully brought. Any Indemnitee seeking indemnification hereunder shall promptly notify Licensee of such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any failure of or delay in such notification shall not affect Licensee’s indemnification obligation unless and to the extent such failure or delay is materially</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158" w:lineRule="exact"/>
        <w:rPr>
          <w:sz w:val="20"/>
          <w:szCs w:val="20"/>
          <w:color w:val="auto"/>
        </w:rPr>
      </w:pPr>
    </w:p>
    <w:p>
      <w:pPr>
        <w:ind w:left="1580" w:right="1320" w:hanging="191"/>
        <w:spacing w:after="0" w:line="308" w:lineRule="auto"/>
        <w:tabs>
          <w:tab w:leader="none" w:pos="1945" w:val="left"/>
        </w:tabs>
        <w:numPr>
          <w:ilvl w:val="0"/>
          <w:numId w:val="66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60"/>
          </w:cols>
          <w:pgMar w:left="240" w:top="269" w:right="299" w:bottom="1440" w:gutter="0" w:footer="0" w:header="0"/>
        </w:sectPr>
      </w:pPr>
    </w:p>
    <w:bookmarkStart w:id="652" w:name="page653"/>
    <w:bookmarkEnd w:id="6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prejudicial to Licensee. The Indemnitees shall provide Licensee, at Licensee’s expense, with reasonable assistance and full information with respect to such Claim and give Licensee sole control of the defense of any Claim. Neither Licensee nor Harvard shall settle any Claim without the prior written consent of the other, which consent shall not be unreasonably withheld.</w:t>
      </w:r>
    </w:p>
    <w:p>
      <w:pPr>
        <w:spacing w:after="0" w:line="28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Insurance.</w:t>
      </w:r>
    </w:p>
    <w:p>
      <w:pPr>
        <w:spacing w:after="0" w:line="117" w:lineRule="exact"/>
        <w:rPr>
          <w:sz w:val="20"/>
          <w:szCs w:val="20"/>
          <w:color w:val="auto"/>
        </w:rPr>
      </w:pPr>
    </w:p>
    <w:p>
      <w:pPr>
        <w:ind w:right="80" w:firstLine="913"/>
        <w:spacing w:after="0" w:line="281" w:lineRule="auto"/>
        <w:rPr>
          <w:sz w:val="20"/>
          <w:szCs w:val="20"/>
          <w:color w:val="auto"/>
        </w:rPr>
      </w:pPr>
      <w:r>
        <w:rPr>
          <w:rFonts w:ascii="Arial" w:cs="Arial" w:eastAsia="Arial" w:hAnsi="Arial"/>
          <w:sz w:val="17"/>
          <w:szCs w:val="17"/>
          <w:b w:val="1"/>
          <w:bCs w:val="1"/>
          <w:color w:val="auto"/>
        </w:rPr>
        <w:t xml:space="preserve">5.2.1. </w:t>
      </w:r>
      <w:r>
        <w:rPr>
          <w:rFonts w:ascii="Arial" w:cs="Arial" w:eastAsia="Arial" w:hAnsi="Arial"/>
          <w:sz w:val="17"/>
          <w:szCs w:val="17"/>
          <w:color w:val="auto"/>
        </w:rPr>
        <w:t>Beginning at the time any Product is being commercially distributed or sold by Licensee, or by an Affiliate or agent of Licensee, Licensee</w:t>
      </w:r>
      <w:r>
        <w:rPr>
          <w:rFonts w:ascii="Arial" w:cs="Arial" w:eastAsia="Arial" w:hAnsi="Arial"/>
          <w:sz w:val="17"/>
          <w:szCs w:val="17"/>
          <w:b w:val="1"/>
          <w:bCs w:val="1"/>
          <w:color w:val="auto"/>
        </w:rPr>
        <w:t xml:space="preserve"> </w:t>
      </w:r>
      <w:r>
        <w:rPr>
          <w:rFonts w:ascii="Arial" w:cs="Arial" w:eastAsia="Arial" w:hAnsi="Arial"/>
          <w:sz w:val="17"/>
          <w:szCs w:val="17"/>
          <w:color w:val="auto"/>
        </w:rPr>
        <w:t>shall, at its sole cost and expense, procure and maintain commercial general liability insurance in amounts not less than [XXX] per incident and [XXX] annual aggregate and naming the Indemnitees as additional insureds. Such commercial general liability insurance shall provide: (a) product liability coverage and (b) broad form contractual liability coverage for Licensee’s indemnification obligations under this Agreement.</w:t>
      </w:r>
    </w:p>
    <w:p>
      <w:pPr>
        <w:spacing w:after="0" w:line="165" w:lineRule="exact"/>
        <w:rPr>
          <w:sz w:val="20"/>
          <w:szCs w:val="20"/>
          <w:color w:val="auto"/>
        </w:rPr>
      </w:pPr>
    </w:p>
    <w:p>
      <w:pPr>
        <w:ind w:right="100" w:firstLine="913"/>
        <w:spacing w:after="0" w:line="261" w:lineRule="auto"/>
        <w:rPr>
          <w:sz w:val="20"/>
          <w:szCs w:val="20"/>
          <w:color w:val="auto"/>
        </w:rPr>
      </w:pPr>
      <w:r>
        <w:rPr>
          <w:rFonts w:ascii="Arial" w:cs="Arial" w:eastAsia="Arial" w:hAnsi="Arial"/>
          <w:sz w:val="18"/>
          <w:szCs w:val="18"/>
          <w:b w:val="1"/>
          <w:bCs w:val="1"/>
          <w:color w:val="auto"/>
        </w:rPr>
        <w:t xml:space="preserve">5.2.2. </w:t>
      </w:r>
      <w:r>
        <w:rPr>
          <w:rFonts w:ascii="Arial" w:cs="Arial" w:eastAsia="Arial" w:hAnsi="Arial"/>
          <w:sz w:val="18"/>
          <w:szCs w:val="18"/>
          <w:color w:val="auto"/>
        </w:rPr>
        <w:t>If Licensee elects to self-insure all or part of the limits described above in Section 5.2.1 (including deductibles or retentions that are in</w:t>
      </w:r>
      <w:r>
        <w:rPr>
          <w:rFonts w:ascii="Arial" w:cs="Arial" w:eastAsia="Arial" w:hAnsi="Arial"/>
          <w:sz w:val="18"/>
          <w:szCs w:val="18"/>
          <w:b w:val="1"/>
          <w:bCs w:val="1"/>
          <w:color w:val="auto"/>
        </w:rPr>
        <w:t xml:space="preserve"> </w:t>
      </w:r>
      <w:r>
        <w:rPr>
          <w:rFonts w:ascii="Arial" w:cs="Arial" w:eastAsia="Arial" w:hAnsi="Arial"/>
          <w:sz w:val="18"/>
          <w:szCs w:val="18"/>
          <w:color w:val="auto"/>
        </w:rPr>
        <w:t>excess of [XXX] annual aggregate) such self-insurance program must be acceptable to Harvard and CRICO/RMF (Harvard’s insurer) in their sole discretion. The minimum amounts of insurance coverage required shall not be construed to create a limit of Licensee’s liability with respect to its indemnification obligations under this Agreement.</w:t>
      </w:r>
    </w:p>
    <w:p>
      <w:pPr>
        <w:spacing w:after="0" w:line="180" w:lineRule="exact"/>
        <w:rPr>
          <w:sz w:val="20"/>
          <w:szCs w:val="20"/>
          <w:color w:val="auto"/>
        </w:rPr>
      </w:pPr>
    </w:p>
    <w:p>
      <w:pPr>
        <w:ind w:right="240" w:firstLine="913"/>
        <w:spacing w:after="0" w:line="261" w:lineRule="auto"/>
        <w:rPr>
          <w:sz w:val="20"/>
          <w:szCs w:val="20"/>
          <w:color w:val="auto"/>
        </w:rPr>
      </w:pPr>
      <w:r>
        <w:rPr>
          <w:rFonts w:ascii="Arial" w:cs="Arial" w:eastAsia="Arial" w:hAnsi="Arial"/>
          <w:sz w:val="18"/>
          <w:szCs w:val="18"/>
          <w:b w:val="1"/>
          <w:bCs w:val="1"/>
          <w:color w:val="auto"/>
        </w:rPr>
        <w:t xml:space="preserve">5.2.3. </w:t>
      </w:r>
      <w:r>
        <w:rPr>
          <w:rFonts w:ascii="Arial" w:cs="Arial" w:eastAsia="Arial" w:hAnsi="Arial"/>
          <w:sz w:val="18"/>
          <w:szCs w:val="18"/>
          <w:color w:val="auto"/>
        </w:rPr>
        <w:t>Licensee shall provide Harvard with written evidence of such insurance upon request of Harvard. Licensee shall provide Harvard with</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at least fifteen (15) days prior to the cancellation, non-renewal or material change in such insurance. If Licensee does not obtain replacement insurance providing comparable coverage within thirty (30) days after such notice, Harvard shall have the right to terminate this Agreement effective at the end of such thirty (30) day period without notice or any additional waiting periods.</w:t>
      </w:r>
    </w:p>
    <w:p>
      <w:pPr>
        <w:spacing w:after="0" w:line="180"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 xml:space="preserve">5.2.4. </w:t>
      </w:r>
      <w:r>
        <w:rPr>
          <w:rFonts w:ascii="Arial" w:cs="Arial" w:eastAsia="Arial" w:hAnsi="Arial"/>
          <w:sz w:val="18"/>
          <w:szCs w:val="18"/>
          <w:color w:val="auto"/>
        </w:rPr>
        <w:t>Licensee shall maintain such commercial general liability insurance beyond the expiration or termination of this Agreement during: (a)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that any Product is being commercially distributed or sold by Licensee, or an Affiliate or agent of Licensee; and (b) a reasonable period after the period referred to in (a) above which in no event shall be less than [XXX].</w:t>
      </w:r>
    </w:p>
    <w:p>
      <w:pPr>
        <w:spacing w:after="0" w:line="325" w:lineRule="exact"/>
        <w:rPr>
          <w:sz w:val="20"/>
          <w:szCs w:val="20"/>
          <w:color w:val="auto"/>
        </w:rPr>
      </w:pPr>
    </w:p>
    <w:p>
      <w:pPr>
        <w:ind w:left="460" w:hanging="452"/>
        <w:spacing w:after="0"/>
        <w:tabs>
          <w:tab w:leader="none" w:pos="460" w:val="left"/>
        </w:tabs>
        <w:numPr>
          <w:ilvl w:val="0"/>
          <w:numId w:val="668"/>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17"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6.1. Term. </w:t>
      </w:r>
      <w:r>
        <w:rPr>
          <w:rFonts w:ascii="Arial" w:cs="Arial" w:eastAsia="Arial" w:hAnsi="Arial"/>
          <w:sz w:val="18"/>
          <w:szCs w:val="18"/>
          <w:color w:val="auto"/>
        </w:rPr>
        <w:t>The term of this Agreement shall commence on the Effective Date and, unless earlier terminated as provided in this Article 6, shall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in full force and effect for fifteen (15) years thereafter (the “Initial Term”). After the Initial Term, this Agreement shall renew for successive three-year periods (the Initial Term and such period, the “Term”) unless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58" w:lineRule="exact"/>
        <w:rPr>
          <w:sz w:val="20"/>
          <w:szCs w:val="20"/>
          <w:color w:val="auto"/>
        </w:rPr>
      </w:pPr>
    </w:p>
    <w:p>
      <w:pPr>
        <w:ind w:left="1580" w:right="1380" w:hanging="191"/>
        <w:spacing w:after="0" w:line="308" w:lineRule="auto"/>
        <w:tabs>
          <w:tab w:leader="none" w:pos="1945" w:val="left"/>
        </w:tabs>
        <w:numPr>
          <w:ilvl w:val="0"/>
          <w:numId w:val="66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1" w:right="239" w:bottom="1440" w:gutter="0" w:footer="0" w:header="0"/>
        </w:sectPr>
      </w:pPr>
    </w:p>
    <w:bookmarkStart w:id="653" w:name="page654"/>
    <w:bookmarkEnd w:id="6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either Party gives the other Party written notice of its desire to terminate the Agreement no less than sixty (60) days prior to the expiration of the Initial Term or any applicable successive period during the Term.</w:t>
      </w:r>
    </w:p>
    <w:p>
      <w:pPr>
        <w:spacing w:after="0" w:line="27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Termination.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6.2.1. Termination Without Cause. </w:t>
      </w:r>
      <w:r>
        <w:rPr>
          <w:rFonts w:ascii="Arial" w:cs="Arial" w:eastAsia="Arial" w:hAnsi="Arial"/>
          <w:sz w:val="18"/>
          <w:szCs w:val="18"/>
          <w:color w:val="auto"/>
        </w:rPr>
        <w:t>Licensee may terminate this Agreement upon sixty (60) days prior written notice to Harvard.</w:t>
      </w:r>
    </w:p>
    <w:p>
      <w:pPr>
        <w:spacing w:after="0" w:line="333"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b w:val="1"/>
          <w:bCs w:val="1"/>
          <w:color w:val="auto"/>
        </w:rPr>
        <w:t>6.2.2.</w:t>
      </w:r>
      <w:r>
        <w:rPr>
          <w:sz w:val="20"/>
          <w:szCs w:val="20"/>
          <w:color w:val="auto"/>
        </w:rPr>
        <w:tab/>
      </w:r>
      <w:r>
        <w:rPr>
          <w:rFonts w:ascii="Arial" w:cs="Arial" w:eastAsia="Arial" w:hAnsi="Arial"/>
          <w:sz w:val="16"/>
          <w:szCs w:val="16"/>
          <w:b w:val="1"/>
          <w:bCs w:val="1"/>
          <w:color w:val="auto"/>
        </w:rPr>
        <w:t>Termination for Default.</w:t>
      </w:r>
    </w:p>
    <w:p>
      <w:pPr>
        <w:spacing w:after="0" w:line="117" w:lineRule="exact"/>
        <w:rPr>
          <w:sz w:val="20"/>
          <w:szCs w:val="20"/>
          <w:color w:val="auto"/>
        </w:rPr>
      </w:pPr>
    </w:p>
    <w:p>
      <w:pPr>
        <w:ind w:right="200" w:firstLine="1484"/>
        <w:spacing w:after="0" w:line="266" w:lineRule="auto"/>
        <w:rPr>
          <w:sz w:val="20"/>
          <w:szCs w:val="20"/>
          <w:color w:val="auto"/>
        </w:rPr>
      </w:pPr>
      <w:r>
        <w:rPr>
          <w:rFonts w:ascii="Arial" w:cs="Arial" w:eastAsia="Arial" w:hAnsi="Arial"/>
          <w:sz w:val="18"/>
          <w:szCs w:val="18"/>
          <w:b w:val="1"/>
          <w:bCs w:val="1"/>
          <w:color w:val="auto"/>
        </w:rPr>
        <w:t xml:space="preserve">6.2.2.1. </w:t>
      </w:r>
      <w:r>
        <w:rPr>
          <w:rFonts w:ascii="Arial" w:cs="Arial" w:eastAsia="Arial" w:hAnsi="Arial"/>
          <w:sz w:val="18"/>
          <w:szCs w:val="18"/>
          <w:color w:val="auto"/>
        </w:rPr>
        <w:t>In the event that either party commits a material breach of its obligations under this Agreement and fails to cure that breach</w:t>
      </w:r>
      <w:r>
        <w:rPr>
          <w:rFonts w:ascii="Arial" w:cs="Arial" w:eastAsia="Arial" w:hAnsi="Arial"/>
          <w:sz w:val="18"/>
          <w:szCs w:val="18"/>
          <w:b w:val="1"/>
          <w:bCs w:val="1"/>
          <w:color w:val="auto"/>
        </w:rPr>
        <w:t xml:space="preserve"> </w:t>
      </w:r>
      <w:r>
        <w:rPr>
          <w:rFonts w:ascii="Arial" w:cs="Arial" w:eastAsia="Arial" w:hAnsi="Arial"/>
          <w:sz w:val="18"/>
          <w:szCs w:val="18"/>
          <w:color w:val="auto"/>
        </w:rPr>
        <w:t>within ninety (90) days after receiving written notice thereof, the other party may terminate this Agreement immediately upon written notice to the party in breach.</w:t>
      </w:r>
    </w:p>
    <w:p>
      <w:pPr>
        <w:spacing w:after="0" w:line="176" w:lineRule="exact"/>
        <w:rPr>
          <w:sz w:val="20"/>
          <w:szCs w:val="20"/>
          <w:color w:val="auto"/>
        </w:rPr>
      </w:pPr>
    </w:p>
    <w:p>
      <w:pPr>
        <w:jc w:val="both"/>
        <w:ind w:right="100" w:firstLine="1484"/>
        <w:spacing w:after="0" w:line="266" w:lineRule="auto"/>
        <w:rPr>
          <w:sz w:val="20"/>
          <w:szCs w:val="20"/>
          <w:color w:val="auto"/>
        </w:rPr>
      </w:pPr>
      <w:r>
        <w:rPr>
          <w:rFonts w:ascii="Arial" w:cs="Arial" w:eastAsia="Arial" w:hAnsi="Arial"/>
          <w:sz w:val="18"/>
          <w:szCs w:val="18"/>
          <w:b w:val="1"/>
          <w:bCs w:val="1"/>
          <w:color w:val="auto"/>
        </w:rPr>
        <w:t xml:space="preserve">6.2.2.2. </w:t>
      </w:r>
      <w:r>
        <w:rPr>
          <w:rFonts w:ascii="Arial" w:cs="Arial" w:eastAsia="Arial" w:hAnsi="Arial"/>
          <w:sz w:val="18"/>
          <w:szCs w:val="18"/>
          <w:color w:val="auto"/>
        </w:rPr>
        <w:t>If Licensee defaults in its obligations under Section 5.2 to procure and maintain insurance or, if Licensee has in any event failed</w:t>
      </w:r>
      <w:r>
        <w:rPr>
          <w:rFonts w:ascii="Arial" w:cs="Arial" w:eastAsia="Arial" w:hAnsi="Arial"/>
          <w:sz w:val="18"/>
          <w:szCs w:val="18"/>
          <w:b w:val="1"/>
          <w:bCs w:val="1"/>
          <w:color w:val="auto"/>
        </w:rPr>
        <w:t xml:space="preserve"> </w:t>
      </w:r>
      <w:r>
        <w:rPr>
          <w:rFonts w:ascii="Arial" w:cs="Arial" w:eastAsia="Arial" w:hAnsi="Arial"/>
          <w:sz w:val="18"/>
          <w:szCs w:val="18"/>
          <w:color w:val="auto"/>
        </w:rPr>
        <w:t>to comply with the notice requirements contained therein and fails to cure that default within thirty (30) days after receiving written notice thereof, Harvard may terminate this Agreement immediately upon written notice to Licensee.</w:t>
      </w:r>
    </w:p>
    <w:p>
      <w:pPr>
        <w:spacing w:after="0" w:line="176" w:lineRule="exact"/>
        <w:rPr>
          <w:sz w:val="20"/>
          <w:szCs w:val="20"/>
          <w:color w:val="auto"/>
        </w:rPr>
      </w:pPr>
    </w:p>
    <w:p>
      <w:pPr>
        <w:ind w:firstLine="913"/>
        <w:spacing w:after="0" w:line="303" w:lineRule="auto"/>
        <w:rPr>
          <w:sz w:val="20"/>
          <w:szCs w:val="20"/>
          <w:color w:val="auto"/>
        </w:rPr>
      </w:pPr>
      <w:r>
        <w:rPr>
          <w:rFonts w:ascii="Arial" w:cs="Arial" w:eastAsia="Arial" w:hAnsi="Arial"/>
          <w:sz w:val="16"/>
          <w:szCs w:val="16"/>
          <w:b w:val="1"/>
          <w:bCs w:val="1"/>
          <w:color w:val="auto"/>
        </w:rPr>
        <w:t xml:space="preserve">6.2.4. Bankruptcy. </w:t>
      </w:r>
      <w:r>
        <w:rPr>
          <w:rFonts w:ascii="Arial" w:cs="Arial" w:eastAsia="Arial" w:hAnsi="Arial"/>
          <w:sz w:val="16"/>
          <w:szCs w:val="16"/>
          <w:color w:val="auto"/>
        </w:rPr>
        <w:t>Harvard may terminate this Agreement upon notice to Licensee if Licensee becomes insolvent, is adjudged bankrupt, applies</w:t>
      </w:r>
      <w:r>
        <w:rPr>
          <w:rFonts w:ascii="Arial" w:cs="Arial" w:eastAsia="Arial" w:hAnsi="Arial"/>
          <w:sz w:val="16"/>
          <w:szCs w:val="16"/>
          <w:b w:val="1"/>
          <w:bCs w:val="1"/>
          <w:color w:val="auto"/>
        </w:rPr>
        <w:t xml:space="preserve"> </w:t>
      </w:r>
      <w:r>
        <w:rPr>
          <w:rFonts w:ascii="Arial" w:cs="Arial" w:eastAsia="Arial" w:hAnsi="Arial"/>
          <w:sz w:val="16"/>
          <w:szCs w:val="16"/>
          <w:color w:val="auto"/>
        </w:rPr>
        <w:t>for judicial or extra-judicial settlement with its creditors, makes an assignment for the benefit of its creditors, voluntarily files for bankruptcy or has a receiver or trustee (or the like) in bankruptcy appointed by reason of its insolvency, or in the event an involuntary bankruptcy action is filed against Licensee and not dismissed within ninety (90) days, or if Licensee becomes the subject of liquidation or dissolution proceedings or otherwise discontinues business.</w:t>
      </w:r>
    </w:p>
    <w:p>
      <w:pPr>
        <w:spacing w:after="0" w:line="25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Effect of Termination.</w:t>
      </w:r>
    </w:p>
    <w:p>
      <w:pPr>
        <w:spacing w:after="0" w:line="117"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b w:val="1"/>
          <w:bCs w:val="1"/>
          <w:color w:val="auto"/>
        </w:rPr>
        <w:t xml:space="preserve">6.3.1. Termination of Rights. </w:t>
      </w:r>
      <w:r>
        <w:rPr>
          <w:rFonts w:ascii="Arial" w:cs="Arial" w:eastAsia="Arial" w:hAnsi="Arial"/>
          <w:sz w:val="16"/>
          <w:szCs w:val="16"/>
          <w:color w:val="auto"/>
        </w:rPr>
        <w:t>Upon any termination or expiration of this Agreement, (a) the rights and licenses granted to Licensee under</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2 shall terminate, (b) all rights in and to and under the Biological Material and Technology Transfer Material will revert to Harvard and, subject to Section 6.3.2, neither Licensee nor its Sublicensees may make any further use or exploitation of any Biological Material or Technology Transfer Material and</w:t>
      </w:r>
    </w:p>
    <w:p>
      <w:pPr>
        <w:spacing w:after="0" w:line="2" w:lineRule="exact"/>
        <w:rPr>
          <w:sz w:val="20"/>
          <w:szCs w:val="20"/>
          <w:color w:val="auto"/>
        </w:rPr>
      </w:pPr>
    </w:p>
    <w:p>
      <w:pPr>
        <w:ind w:right="60" w:firstLine="8"/>
        <w:spacing w:after="0" w:line="302" w:lineRule="auto"/>
        <w:tabs>
          <w:tab w:leader="none" w:pos="245" w:val="left"/>
        </w:tabs>
        <w:numPr>
          <w:ilvl w:val="0"/>
          <w:numId w:val="670"/>
        </w:numPr>
        <w:rPr>
          <w:rFonts w:ascii="Arial" w:cs="Arial" w:eastAsia="Arial" w:hAnsi="Arial"/>
          <w:sz w:val="16"/>
          <w:szCs w:val="16"/>
          <w:color w:val="auto"/>
        </w:rPr>
      </w:pPr>
      <w:r>
        <w:rPr>
          <w:rFonts w:ascii="Arial" w:cs="Arial" w:eastAsia="Arial" w:hAnsi="Arial"/>
          <w:sz w:val="16"/>
          <w:szCs w:val="16"/>
          <w:color w:val="auto"/>
        </w:rPr>
        <w:t>any existing Sublicense shall terminate; provided, however, that, for each Sublicensee, upon termination of the license, if the Sublicensee is not then in breach of the Sublicense agreement such that Licensee would have the right to terminate such Sublicense agreement, such Sublicensee shall have the right to obtain a direct license from Harvard on the same terms and conditions as set forth herein, which shall not impose any representations, warranties, obligations</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158" w:lineRule="exact"/>
        <w:rPr>
          <w:sz w:val="20"/>
          <w:szCs w:val="20"/>
          <w:color w:val="auto"/>
        </w:rPr>
      </w:pPr>
    </w:p>
    <w:p>
      <w:pPr>
        <w:ind w:left="1580" w:right="1340" w:hanging="191"/>
        <w:spacing w:after="0" w:line="308" w:lineRule="auto"/>
        <w:tabs>
          <w:tab w:leader="none" w:pos="1945" w:val="left"/>
        </w:tabs>
        <w:numPr>
          <w:ilvl w:val="0"/>
          <w:numId w:val="671"/>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80"/>
          </w:cols>
          <w:pgMar w:left="240" w:top="269" w:right="279" w:bottom="1440" w:gutter="0" w:footer="0" w:header="0"/>
        </w:sectPr>
      </w:pPr>
    </w:p>
    <w:bookmarkStart w:id="654" w:name="page655"/>
    <w:bookmarkEnd w:id="6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or liabilities on Harvard that are not included in this Agreement. Furthermore, in the event of any termination or expiration of this Agreement, Licensee shall destroy, and shall cause its agents and Sublicensees to destroy, all Biological Material under their control or in their possession.</w:t>
      </w:r>
    </w:p>
    <w:p>
      <w:pPr>
        <w:spacing w:after="0" w:line="143"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b w:val="1"/>
          <w:bCs w:val="1"/>
          <w:color w:val="auto"/>
        </w:rPr>
        <w:t xml:space="preserve">6.3.2. Accruing Obligations. </w:t>
      </w:r>
      <w:r>
        <w:rPr>
          <w:rFonts w:ascii="Arial" w:cs="Arial" w:eastAsia="Arial" w:hAnsi="Arial"/>
          <w:sz w:val="16"/>
          <w:szCs w:val="16"/>
          <w:color w:val="auto"/>
        </w:rPr>
        <w:t>Termination or expiration of this Agreement shall not relieve the parties of obligations accruing prior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or expiration, including obligations to pay amounts accruing hereunder up to the date of termination or expiration. After the date of termination or expiration (except in the case of termination by Harvard pursuant to Section 6.2), Licensee and its Sublicensees (a) may sell Products then in stock and</w:t>
      </w:r>
    </w:p>
    <w:p>
      <w:pPr>
        <w:spacing w:after="0" w:line="2" w:lineRule="exact"/>
        <w:rPr>
          <w:sz w:val="20"/>
          <w:szCs w:val="20"/>
          <w:color w:val="auto"/>
        </w:rPr>
      </w:pPr>
    </w:p>
    <w:p>
      <w:pPr>
        <w:ind w:right="120" w:firstLine="8"/>
        <w:spacing w:after="0" w:line="261" w:lineRule="auto"/>
        <w:tabs>
          <w:tab w:leader="none" w:pos="255" w:val="left"/>
        </w:tabs>
        <w:numPr>
          <w:ilvl w:val="0"/>
          <w:numId w:val="672"/>
        </w:numPr>
        <w:rPr>
          <w:rFonts w:ascii="Arial" w:cs="Arial" w:eastAsia="Arial" w:hAnsi="Arial"/>
          <w:sz w:val="18"/>
          <w:szCs w:val="18"/>
          <w:color w:val="auto"/>
        </w:rPr>
      </w:pPr>
      <w:r>
        <w:rPr>
          <w:rFonts w:ascii="Arial" w:cs="Arial" w:eastAsia="Arial" w:hAnsi="Arial"/>
          <w:sz w:val="18"/>
          <w:szCs w:val="18"/>
          <w:color w:val="auto"/>
        </w:rPr>
        <w:t>may complete the production of Products then in the process of production and sell the same; provided that, in the case of both (a) and (b), Licensee shall maintain insurance in accordance with the requirements of Section 5.2.</w:t>
      </w:r>
    </w:p>
    <w:p>
      <w:pPr>
        <w:spacing w:after="0" w:line="180" w:lineRule="exact"/>
        <w:rPr>
          <w:sz w:val="20"/>
          <w:szCs w:val="20"/>
          <w:color w:val="auto"/>
        </w:rPr>
      </w:pPr>
    </w:p>
    <w:p>
      <w:pPr>
        <w:ind w:right="260" w:firstLine="456"/>
        <w:spacing w:after="0" w:line="289" w:lineRule="auto"/>
        <w:rPr>
          <w:sz w:val="20"/>
          <w:szCs w:val="20"/>
          <w:color w:val="auto"/>
        </w:rPr>
      </w:pPr>
      <w:r>
        <w:rPr>
          <w:rFonts w:ascii="Arial" w:cs="Arial" w:eastAsia="Arial" w:hAnsi="Arial"/>
          <w:sz w:val="17"/>
          <w:szCs w:val="17"/>
          <w:b w:val="1"/>
          <w:bCs w:val="1"/>
          <w:color w:val="auto"/>
        </w:rPr>
        <w:t xml:space="preserve">6.4. Survival. </w:t>
      </w:r>
      <w:r>
        <w:rPr>
          <w:rFonts w:ascii="Arial" w:cs="Arial" w:eastAsia="Arial" w:hAnsi="Arial"/>
          <w:sz w:val="17"/>
          <w:szCs w:val="17"/>
          <w:color w:val="auto"/>
        </w:rPr>
        <w:t>The parties’ respective rights, obligations and duties under Articles 4, 5 and 7 and Sections 2.2.2.3 (but only with respect to a</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Sublicensee’s right to obtain a direct license from Harvard), 2.3, 3.1, 3.6, 6.3, 6.4, as well as any rights, obligations and duties which by their nature extend beyond the expiration or termination of this Agreement, shall survive any expiration or termination of this Agreement.</w:t>
      </w:r>
    </w:p>
    <w:p>
      <w:pPr>
        <w:spacing w:after="0" w:line="307" w:lineRule="exact"/>
        <w:rPr>
          <w:sz w:val="20"/>
          <w:szCs w:val="20"/>
          <w:color w:val="auto"/>
        </w:rPr>
      </w:pPr>
    </w:p>
    <w:p>
      <w:pPr>
        <w:ind w:left="460" w:hanging="452"/>
        <w:spacing w:after="0"/>
        <w:tabs>
          <w:tab w:leader="none" w:pos="460" w:val="left"/>
        </w:tabs>
        <w:numPr>
          <w:ilvl w:val="0"/>
          <w:numId w:val="67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7.1. No Security Interest. </w:t>
      </w:r>
      <w:r>
        <w:rPr>
          <w:rFonts w:ascii="Arial" w:cs="Arial" w:eastAsia="Arial" w:hAnsi="Arial"/>
          <w:sz w:val="18"/>
          <w:szCs w:val="18"/>
          <w:color w:val="auto"/>
        </w:rPr>
        <w:t>Licensee shall not enter into any agreement under which Licensee grants to or otherwise creates in any third party a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this Agreement or any of the rights granted to Licensee herein. Any grant or creation of a security interest purported or attempted to be made in violation of the terms of this Section 7.1 shall be null and void and of no legal effect.</w:t>
      </w:r>
    </w:p>
    <w:p>
      <w:pPr>
        <w:spacing w:after="0" w:line="17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7.2. Use of Name. </w:t>
      </w:r>
      <w:r>
        <w:rPr>
          <w:rFonts w:ascii="Arial" w:cs="Arial" w:eastAsia="Arial" w:hAnsi="Arial"/>
          <w:sz w:val="18"/>
          <w:szCs w:val="18"/>
          <w:color w:val="auto"/>
        </w:rPr>
        <w:t>Except as provided below, Licensee shall not, and shall ensure that its Affiliates and Sublicensees shall not, use or register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“Harvard” (alone or as part of another name) or any logos, seals, insignia or other words, names, symbols or devices that identify Harvard or any Harvard school, unit, division or affiliate (“Harvard Names”) for any purpose except with the prior written approval of, and in accordance with restrictions required by, Harvard. Without limiting the foregoing, Licensee shall, and shall ensure that its Affiliates and Sublicensees shall, cease all use of Harvard Names on the termination or expiration of this Agreement except as otherwise approved by Harvard. This restriction shall not apply to any information required by law to be disclosed to any governmental entity.</w:t>
      </w:r>
    </w:p>
    <w:p>
      <w:pPr>
        <w:spacing w:after="0" w:line="188" w:lineRule="exact"/>
        <w:rPr>
          <w:sz w:val="20"/>
          <w:szCs w:val="20"/>
          <w:color w:val="auto"/>
        </w:rPr>
      </w:pPr>
    </w:p>
    <w:p>
      <w:pPr>
        <w:ind w:right="600" w:firstLine="456"/>
        <w:spacing w:after="0" w:line="282" w:lineRule="auto"/>
        <w:rPr>
          <w:sz w:val="20"/>
          <w:szCs w:val="20"/>
          <w:color w:val="auto"/>
        </w:rPr>
      </w:pPr>
      <w:r>
        <w:rPr>
          <w:rFonts w:ascii="Arial" w:cs="Arial" w:eastAsia="Arial" w:hAnsi="Arial"/>
          <w:sz w:val="18"/>
          <w:szCs w:val="18"/>
          <w:b w:val="1"/>
          <w:bCs w:val="1"/>
          <w:color w:val="auto"/>
        </w:rPr>
        <w:t xml:space="preserve">7.3. Entire Agreement. </w:t>
      </w:r>
      <w:r>
        <w:rPr>
          <w:rFonts w:ascii="Arial" w:cs="Arial" w:eastAsia="Arial" w:hAnsi="Arial"/>
          <w:sz w:val="18"/>
          <w:szCs w:val="18"/>
          <w:color w:val="auto"/>
        </w:rPr>
        <w:t>This Agreement is the sole agreement with respect to the subject matter hereof and except as expressly set forth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other agreements and understandings between the parties with respect to the same.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158" w:lineRule="exact"/>
        <w:rPr>
          <w:sz w:val="20"/>
          <w:szCs w:val="20"/>
          <w:color w:val="auto"/>
        </w:rPr>
      </w:pPr>
    </w:p>
    <w:p>
      <w:pPr>
        <w:ind w:left="1580" w:right="1380" w:hanging="191"/>
        <w:spacing w:after="0" w:line="308" w:lineRule="auto"/>
        <w:tabs>
          <w:tab w:leader="none" w:pos="1945" w:val="left"/>
        </w:tabs>
        <w:numPr>
          <w:ilvl w:val="0"/>
          <w:numId w:val="67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55" w:name="page656"/>
    <w:bookmarkEnd w:id="6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b w:val="1"/>
          <w:bCs w:val="1"/>
          <w:color w:val="auto"/>
        </w:rPr>
        <w:t xml:space="preserve">7.4. Notices. </w:t>
      </w:r>
      <w:r>
        <w:rPr>
          <w:rFonts w:ascii="Arial" w:cs="Arial" w:eastAsia="Arial" w:hAnsi="Arial"/>
          <w:sz w:val="18"/>
          <w:szCs w:val="18"/>
          <w:color w:val="auto"/>
        </w:rPr>
        <w:t>Unless otherwise specifically provided, all notices required or permitted by this Agreement shall be in writing and may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may be sent by facsimile, overnight delivery or certified mail, return receipt requested, to the following addresses, unless the parties are subsequently notified of any change of address in accordance with this Section 7.4:</w:t>
      </w:r>
    </w:p>
    <w:p>
      <w:pPr>
        <w:sectPr>
          <w:pgSz w:w="11900" w:h="16838" w:orient="portrait"/>
          <w:cols w:equalWidth="0" w:num="1">
            <w:col w:w="11300"/>
          </w:cols>
          <w:pgMar w:left="240" w:top="271" w:right="359" w:bottom="1440" w:gutter="0" w:footer="0" w:header="0"/>
        </w:sectPr>
      </w:pPr>
    </w:p>
    <w:p>
      <w:pPr>
        <w:spacing w:after="0" w:line="20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to Licensee</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(invoices</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only):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Solid GT,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161 First Street, Suite #300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00" w:lineRule="exact"/>
        <w:rPr>
          <w:sz w:val="20"/>
          <w:szCs w:val="20"/>
          <w:color w:val="auto"/>
        </w:rPr>
      </w:pPr>
    </w:p>
    <w:p>
      <w:pPr>
        <w:sectPr>
          <w:pgSz w:w="11900" w:h="16838" w:orient="portrait"/>
          <w:cols w:equalWidth="0" w:num="2">
            <w:col w:w="3280" w:space="720"/>
            <w:col w:w="7300"/>
          </w:cols>
          <w:pgMar w:left="240" w:top="271" w:right="359" w:bottom="1440" w:gutter="0" w:footer="0" w:header="0"/>
          <w:type w:val="continuous"/>
        </w:sectPr>
      </w:pPr>
    </w:p>
    <w:p>
      <w:pPr>
        <w:spacing w:after="0" w:line="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to Licensee</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notices):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Solid GT,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161 First Street, Suite #300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00" w:lineRule="exact"/>
        <w:rPr>
          <w:sz w:val="20"/>
          <w:szCs w:val="20"/>
          <w:color w:val="auto"/>
        </w:rPr>
      </w:pPr>
    </w:p>
    <w:p>
      <w:pPr>
        <w:sectPr>
          <w:pgSz w:w="11900" w:h="16838" w:orient="portrait"/>
          <w:cols w:equalWidth="0" w:num="2">
            <w:col w:w="3280" w:space="720"/>
            <w:col w:w="7300"/>
          </w:cols>
          <w:pgMar w:left="240" w:top="271" w:right="359" w:bottom="1440" w:gutter="0" w:footer="0" w:header="0"/>
          <w:type w:val="continuous"/>
        </w:sectPr>
      </w:pPr>
    </w:p>
    <w:p>
      <w:pPr>
        <w:spacing w:after="0" w:line="2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If to Harvard: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Office of Technology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Harvard University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Richard A. and Susan F. Smith Campus Center 727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1350 Massachusetts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02138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0" w:lineRule="exact"/>
        <w:rPr>
          <w:sz w:val="20"/>
          <w:szCs w:val="20"/>
          <w:color w:val="auto"/>
        </w:rPr>
      </w:pPr>
    </w:p>
    <w:p>
      <w:pPr>
        <w:sectPr>
          <w:pgSz w:w="11900" w:h="16838" w:orient="portrait"/>
          <w:cols w:equalWidth="0" w:num="2">
            <w:col w:w="3280" w:space="720"/>
            <w:col w:w="7300"/>
          </w:cols>
          <w:pgMar w:left="240" w:top="271" w:right="359" w:bottom="1440" w:gutter="0" w:footer="0" w:header="0"/>
          <w:type w:val="continuous"/>
        </w:sectPr>
      </w:pP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Attn.: Chief Technology Development Officer</w:t>
      </w:r>
    </w:p>
    <w:p>
      <w:pPr>
        <w:sectPr>
          <w:pgSz w:w="11900" w:h="16838" w:orient="portrait"/>
          <w:cols w:equalWidth="0" w:num="1">
            <w:col w:w="11300"/>
          </w:cols>
          <w:pgMar w:left="240" w:top="271" w:right="359" w:bottom="1440" w:gutter="0" w:footer="0" w:header="0"/>
          <w:type w:val="continuous"/>
        </w:sectPr>
      </w:pPr>
    </w:p>
    <w:p>
      <w:pPr>
        <w:spacing w:after="0" w:line="26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Any notice shall be deemed to have been received as follows: (a) by personal delivery, upon receipt; (b) by facsimile or overnight delivery, one business day after transmission or dispatch; (c) by certified mail, as evidenced by the return receipt. If notice is sent by facsimile, a confirming copy of the same shall be sent by mail to the same address.</w:t>
      </w:r>
    </w:p>
    <w:p>
      <w:pPr>
        <w:spacing w:after="0" w:line="17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7.5. Governing Law and Jurisdiction. </w:t>
      </w:r>
      <w:r>
        <w:rPr>
          <w:rFonts w:ascii="Arial" w:cs="Arial" w:eastAsia="Arial" w:hAnsi="Arial"/>
          <w:sz w:val="18"/>
          <w:szCs w:val="18"/>
          <w:color w:val="auto"/>
        </w:rPr>
        <w:t>This Agreement will be governed by, and construed in accordance with, the substantive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without giving effect to any choice or conflict of law provision, except that questions affecting the construction and effect of any patent shall be determined by the law of the country in which the patent shall have been granted. Any action, suit or other proceeding arising under or relating to this Agreement (a “Suit”) shall be brought in a court of competent jurisdiction in the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158" w:lineRule="exact"/>
        <w:rPr>
          <w:sz w:val="20"/>
          <w:szCs w:val="20"/>
          <w:color w:val="auto"/>
        </w:rPr>
      </w:pPr>
    </w:p>
    <w:p>
      <w:pPr>
        <w:ind w:left="1580" w:right="1260" w:hanging="191"/>
        <w:spacing w:after="0" w:line="308" w:lineRule="auto"/>
        <w:tabs>
          <w:tab w:leader="none" w:pos="1945" w:val="left"/>
        </w:tabs>
        <w:numPr>
          <w:ilvl w:val="0"/>
          <w:numId w:val="67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00"/>
          </w:cols>
          <w:pgMar w:left="240" w:top="271" w:right="359" w:bottom="1440" w:gutter="0" w:footer="0" w:header="0"/>
          <w:type w:val="continuous"/>
        </w:sectPr>
      </w:pPr>
    </w:p>
    <w:bookmarkStart w:id="656" w:name="page657"/>
    <w:bookmarkEnd w:id="6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Commonwealth of Massachusetts, and the parties hereby consent to the sole jurisdiction of the state and federal courts sitting in the Commonwealth of Massachusetts. Each party agrees not to raise any objection at any time to the laying or maintaining of the venue of any Suit in any of the specified courts, irrevocably waives any claim that Suit has been brought in any inconvenient forum and further irrevocably waives the right to object, with respect to any Suit, that such court does not have any jurisdiction over such party.</w:t>
      </w:r>
    </w:p>
    <w:p>
      <w:pPr>
        <w:spacing w:after="0" w:line="183"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7.6. Binding Effect. </w:t>
      </w:r>
      <w:r>
        <w:rPr>
          <w:rFonts w:ascii="Arial" w:cs="Arial" w:eastAsia="Arial" w:hAnsi="Arial"/>
          <w:sz w:val="18"/>
          <w:szCs w:val="18"/>
          <w:color w:val="auto"/>
        </w:rPr>
        <w:t>This Agreement shall be binding upon and inure to the benefit of the parties and their respective legal representatives,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and permitted assigns.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7.7. Headings. </w:t>
      </w:r>
      <w:r>
        <w:rPr>
          <w:rFonts w:ascii="Arial" w:cs="Arial" w:eastAsia="Arial" w:hAnsi="Arial"/>
          <w:sz w:val="17"/>
          <w:szCs w:val="17"/>
          <w:color w:val="auto"/>
        </w:rPr>
        <w:t>Section and subsection headings are inserted for convenience of reference only and do not form a part of this Agreement.</w:t>
      </w:r>
    </w:p>
    <w:p>
      <w:pPr>
        <w:spacing w:after="0" w:line="237" w:lineRule="exact"/>
        <w:rPr>
          <w:sz w:val="20"/>
          <w:szCs w:val="20"/>
          <w:color w:val="auto"/>
        </w:rPr>
      </w:pPr>
    </w:p>
    <w:p>
      <w:pPr>
        <w:ind w:right="60" w:firstLine="456"/>
        <w:spacing w:after="0" w:line="314" w:lineRule="auto"/>
        <w:rPr>
          <w:sz w:val="20"/>
          <w:szCs w:val="20"/>
          <w:color w:val="auto"/>
        </w:rPr>
      </w:pPr>
      <w:r>
        <w:rPr>
          <w:rFonts w:ascii="Arial" w:cs="Arial" w:eastAsia="Arial" w:hAnsi="Arial"/>
          <w:sz w:val="16"/>
          <w:szCs w:val="16"/>
          <w:b w:val="1"/>
          <w:bCs w:val="1"/>
          <w:color w:val="auto"/>
        </w:rPr>
        <w:t xml:space="preserve">7.8. Counterparts. </w:t>
      </w:r>
      <w:r>
        <w:rPr>
          <w:rFonts w:ascii="Arial" w:cs="Arial" w:eastAsia="Arial" w:hAnsi="Arial"/>
          <w:sz w:val="16"/>
          <w:szCs w:val="16"/>
          <w:color w:val="auto"/>
        </w:rPr>
        <w:t>The parties may execute this Agreement in two or more counterparts, each of which shall be deemed an original, but both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shall constitute one and the same instrument. Transmission by facsimile or electronic mail of an executed counterpart of this Agreement shall be deemed to constitute due and sufficient delivery of such counterpart. If by electronic mail, the executed Agreement must be delivered in a .pdf format.</w:t>
      </w:r>
    </w:p>
    <w:p>
      <w:pPr>
        <w:spacing w:after="0" w:line="142"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7.9. Amendment; Waiver. </w:t>
      </w:r>
      <w:r>
        <w:rPr>
          <w:rFonts w:ascii="Arial" w:cs="Arial" w:eastAsia="Arial" w:hAnsi="Arial"/>
          <w:sz w:val="17"/>
          <w:szCs w:val="17"/>
          <w:color w:val="auto"/>
        </w:rPr>
        <w:t>This Agreement may be amended, modified, superseded or canceled, and any of the terms may be waived, only by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executed by each party or, in the case of waiver, by the party waiving compliance. The delay or failure of either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68"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7.10. No Agency or Partnership. </w:t>
      </w:r>
      <w:r>
        <w:rPr>
          <w:rFonts w:ascii="Arial" w:cs="Arial" w:eastAsia="Arial" w:hAnsi="Arial"/>
          <w:sz w:val="18"/>
          <w:szCs w:val="18"/>
          <w:color w:val="auto"/>
        </w:rPr>
        <w:t>Nothing contained in this Agreement shall give either party the right to bind the other, or be deemed to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as agent for or partner of the other or any third party.</w:t>
      </w:r>
    </w:p>
    <w:p>
      <w:pPr>
        <w:spacing w:after="0" w:line="1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7.11. Assignment and Successors. </w:t>
      </w:r>
      <w:r>
        <w:rPr>
          <w:rFonts w:ascii="Arial" w:cs="Arial" w:eastAsia="Arial" w:hAnsi="Arial"/>
          <w:sz w:val="16"/>
          <w:szCs w:val="16"/>
          <w:color w:val="auto"/>
        </w:rPr>
        <w:t>This Agreement may not be assigned by either party without the consent of the other, which consent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unreasonably withheld, except that each party may, without such consent, assign this Agreement and the rights, obligations and interests of such party to any purchaser of all or substantially all of its assets to which the subject matter of this Agreement relates, or to any successor corporation resulting from any merger or consolidation of such party with or into such corporation; provided, in each case, that the assignee agrees in writing to be bound by the terms of this Agreement. Any assignment purported or attempted to be made in violation of the terms of this Section 7.11 shall be null and void and of no legal effect.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158" w:lineRule="exact"/>
        <w:rPr>
          <w:sz w:val="20"/>
          <w:szCs w:val="20"/>
          <w:color w:val="auto"/>
        </w:rPr>
      </w:pPr>
    </w:p>
    <w:p>
      <w:pPr>
        <w:ind w:left="1580" w:right="1360" w:hanging="191"/>
        <w:spacing w:after="0" w:line="308" w:lineRule="auto"/>
        <w:tabs>
          <w:tab w:leader="none" w:pos="1945" w:val="left"/>
        </w:tabs>
        <w:numPr>
          <w:ilvl w:val="0"/>
          <w:numId w:val="676"/>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00"/>
          </w:cols>
          <w:pgMar w:left="240" w:top="270" w:right="259" w:bottom="1440" w:gutter="0" w:footer="0" w:header="0"/>
        </w:sectPr>
      </w:pPr>
    </w:p>
    <w:bookmarkStart w:id="657" w:name="page658"/>
    <w:bookmarkEnd w:id="6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7.12. Force Majeure. </w:t>
      </w:r>
      <w:r>
        <w:rPr>
          <w:rFonts w:ascii="Arial" w:cs="Arial" w:eastAsia="Arial" w:hAnsi="Arial"/>
          <w:sz w:val="18"/>
          <w:szCs w:val="18"/>
          <w:color w:val="auto"/>
        </w:rPr>
        <w:t>Except for monetary obligations hereunder, neither party will be responsible for delays resulting from causes beyond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control of such party, including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8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7.13. Interpretation. </w:t>
      </w:r>
      <w:r>
        <w:rPr>
          <w:rFonts w:ascii="Arial" w:cs="Arial" w:eastAsia="Arial" w:hAnsi="Arial"/>
          <w:sz w:val="18"/>
          <w:szCs w:val="18"/>
          <w:color w:val="auto"/>
        </w:rPr>
        <w:t>Each party hereto acknowledges and agrees that: (a) it and/or its counsel reviewed and negotiated the terms and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has contributed to its revision; (b) the rule of construction to the effect that any ambiguities are resolved against the drafting party shall not be employed in the interpretation of this Agreement; (c) the terms and provisions of this Agreement shall be construed fairly as to both parties hereto and not in favor of or against either party, regardless of which party was generally responsible for the preparation of this Agreement; and (d) the use of “include,” “includes,” or “including” herein shall not be limiting and “or” shall not be exclusive.</w:t>
      </w:r>
    </w:p>
    <w:p>
      <w:pPr>
        <w:spacing w:after="0" w:line="184"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7.14. Severability. </w:t>
      </w:r>
      <w:r>
        <w:rPr>
          <w:rFonts w:ascii="Arial" w:cs="Arial" w:eastAsia="Arial" w:hAnsi="Arial"/>
          <w:sz w:val="18"/>
          <w:szCs w:val="18"/>
          <w:color w:val="auto"/>
        </w:rPr>
        <w:t>If any provision of this Agreement is or becomes invalid or is ruled invalid by any court of competent jurisdiction or is deemed</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it is the intention of the parties that the remainder of this Agreement shall not be affected.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158" w:lineRule="exact"/>
        <w:rPr>
          <w:sz w:val="20"/>
          <w:szCs w:val="20"/>
          <w:color w:val="auto"/>
        </w:rPr>
      </w:pPr>
    </w:p>
    <w:p>
      <w:pPr>
        <w:ind w:left="1580" w:right="1340" w:hanging="191"/>
        <w:spacing w:after="0" w:line="308" w:lineRule="auto"/>
        <w:tabs>
          <w:tab w:leader="none" w:pos="1945" w:val="left"/>
        </w:tabs>
        <w:numPr>
          <w:ilvl w:val="0"/>
          <w:numId w:val="67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658" w:name="page659"/>
    <w:bookmarkEnd w:id="6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Agreement to be executed by their duly authorized representatives as of the date first written above.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President and Fellows of Harvard College</w:t>
            </w:r>
          </w:p>
        </w:tc>
        <w:tc>
          <w:tcPr>
            <w:tcW w:w="6620" w:type="dxa"/>
            <w:vAlign w:val="bottom"/>
            <w:gridSpan w:val="2"/>
          </w:tcPr>
          <w:p>
            <w:pPr>
              <w:ind w:left="1360"/>
              <w:spacing w:after="0"/>
              <w:rPr>
                <w:sz w:val="20"/>
                <w:szCs w:val="20"/>
                <w:color w:val="auto"/>
              </w:rPr>
            </w:pPr>
            <w:r>
              <w:rPr>
                <w:rFonts w:ascii="Arial" w:cs="Arial" w:eastAsia="Arial" w:hAnsi="Arial"/>
                <w:sz w:val="18"/>
                <w:szCs w:val="18"/>
                <w:b w:val="1"/>
                <w:bCs w:val="1"/>
                <w:color w:val="auto"/>
              </w:rPr>
              <w:t>Solid GT,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Meghan D. McCollum Fenno</w:t>
            </w:r>
          </w:p>
        </w:tc>
        <w:tc>
          <w:tcPr>
            <w:tcW w:w="1940" w:type="dxa"/>
            <w:vAlign w:val="bottom"/>
          </w:tcPr>
          <w:p>
            <w:pPr>
              <w:ind w:left="13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llan Ganot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Meghan D. McCollum Fenno</w:t>
            </w:r>
          </w:p>
        </w:tc>
        <w:tc>
          <w:tcPr>
            <w:tcW w:w="1940" w:type="dxa"/>
            <w:vAlign w:val="bottom"/>
          </w:tcPr>
          <w:p>
            <w:pPr>
              <w:ind w:left="136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llan Ganot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Director of Technology Transactions</w:t>
            </w:r>
          </w:p>
        </w:tc>
        <w:tc>
          <w:tcPr>
            <w:tcW w:w="1940" w:type="dxa"/>
            <w:vAlign w:val="bottom"/>
          </w:tcPr>
          <w:p>
            <w:pPr>
              <w:ind w:left="136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CEO</w:t>
            </w:r>
          </w:p>
        </w:tc>
      </w:tr>
      <w:tr>
        <w:trPr>
          <w:trHeight w:val="216"/>
        </w:trPr>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Office of Technology Development</w:t>
            </w:r>
          </w:p>
        </w:tc>
        <w:tc>
          <w:tcPr>
            <w:tcW w:w="194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Harvard University</w:t>
            </w:r>
          </w:p>
        </w:tc>
        <w:tc>
          <w:tcPr>
            <w:tcW w:w="1940" w:type="dxa"/>
            <w:vAlign w:val="bottom"/>
          </w:tcPr>
          <w:p>
            <w:pPr>
              <w:spacing w:after="0"/>
              <w:rPr>
                <w:sz w:val="20"/>
                <w:szCs w:val="20"/>
                <w:color w:val="auto"/>
              </w:rPr>
            </w:pPr>
          </w:p>
        </w:tc>
        <w:tc>
          <w:tcPr>
            <w:tcW w:w="4680" w:type="dxa"/>
            <w:vAlign w:val="bottom"/>
          </w:tcPr>
          <w:p>
            <w:pPr>
              <w:spacing w:after="0"/>
              <w:rPr>
                <w:sz w:val="20"/>
                <w:szCs w:val="20"/>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Solid GT, LLC Materials License - Signature Page</w:t>
      </w:r>
    </w:p>
    <w:p>
      <w:pPr>
        <w:spacing w:after="0" w:line="158" w:lineRule="exact"/>
        <w:rPr>
          <w:sz w:val="20"/>
          <w:szCs w:val="20"/>
          <w:color w:val="auto"/>
        </w:rPr>
      </w:pPr>
    </w:p>
    <w:p>
      <w:pPr>
        <w:ind w:left="1580" w:right="1380" w:hanging="191"/>
        <w:spacing w:after="0" w:line="308" w:lineRule="auto"/>
        <w:tabs>
          <w:tab w:leader="none" w:pos="1945" w:val="left"/>
        </w:tabs>
        <w:numPr>
          <w:ilvl w:val="0"/>
          <w:numId w:val="678"/>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659" w:name="page660"/>
    <w:bookmarkEnd w:id="6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1.3</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Biological Material</w:t>
      </w: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[XXX]</w:t>
      </w:r>
    </w:p>
    <w:p>
      <w:pPr>
        <w:spacing w:after="0" w:line="158" w:lineRule="exact"/>
        <w:rPr>
          <w:sz w:val="20"/>
          <w:szCs w:val="20"/>
          <w:color w:val="auto"/>
        </w:rPr>
      </w:pPr>
    </w:p>
    <w:p>
      <w:pPr>
        <w:ind w:left="1580" w:right="179" w:hanging="191"/>
        <w:spacing w:after="0" w:line="308" w:lineRule="auto"/>
        <w:tabs>
          <w:tab w:leader="none" w:pos="1945" w:val="left"/>
        </w:tabs>
        <w:numPr>
          <w:ilvl w:val="0"/>
          <w:numId w:val="67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0219"/>
          </w:cols>
          <w:pgMar w:left="240" w:top="270" w:right="1440" w:bottom="1440" w:gutter="0" w:footer="0" w:header="0"/>
        </w:sectPr>
      </w:pPr>
    </w:p>
    <w:bookmarkStart w:id="660" w:name="page661"/>
    <w:bookmarkEnd w:id="6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Technology Transfer Material</w:t>
      </w:r>
    </w:p>
    <w:p>
      <w:pPr>
        <w:spacing w:after="0" w:line="1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[XXX]</w:t>
      </w:r>
    </w:p>
    <w:p>
      <w:pPr>
        <w:spacing w:after="0" w:line="158" w:lineRule="exact"/>
        <w:rPr>
          <w:sz w:val="20"/>
          <w:szCs w:val="20"/>
          <w:color w:val="auto"/>
        </w:rPr>
      </w:pPr>
    </w:p>
    <w:p>
      <w:pPr>
        <w:ind w:left="1580" w:right="179" w:hanging="191"/>
        <w:spacing w:after="0" w:line="308" w:lineRule="auto"/>
        <w:tabs>
          <w:tab w:leader="none" w:pos="1945" w:val="left"/>
        </w:tabs>
        <w:numPr>
          <w:ilvl w:val="0"/>
          <w:numId w:val="680"/>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0219"/>
          </w:cols>
          <w:pgMar w:left="240" w:top="270" w:right="1440" w:bottom="1440" w:gutter="0" w:footer="0" w:header="0"/>
        </w:sectPr>
      </w:pPr>
    </w:p>
    <w:bookmarkStart w:id="661" w:name="page662"/>
    <w:bookmarkEnd w:id="661"/>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6"/>
          <w:szCs w:val="16"/>
          <w:color w:val="auto"/>
        </w:rPr>
        <w:t>This License Agreement is entered into as of this 3</w:t>
      </w:r>
      <w:r>
        <w:rPr>
          <w:rFonts w:ascii="Arial" w:cs="Arial" w:eastAsia="Arial" w:hAnsi="Arial"/>
          <w:sz w:val="13"/>
          <w:szCs w:val="13"/>
          <w:color w:val="auto"/>
        </w:rPr>
        <w:t>rd</w:t>
      </w:r>
      <w:r>
        <w:rPr>
          <w:rFonts w:ascii="Arial" w:cs="Arial" w:eastAsia="Arial" w:hAnsi="Arial"/>
          <w:sz w:val="16"/>
          <w:szCs w:val="16"/>
          <w:color w:val="auto"/>
        </w:rPr>
        <w:t xml:space="preserve"> day of August, 2017 (the “Effective Date”), by and between </w:t>
      </w:r>
      <w:r>
        <w:rPr>
          <w:rFonts w:ascii="Arial" w:cs="Arial" w:eastAsia="Arial" w:hAnsi="Arial"/>
          <w:sz w:val="16"/>
          <w:szCs w:val="16"/>
          <w:b w:val="1"/>
          <w:bCs w:val="1"/>
          <w:color w:val="auto"/>
        </w:rPr>
        <w:t>Solid Biosciences, LLC</w:t>
      </w:r>
      <w:r>
        <w:rPr>
          <w:rFonts w:ascii="Arial" w:cs="Arial" w:eastAsia="Arial" w:hAnsi="Arial"/>
          <w:sz w:val="16"/>
          <w:szCs w:val="16"/>
          <w:color w:val="auto"/>
        </w:rPr>
        <w:t xml:space="preserve">, a company organized under the laws of Delaware and having an address at 161 First Street, Suite #300, Cambridge, MA 02142 (“Licensee”) and </w:t>
      </w:r>
      <w:r>
        <w:rPr>
          <w:rFonts w:ascii="Arial" w:cs="Arial" w:eastAsia="Arial" w:hAnsi="Arial"/>
          <w:sz w:val="16"/>
          <w:szCs w:val="16"/>
          <w:b w:val="1"/>
          <w:bCs w:val="1"/>
          <w:color w:val="auto"/>
        </w:rPr>
        <w:t>President and Fellows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 Harvard College, </w:t>
      </w:r>
      <w:r>
        <w:rPr>
          <w:rFonts w:ascii="Arial" w:cs="Arial" w:eastAsia="Arial" w:hAnsi="Arial"/>
          <w:sz w:val="16"/>
          <w:szCs w:val="16"/>
          <w:color w:val="auto"/>
        </w:rPr>
        <w:t>an educational and charitable corporation existing under the laws and the constitution of the Commonwealth of Massachusetts, having a</w:t>
      </w:r>
      <w:r>
        <w:rPr>
          <w:rFonts w:ascii="Arial" w:cs="Arial" w:eastAsia="Arial" w:hAnsi="Arial"/>
          <w:sz w:val="16"/>
          <w:szCs w:val="16"/>
          <w:b w:val="1"/>
          <w:bCs w:val="1"/>
          <w:color w:val="auto"/>
        </w:rPr>
        <w:t xml:space="preserve"> </w:t>
      </w:r>
      <w:r>
        <w:rPr>
          <w:rFonts w:ascii="Arial" w:cs="Arial" w:eastAsia="Arial" w:hAnsi="Arial"/>
          <w:sz w:val="16"/>
          <w:szCs w:val="16"/>
          <w:color w:val="auto"/>
        </w:rPr>
        <w:t>place of business at Richard A. and Susan F. Smith Campus Center, Suite 727, 1350 Massachusetts Avenue, Cambridge, Massachusetts 02138 (“Harvard”).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certain Biological Material (as defined below) was developed in research conducted by Harvard researcher XXX;</w:t>
      </w:r>
    </w:p>
    <w:p>
      <w:pPr>
        <w:spacing w:after="0" w:line="225"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Harvard is committed to the policy that ideas or creative works produced at Harvard should be used for the greatest possible public</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and believes that every reasonable incentive should be provided for the prompt introduction of such ideas into public use, all in a manner consistent with the public interest;</w:t>
      </w:r>
    </w:p>
    <w:p>
      <w:pPr>
        <w:spacing w:after="0" w:line="17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Licensee desires to obtain a non-exclusive license to use the Biological Material and associated Technology Transfer Material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to produce Viruses (as defined below) and to use Viruses to manufacture Products for sale; and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Harvard desires to grant such a license to Licensee in accordance with the terms and conditions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hereto, intending to be legally bound, hereby agree as follows:</w:t>
      </w:r>
    </w:p>
    <w:p>
      <w:pPr>
        <w:spacing w:after="0" w:line="374" w:lineRule="exact"/>
        <w:rPr>
          <w:sz w:val="20"/>
          <w:szCs w:val="20"/>
          <w:color w:val="auto"/>
        </w:rPr>
      </w:pPr>
    </w:p>
    <w:p>
      <w:pPr>
        <w:ind w:left="460" w:hanging="452"/>
        <w:spacing w:after="0"/>
        <w:tabs>
          <w:tab w:leader="none" w:pos="460" w:val="left"/>
        </w:tabs>
        <w:numPr>
          <w:ilvl w:val="0"/>
          <w:numId w:val="68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Whenever used in this Agreement with an initial capital letter, the terms defined in this Article 1, whether used in the singular or the plural, will have the meanings specified below.</w:t>
      </w:r>
    </w:p>
    <w:p>
      <w:pPr>
        <w:spacing w:after="0" w:line="166"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 xml:space="preserve">1.1. “Affiliate” </w:t>
      </w:r>
      <w:r>
        <w:rPr>
          <w:rFonts w:ascii="Arial" w:cs="Arial" w:eastAsia="Arial" w:hAnsi="Arial"/>
          <w:sz w:val="17"/>
          <w:szCs w:val="17"/>
          <w:color w:val="auto"/>
        </w:rPr>
        <w:t>means, with respect to a person, organization or entity, any person, organization or entity controlling, controlled by or under common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with, such person, organization or entity. For purposes of this definition only, “control” of another person, organization or entity will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will be presumed to exist when a person, organization or entity (a) owns or directly controls fifty percent (50%) or more of the outstanding voting stock or other ownership interest of the other organization or entity or (b) possesses, directly or indirectly, the power to elect or appoint fifty percent (50%) or more of the members of the governing body of the other organization or entity. The parties acknowledge that in the case of certain entities organized under the laws of certain countries outside of the United States, the maximum percentage ownership permitted by law for a foreign investor may be less than fifty percent (50%), and that in such cases such lower percentage will be substituted in the preceding sentence.</w:t>
      </w:r>
    </w:p>
    <w:p>
      <w:pPr>
        <w:spacing w:after="0" w:line="200" w:lineRule="exact"/>
        <w:rPr>
          <w:sz w:val="20"/>
          <w:szCs w:val="20"/>
          <w:color w:val="auto"/>
        </w:rPr>
      </w:pPr>
    </w:p>
    <w:p>
      <w:pPr>
        <w:spacing w:after="0" w:line="275" w:lineRule="exact"/>
        <w:rPr>
          <w:sz w:val="20"/>
          <w:szCs w:val="20"/>
          <w:color w:val="auto"/>
        </w:rPr>
      </w:pPr>
    </w:p>
    <w:p>
      <w:pPr>
        <w:ind w:left="1580" w:right="1380" w:hanging="191"/>
        <w:spacing w:after="0" w:line="308" w:lineRule="auto"/>
        <w:tabs>
          <w:tab w:leader="none" w:pos="1945" w:val="left"/>
        </w:tabs>
        <w:numPr>
          <w:ilvl w:val="0"/>
          <w:numId w:val="682"/>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ectPr>
          <w:pgSz w:w="11900" w:h="16838" w:orient="portrait"/>
          <w:cols w:equalWidth="0" w:num="1">
            <w:col w:w="11420"/>
          </w:cols>
          <w:pgMar w:left="240" w:top="121" w:right="239" w:bottom="1440" w:gutter="0" w:footer="0" w:header="0"/>
        </w:sectPr>
      </w:pPr>
    </w:p>
    <w:bookmarkStart w:id="662" w:name="page663"/>
    <w:bookmarkEnd w:id="662"/>
    <w:p>
      <w:pPr>
        <w:ind w:left="460" w:right="3780" w:firstLine="3376"/>
        <w:spacing w:after="0" w:line="39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1.2. “Aggregate Consideration” </w:t>
      </w:r>
      <w:r>
        <w:rPr>
          <w:rFonts w:ascii="Arial" w:cs="Arial" w:eastAsia="Arial" w:hAnsi="Arial"/>
          <w:sz w:val="18"/>
          <w:szCs w:val="18"/>
          <w:color w:val="auto"/>
        </w:rPr>
        <w:t>means the amount equal to:</w:t>
      </w:r>
    </w:p>
    <w:p>
      <w:pPr>
        <w:spacing w:after="0" w:line="1" w:lineRule="exact"/>
        <w:rPr>
          <w:sz w:val="20"/>
          <w:szCs w:val="20"/>
          <w:color w:val="auto"/>
        </w:rPr>
      </w:pPr>
    </w:p>
    <w:p>
      <w:pPr>
        <w:ind w:right="60" w:firstLine="913"/>
        <w:spacing w:after="0" w:line="303"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color w:val="auto"/>
        </w:rPr>
        <w:t>in the case of an Asset Sale, the sum of (a) all cash and the fair market value of all securities or other property transferred to Licensee or</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Licensee’s direct or indirect parent company at the time of the transaction, less all current and long-term liabilities (but not contingent liabilities) of Licensee that are not discharged or assumed by the buyer (or its affiliates) in connection with the Asset Sale and (b) all cash and the fair market value of all securities and other property for Trailing Consideration payable to Licensee or Licensee’s direct or indirect parent company, when and if, actually paid; or</w:t>
      </w:r>
    </w:p>
    <w:p>
      <w:pPr>
        <w:spacing w:after="0" w:line="43"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in the case of a Merger or Stock Sale, the sum of (a) all cash and the fair market value of all securities and other property transferred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Licensee or Licensee’s direct or indirect parent company (and any option holders or warrant holders) in return for their stock (or options or warrants) in Licensee or Licensee’s direct or indirect parent company at the time of the transaction and (b) all cash and the fair market value of all securities and other property transferred to the stockholders of Licensee or Licensee’s direct or indirect parent company (and any option holders or warrant holders) for Trailing Consideration payable to the holders of Licensee’s or Licensee’s direct or indirect parent company’s securities, when and if actually paid.</w:t>
      </w:r>
    </w:p>
    <w:p>
      <w:pPr>
        <w:spacing w:after="0" w:line="5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valuation of any securities or other property shall be determined by reference to the operative transaction agreement for a respective Merger, Stock Sale or Asset Sale; provided that, if no such valuation is readily determinable from such operative transaction agreement, then for securities for which there is an active public market:</w:t>
      </w:r>
    </w:p>
    <w:p>
      <w:pPr>
        <w:spacing w:after="0" w:line="73" w:lineRule="exact"/>
        <w:rPr>
          <w:sz w:val="20"/>
          <w:szCs w:val="20"/>
          <w:color w:val="auto"/>
        </w:rPr>
      </w:pPr>
    </w:p>
    <w:p>
      <w:pPr>
        <w:ind w:left="460" w:right="60" w:firstLine="4"/>
        <w:spacing w:after="0" w:line="277" w:lineRule="auto"/>
        <w:tabs>
          <w:tab w:leader="none" w:pos="705" w:val="left"/>
        </w:tabs>
        <w:numPr>
          <w:ilvl w:val="0"/>
          <w:numId w:val="683"/>
        </w:numPr>
        <w:rPr>
          <w:rFonts w:ascii="Arial" w:cs="Arial" w:eastAsia="Arial" w:hAnsi="Arial"/>
          <w:sz w:val="18"/>
          <w:szCs w:val="18"/>
          <w:color w:val="auto"/>
        </w:rPr>
      </w:pPr>
      <w:r>
        <w:rPr>
          <w:rFonts w:ascii="Arial" w:cs="Arial" w:eastAsia="Arial" w:hAnsi="Arial"/>
          <w:sz w:val="18"/>
          <w:szCs w:val="18"/>
          <w:color w:val="auto"/>
        </w:rPr>
        <w:t>if traded on a securities exchange or the NASDAQ Stock Market, the value shall be deemed to be the average of the closing prices of the securities on such exchange or market over the 30-period ending three days prior to the closing of such transaction; or</w:t>
      </w:r>
    </w:p>
    <w:p>
      <w:pPr>
        <w:spacing w:after="0" w:line="62" w:lineRule="exact"/>
        <w:rPr>
          <w:rFonts w:ascii="Arial" w:cs="Arial" w:eastAsia="Arial" w:hAnsi="Arial"/>
          <w:sz w:val="18"/>
          <w:szCs w:val="18"/>
          <w:color w:val="auto"/>
        </w:rPr>
      </w:pPr>
    </w:p>
    <w:p>
      <w:pPr>
        <w:ind w:left="460" w:right="200" w:firstLine="4"/>
        <w:spacing w:after="0" w:line="277" w:lineRule="auto"/>
        <w:tabs>
          <w:tab w:leader="none" w:pos="715" w:val="left"/>
        </w:tabs>
        <w:numPr>
          <w:ilvl w:val="0"/>
          <w:numId w:val="683"/>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average of the closing bid prices over the 30-day period ending three days prior to the closing of such transaction.</w:t>
      </w:r>
    </w:p>
    <w:p>
      <w:pPr>
        <w:spacing w:after="0" w:line="62"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The method of valuation of securities subject to investment letters or other similar restrictions on free marketability shall take into account an appropriate discount from the market value as determined pursuant to clause (a) or (b) immediately above so as to reflect the approximate fair market value thereof.</w:t>
      </w:r>
    </w:p>
    <w:p>
      <w:pPr>
        <w:spacing w:after="0" w:line="73" w:lineRule="exact"/>
        <w:rPr>
          <w:sz w:val="20"/>
          <w:szCs w:val="20"/>
          <w:color w:val="auto"/>
        </w:rPr>
      </w:pPr>
    </w:p>
    <w:p>
      <w:pPr>
        <w:jc w:val="both"/>
        <w:ind w:left="460" w:right="220"/>
        <w:spacing w:after="0" w:line="286" w:lineRule="auto"/>
        <w:rPr>
          <w:sz w:val="20"/>
          <w:szCs w:val="20"/>
          <w:color w:val="auto"/>
        </w:rPr>
      </w:pPr>
      <w:r>
        <w:rPr>
          <w:rFonts w:ascii="Arial" w:cs="Arial" w:eastAsia="Arial" w:hAnsi="Arial"/>
          <w:sz w:val="17"/>
          <w:szCs w:val="17"/>
          <w:color w:val="auto"/>
        </w:rPr>
        <w:t>For securities for which there is no active public market, the value shall be the fair market value thereof as either (a) determined in good faith by the board of directors of Licensee or Licensee’s direct or indirect parent company, as the case may be, (b) approved by Harvard, such approval not to be unreasonably withheld or (c) determined by a third party appraiser appointed and paid for by Licensee.</w:t>
      </w:r>
    </w:p>
    <w:p>
      <w:pPr>
        <w:spacing w:after="0" w:line="98" w:lineRule="exact"/>
        <w:rPr>
          <w:sz w:val="20"/>
          <w:szCs w:val="20"/>
          <w:color w:val="auto"/>
        </w:rPr>
      </w:pPr>
    </w:p>
    <w:p>
      <w:pPr>
        <w:ind w:left="1580" w:right="1320" w:hanging="191"/>
        <w:spacing w:after="0" w:line="308" w:lineRule="auto"/>
        <w:tabs>
          <w:tab w:leader="none" w:pos="1945" w:val="left"/>
        </w:tabs>
        <w:numPr>
          <w:ilvl w:val="0"/>
          <w:numId w:val="68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1" w:right="299" w:bottom="1440" w:gutter="0" w:footer="0" w:header="0"/>
        </w:sectPr>
      </w:pPr>
    </w:p>
    <w:bookmarkStart w:id="663" w:name="page664"/>
    <w:bookmarkEnd w:id="6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260" w:firstLine="456"/>
        <w:spacing w:after="0" w:line="313" w:lineRule="auto"/>
        <w:rPr>
          <w:sz w:val="20"/>
          <w:szCs w:val="20"/>
          <w:color w:val="auto"/>
        </w:rPr>
      </w:pPr>
      <w:r>
        <w:rPr>
          <w:rFonts w:ascii="Arial" w:cs="Arial" w:eastAsia="Arial" w:hAnsi="Arial"/>
          <w:sz w:val="17"/>
          <w:szCs w:val="17"/>
          <w:b w:val="1"/>
          <w:bCs w:val="1"/>
          <w:color w:val="auto"/>
        </w:rPr>
        <w:t xml:space="preserve">1.3. “Biological Material” </w:t>
      </w:r>
      <w:r>
        <w:rPr>
          <w:rFonts w:ascii="Arial" w:cs="Arial" w:eastAsia="Arial" w:hAnsi="Arial"/>
          <w:sz w:val="17"/>
          <w:szCs w:val="17"/>
          <w:color w:val="auto"/>
        </w:rPr>
        <w:t>means any material listed in Exhibit 1</w:t>
      </w:r>
      <w:r>
        <w:rPr>
          <w:rFonts w:ascii="Arial" w:cs="Arial" w:eastAsia="Arial" w:hAnsi="Arial"/>
          <w:sz w:val="17"/>
          <w:szCs w:val="17"/>
          <w:b w:val="1"/>
          <w:bCs w:val="1"/>
          <w:color w:val="auto"/>
        </w:rPr>
        <w:t xml:space="preserve">.3 </w:t>
      </w:r>
      <w:r>
        <w:rPr>
          <w:rFonts w:ascii="Arial" w:cs="Arial" w:eastAsia="Arial" w:hAnsi="Arial"/>
          <w:sz w:val="17"/>
          <w:szCs w:val="17"/>
          <w:color w:val="auto"/>
        </w:rPr>
        <w:t>to this Agreement, together with all progeny, mutants, replicates and derivatives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(modified or unmodified)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no event shall a Virus or a Product be deemed Biological Material.</w:t>
      </w:r>
    </w:p>
    <w:p>
      <w:pPr>
        <w:spacing w:after="0" w:line="138"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b w:val="1"/>
          <w:bCs w:val="1"/>
          <w:color w:val="auto"/>
        </w:rPr>
        <w:t xml:space="preserve">1.4. “Calendar Quarter” </w:t>
      </w:r>
      <w:r>
        <w:rPr>
          <w:rFonts w:ascii="Arial" w:cs="Arial" w:eastAsia="Arial" w:hAnsi="Arial"/>
          <w:sz w:val="18"/>
          <w:szCs w:val="18"/>
          <w:color w:val="auto"/>
        </w:rPr>
        <w:t>means each of the periods of three (3) consecutive calendar months ending on March 31, June 30, September 30 and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during the Term.</w:t>
      </w:r>
    </w:p>
    <w:p>
      <w:pPr>
        <w:spacing w:after="0" w:line="16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1.5. “Change of Control” </w:t>
      </w:r>
      <w:r>
        <w:rPr>
          <w:rFonts w:ascii="Arial" w:cs="Arial" w:eastAsia="Arial" w:hAnsi="Arial"/>
          <w:sz w:val="16"/>
          <w:szCs w:val="16"/>
          <w:color w:val="auto"/>
        </w:rPr>
        <w:t>means (a) a merger, share exchange or other reorganization in which Licensee (or its successor) is a constituent party</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Merger</w:t>
      </w:r>
      <w:r>
        <w:rPr>
          <w:rFonts w:ascii="Arial" w:cs="Arial" w:eastAsia="Arial" w:hAnsi="Arial"/>
          <w:sz w:val="16"/>
          <w:szCs w:val="16"/>
          <w:color w:val="auto"/>
        </w:rPr>
        <w:t xml:space="preserve">”), (b) the acquisition, in a single transaction or series of related transactions, by a person or entity or a group of related persons or entities, of a majority of the voting power of Licensee (or such successor) from persons holding (either directly or indirectly) securities of Licensee (or such successor) </w:t>
      </w:r>
      <w:r>
        <w:rPr>
          <w:rFonts w:ascii="Arial" w:cs="Arial" w:eastAsia="Arial" w:hAnsi="Arial"/>
          <w:sz w:val="16"/>
          <w:szCs w:val="16"/>
          <w:b w:val="1"/>
          <w:bCs w:val="1"/>
          <w:color w:val="auto"/>
        </w:rPr>
        <w:t xml:space="preserve">(“Stock Sale”), </w:t>
      </w:r>
      <w:r>
        <w:rPr>
          <w:rFonts w:ascii="Arial" w:cs="Arial" w:eastAsia="Arial" w:hAnsi="Arial"/>
          <w:sz w:val="16"/>
          <w:szCs w:val="16"/>
          <w:color w:val="auto"/>
        </w:rPr>
        <w:t>or (c) the sale, lease, transfer, or other disposition, in a single transaction or series of related transactions of all or substantially all of the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of Licensee (or such successor) (or that portion of its assets related to the subject matter of this Agreement)(“</w:t>
      </w:r>
      <w:r>
        <w:rPr>
          <w:rFonts w:ascii="Arial" w:cs="Arial" w:eastAsia="Arial" w:hAnsi="Arial"/>
          <w:sz w:val="16"/>
          <w:szCs w:val="16"/>
          <w:b w:val="1"/>
          <w:bCs w:val="1"/>
          <w:color w:val="auto"/>
        </w:rPr>
        <w:t>Asset Sale</w:t>
      </w:r>
      <w:r>
        <w:rPr>
          <w:rFonts w:ascii="Arial" w:cs="Arial" w:eastAsia="Arial" w:hAnsi="Arial"/>
          <w:sz w:val="16"/>
          <w:szCs w:val="16"/>
          <w:color w:val="auto"/>
        </w:rPr>
        <w:t>”), in which, for each of (a), (b) and (c), the security holders of Licensee (or such successor) that control a majority of the voting power of Licensee (or such successor) prior to such transaction do not control, directly or indirectly, a majority of the voting power of the acquiring, surviving or successor entity, as the case may be; provided however, that</w:t>
      </w:r>
    </w:p>
    <w:p>
      <w:pPr>
        <w:spacing w:after="0" w:line="2" w:lineRule="exact"/>
        <w:rPr>
          <w:sz w:val="20"/>
          <w:szCs w:val="20"/>
          <w:color w:val="auto"/>
        </w:rPr>
      </w:pPr>
    </w:p>
    <w:p>
      <w:pPr>
        <w:jc w:val="both"/>
        <w:ind w:right="580" w:firstLine="8"/>
        <w:spacing w:after="0" w:line="255" w:lineRule="auto"/>
        <w:tabs>
          <w:tab w:leader="none" w:pos="255" w:val="left"/>
        </w:tabs>
        <w:numPr>
          <w:ilvl w:val="0"/>
          <w:numId w:val="685"/>
        </w:numPr>
        <w:rPr>
          <w:rFonts w:ascii="Arial" w:cs="Arial" w:eastAsia="Arial" w:hAnsi="Arial"/>
          <w:sz w:val="18"/>
          <w:szCs w:val="18"/>
          <w:color w:val="auto"/>
        </w:rPr>
      </w:pPr>
      <w:r>
        <w:rPr>
          <w:rFonts w:ascii="Arial" w:cs="Arial" w:eastAsia="Arial" w:hAnsi="Arial"/>
          <w:sz w:val="18"/>
          <w:szCs w:val="18"/>
          <w:color w:val="auto"/>
        </w:rPr>
        <w:t>a transaction in which working capital is raised through the non-public issuance of equity in Licensee to investors shall not constitute a “Change of Control” and (2) Licensee’s merger, combination or other transaction with its direct or indirect parent company or other Affiliate of Licensee shall not constitute a “Change of Control”.</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“FDA” </w:t>
      </w:r>
      <w:r>
        <w:rPr>
          <w:rFonts w:ascii="Arial" w:cs="Arial" w:eastAsia="Arial" w:hAnsi="Arial"/>
          <w:sz w:val="18"/>
          <w:szCs w:val="18"/>
          <w:color w:val="auto"/>
        </w:rPr>
        <w:t>means the United States Food and Drug Administration.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“Field” </w:t>
      </w:r>
      <w:r>
        <w:rPr>
          <w:rFonts w:ascii="Arial" w:cs="Arial" w:eastAsia="Arial" w:hAnsi="Arial"/>
          <w:sz w:val="18"/>
          <w:szCs w:val="18"/>
          <w:color w:val="auto"/>
        </w:rPr>
        <w:t>means the treatment of Duchenne Muscular Dystrophy.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1.8. “Major Country” </w:t>
      </w:r>
      <w:r>
        <w:rPr>
          <w:rFonts w:ascii="Arial" w:cs="Arial" w:eastAsia="Arial" w:hAnsi="Arial"/>
          <w:sz w:val="16"/>
          <w:szCs w:val="16"/>
          <w:color w:val="auto"/>
        </w:rPr>
        <w:t>means the United States, Japan, Germany, Italy, Spain, France and the United Kingdom, or the European Union, as a whole.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“Market Countries” </w:t>
      </w:r>
      <w:r>
        <w:rPr>
          <w:rFonts w:ascii="Arial" w:cs="Arial" w:eastAsia="Arial" w:hAnsi="Arial"/>
          <w:sz w:val="18"/>
          <w:szCs w:val="18"/>
          <w:color w:val="auto"/>
        </w:rPr>
        <w:t>means:</w:t>
      </w:r>
    </w:p>
    <w:p>
      <w:pPr>
        <w:spacing w:after="0" w:line="135" w:lineRule="exact"/>
        <w:rPr>
          <w:sz w:val="20"/>
          <w:szCs w:val="20"/>
          <w:color w:val="auto"/>
        </w:rPr>
      </w:pPr>
    </w:p>
    <w:p>
      <w:pPr>
        <w:ind w:left="900" w:right="240" w:hanging="446"/>
        <w:spacing w:after="0" w:line="259" w:lineRule="auto"/>
        <w:tabs>
          <w:tab w:leader="none" w:pos="90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All current and future Organization for Economic Cooperation and Development (OECD) countries, presently consisting of Australia, Austria, Belgium, Canada, Czech Republic, Denmark, Finland, France, Germany, Greece, Hungary, Iceland, Ireland, Italy, Republic of Korea, Japan, Luxembourg, Mexico, the Netherlands, New Zealand, Norway, Poland, Portugal, Spain, Sweden, Switzerland, Turkey, the UK, and the United States; and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All current and future members of the European Union not otherwise members of the OECD; and</w:t>
      </w:r>
    </w:p>
    <w:p>
      <w:pPr>
        <w:spacing w:after="0" w:line="158" w:lineRule="exact"/>
        <w:rPr>
          <w:sz w:val="20"/>
          <w:szCs w:val="20"/>
          <w:color w:val="auto"/>
        </w:rPr>
      </w:pPr>
    </w:p>
    <w:p>
      <w:pPr>
        <w:ind w:left="1580" w:right="1380" w:hanging="191"/>
        <w:spacing w:after="0" w:line="308" w:lineRule="auto"/>
        <w:tabs>
          <w:tab w:leader="none" w:pos="1945" w:val="left"/>
        </w:tabs>
        <w:numPr>
          <w:ilvl w:val="0"/>
          <w:numId w:val="68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1" w:right="239" w:bottom="1440" w:gutter="0" w:footer="0" w:header="0"/>
        </w:sectPr>
      </w:pPr>
    </w:p>
    <w:bookmarkStart w:id="664" w:name="page665"/>
    <w:bookmarkEnd w:id="664"/>
    <w:p>
      <w:pPr>
        <w:ind w:left="460" w:right="3840" w:firstLine="3376"/>
        <w:spacing w:after="0" w:line="4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w:t>
      </w:r>
      <w:r>
        <w:rPr>
          <w:rFonts w:ascii="Arial" w:cs="Arial" w:eastAsia="Arial" w:hAnsi="Arial"/>
          <w:sz w:val="17"/>
          <w:szCs w:val="17"/>
          <w:color w:val="auto"/>
        </w:rPr>
        <w:t>(c) People’s Republic of China, India, Malaysia, Russian Federation, Singapore, and Taiwan.</w:t>
      </w:r>
    </w:p>
    <w:p>
      <w:pPr>
        <w:ind w:firstLine="456"/>
        <w:spacing w:after="0" w:line="282" w:lineRule="auto"/>
        <w:rPr>
          <w:sz w:val="20"/>
          <w:szCs w:val="20"/>
          <w:color w:val="auto"/>
        </w:rPr>
      </w:pPr>
      <w:r>
        <w:rPr>
          <w:rFonts w:ascii="Arial" w:cs="Arial" w:eastAsia="Arial" w:hAnsi="Arial"/>
          <w:sz w:val="18"/>
          <w:szCs w:val="18"/>
          <w:b w:val="1"/>
          <w:bCs w:val="1"/>
          <w:color w:val="auto"/>
        </w:rPr>
        <w:t xml:space="preserve">1.10. “Marketing Approval” </w:t>
      </w:r>
      <w:r>
        <w:rPr>
          <w:rFonts w:ascii="Arial" w:cs="Arial" w:eastAsia="Arial" w:hAnsi="Arial"/>
          <w:sz w:val="18"/>
          <w:szCs w:val="18"/>
          <w:color w:val="auto"/>
        </w:rPr>
        <w:t>means all approvals from the relevant Regulatory Authority of a Major Country necessary to market and sell a Product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country or territory.</w:t>
      </w:r>
    </w:p>
    <w:p>
      <w:pPr>
        <w:spacing w:after="0" w:line="16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b w:val="1"/>
          <w:bCs w:val="1"/>
          <w:color w:val="auto"/>
        </w:rPr>
        <w:t xml:space="preserve">1.11. “Net Sales” </w:t>
      </w:r>
      <w:r>
        <w:rPr>
          <w:rFonts w:ascii="Arial" w:cs="Arial" w:eastAsia="Arial" w:hAnsi="Arial"/>
          <w:sz w:val="17"/>
          <w:szCs w:val="17"/>
          <w:color w:val="auto"/>
        </w:rPr>
        <w:t>means the gross amount billed or invoiced by or on behalf of Licensee or its Sublicensees (in each case, the “Invoicing Entity”) on</w:t>
      </w:r>
      <w:r>
        <w:rPr>
          <w:rFonts w:ascii="Arial" w:cs="Arial" w:eastAsia="Arial" w:hAnsi="Arial"/>
          <w:sz w:val="17"/>
          <w:szCs w:val="17"/>
          <w:b w:val="1"/>
          <w:bCs w:val="1"/>
          <w:color w:val="auto"/>
        </w:rPr>
        <w:t xml:space="preserve"> </w:t>
      </w:r>
      <w:r>
        <w:rPr>
          <w:rFonts w:ascii="Arial" w:cs="Arial" w:eastAsia="Arial" w:hAnsi="Arial"/>
          <w:sz w:val="17"/>
          <w:szCs w:val="17"/>
          <w:color w:val="auto"/>
        </w:rPr>
        <w:t>sales, leases or other transfers of Products, less the following to the extent applicable with respect to such sales, leases or other transfers and not previously deducted from the gross invoice price: (a) customary trade, quantity or cash discounts to the extent actually allowed and taken; (b) amounts actually repaid or credited by reason of rejection or return of any previously sold, leased or otherwise transferred Products; (c) customer freight, shipping, transportation, delivery, packaging and/or cost of insurance prepaid charges that are paid or actually allowed by or on behalf of the Invoicing Entity; and (d) to the extent separately stated on purchase orders, invoices or other documents of sale, any sales, use, value added or similar taxes, tariffs, custom duties or other similar governmental charges levied directly on the production, sale, transportation, delivery or use of a Product that are paid by or on behalf of the Invoicing Entity, but not including any tax levied with respect to income; provided that:</w:t>
      </w:r>
    </w:p>
    <w:p>
      <w:pPr>
        <w:spacing w:after="0" w:line="172"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 xml:space="preserve">1.11.1. </w:t>
      </w:r>
      <w:r>
        <w:rPr>
          <w:rFonts w:ascii="Arial" w:cs="Arial" w:eastAsia="Arial" w:hAnsi="Arial"/>
          <w:sz w:val="18"/>
          <w:szCs w:val="18"/>
          <w:color w:val="auto"/>
        </w:rPr>
        <w:t>in any transfers of Products between an Invoicing Entity and an Affiliate of such Invoicing Entity not for the purpose of resale by such</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Net Sales will be equal to the fair market value of the Products so transferred, assuming an arm’s length transaction made in the ordinary course of business, and</w:t>
      </w:r>
    </w:p>
    <w:p>
      <w:pPr>
        <w:spacing w:after="0" w:line="176"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color w:val="auto"/>
        </w:rPr>
        <w:t>in the event that an Invoicing Entity receives non-cash consideration for any Products or in the case of transactions not at arm’s length</w:t>
      </w:r>
      <w:r>
        <w:rPr>
          <w:rFonts w:ascii="Arial" w:cs="Arial" w:eastAsia="Arial" w:hAnsi="Arial"/>
          <w:sz w:val="18"/>
          <w:szCs w:val="18"/>
          <w:b w:val="1"/>
          <w:bCs w:val="1"/>
          <w:color w:val="auto"/>
        </w:rPr>
        <w:t xml:space="preserve"> </w:t>
      </w:r>
      <w:r>
        <w:rPr>
          <w:rFonts w:ascii="Arial" w:cs="Arial" w:eastAsia="Arial" w:hAnsi="Arial"/>
          <w:sz w:val="18"/>
          <w:szCs w:val="18"/>
          <w:color w:val="auto"/>
        </w:rPr>
        <w:t>with a non-Affiliate of an Invoicing Entity, Net Sales will be calculated based on the fair market value of such consideration or transaction, assuming an arm’s length transaction made in the ordinary course of business;</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1.11.3. </w:t>
      </w:r>
      <w:r>
        <w:rPr>
          <w:rFonts w:ascii="Arial" w:cs="Arial" w:eastAsia="Arial" w:hAnsi="Arial"/>
          <w:sz w:val="16"/>
          <w:szCs w:val="16"/>
          <w:color w:val="auto"/>
        </w:rPr>
        <w:t>sales of Products to Public Sector entities in Non-Suit Countries for end use solely in Non-Suit Countries will not be deemed Net Sales;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sales of Products by an Invoicing Entity to its Affiliate or a Sublicensee for resale by such Affiliate or Sublicensee will not be deemed Net</w:t>
      </w:r>
      <w:r>
        <w:rPr>
          <w:rFonts w:ascii="Arial" w:cs="Arial" w:eastAsia="Arial" w:hAnsi="Arial"/>
          <w:sz w:val="18"/>
          <w:szCs w:val="18"/>
          <w:b w:val="1"/>
          <w:bCs w:val="1"/>
          <w:color w:val="auto"/>
        </w:rPr>
        <w:t xml:space="preserve"> </w:t>
      </w:r>
      <w:r>
        <w:rPr>
          <w:rFonts w:ascii="Arial" w:cs="Arial" w:eastAsia="Arial" w:hAnsi="Arial"/>
          <w:sz w:val="18"/>
          <w:szCs w:val="18"/>
          <w:color w:val="auto"/>
        </w:rPr>
        <w:t>Sales. Instead, Net Sales will be determined based on the gross amount billed or invoiced by such Affiliate or Sublicensee upon resale of such Products to a third party purchaser.</w:t>
      </w:r>
    </w:p>
    <w:p>
      <w:pPr>
        <w:spacing w:after="0" w:line="17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1.12. “Non-Royalty Income” </w:t>
      </w:r>
      <w:r>
        <w:rPr>
          <w:rFonts w:ascii="Arial" w:cs="Arial" w:eastAsia="Arial" w:hAnsi="Arial"/>
          <w:sz w:val="16"/>
          <w:szCs w:val="16"/>
          <w:color w:val="auto"/>
        </w:rPr>
        <w:t>means any payments or other consideration that Licensee or any of its Affiliates receives in connection with a Sublicense</w:t>
      </w:r>
      <w:r>
        <w:rPr>
          <w:rFonts w:ascii="Arial" w:cs="Arial" w:eastAsia="Arial" w:hAnsi="Arial"/>
          <w:sz w:val="16"/>
          <w:szCs w:val="16"/>
          <w:b w:val="1"/>
          <w:bCs w:val="1"/>
          <w:color w:val="auto"/>
        </w:rPr>
        <w:t xml:space="preserve"> </w:t>
      </w:r>
      <w:r>
        <w:rPr>
          <w:rFonts w:ascii="Arial" w:cs="Arial" w:eastAsia="Arial" w:hAnsi="Arial"/>
          <w:sz w:val="16"/>
          <w:szCs w:val="16"/>
          <w:color w:val="auto"/>
        </w:rPr>
        <w:t>or Strategic Partnership, including without limitation, fees, milestone payments, agreement maintenance fees, and other payments, but specifically excluding</w:t>
      </w:r>
    </w:p>
    <w:p>
      <w:pPr>
        <w:spacing w:after="0" w:line="1" w:lineRule="exact"/>
        <w:rPr>
          <w:sz w:val="20"/>
          <w:szCs w:val="20"/>
          <w:color w:val="auto"/>
        </w:rPr>
      </w:pPr>
    </w:p>
    <w:p>
      <w:pPr>
        <w:ind w:left="260" w:hanging="252"/>
        <w:spacing w:after="0"/>
        <w:tabs>
          <w:tab w:leader="none" w:pos="260" w:val="left"/>
        </w:tabs>
        <w:numPr>
          <w:ilvl w:val="0"/>
          <w:numId w:val="688"/>
        </w:numPr>
        <w:rPr>
          <w:rFonts w:ascii="Arial" w:cs="Arial" w:eastAsia="Arial" w:hAnsi="Arial"/>
          <w:sz w:val="16"/>
          <w:szCs w:val="16"/>
          <w:color w:val="auto"/>
        </w:rPr>
      </w:pPr>
      <w:r>
        <w:rPr>
          <w:rFonts w:ascii="Arial" w:cs="Arial" w:eastAsia="Arial" w:hAnsi="Arial"/>
          <w:sz w:val="16"/>
          <w:szCs w:val="16"/>
          <w:color w:val="auto"/>
        </w:rPr>
        <w:t>royalties based on Net Sales, (b) amounts received from a Sublicensee or Strategic Partner to cover reasonable, fully-burdened costs incurred or to be</w:t>
      </w:r>
    </w:p>
    <w:p>
      <w:pPr>
        <w:spacing w:after="0" w:line="166" w:lineRule="exact"/>
        <w:rPr>
          <w:rFonts w:ascii="Arial" w:cs="Arial" w:eastAsia="Arial" w:hAnsi="Arial"/>
          <w:sz w:val="16"/>
          <w:szCs w:val="16"/>
          <w:color w:val="auto"/>
        </w:rPr>
      </w:pPr>
    </w:p>
    <w:p>
      <w:pPr>
        <w:ind w:left="1580" w:right="1380" w:hanging="191"/>
        <w:spacing w:after="0" w:line="308" w:lineRule="auto"/>
        <w:tabs>
          <w:tab w:leader="none" w:pos="1945" w:val="left"/>
        </w:tabs>
        <w:numPr>
          <w:ilvl w:val="1"/>
          <w:numId w:val="688"/>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9" w:right="239" w:bottom="1440" w:gutter="0" w:footer="0" w:header="0"/>
        </w:sectPr>
      </w:pPr>
    </w:p>
    <w:bookmarkStart w:id="665" w:name="page666"/>
    <w:bookmarkEnd w:id="6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incurred by Licensee in the performance of research or development activities after the Effective Date, (c) amounts received from a Sublicensee or Strategic Partner as reimbursement for out-of-pocket costs incurred by Licensee in the preparation, filing, prosecution and maintenance of the Patent Rights, or</w:t>
      </w:r>
    </w:p>
    <w:p>
      <w:pPr>
        <w:ind w:firstLine="8"/>
        <w:spacing w:after="0" w:line="287" w:lineRule="auto"/>
        <w:tabs>
          <w:tab w:leader="none" w:pos="255" w:val="left"/>
        </w:tabs>
        <w:numPr>
          <w:ilvl w:val="0"/>
          <w:numId w:val="689"/>
        </w:numPr>
        <w:rPr>
          <w:rFonts w:ascii="Arial" w:cs="Arial" w:eastAsia="Arial" w:hAnsi="Arial"/>
          <w:sz w:val="16"/>
          <w:szCs w:val="16"/>
          <w:color w:val="auto"/>
        </w:rPr>
      </w:pPr>
      <w:r>
        <w:rPr>
          <w:rFonts w:ascii="Arial" w:cs="Arial" w:eastAsia="Arial" w:hAnsi="Arial"/>
          <w:sz w:val="16"/>
          <w:szCs w:val="16"/>
          <w:color w:val="auto"/>
        </w:rPr>
        <w:t>consideration for the issuance of equity interests in Licensee to the extent the amount paid for such equity does not exceed its fair market value. If Licensee or its Affiliate receives non-cash consideration in connection with a Sublicense or Strategic Partnership, or in the case of transactions not at arm’s length, Non-Royalty Income will be calculated based on the fair market value of such consideration or transaction, at the time of the transaction, assuming an arm’s length transaction made in the ordinary course of business. To the extent Licensee receives compensation for both a grant of a Sublicense of rights to the Biological Material and/or the Technology Transfer Material under Section 2.1 and the grant of other rights or licenses to intellectual property other than a Sublicense of rights granted under Section 2.1, such compensation will be reasonably apportioned between that amount attributable to the Sublicense of rights under Section 2.1, which shall be deemed Non-Royalty Income, and that amount attributable to the grant of other rights or licenses in such other intellectual property, which shall be excluded from Non-Royalty Income, such apportionment to be reasonably agreed upon by the Parties.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1.13. “Non-Suit Countries” </w:t>
      </w:r>
      <w:r>
        <w:rPr>
          <w:rFonts w:ascii="Arial" w:cs="Arial" w:eastAsia="Arial" w:hAnsi="Arial"/>
          <w:sz w:val="18"/>
          <w:szCs w:val="18"/>
          <w:color w:val="auto"/>
        </w:rPr>
        <w:t>means all countries other than Market Countries.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1.14. “Product” </w:t>
      </w:r>
      <w:r>
        <w:rPr>
          <w:rFonts w:ascii="Arial" w:cs="Arial" w:eastAsia="Arial" w:hAnsi="Arial"/>
          <w:sz w:val="18"/>
          <w:szCs w:val="18"/>
          <w:color w:val="auto"/>
        </w:rPr>
        <w:t>means any product produced by a Virus or through the use of the Biological Material or Technology Transfer Material.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1.15. “Public Sector” </w:t>
      </w:r>
      <w:r>
        <w:rPr>
          <w:rFonts w:ascii="Arial" w:cs="Arial" w:eastAsia="Arial" w:hAnsi="Arial"/>
          <w:sz w:val="18"/>
          <w:szCs w:val="18"/>
          <w:color w:val="auto"/>
        </w:rPr>
        <w:t>will include:</w:t>
      </w:r>
    </w:p>
    <w:p>
      <w:pPr>
        <w:spacing w:after="0" w:line="135" w:lineRule="exact"/>
        <w:rPr>
          <w:sz w:val="20"/>
          <w:szCs w:val="20"/>
          <w:color w:val="auto"/>
        </w:rPr>
      </w:pPr>
    </w:p>
    <w:p>
      <w:pPr>
        <w:ind w:left="900" w:hanging="446"/>
        <w:spacing w:after="0"/>
        <w:tabs>
          <w:tab w:leader="none" w:pos="90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sovereign government of a country;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agencies of the United Nations and the World Health Organization;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non-profit organizations which are members of the International Committee of the Red Cross and Red Crescent;</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international charitable agencies (also known as Non-Governmental Agencies) including but not limited to Oxfam, Medecins Sans Frontieres, and so forth;</w:t>
      </w:r>
    </w:p>
    <w:p>
      <w:pPr>
        <w:spacing w:after="0" w:line="75" w:lineRule="exact"/>
        <w:rPr>
          <w:rFonts w:ascii="Arial" w:cs="Arial" w:eastAsia="Arial" w:hAnsi="Arial"/>
          <w:sz w:val="18"/>
          <w:szCs w:val="18"/>
          <w:color w:val="auto"/>
        </w:rPr>
      </w:pPr>
    </w:p>
    <w:p>
      <w:pPr>
        <w:jc w:val="both"/>
        <w:ind w:left="900" w:right="780" w:hanging="446"/>
        <w:spacing w:after="0" w:line="264" w:lineRule="auto"/>
        <w:tabs>
          <w:tab w:leader="none" w:pos="90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non-profit organizations substantially supported by philanthropic organizations including but not limited to the Bill and Melinda Gates Foundation, the Rockefeller Foundation and so forth, specifically including global product development and distribution public-private partnerships.</w:t>
      </w:r>
    </w:p>
    <w:p>
      <w:pPr>
        <w:spacing w:after="0" w:line="177"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 xml:space="preserve">1.16. “Regulatory Authority” </w:t>
      </w:r>
      <w:r>
        <w:rPr>
          <w:rFonts w:ascii="Arial" w:cs="Arial" w:eastAsia="Arial" w:hAnsi="Arial"/>
          <w:sz w:val="18"/>
          <w:szCs w:val="18"/>
          <w:color w:val="auto"/>
        </w:rPr>
        <w:t>means any applicable government regulatory authority involved in granting approvals for the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of a Product, including, in the United States, the FDA.</w:t>
      </w:r>
    </w:p>
    <w:p>
      <w:pPr>
        <w:spacing w:after="0" w:line="98" w:lineRule="exact"/>
        <w:rPr>
          <w:sz w:val="20"/>
          <w:szCs w:val="20"/>
          <w:color w:val="auto"/>
        </w:rPr>
      </w:pPr>
    </w:p>
    <w:p>
      <w:pPr>
        <w:ind w:left="1580" w:right="1360" w:hanging="191"/>
        <w:spacing w:after="0" w:line="308" w:lineRule="auto"/>
        <w:tabs>
          <w:tab w:leader="none" w:pos="1945" w:val="left"/>
        </w:tabs>
        <w:numPr>
          <w:ilvl w:val="0"/>
          <w:numId w:val="691"/>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1" w:right="259" w:bottom="1440" w:gutter="0" w:footer="0" w:header="0"/>
        </w:sectPr>
      </w:pPr>
    </w:p>
    <w:bookmarkStart w:id="666" w:name="page667"/>
    <w:bookmarkEnd w:id="6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1.17. “Strategic Partner” </w:t>
      </w:r>
      <w:r>
        <w:rPr>
          <w:rFonts w:ascii="Arial" w:cs="Arial" w:eastAsia="Arial" w:hAnsi="Arial"/>
          <w:sz w:val="18"/>
          <w:szCs w:val="18"/>
          <w:color w:val="auto"/>
        </w:rPr>
        <w:t>means any entity that agrees to compensate Licensee or its Affiliate in exchange for: Licensee’s or its Affiliate’s practice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Patent Rights and/or development of Products, on behalf of or in collaboration with such entity, including without limitation, for commercialization and development activities for Products. Any entity which meets the foregoing criteria, that also receives a Sublicense shall be considered a Sublicensee, and not a Strategic Partner, for the purposes of this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1.18. “Strategic Partnership” </w:t>
      </w:r>
      <w:r>
        <w:rPr>
          <w:rFonts w:ascii="Arial" w:cs="Arial" w:eastAsia="Arial" w:hAnsi="Arial"/>
          <w:sz w:val="18"/>
          <w:szCs w:val="18"/>
          <w:color w:val="auto"/>
        </w:rPr>
        <w:t>means any agreement with a Strategic Partner.</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1.19. “Sublicense” </w:t>
      </w:r>
      <w:r>
        <w:rPr>
          <w:rFonts w:ascii="Arial" w:cs="Arial" w:eastAsia="Arial" w:hAnsi="Arial"/>
          <w:sz w:val="18"/>
          <w:szCs w:val="18"/>
          <w:color w:val="auto"/>
        </w:rPr>
        <w:t>shall mean (a) any right granted, license given or agreement entered into by Licensee to or with any other person or entity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strategic or development partnerships), under or with respect to or permitting any use or exploitation of the Biological Material and/or the Technology Transfer Material for the purpose of producing Viruses to be used in the production of Products, or otherwise permitting the development, manufacture, marketing, distribution, use and/or sale of Products; (b) any option or other right granted by Licensee to any other person or entity to negotiate for or receive any of the rights described under clause (a); or (c) any standstill or similar obligation undertaken by Licensee toward any other person or entity not to grant any of the rights described in clause (a) or (b) to any third party; in each case regardless of whether such grant of rights, license given or agreement entered into is referred to or is described as a sublicense.</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“Sublicensee” </w:t>
      </w:r>
      <w:r>
        <w:rPr>
          <w:rFonts w:ascii="Arial" w:cs="Arial" w:eastAsia="Arial" w:hAnsi="Arial"/>
          <w:sz w:val="18"/>
          <w:szCs w:val="18"/>
          <w:color w:val="auto"/>
        </w:rPr>
        <w:t>shall mean any person or entity granted a Sublicense.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1.21. “Technology Transfer Material” </w:t>
      </w:r>
      <w:r>
        <w:rPr>
          <w:rFonts w:ascii="Arial" w:cs="Arial" w:eastAsia="Arial" w:hAnsi="Arial"/>
          <w:sz w:val="18"/>
          <w:szCs w:val="18"/>
          <w:color w:val="auto"/>
        </w:rPr>
        <w:t>means the methods, protocols and other information listed in Exhibit 1.21 hereto.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1.22. “Term” </w:t>
      </w:r>
      <w:r>
        <w:rPr>
          <w:rFonts w:ascii="Arial" w:cs="Arial" w:eastAsia="Arial" w:hAnsi="Arial"/>
          <w:sz w:val="18"/>
          <w:szCs w:val="18"/>
          <w:color w:val="auto"/>
        </w:rPr>
        <w:t>means the term of this Agreement as set forth in Section 6.1.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1.23. “Third Party” </w:t>
      </w:r>
      <w:r>
        <w:rPr>
          <w:rFonts w:ascii="Arial" w:cs="Arial" w:eastAsia="Arial" w:hAnsi="Arial"/>
          <w:sz w:val="18"/>
          <w:szCs w:val="18"/>
          <w:color w:val="auto"/>
        </w:rPr>
        <w:t>means any person or entity other than Harvard, Licensee and Licensee’s Affiliates.</w:t>
      </w:r>
    </w:p>
    <w:p>
      <w:pPr>
        <w:spacing w:after="0" w:line="117"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b w:val="1"/>
          <w:bCs w:val="1"/>
          <w:color w:val="auto"/>
        </w:rPr>
        <w:t xml:space="preserve">1.24. “Trailing Consideration” </w:t>
      </w:r>
      <w:r>
        <w:rPr>
          <w:rFonts w:ascii="Arial" w:cs="Arial" w:eastAsia="Arial" w:hAnsi="Arial"/>
          <w:sz w:val="18"/>
          <w:szCs w:val="18"/>
          <w:color w:val="auto"/>
        </w:rPr>
        <w:t>means any payments due for any deferred or contingent aggregate consideration payable to Licensee, its direct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parent company, or its security holders, as the case may be, with respect to an Asset Sale, Merger or Stock Sale, including, without limitation, any post-closing milestone payment, escrow or holdback of consideration.</w:t>
      </w:r>
    </w:p>
    <w:p>
      <w:pPr>
        <w:spacing w:after="0" w:line="68"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 xml:space="preserve">1.25. “Virus” </w:t>
      </w:r>
      <w:r>
        <w:rPr>
          <w:rFonts w:ascii="Arial" w:cs="Arial" w:eastAsia="Arial" w:hAnsi="Arial"/>
          <w:sz w:val="18"/>
          <w:szCs w:val="18"/>
          <w:color w:val="auto"/>
        </w:rPr>
        <w:t>means any virus produced by Licensee or a Sublicensee through use of the Biological Material that does not contain any Biological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or any functional portion or functional fragment thereof.</w:t>
      </w:r>
    </w:p>
    <w:p>
      <w:pPr>
        <w:spacing w:after="0" w:line="98" w:lineRule="exact"/>
        <w:rPr>
          <w:sz w:val="20"/>
          <w:szCs w:val="20"/>
          <w:color w:val="auto"/>
        </w:rPr>
      </w:pPr>
    </w:p>
    <w:p>
      <w:pPr>
        <w:ind w:left="1580" w:right="1380" w:hanging="191"/>
        <w:spacing w:after="0" w:line="308" w:lineRule="auto"/>
        <w:tabs>
          <w:tab w:leader="none" w:pos="1945" w:val="left"/>
        </w:tabs>
        <w:numPr>
          <w:ilvl w:val="0"/>
          <w:numId w:val="692"/>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67" w:name="page668"/>
    <w:bookmarkEnd w:id="6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00" w:lineRule="exact"/>
        <w:rPr>
          <w:sz w:val="20"/>
          <w:szCs w:val="20"/>
          <w:color w:val="auto"/>
        </w:rPr>
      </w:pPr>
    </w:p>
    <w:p>
      <w:pPr>
        <w:spacing w:after="0" w:line="322" w:lineRule="exact"/>
        <w:rPr>
          <w:sz w:val="20"/>
          <w:szCs w:val="20"/>
          <w:color w:val="auto"/>
        </w:rPr>
      </w:pPr>
    </w:p>
    <w:p>
      <w:pPr>
        <w:ind w:left="460" w:hanging="452"/>
        <w:spacing w:after="0"/>
        <w:tabs>
          <w:tab w:leader="none" w:pos="460" w:val="left"/>
        </w:tabs>
        <w:numPr>
          <w:ilvl w:val="0"/>
          <w:numId w:val="693"/>
        </w:numPr>
        <w:rPr>
          <w:rFonts w:ascii="Arial" w:cs="Arial" w:eastAsia="Arial" w:hAnsi="Arial"/>
          <w:sz w:val="18"/>
          <w:szCs w:val="18"/>
          <w:b w:val="1"/>
          <w:bCs w:val="1"/>
          <w:color w:val="auto"/>
        </w:rPr>
      </w:pPr>
      <w:r>
        <w:rPr>
          <w:rFonts w:ascii="Arial" w:cs="Arial" w:eastAsia="Arial" w:hAnsi="Arial"/>
          <w:sz w:val="18"/>
          <w:szCs w:val="18"/>
          <w:b w:val="1"/>
          <w:bCs w:val="1"/>
          <w:color w:val="auto"/>
        </w:rPr>
        <w:t>License.</w:t>
      </w:r>
    </w:p>
    <w:p>
      <w:pPr>
        <w:spacing w:after="0" w:line="11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2.1. License Grant. </w:t>
      </w:r>
      <w:r>
        <w:rPr>
          <w:rFonts w:ascii="Arial" w:cs="Arial" w:eastAsia="Arial" w:hAnsi="Arial"/>
          <w:sz w:val="18"/>
          <w:szCs w:val="18"/>
          <w:color w:val="auto"/>
        </w:rPr>
        <w:t>Subject to the terms and conditions set forth in this Agreement, Harvard hereby grants to Licensee a non-exclusive, royalty-bearing, worldwide license, sublicensable solely in accordance with Section 2.2, to use the Biological Material and the Technology Transfer Material solely to produce Viruses solely to make and sell Products for use in the Field.</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Sublicenses.</w:t>
      </w:r>
    </w:p>
    <w:p>
      <w:pPr>
        <w:spacing w:after="0" w:line="11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2.2.1. Sublicense Grant. </w:t>
      </w:r>
      <w:r>
        <w:rPr>
          <w:rFonts w:ascii="Arial" w:cs="Arial" w:eastAsia="Arial" w:hAnsi="Arial"/>
          <w:sz w:val="18"/>
          <w:szCs w:val="18"/>
          <w:color w:val="auto"/>
        </w:rPr>
        <w:t>Licensee will be entitled to grant Sublicenses to Third Parties under the license granted pursuant to Section 2.1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terms of this Section 2.2;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grant is made (a) in conjunction with a license to technology owned or controlled by Licensee (other than the Biological Material and the Technology Transfer Material) that is included in or useful for the making of Products, and (b) solely for the manufacture of Viruses solely to make and sell Products for use in the Field. Affiliates of Licensee shall be permitted to exercise such right as a Sublicensee only with Harvard’s prior written consent, not to be unreasonably withheld or delayed;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Licensee shall ensure that any such Affiliate complies with the terms of this Section 2.2.</w:t>
      </w:r>
    </w:p>
    <w:p>
      <w:pPr>
        <w:spacing w:after="0" w:line="80"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b w:val="1"/>
          <w:bCs w:val="1"/>
          <w:color w:val="auto"/>
        </w:rPr>
        <w:t xml:space="preserve">2.2.2. Sublicense Agreements. </w:t>
      </w:r>
      <w:r>
        <w:rPr>
          <w:rFonts w:ascii="Arial" w:cs="Arial" w:eastAsia="Arial" w:hAnsi="Arial"/>
          <w:sz w:val="18"/>
          <w:szCs w:val="18"/>
          <w:color w:val="auto"/>
        </w:rPr>
        <w:t>Sublicenses shall be granted pursuant to written agreements, which will be subject and subordinate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this Agreement. Such Sublicense agreements will contain, among other things, the following:</w:t>
      </w:r>
    </w:p>
    <w:p>
      <w:pPr>
        <w:spacing w:after="0" w:line="5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2.2.2.1. </w:t>
      </w:r>
      <w:r>
        <w:rPr>
          <w:rFonts w:ascii="Arial" w:cs="Arial" w:eastAsia="Arial" w:hAnsi="Arial"/>
          <w:sz w:val="18"/>
          <w:szCs w:val="18"/>
          <w:color w:val="auto"/>
        </w:rPr>
        <w:t>all provisions necessary to ensure Licensee’s ability to perform its obligations under this Agreement;</w:t>
      </w:r>
    </w:p>
    <w:p>
      <w:pPr>
        <w:spacing w:after="0" w:line="117" w:lineRule="exact"/>
        <w:rPr>
          <w:sz w:val="20"/>
          <w:szCs w:val="20"/>
          <w:color w:val="auto"/>
        </w:rPr>
      </w:pPr>
    </w:p>
    <w:p>
      <w:pPr>
        <w:ind w:right="740" w:firstLine="1484"/>
        <w:spacing w:after="0" w:line="313" w:lineRule="auto"/>
        <w:rPr>
          <w:sz w:val="20"/>
          <w:szCs w:val="20"/>
          <w:color w:val="auto"/>
        </w:rPr>
      </w:pPr>
      <w:r>
        <w:rPr>
          <w:rFonts w:ascii="Arial" w:cs="Arial" w:eastAsia="Arial" w:hAnsi="Arial"/>
          <w:sz w:val="17"/>
          <w:szCs w:val="17"/>
          <w:b w:val="1"/>
          <w:bCs w:val="1"/>
          <w:color w:val="auto"/>
        </w:rPr>
        <w:t xml:space="preserve">2.2.2.2. </w:t>
      </w:r>
      <w:r>
        <w:rPr>
          <w:rFonts w:ascii="Arial" w:cs="Arial" w:eastAsia="Arial" w:hAnsi="Arial"/>
          <w:sz w:val="17"/>
          <w:szCs w:val="17"/>
          <w:color w:val="auto"/>
        </w:rPr>
        <w:t>a section substantially the same as Article 5 of this Agreement, which also will state that the Indemnitees (as defined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5.1) are intended third party beneficiaries of such Sublicense agreement for the purpose of enforcing such indemnification;</w:t>
      </w:r>
    </w:p>
    <w:p>
      <w:pPr>
        <w:spacing w:after="0" w:line="30" w:lineRule="exact"/>
        <w:rPr>
          <w:sz w:val="20"/>
          <w:szCs w:val="20"/>
          <w:color w:val="auto"/>
        </w:rPr>
      </w:pPr>
    </w:p>
    <w:p>
      <w:pPr>
        <w:ind w:right="80" w:firstLine="1484"/>
        <w:spacing w:after="0" w:line="277" w:lineRule="auto"/>
        <w:rPr>
          <w:sz w:val="20"/>
          <w:szCs w:val="20"/>
          <w:color w:val="auto"/>
        </w:rPr>
      </w:pPr>
      <w:r>
        <w:rPr>
          <w:rFonts w:ascii="Arial" w:cs="Arial" w:eastAsia="Arial" w:hAnsi="Arial"/>
          <w:sz w:val="17"/>
          <w:szCs w:val="17"/>
          <w:b w:val="1"/>
          <w:bCs w:val="1"/>
          <w:color w:val="auto"/>
        </w:rPr>
        <w:t xml:space="preserve">2.2.2.3. </w:t>
      </w:r>
      <w:r>
        <w:rPr>
          <w:rFonts w:ascii="Arial" w:cs="Arial" w:eastAsia="Arial" w:hAnsi="Arial"/>
          <w:sz w:val="17"/>
          <w:szCs w:val="17"/>
          <w:color w:val="auto"/>
        </w:rPr>
        <w:t>a provision clarifying that, in the event of termination of the license set forth in Section 2.1 (in whole or in part), any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Sublicense agreement shall terminate to the extent of such terminated license;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each Sublicensee, upon termination of the license, if the Sublicensee is not then in breach of the Sublicense agreement such that Licensee would have the right to terminate such Sublicense agreement, such Sublicensee shall have the right to obtain a direct license from Harvard on the same terms and conditions as set forth herein, which direct license shall not impose any representations, warranties, obligations or liabilities on Harvard that are not included in this Agreement;</w:t>
      </w:r>
    </w:p>
    <w:p>
      <w:pPr>
        <w:spacing w:after="0" w:line="60" w:lineRule="exact"/>
        <w:rPr>
          <w:sz w:val="20"/>
          <w:szCs w:val="20"/>
          <w:color w:val="auto"/>
        </w:rPr>
      </w:pPr>
    </w:p>
    <w:p>
      <w:pPr>
        <w:ind w:right="160" w:firstLine="1484"/>
        <w:spacing w:after="0" w:line="282" w:lineRule="auto"/>
        <w:rPr>
          <w:sz w:val="20"/>
          <w:szCs w:val="20"/>
          <w:color w:val="auto"/>
        </w:rPr>
      </w:pPr>
      <w:r>
        <w:rPr>
          <w:rFonts w:ascii="Arial" w:cs="Arial" w:eastAsia="Arial" w:hAnsi="Arial"/>
          <w:sz w:val="18"/>
          <w:szCs w:val="18"/>
          <w:b w:val="1"/>
          <w:bCs w:val="1"/>
          <w:color w:val="auto"/>
        </w:rPr>
        <w:t xml:space="preserve">2.2.2.4. </w:t>
      </w:r>
      <w:r>
        <w:rPr>
          <w:rFonts w:ascii="Arial" w:cs="Arial" w:eastAsia="Arial" w:hAnsi="Arial"/>
          <w:sz w:val="18"/>
          <w:szCs w:val="18"/>
          <w:color w:val="auto"/>
        </w:rPr>
        <w:t>a provision clarifying that the Sublicensee shall only be entitled to sublicense its rights under such Sublicense agreement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set forth in this Section 2.2; and</w:t>
      </w:r>
    </w:p>
    <w:p>
      <w:pPr>
        <w:spacing w:after="0" w:line="98" w:lineRule="exact"/>
        <w:rPr>
          <w:sz w:val="20"/>
          <w:szCs w:val="20"/>
          <w:color w:val="auto"/>
        </w:rPr>
      </w:pPr>
    </w:p>
    <w:p>
      <w:pPr>
        <w:ind w:left="1580" w:right="1360" w:hanging="191"/>
        <w:spacing w:after="0" w:line="308" w:lineRule="auto"/>
        <w:tabs>
          <w:tab w:leader="none" w:pos="1945" w:val="left"/>
        </w:tabs>
        <w:numPr>
          <w:ilvl w:val="0"/>
          <w:numId w:val="69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668" w:name="page669"/>
    <w:bookmarkEnd w:id="6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ind w:right="20" w:firstLine="1484"/>
        <w:spacing w:after="0" w:line="261" w:lineRule="auto"/>
        <w:rPr>
          <w:sz w:val="20"/>
          <w:szCs w:val="20"/>
          <w:color w:val="auto"/>
        </w:rPr>
      </w:pPr>
      <w:r>
        <w:rPr>
          <w:rFonts w:ascii="Arial" w:cs="Arial" w:eastAsia="Arial" w:hAnsi="Arial"/>
          <w:sz w:val="18"/>
          <w:szCs w:val="18"/>
          <w:b w:val="1"/>
          <w:bCs w:val="1"/>
          <w:color w:val="auto"/>
        </w:rPr>
        <w:t xml:space="preserve">2.2.2.5. </w:t>
      </w:r>
      <w:r>
        <w:rPr>
          <w:rFonts w:ascii="Arial" w:cs="Arial" w:eastAsia="Arial" w:hAnsi="Arial"/>
          <w:sz w:val="18"/>
          <w:szCs w:val="18"/>
          <w:color w:val="auto"/>
        </w:rPr>
        <w:t>a provision prohibiting the Sublicensee from assigning the Sublicense agreement without the prior written consent of Harvard,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that Sublicensee may assign the Sublicense agreement to a successor in connection with the merger, consolidation or other reorganization of the Sublicensee, or the sale of all or substantially all of its assets or that portion of its business to which the Sublicense agreement relates; provided, however, that any permitted assignee agrees in writing to be bound by the terms of such Sublicense agreement.</w:t>
      </w:r>
    </w:p>
    <w:p>
      <w:pPr>
        <w:spacing w:after="0" w:line="72" w:lineRule="exact"/>
        <w:rPr>
          <w:sz w:val="20"/>
          <w:szCs w:val="20"/>
          <w:color w:val="auto"/>
        </w:rPr>
      </w:pPr>
    </w:p>
    <w:p>
      <w:pPr>
        <w:ind w:firstLine="913"/>
        <w:spacing w:after="0" w:line="303" w:lineRule="auto"/>
        <w:rPr>
          <w:sz w:val="20"/>
          <w:szCs w:val="20"/>
          <w:color w:val="auto"/>
        </w:rPr>
      </w:pPr>
      <w:r>
        <w:rPr>
          <w:rFonts w:ascii="Arial" w:cs="Arial" w:eastAsia="Arial" w:hAnsi="Arial"/>
          <w:sz w:val="16"/>
          <w:szCs w:val="16"/>
          <w:b w:val="1"/>
          <w:bCs w:val="1"/>
          <w:color w:val="auto"/>
        </w:rPr>
        <w:t xml:space="preserve">2.2.3. Delivery of Sublicense Agreement. </w:t>
      </w:r>
      <w:r>
        <w:rPr>
          <w:rFonts w:ascii="Arial" w:cs="Arial" w:eastAsia="Arial" w:hAnsi="Arial"/>
          <w:sz w:val="16"/>
          <w:szCs w:val="16"/>
          <w:color w:val="auto"/>
        </w:rPr>
        <w:t>Licensee shall furnish Harvard with a fully executed copy of any Sublicense agreement, redacted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matters not relevant to Harvard’s interest, promptly after its execution (or promptly after the Effective Date with respect to Sublicense agreements entered into prior to the Effective Date). Harvard shall keep all such agreements and their terms confidential and shall use them solely for the purpose of monitoring Licensee’s and Sublicensees’ compliance with their obligations hereunder and enforcing Harvard’s rights under this Agreement.</w:t>
      </w:r>
    </w:p>
    <w:p>
      <w:pPr>
        <w:spacing w:after="0" w:line="43"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 xml:space="preserve">2.2.4. Breach by Sublicensee. </w:t>
      </w:r>
      <w:r>
        <w:rPr>
          <w:rFonts w:ascii="Arial" w:cs="Arial" w:eastAsia="Arial" w:hAnsi="Arial"/>
          <w:sz w:val="18"/>
          <w:szCs w:val="18"/>
          <w:color w:val="auto"/>
        </w:rPr>
        <w:t>During the term of this Agreement, Licensee shall be responsible for any breach of a Sublicense agreement by a</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 that results in a material breach of this Agreement. Licensee may elect (a) to cure such breach in accordance with Section 6.2.2 of this Agreement or (b) to enforce its rights by terminating such Sublicense agreement in accordance with the terms thereof.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Biological Material.</w:t>
      </w:r>
    </w:p>
    <w:p>
      <w:pPr>
        <w:spacing w:after="0" w:line="117" w:lineRule="exact"/>
        <w:rPr>
          <w:sz w:val="20"/>
          <w:szCs w:val="20"/>
          <w:color w:val="auto"/>
        </w:rPr>
      </w:pPr>
    </w:p>
    <w:p>
      <w:pPr>
        <w:ind w:right="380" w:firstLine="913"/>
        <w:spacing w:after="0" w:line="266"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As between the parties hereto, subject to the the terms herein, including without limitation, the license granted to Licensee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2.1 and any Sublicenses granted to Sublicensees pursuant to Section 2.2, all rights, title and interest in and to all Biological Material, and any intellectual property applying thereto, shall be owned solely and exclusively by Harvard.</w:t>
      </w:r>
    </w:p>
    <w:p>
      <w:pPr>
        <w:spacing w:after="0" w:line="68" w:lineRule="exact"/>
        <w:rPr>
          <w:sz w:val="20"/>
          <w:szCs w:val="20"/>
          <w:color w:val="auto"/>
        </w:rPr>
      </w:pPr>
    </w:p>
    <w:p>
      <w:pPr>
        <w:ind w:right="100" w:firstLine="913"/>
        <w:spacing w:after="0" w:line="313" w:lineRule="auto"/>
        <w:rPr>
          <w:sz w:val="20"/>
          <w:szCs w:val="20"/>
          <w:color w:val="auto"/>
        </w:rPr>
      </w:pPr>
      <w:r>
        <w:rPr>
          <w:rFonts w:ascii="Arial" w:cs="Arial" w:eastAsia="Arial" w:hAnsi="Arial"/>
          <w:sz w:val="17"/>
          <w:szCs w:val="17"/>
          <w:b w:val="1"/>
          <w:bCs w:val="1"/>
          <w:color w:val="auto"/>
        </w:rPr>
        <w:t xml:space="preserve">2.3.2. </w:t>
      </w:r>
      <w:r>
        <w:rPr>
          <w:rFonts w:ascii="Arial" w:cs="Arial" w:eastAsia="Arial" w:hAnsi="Arial"/>
          <w:sz w:val="17"/>
          <w:szCs w:val="17"/>
          <w:color w:val="auto"/>
        </w:rPr>
        <w:t>Licensee shall not use Biological Material other than in accordance with the rights expressly granted to it hereunder. Except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Sublicenses granted pursuant to Section 2.2, Licensee shall not sell or otherwise transfer any Biological Material to any third party.</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2.3.3. </w:t>
      </w:r>
      <w:r>
        <w:rPr>
          <w:rFonts w:ascii="Arial" w:cs="Arial" w:eastAsia="Arial" w:hAnsi="Arial"/>
          <w:sz w:val="17"/>
          <w:szCs w:val="17"/>
          <w:color w:val="auto"/>
        </w:rPr>
        <w:t>The Biological Material is provided only for use in animals or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 vitro.</w:t>
      </w:r>
      <w:r>
        <w:rPr>
          <w:rFonts w:ascii="Arial" w:cs="Arial" w:eastAsia="Arial" w:hAnsi="Arial"/>
          <w:sz w:val="17"/>
          <w:szCs w:val="17"/>
          <w:b w:val="1"/>
          <w:bCs w:val="1"/>
          <w:color w:val="auto"/>
        </w:rPr>
        <w:t xml:space="preserve"> </w:t>
      </w:r>
      <w:r>
        <w:rPr>
          <w:rFonts w:ascii="Arial" w:cs="Arial" w:eastAsia="Arial" w:hAnsi="Arial"/>
          <w:sz w:val="17"/>
          <w:szCs w:val="17"/>
          <w:color w:val="auto"/>
        </w:rPr>
        <w:t>THE BIOLOGICAL MATERIAL SHALL NOT BE USED IN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HUMANS.</w:t>
      </w:r>
    </w:p>
    <w:p>
      <w:pPr>
        <w:spacing w:after="0" w:line="207" w:lineRule="exact"/>
        <w:rPr>
          <w:sz w:val="20"/>
          <w:szCs w:val="20"/>
          <w:color w:val="auto"/>
        </w:rPr>
      </w:pPr>
    </w:p>
    <w:p>
      <w:pPr>
        <w:ind w:right="80" w:firstLine="913"/>
        <w:spacing w:after="0" w:line="261" w:lineRule="auto"/>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color w:val="auto"/>
        </w:rPr>
        <w:t>Licensee shall inform Harvard’s Office of Technology Development (at 1350 Massachusetts Avenue, Richard A. and Susan F. Smith</w:t>
      </w:r>
      <w:r>
        <w:rPr>
          <w:rFonts w:ascii="Arial" w:cs="Arial" w:eastAsia="Arial" w:hAnsi="Arial"/>
          <w:sz w:val="18"/>
          <w:szCs w:val="18"/>
          <w:b w:val="1"/>
          <w:bCs w:val="1"/>
          <w:color w:val="auto"/>
        </w:rPr>
        <w:t xml:space="preserve"> </w:t>
      </w:r>
      <w:r>
        <w:rPr>
          <w:rFonts w:ascii="Arial" w:cs="Arial" w:eastAsia="Arial" w:hAnsi="Arial"/>
          <w:sz w:val="18"/>
          <w:szCs w:val="18"/>
          <w:color w:val="auto"/>
        </w:rPr>
        <w:t>Campus Center, Suite 727, Cambridge, MA 02138, (617) 495-3067, Attn: Chief Technology Development Officer) of any Biological Material created by Licensee that is different from, and a modification to, the Biological Material listed in Exhibit 1.3, and upon Harvard’s request, shall provide samples of such material to Harvard.</w:t>
      </w:r>
    </w:p>
    <w:p>
      <w:pPr>
        <w:spacing w:after="0" w:line="117" w:lineRule="exact"/>
        <w:rPr>
          <w:sz w:val="20"/>
          <w:szCs w:val="20"/>
          <w:color w:val="auto"/>
        </w:rPr>
      </w:pPr>
    </w:p>
    <w:p>
      <w:pPr>
        <w:ind w:left="1580" w:right="1360" w:hanging="191"/>
        <w:spacing w:after="0" w:line="308" w:lineRule="auto"/>
        <w:tabs>
          <w:tab w:leader="none" w:pos="1945" w:val="left"/>
        </w:tabs>
        <w:numPr>
          <w:ilvl w:val="0"/>
          <w:numId w:val="69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1" w:right="259" w:bottom="1440" w:gutter="0" w:footer="0" w:header="0"/>
        </w:sectPr>
      </w:pPr>
    </w:p>
    <w:bookmarkStart w:id="669" w:name="page670"/>
    <w:bookmarkEnd w:id="66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 xml:space="preserve">2.3.5. </w:t>
      </w:r>
      <w:r>
        <w:rPr>
          <w:rFonts w:ascii="Arial" w:cs="Arial" w:eastAsia="Arial" w:hAnsi="Arial"/>
          <w:sz w:val="18"/>
          <w:szCs w:val="18"/>
          <w:color w:val="auto"/>
        </w:rPr>
        <w:t>As between the parties hereto, all right, title and interest in and to all Viruses, Products, and any intellectual property applying thereto 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production thereof, shall be owned solely and exclusively by Licensee. For the avoidance of doubt, nothing herein prohibits or is intended to prohibit the use of Products in humans.</w:t>
      </w:r>
    </w:p>
    <w:p>
      <w:pPr>
        <w:spacing w:after="0" w:line="68"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2.4. No Other Grant of Rights. </w:t>
      </w:r>
      <w:r>
        <w:rPr>
          <w:rFonts w:ascii="Arial" w:cs="Arial" w:eastAsia="Arial" w:hAnsi="Arial"/>
          <w:sz w:val="18"/>
          <w:szCs w:val="18"/>
          <w:color w:val="auto"/>
        </w:rPr>
        <w:t>Except as expressly provided herein, nothing in this Agreement will be construed to confer any ownership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or other rights upon Licensee by implication, estoppel or otherwise as to any technology, intellectual property rights, products or biological materials of Harvard, or any other entity, regardless of whether such technology, intellectual property rights, products or biological materials are dominant, subordinate or otherwise related to any Biological Material or Technology Transfer Material.</w:t>
      </w:r>
    </w:p>
    <w:p>
      <w:pPr>
        <w:spacing w:after="0" w:line="207" w:lineRule="exact"/>
        <w:rPr>
          <w:sz w:val="20"/>
          <w:szCs w:val="20"/>
          <w:color w:val="auto"/>
        </w:rPr>
      </w:pPr>
    </w:p>
    <w:p>
      <w:pPr>
        <w:ind w:left="460" w:hanging="452"/>
        <w:spacing w:after="0"/>
        <w:tabs>
          <w:tab w:leader="none" w:pos="460" w:val="left"/>
        </w:tabs>
        <w:numPr>
          <w:ilvl w:val="0"/>
          <w:numId w:val="696"/>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 for Grant of License.</w:t>
      </w:r>
    </w:p>
    <w:p>
      <w:pPr>
        <w:spacing w:after="0" w:line="117"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 xml:space="preserve">3.1. License Issuance Fee. </w:t>
      </w:r>
      <w:r>
        <w:rPr>
          <w:rFonts w:ascii="Arial" w:cs="Arial" w:eastAsia="Arial" w:hAnsi="Arial"/>
          <w:sz w:val="18"/>
          <w:szCs w:val="18"/>
          <w:color w:val="auto"/>
        </w:rPr>
        <w:t>Within thirty (30) days after the Effective Date, Licensee shall pay Harvard a non-refundable license issuance fee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XXX. Such license issuance fee shall be creditable against any royalty</w:t>
      </w:r>
    </w:p>
    <w:p>
      <w:pPr>
        <w:spacing w:after="0"/>
        <w:rPr>
          <w:sz w:val="20"/>
          <w:szCs w:val="20"/>
          <w:color w:val="auto"/>
        </w:rPr>
      </w:pPr>
      <w:r>
        <w:rPr>
          <w:rFonts w:ascii="Arial" w:cs="Arial" w:eastAsia="Arial" w:hAnsi="Arial"/>
          <w:sz w:val="18"/>
          <w:szCs w:val="18"/>
          <w:color w:val="auto"/>
        </w:rPr>
        <w:t>amounts payable under Section 3.3 below with respect to Products sold in calendar year 2017.</w:t>
      </w:r>
    </w:p>
    <w:p>
      <w:pPr>
        <w:spacing w:after="0" w:line="9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3.2. License Maintenance Fee</w:t>
      </w:r>
      <w:r>
        <w:rPr>
          <w:rFonts w:ascii="Arial" w:cs="Arial" w:eastAsia="Arial" w:hAnsi="Arial"/>
          <w:sz w:val="17"/>
          <w:szCs w:val="17"/>
          <w:color w:val="auto"/>
        </w:rPr>
        <w:t>. Licensee shall pay Harvard a non-refundable annual license maintenance fee as follows: XXX for each (full or partial)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calendar year prior to Marketing Approval; XXX for the first full calendar year after Marketing Approval; XXX for the second full calendar year after Marketing Approval; and XXX for the third full calendar year after Marketing Approval and each calendar year thereafter; </w:t>
      </w:r>
      <w:r>
        <w:rPr>
          <w:rFonts w:ascii="Arial" w:cs="Arial" w:eastAsia="Arial" w:hAnsi="Arial"/>
          <w:sz w:val="17"/>
          <w:szCs w:val="17"/>
          <w:u w:val="single" w:color="auto"/>
          <w:color w:val="auto"/>
        </w:rPr>
        <w:t>provided</w:t>
      </w:r>
      <w:r>
        <w:rPr>
          <w:rFonts w:ascii="Arial" w:cs="Arial" w:eastAsia="Arial" w:hAnsi="Arial"/>
          <w:sz w:val="17"/>
          <w:szCs w:val="17"/>
          <w:color w:val="auto"/>
        </w:rPr>
        <w:t>, that if Licensee grants rights to the Biological Material and/or the Technology Transfer Material to a Sublicensee or a Strategic Partner, the annual maintenance fee payable to Harvard as set forth above shall thereafter be XXX. Each such annual maintenance fee shall be due and payable on January 2</w:t>
      </w:r>
      <w:r>
        <w:rPr>
          <w:rFonts w:ascii="Arial" w:cs="Arial" w:eastAsia="Arial" w:hAnsi="Arial"/>
          <w:sz w:val="14"/>
          <w:szCs w:val="14"/>
          <w:color w:val="auto"/>
        </w:rPr>
        <w:t>nd</w:t>
      </w:r>
      <w:r>
        <w:rPr>
          <w:rFonts w:ascii="Arial" w:cs="Arial" w:eastAsia="Arial" w:hAnsi="Arial"/>
          <w:sz w:val="17"/>
          <w:szCs w:val="17"/>
          <w:color w:val="auto"/>
        </w:rPr>
        <w:t xml:space="preserve"> of the calendar year to which such fee applies. Each annual license maintenance fee shall be creditable against any royalty amounts payable under Section 3.3 below with respect to Products sold in the same calendar year that such annual license maintenance fee applies.</w:t>
      </w:r>
    </w:p>
    <w:p>
      <w:pPr>
        <w:spacing w:after="0" w:line="64"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3.3. Royalty on Net Sales. </w:t>
      </w:r>
      <w:r>
        <w:rPr>
          <w:rFonts w:ascii="Arial" w:cs="Arial" w:eastAsia="Arial" w:hAnsi="Arial"/>
          <w:sz w:val="18"/>
          <w:szCs w:val="18"/>
          <w:color w:val="auto"/>
        </w:rPr>
        <w:t>Licensee shall pay Harvard an amount equal to (i) XXX of Net Sales with respect to the first XXX of cumulative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and (ii) XXX of Net Sales with respect to cumulative Net Sales in excess of XXX.</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3.4. Non-Royalty Income Fee. </w:t>
      </w:r>
      <w:r>
        <w:rPr>
          <w:rFonts w:ascii="Arial" w:cs="Arial" w:eastAsia="Arial" w:hAnsi="Arial"/>
          <w:sz w:val="18"/>
          <w:szCs w:val="18"/>
          <w:color w:val="auto"/>
        </w:rPr>
        <w:t>Licensee will pay Harvard an amount equal to XXX of all Non-Royalty Income.</w:t>
      </w:r>
    </w:p>
    <w:p>
      <w:pPr>
        <w:spacing w:after="0" w:line="162" w:lineRule="exact"/>
        <w:rPr>
          <w:sz w:val="20"/>
          <w:szCs w:val="20"/>
          <w:color w:val="auto"/>
        </w:rPr>
      </w:pPr>
    </w:p>
    <w:p>
      <w:pPr>
        <w:ind w:left="1580" w:right="1320" w:hanging="191"/>
        <w:spacing w:after="0" w:line="308" w:lineRule="auto"/>
        <w:tabs>
          <w:tab w:leader="none" w:pos="1945" w:val="left"/>
        </w:tabs>
        <w:numPr>
          <w:ilvl w:val="0"/>
          <w:numId w:val="697"/>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0" w:right="299" w:bottom="1440" w:gutter="0" w:footer="0" w:header="0"/>
        </w:sectPr>
      </w:pPr>
    </w:p>
    <w:bookmarkStart w:id="670" w:name="page671"/>
    <w:bookmarkEnd w:id="670"/>
    <w:p>
      <w:pPr>
        <w:ind w:left="3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3.5. Milestone Payments. </w:t>
      </w:r>
      <w:r>
        <w:rPr>
          <w:rFonts w:ascii="Arial" w:cs="Arial" w:eastAsia="Arial" w:hAnsi="Arial"/>
          <w:sz w:val="18"/>
          <w:szCs w:val="18"/>
          <w:color w:val="auto"/>
        </w:rPr>
        <w:t>With respect to each Product, Licensee will pay Harvard XXX within XXX after first XXX of such Product.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3.6. Change of Control Payment. </w:t>
      </w:r>
      <w:r>
        <w:rPr>
          <w:rFonts w:ascii="Arial" w:cs="Arial" w:eastAsia="Arial" w:hAnsi="Arial"/>
          <w:sz w:val="18"/>
          <w:szCs w:val="18"/>
          <w:color w:val="auto"/>
        </w:rPr>
        <w:t>XXX</w:t>
      </w:r>
    </w:p>
    <w:p>
      <w:pPr>
        <w:spacing w:after="0" w:line="11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3.7. Late Payment. </w:t>
      </w:r>
      <w:r>
        <w:rPr>
          <w:rFonts w:ascii="Arial" w:cs="Arial" w:eastAsia="Arial" w:hAnsi="Arial"/>
          <w:sz w:val="18"/>
          <w:szCs w:val="18"/>
          <w:color w:val="auto"/>
        </w:rPr>
        <w:t>Any payment by Licensee that is not paid on or before the date such payment is due under this Agreement will bear interest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lower of (a) XXX per month and (b) the maximum rate allowed by law. Interest will accrue beginning on the first day following the due date for payment and will be compounded quarterly. Payment of such interest by Licensee shall not limit, in any way, Harvard’s right to exercise any other remedies Harvard may have as a consequence of the lateness of any payment.</w:t>
      </w:r>
    </w:p>
    <w:p>
      <w:pPr>
        <w:spacing w:after="0" w:line="7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3.8. Payment Method. </w:t>
      </w:r>
      <w:r>
        <w:rPr>
          <w:rFonts w:ascii="Arial" w:cs="Arial" w:eastAsia="Arial" w:hAnsi="Arial"/>
          <w:sz w:val="18"/>
          <w:szCs w:val="18"/>
          <w:color w:val="auto"/>
        </w:rPr>
        <w:t>Each payment due to Harvard under this Agreement shall be paid by check or wire transfer of funds to Harvard’s account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written instructions provided by Harvard. If made by wire transfer, such payments shall be marked so as to refer to this Agreement. All payments due under this Agreement will be paid in U.S. Dollars. Conversion of foreign currency to U.S. Dollars will be made at the conversion rate existing in the United States (as reported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last working day of the applicable Calendar Quarter. Such payments will be without deduction of exchange, collection or other charges.</w:t>
      </w:r>
    </w:p>
    <w:p>
      <w:pPr>
        <w:spacing w:after="0" w:line="76"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 xml:space="preserve">3.9. Reporting. </w:t>
      </w:r>
      <w:r>
        <w:rPr>
          <w:rFonts w:ascii="Arial" w:cs="Arial" w:eastAsia="Arial" w:hAnsi="Arial"/>
          <w:sz w:val="18"/>
          <w:szCs w:val="18"/>
          <w:color w:val="auto"/>
        </w:rPr>
        <w:t>Within thirty (30) days after the conclusion of each Calendar Quarter commencing with the first Calendar Quarter in which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are generated or Non-Royalty Income is received, Licensee shall deliver to Harvard a report containing the following information (in each instance, with a Product-by-Product breakdown):</w:t>
      </w:r>
    </w:p>
    <w:p>
      <w:pPr>
        <w:spacing w:after="0" w:line="68" w:lineRule="exact"/>
        <w:rPr>
          <w:sz w:val="20"/>
          <w:szCs w:val="20"/>
          <w:color w:val="auto"/>
        </w:rPr>
      </w:pPr>
    </w:p>
    <w:p>
      <w:pPr>
        <w:ind w:right="360" w:firstLine="913"/>
        <w:spacing w:after="0" w:line="282" w:lineRule="auto"/>
        <w:rPr>
          <w:sz w:val="20"/>
          <w:szCs w:val="20"/>
          <w:color w:val="auto"/>
        </w:rPr>
      </w:pPr>
      <w:r>
        <w:rPr>
          <w:rFonts w:ascii="Arial" w:cs="Arial" w:eastAsia="Arial" w:hAnsi="Arial"/>
          <w:sz w:val="18"/>
          <w:szCs w:val="18"/>
          <w:b w:val="1"/>
          <w:bCs w:val="1"/>
          <w:color w:val="auto"/>
        </w:rPr>
        <w:t xml:space="preserve">3.9.1. </w:t>
      </w:r>
      <w:r>
        <w:rPr>
          <w:rFonts w:ascii="Arial" w:cs="Arial" w:eastAsia="Arial" w:hAnsi="Arial"/>
          <w:sz w:val="18"/>
          <w:szCs w:val="18"/>
          <w:color w:val="auto"/>
        </w:rPr>
        <w:t>the number of units of Products sold, leased or otherwise transferred by Invoicing Entities for the applicable Calendar Quarter (with 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Product-by-Product breakdown);</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3.9.2. </w:t>
      </w:r>
      <w:r>
        <w:rPr>
          <w:rFonts w:ascii="Arial" w:cs="Arial" w:eastAsia="Arial" w:hAnsi="Arial"/>
          <w:sz w:val="16"/>
          <w:szCs w:val="16"/>
          <w:color w:val="auto"/>
        </w:rPr>
        <w:t>the gross amount billed or invoiced for Products sold, leased or otherwise transferred by Invoicing Entities during the applicable Calendar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3.9.3. </w:t>
      </w:r>
      <w:r>
        <w:rPr>
          <w:rFonts w:ascii="Arial" w:cs="Arial" w:eastAsia="Arial" w:hAnsi="Arial"/>
          <w:sz w:val="18"/>
          <w:szCs w:val="18"/>
          <w:color w:val="auto"/>
        </w:rPr>
        <w:t>a calculation of Net Sales for the applicable Calendar Quarter, including an itemized listing of allowable deductions;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3.9.4. </w:t>
      </w:r>
      <w:r>
        <w:rPr>
          <w:rFonts w:ascii="Arial" w:cs="Arial" w:eastAsia="Arial" w:hAnsi="Arial"/>
          <w:sz w:val="18"/>
          <w:szCs w:val="18"/>
          <w:color w:val="auto"/>
        </w:rPr>
        <w:t>a detailed accounting of all Non-Royalty Income received during the applicable Calendar Quarter; and</w:t>
      </w:r>
    </w:p>
    <w:p>
      <w:pPr>
        <w:spacing w:after="0" w:line="162" w:lineRule="exact"/>
        <w:rPr>
          <w:sz w:val="20"/>
          <w:szCs w:val="20"/>
          <w:color w:val="auto"/>
        </w:rPr>
      </w:pPr>
    </w:p>
    <w:p>
      <w:pPr>
        <w:ind w:left="1580" w:right="1320" w:hanging="191"/>
        <w:spacing w:after="0" w:line="308" w:lineRule="auto"/>
        <w:tabs>
          <w:tab w:leader="none" w:pos="1945" w:val="left"/>
        </w:tabs>
        <w:numPr>
          <w:ilvl w:val="0"/>
          <w:numId w:val="698"/>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0" w:right="299" w:bottom="1440" w:gutter="0" w:footer="0" w:header="0"/>
        </w:sectPr>
      </w:pPr>
    </w:p>
    <w:bookmarkStart w:id="671" w:name="page672"/>
    <w:bookmarkEnd w:id="6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240" w:firstLine="913"/>
        <w:spacing w:after="0" w:line="282" w:lineRule="auto"/>
        <w:rPr>
          <w:sz w:val="20"/>
          <w:szCs w:val="20"/>
          <w:color w:val="auto"/>
        </w:rPr>
      </w:pPr>
      <w:r>
        <w:rPr>
          <w:rFonts w:ascii="Arial" w:cs="Arial" w:eastAsia="Arial" w:hAnsi="Arial"/>
          <w:sz w:val="18"/>
          <w:szCs w:val="18"/>
          <w:b w:val="1"/>
          <w:bCs w:val="1"/>
          <w:color w:val="auto"/>
        </w:rPr>
        <w:t xml:space="preserve">3.9.6. </w:t>
      </w:r>
      <w:r>
        <w:rPr>
          <w:rFonts w:ascii="Arial" w:cs="Arial" w:eastAsia="Arial" w:hAnsi="Arial"/>
          <w:sz w:val="18"/>
          <w:szCs w:val="18"/>
          <w:color w:val="auto"/>
        </w:rPr>
        <w:t>the total amount payable to Harvard in U.S. Dollars on Net Sales and Non-Royalty Income for the applicable Calendar Quarter,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exchange rates used for conversion.</w:t>
      </w:r>
    </w:p>
    <w:p>
      <w:pPr>
        <w:spacing w:after="0" w:line="166"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Each such report shall be certified on behalf of Licensee as true, correct and complete in all material respects. If no amounts are due to Harvard for a particular Calendar Quarter, the report shall so state.</w:t>
      </w:r>
    </w:p>
    <w:p>
      <w:pPr>
        <w:spacing w:after="0" w:line="5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color w:val="auto"/>
        </w:rPr>
        <w:t xml:space="preserve">3.10. Records. </w:t>
      </w:r>
      <w:r>
        <w:rPr>
          <w:rFonts w:ascii="Arial" w:cs="Arial" w:eastAsia="Arial" w:hAnsi="Arial"/>
          <w:sz w:val="16"/>
          <w:szCs w:val="16"/>
          <w:color w:val="auto"/>
        </w:rPr>
        <w:t>Licensee shall maintain, and shall cause its Affiliates and Sublicensees to maintain, complete and accurate records of Products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made, used, sold, leased or transferred under this Agreement, any amounts payable to Harvard in relation to such Products, and all Non-Royalty Income received by Licensee and its Affiliates, which records shall contain sufficient information to permit Harvard to confirm the accuracy of any reports or notifications delivered to Harvard under Section 3.9. Licensee, its Affiliates and/or its Sublicensees, as applicable, shall retain such records relating to a given Calendar Quarter for at least five (5) years after the conclusion of that Calendar Quarter, during which time Harvard will have the right, at its expense, to cause an independent, certified public accountant (or, in the event of a non-financial audit, other appropriate auditor) to inspect such records during normal business hours for the purposes of verifying the accuracy of any reports and payments delivered under this Agreement and Licensee’s compliance with the terms hereof. Such accountant or other auditor, as applicable, shall not disclose to Harvard any information other than information relating to the accuracy of reports and payments delivered under this Agreement. The parties shall reconcile any underpayment or overpayment within thirty (30) days after the accountant delivers the results of the audit. If any audit performed under this Section 3.10 reveals an underpayment in excess of XXX in any calendar year, Licensee shall reimburse Harvard for all amounts incurred in connection with such audit. Harvard may exercise its rights under this Section 3.10 only once every year per audited entity and only with reasonable prior notice to the audited entity.</w:t>
      </w:r>
    </w:p>
    <w:p>
      <w:pPr>
        <w:spacing w:after="0" w:line="317" w:lineRule="exact"/>
        <w:rPr>
          <w:sz w:val="20"/>
          <w:szCs w:val="20"/>
          <w:color w:val="auto"/>
        </w:rPr>
      </w:pPr>
    </w:p>
    <w:p>
      <w:pPr>
        <w:ind w:left="460" w:hanging="452"/>
        <w:spacing w:after="0"/>
        <w:tabs>
          <w:tab w:leader="none" w:pos="460" w:val="left"/>
        </w:tabs>
        <w:numPr>
          <w:ilvl w:val="0"/>
          <w:numId w:val="699"/>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Limitation of Liability.</w:t>
      </w:r>
    </w:p>
    <w:p>
      <w:pPr>
        <w:spacing w:after="0" w:line="117"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b w:val="1"/>
          <w:bCs w:val="1"/>
          <w:color w:val="auto"/>
        </w:rPr>
        <w:t xml:space="preserve">4.1. Compliance with Law. </w:t>
      </w:r>
      <w:r>
        <w:rPr>
          <w:rFonts w:ascii="Arial" w:cs="Arial" w:eastAsia="Arial" w:hAnsi="Arial"/>
          <w:sz w:val="17"/>
          <w:szCs w:val="17"/>
          <w:color w:val="auto"/>
        </w:rPr>
        <w:t>Licensee represents and warrants that it will comply, and that it will ensure that its Affiliates comply, with all local, state</w:t>
      </w:r>
      <w:r>
        <w:rPr>
          <w:rFonts w:ascii="Arial" w:cs="Arial" w:eastAsia="Arial" w:hAnsi="Arial"/>
          <w:sz w:val="17"/>
          <w:szCs w:val="17"/>
          <w:b w:val="1"/>
          <w:bCs w:val="1"/>
          <w:color w:val="auto"/>
        </w:rPr>
        <w:t xml:space="preserve"> </w:t>
      </w:r>
      <w:r>
        <w:rPr>
          <w:rFonts w:ascii="Arial" w:cs="Arial" w:eastAsia="Arial" w:hAnsi="Arial"/>
          <w:sz w:val="17"/>
          <w:szCs w:val="17"/>
          <w:color w:val="auto"/>
        </w:rPr>
        <w:t>and international laws and regulations relating to the Biological Material and to the development, manufacture, use, sale and importation of Viruses and Products. Without limiting the foregoing, Licensee represents and warrants that it will comply with all United States export control laws and regulations with respect to Biological Material and any Viruses and Products developed or made through the use thereof.</w:t>
      </w:r>
    </w:p>
    <w:p>
      <w:pPr>
        <w:spacing w:after="0" w:line="5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4.2. Harvard Representations and Warranties. </w:t>
      </w:r>
      <w:r>
        <w:rPr>
          <w:rFonts w:ascii="Arial" w:cs="Arial" w:eastAsia="Arial" w:hAnsi="Arial"/>
          <w:sz w:val="18"/>
          <w:szCs w:val="18"/>
          <w:color w:val="auto"/>
        </w:rPr>
        <w:t>Harvard hereby represents and warrants to Licensee that Harvard has the authority to grant the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herein to the Biological Material and the Technology Transfer Material and Harvard has not granted to any Third Party any rights that would conflict with this Agreement.</w:t>
      </w:r>
    </w:p>
    <w:p>
      <w:pPr>
        <w:spacing w:after="0" w:line="113" w:lineRule="exact"/>
        <w:rPr>
          <w:sz w:val="20"/>
          <w:szCs w:val="20"/>
          <w:color w:val="auto"/>
        </w:rPr>
      </w:pPr>
    </w:p>
    <w:p>
      <w:pPr>
        <w:ind w:left="1580" w:right="1380" w:hanging="191"/>
        <w:spacing w:after="0" w:line="308" w:lineRule="auto"/>
        <w:tabs>
          <w:tab w:leader="none" w:pos="1945" w:val="left"/>
        </w:tabs>
        <w:numPr>
          <w:ilvl w:val="0"/>
          <w:numId w:val="700"/>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9" w:right="239" w:bottom="1440" w:gutter="0" w:footer="0" w:header="0"/>
        </w:sectPr>
      </w:pPr>
    </w:p>
    <w:bookmarkStart w:id="672" w:name="page673"/>
    <w:bookmarkEnd w:id="67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No Warranty.</w:t>
      </w:r>
    </w:p>
    <w:p>
      <w:pPr>
        <w:spacing w:after="0" w:line="117" w:lineRule="exact"/>
        <w:rPr>
          <w:sz w:val="20"/>
          <w:szCs w:val="20"/>
          <w:color w:val="auto"/>
        </w:rPr>
      </w:pPr>
    </w:p>
    <w:p>
      <w:pPr>
        <w:ind w:right="40" w:firstLine="913"/>
        <w:spacing w:after="0" w:line="281" w:lineRule="auto"/>
        <w:rPr>
          <w:sz w:val="20"/>
          <w:szCs w:val="20"/>
          <w:color w:val="auto"/>
        </w:rPr>
      </w:pPr>
      <w:r>
        <w:rPr>
          <w:rFonts w:ascii="Arial" w:cs="Arial" w:eastAsia="Arial" w:hAnsi="Arial"/>
          <w:sz w:val="17"/>
          <w:szCs w:val="17"/>
          <w:b w:val="1"/>
          <w:bCs w:val="1"/>
          <w:color w:val="auto"/>
        </w:rPr>
        <w:t xml:space="preserve">4.3.1. </w:t>
      </w:r>
      <w:r>
        <w:rPr>
          <w:rFonts w:ascii="Arial" w:cs="Arial" w:eastAsia="Arial" w:hAnsi="Arial"/>
          <w:sz w:val="17"/>
          <w:szCs w:val="17"/>
          <w:color w:val="auto"/>
        </w:rPr>
        <w:t>HARVARD MAKES NO REPRESENTATIONS OR WARRANTIES WHATSOEVER AS TO THE COMMERCIAL OR SCIENTIFIC</w:t>
      </w:r>
      <w:r>
        <w:rPr>
          <w:rFonts w:ascii="Arial" w:cs="Arial" w:eastAsia="Arial" w:hAnsi="Arial"/>
          <w:sz w:val="17"/>
          <w:szCs w:val="17"/>
          <w:b w:val="1"/>
          <w:bCs w:val="1"/>
          <w:color w:val="auto"/>
        </w:rPr>
        <w:t xml:space="preserve"> </w:t>
      </w:r>
      <w:r>
        <w:rPr>
          <w:rFonts w:ascii="Arial" w:cs="Arial" w:eastAsia="Arial" w:hAnsi="Arial"/>
          <w:sz w:val="17"/>
          <w:szCs w:val="17"/>
          <w:color w:val="auto"/>
        </w:rPr>
        <w:t>VALUE OF THE BIOLOGICAL MATERIAL. HARVARD MAKES NO REPRESENTATION OR WARRANTY THAT THE USE OF THE BIOLOGICAL MATERIAL, TECHNOLOGY TRANSFER MATERIAL, OR THE DEVELOPMENT, MANUFACTURE, USE, SALE OR IMPORTATION OF ANY VIRUS OR PRODUCT, OR ANY ELEMENT THEREOF, WILL NOT INFRINGE THE PATENT OR PROPRIETARY RIGHTS OF ANY THIRD PARTY.</w:t>
      </w:r>
    </w:p>
    <w:p>
      <w:pPr>
        <w:spacing w:after="0" w:line="57"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4.3.2. </w:t>
      </w:r>
      <w:r>
        <w:rPr>
          <w:rFonts w:ascii="Arial" w:cs="Arial" w:eastAsia="Arial" w:hAnsi="Arial"/>
          <w:sz w:val="18"/>
          <w:szCs w:val="18"/>
          <w:color w:val="auto"/>
        </w:rPr>
        <w:t>EXCEPT AS OTHERWISE EXPRESSLY PROVIDED IN THIS AGREEMENT, NEITHER PARTY MAKES ANY WARRANTY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TECHNOLOGY, PATENTS, MATERIALS (INCLUDING BIOLOGICAL MATERIAL), GOODS, SERVICES, RIGHTS, TECHNOLOGY TRANSFER MATERIAL OR OTHER SUBJECT MATTER OF THIS AGREEMENT AND EACH PARTY HEREBY DISCLAIMS WARRANTIES OF MERCHANTABILITY, FITNESS FOR A PARTICULAR PURPOSE AND NONINFRINGEMENT WITH RESPECT TO ANY AND ALL OF THE FOREGOING.</w:t>
      </w:r>
    </w:p>
    <w:p>
      <w:pPr>
        <w:spacing w:after="0" w:line="76" w:lineRule="exact"/>
        <w:rPr>
          <w:sz w:val="20"/>
          <w:szCs w:val="20"/>
          <w:color w:val="auto"/>
        </w:rPr>
      </w:pPr>
    </w:p>
    <w:p>
      <w:pPr>
        <w:ind w:right="1140" w:firstLine="913"/>
        <w:spacing w:after="0" w:line="282" w:lineRule="auto"/>
        <w:rPr>
          <w:sz w:val="20"/>
          <w:szCs w:val="20"/>
          <w:color w:val="auto"/>
        </w:rPr>
      </w:pPr>
      <w:r>
        <w:rPr>
          <w:rFonts w:ascii="Arial" w:cs="Arial" w:eastAsia="Arial" w:hAnsi="Arial"/>
          <w:sz w:val="18"/>
          <w:szCs w:val="18"/>
          <w:b w:val="1"/>
          <w:bCs w:val="1"/>
          <w:color w:val="auto"/>
        </w:rPr>
        <w:t xml:space="preserve">4.3.3. </w:t>
      </w:r>
      <w:r>
        <w:rPr>
          <w:rFonts w:ascii="Arial" w:cs="Arial" w:eastAsia="Arial" w:hAnsi="Arial"/>
          <w:sz w:val="18"/>
          <w:szCs w:val="18"/>
          <w:color w:val="auto"/>
        </w:rPr>
        <w:t>ALL BIOLOGICAL MATERIAL IS EXPERIMENTAL IN NATURE AND SHALL BE USED WITH PRUDENCE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CAUTION SINCE NOT ALL OF THEIR CHARACTERISTICS ARE KNOWN.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4.4. Limitation of Liability.</w:t>
      </w:r>
    </w:p>
    <w:p>
      <w:pPr>
        <w:spacing w:after="0" w:line="117" w:lineRule="exact"/>
        <w:rPr>
          <w:sz w:val="20"/>
          <w:szCs w:val="20"/>
          <w:color w:val="auto"/>
        </w:rPr>
      </w:pPr>
    </w:p>
    <w:p>
      <w:pPr>
        <w:ind w:firstLine="913"/>
        <w:spacing w:after="0" w:line="289" w:lineRule="auto"/>
        <w:rPr>
          <w:sz w:val="20"/>
          <w:szCs w:val="20"/>
          <w:color w:val="auto"/>
        </w:rPr>
      </w:pPr>
      <w:r>
        <w:rPr>
          <w:rFonts w:ascii="Arial" w:cs="Arial" w:eastAsia="Arial" w:hAnsi="Arial"/>
          <w:sz w:val="17"/>
          <w:szCs w:val="17"/>
          <w:b w:val="1"/>
          <w:bCs w:val="1"/>
          <w:color w:val="auto"/>
        </w:rPr>
        <w:t xml:space="preserve">4.4.1. </w:t>
      </w:r>
      <w:r>
        <w:rPr>
          <w:rFonts w:ascii="Arial" w:cs="Arial" w:eastAsia="Arial" w:hAnsi="Arial"/>
          <w:sz w:val="17"/>
          <w:szCs w:val="17"/>
          <w:color w:val="auto"/>
        </w:rPr>
        <w:t>Except with respect to matters for which Licensee is obligated to indemnify Harvard under Article 5, neither party will be liable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with respect to any subject matter of this Agreement under any contract, negligence, strict liability or other legal or equitable theory for (a) any indirect, incidental, consequential or punitive damages or lost profits or (b) cost of procurement of substitute goods, technology or services.</w:t>
      </w:r>
    </w:p>
    <w:p>
      <w:pPr>
        <w:spacing w:after="0" w:line="50" w:lineRule="exact"/>
        <w:rPr>
          <w:sz w:val="20"/>
          <w:szCs w:val="20"/>
          <w:color w:val="auto"/>
        </w:rPr>
      </w:pPr>
    </w:p>
    <w:p>
      <w:pPr>
        <w:ind w:right="560" w:firstLine="913"/>
        <w:spacing w:after="0" w:line="313" w:lineRule="auto"/>
        <w:rPr>
          <w:sz w:val="20"/>
          <w:szCs w:val="20"/>
          <w:color w:val="auto"/>
        </w:rPr>
      </w:pPr>
      <w:r>
        <w:rPr>
          <w:rFonts w:ascii="Arial" w:cs="Arial" w:eastAsia="Arial" w:hAnsi="Arial"/>
          <w:sz w:val="17"/>
          <w:szCs w:val="17"/>
          <w:b w:val="1"/>
          <w:bCs w:val="1"/>
          <w:color w:val="auto"/>
        </w:rPr>
        <w:t xml:space="preserve">4.4.2. </w:t>
      </w:r>
      <w:r>
        <w:rPr>
          <w:rFonts w:ascii="Arial" w:cs="Arial" w:eastAsia="Arial" w:hAnsi="Arial"/>
          <w:sz w:val="17"/>
          <w:szCs w:val="17"/>
          <w:color w:val="auto"/>
        </w:rPr>
        <w:t>Harvard’s aggregate liability for all damages of any kind arising out of or relating to this Agreement or its subject matter under any</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 negligence, strict liability or other legal or equitable theory shall not exceed the amounts paid to Harvard under this Agreement.</w:t>
      </w:r>
    </w:p>
    <w:p>
      <w:pPr>
        <w:spacing w:after="0" w:line="287" w:lineRule="exact"/>
        <w:rPr>
          <w:sz w:val="20"/>
          <w:szCs w:val="20"/>
          <w:color w:val="auto"/>
        </w:rPr>
      </w:pPr>
    </w:p>
    <w:p>
      <w:pPr>
        <w:ind w:left="460" w:hanging="452"/>
        <w:spacing w:after="0"/>
        <w:tabs>
          <w:tab w:leader="none" w:pos="460" w:val="left"/>
        </w:tabs>
        <w:numPr>
          <w:ilvl w:val="0"/>
          <w:numId w:val="70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Indemnity.</w:t>
      </w:r>
    </w:p>
    <w:p>
      <w:pPr>
        <w:spacing w:after="0" w:line="117" w:lineRule="exact"/>
        <w:rPr>
          <w:sz w:val="20"/>
          <w:szCs w:val="20"/>
          <w:color w:val="auto"/>
        </w:rPr>
      </w:pPr>
    </w:p>
    <w:p>
      <w:pPr>
        <w:ind w:right="360" w:firstLine="913"/>
        <w:spacing w:after="0" w:line="281" w:lineRule="auto"/>
        <w:rPr>
          <w:sz w:val="20"/>
          <w:szCs w:val="20"/>
          <w:color w:val="auto"/>
        </w:rPr>
      </w:pPr>
      <w:r>
        <w:rPr>
          <w:rFonts w:ascii="Arial" w:cs="Arial" w:eastAsia="Arial" w:hAnsi="Arial"/>
          <w:sz w:val="17"/>
          <w:szCs w:val="17"/>
          <w:b w:val="1"/>
          <w:bCs w:val="1"/>
          <w:color w:val="auto"/>
        </w:rPr>
        <w:t xml:space="preserve">5.1.1. </w:t>
      </w:r>
      <w:r>
        <w:rPr>
          <w:rFonts w:ascii="Arial" w:cs="Arial" w:eastAsia="Arial" w:hAnsi="Arial"/>
          <w:sz w:val="17"/>
          <w:szCs w:val="17"/>
          <w:color w:val="auto"/>
        </w:rPr>
        <w:t>Licensee shall indemnify, defend and hold harmless Harvard and its current and former directors, governing board members, trustees,</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faculty, medical and professional staff, employees, students, and agents and their respective successors, heirs and assigns (collectively, the “Indemnitees”) from and against any claim, liability, cost, expense, damage, deficiency, loss or obligation of any kind or nature (including reasonable attorneys’ fees and other costs and expenses of litigation) by or owed to a third party, based upon, arising out of,</w:t>
      </w:r>
    </w:p>
    <w:p>
      <w:pPr>
        <w:spacing w:after="0" w:line="101" w:lineRule="exact"/>
        <w:rPr>
          <w:sz w:val="20"/>
          <w:szCs w:val="20"/>
          <w:color w:val="auto"/>
        </w:rPr>
      </w:pPr>
    </w:p>
    <w:p>
      <w:pPr>
        <w:ind w:left="1580" w:right="1320" w:hanging="191"/>
        <w:spacing w:after="0" w:line="308" w:lineRule="auto"/>
        <w:tabs>
          <w:tab w:leader="none" w:pos="1945" w:val="left"/>
        </w:tabs>
        <w:numPr>
          <w:ilvl w:val="0"/>
          <w:numId w:val="702"/>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673" w:name="page674"/>
    <w:bookmarkEnd w:id="6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or otherwise relating to the activities of Licensee and Sublicensees under this Agreement, including any cause of action relating to product liability concerning any product, process, or service made, used, sold or performed pursuant to any right or license granted under this Agreement (collectively, the “Claims”);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Licensee’s indemnification obligations hereunder shall not apply to any Claim to the extent that it is attributable to the gross negligence or willful misconduct of any Indemnitee.</w:t>
      </w:r>
    </w:p>
    <w:p>
      <w:pPr>
        <w:spacing w:after="0" w:line="7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color w:val="auto"/>
        </w:rPr>
        <w:t>Licensee shall, at its own expense, provide attorneys reasonably acceptable to Harvard to defend against any actions brought or filed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against any Indemnitee hereunder with respect to the subject of indemnity contained herein, whether or not such actions are rightfully brought. Any Indemnitee seeking indemnification hereunder shall promptly notify Licensee of such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any failure of or delay in such notification shall not affect Licensee’s indemnification obligation unless and to the extent such failure or delay is materially prejudicial to Licensee. The Indemnitees shall provide Licensee, at Licensee’s expense, with reasonable assistance and full information with respect to such Claim and give Licensee sole control of the defense of any Claim. Neither Licensee nor Harvard shall settle any Claim without the prior written consent of the other, which consent shall not be unreasonably withheld.</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Insurance.</w:t>
      </w:r>
    </w:p>
    <w:p>
      <w:pPr>
        <w:spacing w:after="0" w:line="117" w:lineRule="exact"/>
        <w:rPr>
          <w:sz w:val="20"/>
          <w:szCs w:val="20"/>
          <w:color w:val="auto"/>
        </w:rPr>
      </w:pPr>
    </w:p>
    <w:p>
      <w:pPr>
        <w:ind w:right="100" w:firstLine="913"/>
        <w:spacing w:after="0" w:line="281" w:lineRule="auto"/>
        <w:rPr>
          <w:sz w:val="20"/>
          <w:szCs w:val="20"/>
          <w:color w:val="auto"/>
        </w:rPr>
      </w:pPr>
      <w:r>
        <w:rPr>
          <w:rFonts w:ascii="Arial" w:cs="Arial" w:eastAsia="Arial" w:hAnsi="Arial"/>
          <w:sz w:val="17"/>
          <w:szCs w:val="17"/>
          <w:b w:val="1"/>
          <w:bCs w:val="1"/>
          <w:color w:val="auto"/>
        </w:rPr>
        <w:t xml:space="preserve">5.2.1. </w:t>
      </w:r>
      <w:r>
        <w:rPr>
          <w:rFonts w:ascii="Arial" w:cs="Arial" w:eastAsia="Arial" w:hAnsi="Arial"/>
          <w:sz w:val="17"/>
          <w:szCs w:val="17"/>
          <w:color w:val="auto"/>
        </w:rPr>
        <w:t>Beginning at the time any Product is being commercially distributed or sold by Licensee, or by an Affiliate or agent of Licensee, Licensee</w:t>
      </w:r>
      <w:r>
        <w:rPr>
          <w:rFonts w:ascii="Arial" w:cs="Arial" w:eastAsia="Arial" w:hAnsi="Arial"/>
          <w:sz w:val="17"/>
          <w:szCs w:val="17"/>
          <w:b w:val="1"/>
          <w:bCs w:val="1"/>
          <w:color w:val="auto"/>
        </w:rPr>
        <w:t xml:space="preserve"> </w:t>
      </w:r>
      <w:r>
        <w:rPr>
          <w:rFonts w:ascii="Arial" w:cs="Arial" w:eastAsia="Arial" w:hAnsi="Arial"/>
          <w:sz w:val="17"/>
          <w:szCs w:val="17"/>
          <w:color w:val="auto"/>
        </w:rPr>
        <w:t>shall, at its sole cost and expense, procure and maintain commercial general liability insurance in amounts not less than XXX per incident and XXX annual aggregate and naming the Indemnitees as additional insureds. Such commercial general liability insurance shall provide: (a) product liability coverage and (b) broad form contractual liability coverage for Licensee’s indemnification obligations under this Agreement.</w:t>
      </w:r>
    </w:p>
    <w:p>
      <w:pPr>
        <w:spacing w:after="0" w:line="57" w:lineRule="exact"/>
        <w:rPr>
          <w:sz w:val="20"/>
          <w:szCs w:val="20"/>
          <w:color w:val="auto"/>
        </w:rPr>
      </w:pPr>
    </w:p>
    <w:p>
      <w:pPr>
        <w:ind w:right="220" w:firstLine="913"/>
        <w:spacing w:after="0" w:line="261" w:lineRule="auto"/>
        <w:rPr>
          <w:sz w:val="20"/>
          <w:szCs w:val="20"/>
          <w:color w:val="auto"/>
        </w:rPr>
      </w:pPr>
      <w:r>
        <w:rPr>
          <w:rFonts w:ascii="Arial" w:cs="Arial" w:eastAsia="Arial" w:hAnsi="Arial"/>
          <w:sz w:val="18"/>
          <w:szCs w:val="18"/>
          <w:b w:val="1"/>
          <w:bCs w:val="1"/>
          <w:color w:val="auto"/>
        </w:rPr>
        <w:t xml:space="preserve">5.2.2. </w:t>
      </w:r>
      <w:r>
        <w:rPr>
          <w:rFonts w:ascii="Arial" w:cs="Arial" w:eastAsia="Arial" w:hAnsi="Arial"/>
          <w:sz w:val="18"/>
          <w:szCs w:val="18"/>
          <w:color w:val="auto"/>
        </w:rPr>
        <w:t>If Licensee elects to self-insure all or part of the limits described above in Section 5.2.1 (including deductibles or retentions that are in</w:t>
      </w:r>
      <w:r>
        <w:rPr>
          <w:rFonts w:ascii="Arial" w:cs="Arial" w:eastAsia="Arial" w:hAnsi="Arial"/>
          <w:sz w:val="18"/>
          <w:szCs w:val="18"/>
          <w:b w:val="1"/>
          <w:bCs w:val="1"/>
          <w:color w:val="auto"/>
        </w:rPr>
        <w:t xml:space="preserve"> </w:t>
      </w:r>
      <w:r>
        <w:rPr>
          <w:rFonts w:ascii="Arial" w:cs="Arial" w:eastAsia="Arial" w:hAnsi="Arial"/>
          <w:sz w:val="18"/>
          <w:szCs w:val="18"/>
          <w:color w:val="auto"/>
        </w:rPr>
        <w:t>excess of XXX annual aggregate) such self-insurance program must be acceptable to Harvard and CRICO/RMF (Harvard’s insurer) in their sole discretion. The minimum amounts of insurance coverage required shall not be construed to create a limit of Licensee’s liability with respect to its indemnification obligations under this Agreement.</w:t>
      </w:r>
    </w:p>
    <w:p>
      <w:pPr>
        <w:spacing w:after="0" w:line="72" w:lineRule="exact"/>
        <w:rPr>
          <w:sz w:val="20"/>
          <w:szCs w:val="20"/>
          <w:color w:val="auto"/>
        </w:rPr>
      </w:pPr>
    </w:p>
    <w:p>
      <w:pPr>
        <w:ind w:right="240" w:firstLine="913"/>
        <w:spacing w:after="0" w:line="261" w:lineRule="auto"/>
        <w:rPr>
          <w:sz w:val="20"/>
          <w:szCs w:val="20"/>
          <w:color w:val="auto"/>
        </w:rPr>
      </w:pPr>
      <w:r>
        <w:rPr>
          <w:rFonts w:ascii="Arial" w:cs="Arial" w:eastAsia="Arial" w:hAnsi="Arial"/>
          <w:sz w:val="18"/>
          <w:szCs w:val="18"/>
          <w:b w:val="1"/>
          <w:bCs w:val="1"/>
          <w:color w:val="auto"/>
        </w:rPr>
        <w:t xml:space="preserve">5.2.3. </w:t>
      </w:r>
      <w:r>
        <w:rPr>
          <w:rFonts w:ascii="Arial" w:cs="Arial" w:eastAsia="Arial" w:hAnsi="Arial"/>
          <w:sz w:val="18"/>
          <w:szCs w:val="18"/>
          <w:color w:val="auto"/>
        </w:rPr>
        <w:t>Licensee shall provide Harvard with written evidence of such insurance upon request of Harvard. Licensee shall provide Harvard with</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at least fifteen (15) days prior to the cancellation, non-renewal or material change in such insurance. If Licensee does not obtain replacement insurance providing comparable coverage within thirty (30) days after such notice, Harvard shall have the right to terminate this Agreement effective at the end of such thirty (30) day period without notice or any additional waiting periods.</w:t>
      </w:r>
    </w:p>
    <w:p>
      <w:pPr>
        <w:spacing w:after="0" w:line="117" w:lineRule="exact"/>
        <w:rPr>
          <w:sz w:val="20"/>
          <w:szCs w:val="20"/>
          <w:color w:val="auto"/>
        </w:rPr>
      </w:pPr>
    </w:p>
    <w:p>
      <w:pPr>
        <w:ind w:left="1580" w:right="1380" w:hanging="191"/>
        <w:spacing w:after="0" w:line="308" w:lineRule="auto"/>
        <w:tabs>
          <w:tab w:leader="none" w:pos="1945" w:val="left"/>
        </w:tabs>
        <w:numPr>
          <w:ilvl w:val="0"/>
          <w:numId w:val="703"/>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1" w:right="239" w:bottom="1440" w:gutter="0" w:footer="0" w:header="0"/>
        </w:sectPr>
      </w:pPr>
    </w:p>
    <w:bookmarkStart w:id="674" w:name="page675"/>
    <w:bookmarkEnd w:id="6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 xml:space="preserve">5.2.4. </w:t>
      </w:r>
      <w:r>
        <w:rPr>
          <w:rFonts w:ascii="Arial" w:cs="Arial" w:eastAsia="Arial" w:hAnsi="Arial"/>
          <w:sz w:val="18"/>
          <w:szCs w:val="18"/>
          <w:color w:val="auto"/>
        </w:rPr>
        <w:t>Licensee shall maintain such commercial general liability insurance beyond the expiration or termination of this Agreement during: (a)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that any Product is being commercially distributed or sold by Licensee, or an Affiliate or agent of Licensee; and (b) a reasonable period after the period referred to in (a) above which in no event shall be less than XXX.</w:t>
      </w:r>
    </w:p>
    <w:p>
      <w:pPr>
        <w:spacing w:after="0" w:line="325" w:lineRule="exact"/>
        <w:rPr>
          <w:sz w:val="20"/>
          <w:szCs w:val="20"/>
          <w:color w:val="auto"/>
        </w:rPr>
      </w:pPr>
    </w:p>
    <w:p>
      <w:pPr>
        <w:ind w:left="460" w:hanging="452"/>
        <w:spacing w:after="0"/>
        <w:tabs>
          <w:tab w:leader="none" w:pos="460" w:val="left"/>
        </w:tabs>
        <w:numPr>
          <w:ilvl w:val="0"/>
          <w:numId w:val="704"/>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17"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 xml:space="preserve">6.1. Term. </w:t>
      </w:r>
      <w:r>
        <w:rPr>
          <w:rFonts w:ascii="Arial" w:cs="Arial" w:eastAsia="Arial" w:hAnsi="Arial"/>
          <w:sz w:val="17"/>
          <w:szCs w:val="17"/>
          <w:color w:val="auto"/>
        </w:rPr>
        <w:t>The term of this Agreement shall commence on the Effective Date and, unless earlier terminated as provided in this Article 6, shall continue</w:t>
      </w:r>
      <w:r>
        <w:rPr>
          <w:rFonts w:ascii="Arial" w:cs="Arial" w:eastAsia="Arial" w:hAnsi="Arial"/>
          <w:sz w:val="17"/>
          <w:szCs w:val="17"/>
          <w:b w:val="1"/>
          <w:bCs w:val="1"/>
          <w:color w:val="auto"/>
        </w:rPr>
        <w:t xml:space="preserve"> </w:t>
      </w:r>
      <w:r>
        <w:rPr>
          <w:rFonts w:ascii="Arial" w:cs="Arial" w:eastAsia="Arial" w:hAnsi="Arial"/>
          <w:sz w:val="17"/>
          <w:szCs w:val="17"/>
          <w:color w:val="auto"/>
        </w:rPr>
        <w:t>in full force and effect for fifteen (15) years thereafter (the “Initial Term”). After the Initial Term, this Agreement shall renew for successive three-year periods (the Initial Term and such period, the “Term”) unless either Party gives the other Party written notice of its desire to terminate the Agreement no less than sixty (60) days prior to the expiration of the Initial Term or any applicable successive period during the Term.</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Termination.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6.2.1. Termination Without Cause. </w:t>
      </w:r>
      <w:r>
        <w:rPr>
          <w:rFonts w:ascii="Arial" w:cs="Arial" w:eastAsia="Arial" w:hAnsi="Arial"/>
          <w:sz w:val="18"/>
          <w:szCs w:val="18"/>
          <w:color w:val="auto"/>
        </w:rPr>
        <w:t>Licensee may terminate this Agreement upon sixty (60) days prior written notice to Harvard.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6.2.2. Termination for Default.</w:t>
      </w:r>
    </w:p>
    <w:p>
      <w:pPr>
        <w:spacing w:after="0" w:line="117" w:lineRule="exact"/>
        <w:rPr>
          <w:sz w:val="20"/>
          <w:szCs w:val="20"/>
          <w:color w:val="auto"/>
        </w:rPr>
      </w:pPr>
    </w:p>
    <w:p>
      <w:pPr>
        <w:ind w:right="240" w:firstLine="1484"/>
        <w:spacing w:after="0" w:line="266" w:lineRule="auto"/>
        <w:rPr>
          <w:sz w:val="20"/>
          <w:szCs w:val="20"/>
          <w:color w:val="auto"/>
        </w:rPr>
      </w:pPr>
      <w:r>
        <w:rPr>
          <w:rFonts w:ascii="Arial" w:cs="Arial" w:eastAsia="Arial" w:hAnsi="Arial"/>
          <w:sz w:val="18"/>
          <w:szCs w:val="18"/>
          <w:b w:val="1"/>
          <w:bCs w:val="1"/>
          <w:color w:val="auto"/>
        </w:rPr>
        <w:t xml:space="preserve">6.2.2.1. </w:t>
      </w:r>
      <w:r>
        <w:rPr>
          <w:rFonts w:ascii="Arial" w:cs="Arial" w:eastAsia="Arial" w:hAnsi="Arial"/>
          <w:sz w:val="18"/>
          <w:szCs w:val="18"/>
          <w:color w:val="auto"/>
        </w:rPr>
        <w:t>In the event that either party commits a material breach of its obligations under this Agreement and fails to cure that breach</w:t>
      </w:r>
      <w:r>
        <w:rPr>
          <w:rFonts w:ascii="Arial" w:cs="Arial" w:eastAsia="Arial" w:hAnsi="Arial"/>
          <w:sz w:val="18"/>
          <w:szCs w:val="18"/>
          <w:b w:val="1"/>
          <w:bCs w:val="1"/>
          <w:color w:val="auto"/>
        </w:rPr>
        <w:t xml:space="preserve"> </w:t>
      </w:r>
      <w:r>
        <w:rPr>
          <w:rFonts w:ascii="Arial" w:cs="Arial" w:eastAsia="Arial" w:hAnsi="Arial"/>
          <w:sz w:val="18"/>
          <w:szCs w:val="18"/>
          <w:color w:val="auto"/>
        </w:rPr>
        <w:t>within ninety (90) days after receiving written notice thereof, the other party may terminate this Agreement immediately upon written notice to the party in breach.</w:t>
      </w:r>
    </w:p>
    <w:p>
      <w:pPr>
        <w:spacing w:after="0" w:line="68" w:lineRule="exact"/>
        <w:rPr>
          <w:sz w:val="20"/>
          <w:szCs w:val="20"/>
          <w:color w:val="auto"/>
        </w:rPr>
      </w:pPr>
    </w:p>
    <w:p>
      <w:pPr>
        <w:jc w:val="both"/>
        <w:ind w:right="140" w:firstLine="1484"/>
        <w:spacing w:after="0" w:line="266" w:lineRule="auto"/>
        <w:rPr>
          <w:sz w:val="20"/>
          <w:szCs w:val="20"/>
          <w:color w:val="auto"/>
        </w:rPr>
      </w:pPr>
      <w:r>
        <w:rPr>
          <w:rFonts w:ascii="Arial" w:cs="Arial" w:eastAsia="Arial" w:hAnsi="Arial"/>
          <w:sz w:val="18"/>
          <w:szCs w:val="18"/>
          <w:b w:val="1"/>
          <w:bCs w:val="1"/>
          <w:color w:val="auto"/>
        </w:rPr>
        <w:t xml:space="preserve">6.2.2.2. </w:t>
      </w:r>
      <w:r>
        <w:rPr>
          <w:rFonts w:ascii="Arial" w:cs="Arial" w:eastAsia="Arial" w:hAnsi="Arial"/>
          <w:sz w:val="18"/>
          <w:szCs w:val="18"/>
          <w:color w:val="auto"/>
        </w:rPr>
        <w:t>If Licensee defaults in its obligations under Section 5.2 to procure and maintain insurance or, if Licensee has in any event failed</w:t>
      </w:r>
      <w:r>
        <w:rPr>
          <w:rFonts w:ascii="Arial" w:cs="Arial" w:eastAsia="Arial" w:hAnsi="Arial"/>
          <w:sz w:val="18"/>
          <w:szCs w:val="18"/>
          <w:b w:val="1"/>
          <w:bCs w:val="1"/>
          <w:color w:val="auto"/>
        </w:rPr>
        <w:t xml:space="preserve"> </w:t>
      </w:r>
      <w:r>
        <w:rPr>
          <w:rFonts w:ascii="Arial" w:cs="Arial" w:eastAsia="Arial" w:hAnsi="Arial"/>
          <w:sz w:val="18"/>
          <w:szCs w:val="18"/>
          <w:color w:val="auto"/>
        </w:rPr>
        <w:t>to comply with the notice requirements contained therein and fails to cure that default within thirty (30) days after receiving written notice thereof, Harvard may terminate this Agreement immediately upon written notice to Licensee.</w:t>
      </w:r>
    </w:p>
    <w:p>
      <w:pPr>
        <w:spacing w:after="0" w:line="68" w:lineRule="exact"/>
        <w:rPr>
          <w:sz w:val="20"/>
          <w:szCs w:val="20"/>
          <w:color w:val="auto"/>
        </w:rPr>
      </w:pPr>
    </w:p>
    <w:p>
      <w:pPr>
        <w:ind w:right="40" w:firstLine="913"/>
        <w:spacing w:after="0" w:line="303" w:lineRule="auto"/>
        <w:rPr>
          <w:sz w:val="20"/>
          <w:szCs w:val="20"/>
          <w:color w:val="auto"/>
        </w:rPr>
      </w:pPr>
      <w:r>
        <w:rPr>
          <w:rFonts w:ascii="Arial" w:cs="Arial" w:eastAsia="Arial" w:hAnsi="Arial"/>
          <w:sz w:val="16"/>
          <w:szCs w:val="16"/>
          <w:b w:val="1"/>
          <w:bCs w:val="1"/>
          <w:color w:val="auto"/>
        </w:rPr>
        <w:t xml:space="preserve">6.2.4. Bankruptcy. </w:t>
      </w:r>
      <w:r>
        <w:rPr>
          <w:rFonts w:ascii="Arial" w:cs="Arial" w:eastAsia="Arial" w:hAnsi="Arial"/>
          <w:sz w:val="16"/>
          <w:szCs w:val="16"/>
          <w:color w:val="auto"/>
        </w:rPr>
        <w:t>Harvard may terminate this Agreement upon notice to Licensee if Licensee becomes insolvent, is adjudged bankrupt, applies</w:t>
      </w:r>
      <w:r>
        <w:rPr>
          <w:rFonts w:ascii="Arial" w:cs="Arial" w:eastAsia="Arial" w:hAnsi="Arial"/>
          <w:sz w:val="16"/>
          <w:szCs w:val="16"/>
          <w:b w:val="1"/>
          <w:bCs w:val="1"/>
          <w:color w:val="auto"/>
        </w:rPr>
        <w:t xml:space="preserve"> </w:t>
      </w:r>
      <w:r>
        <w:rPr>
          <w:rFonts w:ascii="Arial" w:cs="Arial" w:eastAsia="Arial" w:hAnsi="Arial"/>
          <w:sz w:val="16"/>
          <w:szCs w:val="16"/>
          <w:color w:val="auto"/>
        </w:rPr>
        <w:t>for judicial or extra-judicial settlement with its creditors, makes an assignment for the benefit of its creditors, voluntarily files for bankruptcy or has a receiver or trustee (or the like) in bankruptcy appointed by reason of its insolvency, or in the event an involuntary bankruptcy action is filed against Licensee and not dismissed within ninety (90) days, or if Licensee becomes the subject of liquidation or dissolution proceedings or otherwise discontinues business.</w:t>
      </w:r>
    </w:p>
    <w:p>
      <w:pPr>
        <w:spacing w:after="0" w:line="88" w:lineRule="exact"/>
        <w:rPr>
          <w:sz w:val="20"/>
          <w:szCs w:val="20"/>
          <w:color w:val="auto"/>
        </w:rPr>
      </w:pPr>
    </w:p>
    <w:p>
      <w:pPr>
        <w:ind w:left="1580" w:right="1380" w:hanging="186"/>
        <w:spacing w:after="0" w:line="308" w:lineRule="auto"/>
        <w:tabs>
          <w:tab w:leader="none" w:pos="1950" w:val="left"/>
        </w:tabs>
        <w:numPr>
          <w:ilvl w:val="0"/>
          <w:numId w:val="70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675" w:name="page676"/>
    <w:bookmarkEnd w:id="6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6.3. Effect of Termination.</w:t>
      </w:r>
    </w:p>
    <w:p>
      <w:pPr>
        <w:spacing w:after="0" w:line="11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b w:val="1"/>
          <w:bCs w:val="1"/>
          <w:color w:val="auto"/>
        </w:rPr>
        <w:t xml:space="preserve">6.3.1. Termination of Rights. </w:t>
      </w:r>
      <w:r>
        <w:rPr>
          <w:rFonts w:ascii="Arial" w:cs="Arial" w:eastAsia="Arial" w:hAnsi="Arial"/>
          <w:sz w:val="16"/>
          <w:szCs w:val="16"/>
          <w:color w:val="auto"/>
        </w:rPr>
        <w:t>Upon any termination or expiration of this Agreement, (a) the rights and licenses granted to Licensee under</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2 shall terminate, (b) all rights in and to and under the Biological Material and Technology Transfer Material will revert to Harvard and, subject to Section 6.3.2, neither Licensee nor its Sublicensees may make any further use or exploitation of any Biological Material or Technology Transfer Material and</w:t>
      </w:r>
    </w:p>
    <w:p>
      <w:pPr>
        <w:spacing w:after="0" w:line="2" w:lineRule="exact"/>
        <w:rPr>
          <w:sz w:val="20"/>
          <w:szCs w:val="20"/>
          <w:color w:val="auto"/>
        </w:rPr>
      </w:pPr>
    </w:p>
    <w:p>
      <w:pPr>
        <w:ind w:right="100" w:firstLine="8"/>
        <w:spacing w:after="0" w:line="292" w:lineRule="auto"/>
        <w:tabs>
          <w:tab w:leader="none" w:pos="245" w:val="left"/>
        </w:tabs>
        <w:numPr>
          <w:ilvl w:val="0"/>
          <w:numId w:val="706"/>
        </w:numPr>
        <w:rPr>
          <w:rFonts w:ascii="Arial" w:cs="Arial" w:eastAsia="Arial" w:hAnsi="Arial"/>
          <w:sz w:val="16"/>
          <w:szCs w:val="16"/>
          <w:color w:val="auto"/>
        </w:rPr>
      </w:pPr>
      <w:r>
        <w:rPr>
          <w:rFonts w:ascii="Arial" w:cs="Arial" w:eastAsia="Arial" w:hAnsi="Arial"/>
          <w:sz w:val="16"/>
          <w:szCs w:val="16"/>
          <w:color w:val="auto"/>
        </w:rPr>
        <w:t>any existing Sublicense shall terminate; provided, however, that, for each Sublicensee, upon termination of the license, if the Sublicensee is not then in breach of the Sublicense agreement such that Licensee would have the right to terminate such Sublicense agreement, such Sublicensee shall have the right to obtain a direct license from Harvard on the same terms and conditions as set forth herein, which shall not impose any representations, warranties, obligations or liabilities on Harvard that are not included in this Agreement. Furthermore, in the event of any termination or expiration of this Agreement, Licensee shall destroy, and shall cause its agents and Sublicensees to destroy, all Biological Material under their control or in their possession.</w:t>
      </w:r>
    </w:p>
    <w:p>
      <w:pPr>
        <w:spacing w:after="0" w:line="51"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b w:val="1"/>
          <w:bCs w:val="1"/>
          <w:color w:val="auto"/>
        </w:rPr>
        <w:t xml:space="preserve">6.3.2. Accruing Obligations. </w:t>
      </w:r>
      <w:r>
        <w:rPr>
          <w:rFonts w:ascii="Arial" w:cs="Arial" w:eastAsia="Arial" w:hAnsi="Arial"/>
          <w:sz w:val="16"/>
          <w:szCs w:val="16"/>
          <w:color w:val="auto"/>
        </w:rPr>
        <w:t>Termination or expiration of this Agreement shall not relieve the parties of obligations accruing prior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or expiration, including obligations to pay amounts accruing hereunder up to the date of termination or expiration. After the date of termination or expiration (except in the case of termination by Harvard pursuant to Section 6.2), Licensee and its Sublicensees (a) may sell Products then in stock and</w:t>
      </w:r>
    </w:p>
    <w:p>
      <w:pPr>
        <w:spacing w:after="0" w:line="2" w:lineRule="exact"/>
        <w:rPr>
          <w:sz w:val="20"/>
          <w:szCs w:val="20"/>
          <w:color w:val="auto"/>
        </w:rPr>
      </w:pPr>
    </w:p>
    <w:p>
      <w:pPr>
        <w:ind w:right="120" w:firstLine="8"/>
        <w:spacing w:after="0" w:line="261" w:lineRule="auto"/>
        <w:tabs>
          <w:tab w:leader="none" w:pos="255" w:val="left"/>
        </w:tabs>
        <w:numPr>
          <w:ilvl w:val="0"/>
          <w:numId w:val="707"/>
        </w:numPr>
        <w:rPr>
          <w:rFonts w:ascii="Arial" w:cs="Arial" w:eastAsia="Arial" w:hAnsi="Arial"/>
          <w:sz w:val="18"/>
          <w:szCs w:val="18"/>
          <w:color w:val="auto"/>
        </w:rPr>
      </w:pPr>
      <w:r>
        <w:rPr>
          <w:rFonts w:ascii="Arial" w:cs="Arial" w:eastAsia="Arial" w:hAnsi="Arial"/>
          <w:sz w:val="18"/>
          <w:szCs w:val="18"/>
          <w:color w:val="auto"/>
        </w:rPr>
        <w:t>may complete the production of Products then in the process of production and sell the same; provided that, in the case of both (a) and (b), Licensee shall maintain insurance in accordance with the requirements of Section 5.2.</w:t>
      </w:r>
    </w:p>
    <w:p>
      <w:pPr>
        <w:spacing w:after="0" w:line="72" w:lineRule="exact"/>
        <w:rPr>
          <w:sz w:val="20"/>
          <w:szCs w:val="20"/>
          <w:color w:val="auto"/>
        </w:rPr>
      </w:pPr>
    </w:p>
    <w:p>
      <w:pPr>
        <w:ind w:right="260" w:firstLine="913"/>
        <w:spacing w:after="0" w:line="289" w:lineRule="auto"/>
        <w:rPr>
          <w:sz w:val="20"/>
          <w:szCs w:val="20"/>
          <w:color w:val="auto"/>
        </w:rPr>
      </w:pPr>
      <w:r>
        <w:rPr>
          <w:rFonts w:ascii="Arial" w:cs="Arial" w:eastAsia="Arial" w:hAnsi="Arial"/>
          <w:sz w:val="17"/>
          <w:szCs w:val="17"/>
          <w:b w:val="1"/>
          <w:bCs w:val="1"/>
          <w:color w:val="auto"/>
        </w:rPr>
        <w:t xml:space="preserve">6.4. Survival. </w:t>
      </w:r>
      <w:r>
        <w:rPr>
          <w:rFonts w:ascii="Arial" w:cs="Arial" w:eastAsia="Arial" w:hAnsi="Arial"/>
          <w:sz w:val="17"/>
          <w:szCs w:val="17"/>
          <w:color w:val="auto"/>
        </w:rPr>
        <w:t>The parties’ respective rights, obligations and duties under Articles 4, 5 and 7 and Sections 2.2.2.3 (but only with respect to a</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Sublicensee’s right to obtain a direct license from Harvard), 2.3, 3.1, 3.6, 6.3, 6.4, as well as any rights, obligations and duties which by their nature extend beyond the expiration or termination of this Agreement, shall survive any expiration or termination of this Agreement.</w:t>
      </w:r>
    </w:p>
    <w:p>
      <w:pPr>
        <w:spacing w:after="0" w:line="307" w:lineRule="exact"/>
        <w:rPr>
          <w:sz w:val="20"/>
          <w:szCs w:val="20"/>
          <w:color w:val="auto"/>
        </w:rPr>
      </w:pPr>
    </w:p>
    <w:p>
      <w:pPr>
        <w:ind w:left="460" w:hanging="452"/>
        <w:spacing w:after="0"/>
        <w:tabs>
          <w:tab w:leader="none" w:pos="460" w:val="left"/>
        </w:tabs>
        <w:numPr>
          <w:ilvl w:val="0"/>
          <w:numId w:val="70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7.1. No Security Interest. </w:t>
      </w:r>
      <w:r>
        <w:rPr>
          <w:rFonts w:ascii="Arial" w:cs="Arial" w:eastAsia="Arial" w:hAnsi="Arial"/>
          <w:sz w:val="18"/>
          <w:szCs w:val="18"/>
          <w:color w:val="auto"/>
        </w:rPr>
        <w:t>Licensee shall not enter into any agreement under which Licensee grants to or otherwise creates in any third party a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this Agreement or any of the rights granted to Licensee herein. Any grant or creation of a security interest purported or attempted to be made in violation of the terms of this Section 7.1 shall be null and void and of no legal effect.</w:t>
      </w:r>
    </w:p>
    <w:p>
      <w:pPr>
        <w:spacing w:after="0" w:line="6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7.2. Use of Name. </w:t>
      </w:r>
      <w:r>
        <w:rPr>
          <w:rFonts w:ascii="Arial" w:cs="Arial" w:eastAsia="Arial" w:hAnsi="Arial"/>
          <w:sz w:val="18"/>
          <w:szCs w:val="18"/>
          <w:color w:val="auto"/>
        </w:rPr>
        <w:t>Except as provided below, Licensee shall not, and shall ensure that its Affiliates and Sublicensees shall not, use or register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“Harvard” (alone or as part of another name) or any logos, seals, insignia or other words, names, symbols or devices that identify Harvard or any Harvard school, unit, division or affiliate (“Harvard Names”) for any purpose except with the prior written approval of, and in accordance with restrictions required by, Harvard. Without limiting the foregoing, Licensee shall, and shall ensure that its Affiliates and Sublicensees shall, cease all use of Harvard Names on the termination or expiration of this Agreement except as otherwise approved by Harvard. This restriction shall not apply to any information required by law to be disclosed to any governmental entity.</w:t>
      </w:r>
    </w:p>
    <w:p>
      <w:pPr>
        <w:spacing w:after="0" w:line="124" w:lineRule="exact"/>
        <w:rPr>
          <w:sz w:val="20"/>
          <w:szCs w:val="20"/>
          <w:color w:val="auto"/>
        </w:rPr>
      </w:pPr>
    </w:p>
    <w:p>
      <w:pPr>
        <w:ind w:left="1580" w:right="1380" w:hanging="191"/>
        <w:spacing w:after="0" w:line="308" w:lineRule="auto"/>
        <w:tabs>
          <w:tab w:leader="none" w:pos="1945" w:val="left"/>
        </w:tabs>
        <w:numPr>
          <w:ilvl w:val="0"/>
          <w:numId w:val="709"/>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1" w:right="239" w:bottom="1440" w:gutter="0" w:footer="0" w:header="0"/>
        </w:sectPr>
      </w:pPr>
    </w:p>
    <w:bookmarkStart w:id="676" w:name="page677"/>
    <w:bookmarkEnd w:id="676"/>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7.3. Entire Agreement. </w:t>
      </w:r>
      <w:r>
        <w:rPr>
          <w:rFonts w:ascii="Arial" w:cs="Arial" w:eastAsia="Arial" w:hAnsi="Arial"/>
          <w:sz w:val="18"/>
          <w:szCs w:val="18"/>
          <w:color w:val="auto"/>
        </w:rPr>
        <w:t>This Agreement is the sole agreement with respect to the subject matter hereof and except as expressly set forth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other agreements and understandings between the parties with respect to the same.</w:t>
      </w:r>
    </w:p>
    <w:p>
      <w:pPr>
        <w:spacing w:after="0" w:line="54"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7.4. Notices. </w:t>
      </w:r>
      <w:r>
        <w:rPr>
          <w:rFonts w:ascii="Arial" w:cs="Arial" w:eastAsia="Arial" w:hAnsi="Arial"/>
          <w:sz w:val="18"/>
          <w:szCs w:val="18"/>
          <w:color w:val="auto"/>
        </w:rPr>
        <w:t>Unless otherwise specifically provided, all notices required or permitted by this Agreement shall be in writing and may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may be sent by facsimile, overnight delivery or certified mail, return receipt requested, to the following addresses, unless the parties are subsequently notified of any change of address in accordance with this Section 7.4:</w:t>
      </w:r>
    </w:p>
    <w:p>
      <w:pPr>
        <w:sectPr>
          <w:pgSz w:w="11900" w:h="16838" w:orient="portrait"/>
          <w:cols w:equalWidth="0" w:num="1">
            <w:col w:w="11120"/>
          </w:cols>
          <w:pgMar w:left="240" w:top="270" w:right="539" w:bottom="1440" w:gutter="0" w:footer="0" w:header="0"/>
        </w:sect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Licensee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(invoices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Solid Biosciences,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161 First Street, Suite #3A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00" w:lineRule="exact"/>
        <w:rPr>
          <w:sz w:val="20"/>
          <w:szCs w:val="20"/>
          <w:color w:val="auto"/>
        </w:rPr>
      </w:pPr>
    </w:p>
    <w:p>
      <w:pPr>
        <w:sectPr>
          <w:pgSz w:w="11900" w:h="16838" w:orient="portrait"/>
          <w:cols w:equalWidth="0" w:num="2">
            <w:col w:w="1460" w:space="660"/>
            <w:col w:w="9000"/>
          </w:cols>
          <w:pgMar w:left="240" w:top="270" w:right="539" w:bottom="1440" w:gutter="0" w:footer="0" w:header="0"/>
          <w:type w:val="continuous"/>
        </w:sectPr>
      </w:pPr>
    </w:p>
    <w:p>
      <w:pPr>
        <w:spacing w:after="0" w:line="24"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If to Licensee (all other notices):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Solid Biosciences,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161 First Street, Suite #3A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116" w:lineRule="exact"/>
        <w:rPr>
          <w:sz w:val="20"/>
          <w:szCs w:val="20"/>
          <w:color w:val="auto"/>
        </w:rPr>
      </w:pPr>
    </w:p>
    <w:p>
      <w:pPr>
        <w:sectPr>
          <w:pgSz w:w="11900" w:h="16838" w:orient="portrait"/>
          <w:cols w:equalWidth="0" w:num="2">
            <w:col w:w="1740" w:space="380"/>
            <w:col w:w="9000"/>
          </w:cols>
          <w:pgMar w:left="240" w:top="270" w:right="5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If to Harvard: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Office of Technology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Harvard University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1350 Massachusetts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Cambridge, Massachusetts 02138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116" w:lineRule="exact"/>
        <w:rPr>
          <w:sz w:val="20"/>
          <w:szCs w:val="20"/>
          <w:color w:val="auto"/>
        </w:rPr>
      </w:pPr>
    </w:p>
    <w:p>
      <w:pPr>
        <w:sectPr>
          <w:pgSz w:w="11900" w:h="16838" w:orient="portrait"/>
          <w:cols w:equalWidth="0" w:num="2">
            <w:col w:w="1460" w:space="660"/>
            <w:col w:w="9000"/>
          </w:cols>
          <w:pgMar w:left="240" w:top="270" w:right="539" w:bottom="1440" w:gutter="0" w:footer="0" w:header="0"/>
          <w:type w:val="continuous"/>
        </w:sectPr>
      </w:pPr>
    </w:p>
    <w:p>
      <w:pPr>
        <w:ind w:left="2120"/>
        <w:spacing w:after="0"/>
        <w:rPr>
          <w:sz w:val="20"/>
          <w:szCs w:val="20"/>
          <w:color w:val="auto"/>
        </w:rPr>
      </w:pPr>
      <w:r>
        <w:rPr>
          <w:rFonts w:ascii="Arial" w:cs="Arial" w:eastAsia="Arial" w:hAnsi="Arial"/>
          <w:sz w:val="17"/>
          <w:szCs w:val="17"/>
          <w:color w:val="auto"/>
        </w:rPr>
        <w:t>Attn.:</w:t>
      </w:r>
    </w:p>
    <w:p>
      <w:pPr>
        <w:sectPr>
          <w:pgSz w:w="11900" w:h="16838" w:orient="portrait"/>
          <w:cols w:equalWidth="0" w:num="1">
            <w:col w:w="11120"/>
          </w:cols>
          <w:pgMar w:left="240" w:top="270" w:right="539" w:bottom="1440" w:gutter="0" w:footer="0" w:header="0"/>
          <w:type w:val="continuous"/>
        </w:sectPr>
      </w:pPr>
    </w:p>
    <w:p>
      <w:pPr>
        <w:spacing w:after="0" w:line="23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notice shall be deemed to have been received as follows: (a) by personal delivery, upon receipt; (b) by facsimile or overnight delivery, one business day after transmission or dispatch; (c) by certified mail, as evidenced by the return receipt. If notice is sent by facsimile, a confirming copy of the same shall be sent by mail to the same address.</w:t>
      </w:r>
    </w:p>
    <w:p>
      <w:pPr>
        <w:spacing w:after="0" w:line="114" w:lineRule="exact"/>
        <w:rPr>
          <w:sz w:val="20"/>
          <w:szCs w:val="20"/>
          <w:color w:val="auto"/>
        </w:rPr>
      </w:pPr>
    </w:p>
    <w:p>
      <w:pPr>
        <w:ind w:left="1580" w:right="1080" w:hanging="186"/>
        <w:spacing w:after="0" w:line="308" w:lineRule="auto"/>
        <w:tabs>
          <w:tab w:leader="none" w:pos="1950" w:val="left"/>
        </w:tabs>
        <w:numPr>
          <w:ilvl w:val="0"/>
          <w:numId w:val="710"/>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240" w:top="270" w:right="539" w:bottom="1440" w:gutter="0" w:footer="0" w:header="0"/>
          <w:type w:val="continuous"/>
        </w:sectPr>
      </w:pPr>
    </w:p>
    <w:bookmarkStart w:id="677" w:name="page678"/>
    <w:bookmarkEnd w:id="6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80" w:firstLine="456"/>
        <w:spacing w:after="0" w:line="292" w:lineRule="auto"/>
        <w:rPr>
          <w:sz w:val="20"/>
          <w:szCs w:val="20"/>
          <w:color w:val="auto"/>
        </w:rPr>
      </w:pPr>
      <w:r>
        <w:rPr>
          <w:rFonts w:ascii="Arial" w:cs="Arial" w:eastAsia="Arial" w:hAnsi="Arial"/>
          <w:sz w:val="16"/>
          <w:szCs w:val="16"/>
          <w:b w:val="1"/>
          <w:bCs w:val="1"/>
          <w:color w:val="auto"/>
        </w:rPr>
        <w:t xml:space="preserve">7.5. Governing Law and Jurisdiction. </w:t>
      </w:r>
      <w:r>
        <w:rPr>
          <w:rFonts w:ascii="Arial" w:cs="Arial" w:eastAsia="Arial" w:hAnsi="Arial"/>
          <w:sz w:val="16"/>
          <w:szCs w:val="16"/>
          <w:color w:val="auto"/>
        </w:rPr>
        <w:t>This Agreement will be governed by, and construed in accordance with, the substantive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Commonwealth of Massachusetts, without giving effect to any choice or conflict of law provision, except that questions affecting the construction and effect of any patent shall be determined by the law of the country in which the patent shall have been granted. Any action, suit or other proceeding arising under or relating to this Agreement (a “Suit”) shall be brought in a court of competent jurisdiction in the Commonwealth of Massachusetts, and the parties hereby consent to the sole jurisdiction of the state and federal courts sitting in the Commonwealth of Massachusetts. Each party agrees not to raise any objection at any time to the laying or maintaining of the venue of any Suit in any of the specified courts, irrevocably waives any claim that Suit has been brought in any inconvenient forum and further irrevocably waives the right to object, with respect to any Suit, that such court does not have any jurisdiction over such party.</w:t>
      </w:r>
    </w:p>
    <w:p>
      <w:pPr>
        <w:spacing w:after="0" w:line="54"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7.6. Binding Effect. </w:t>
      </w:r>
      <w:r>
        <w:rPr>
          <w:rFonts w:ascii="Arial" w:cs="Arial" w:eastAsia="Arial" w:hAnsi="Arial"/>
          <w:sz w:val="18"/>
          <w:szCs w:val="18"/>
          <w:color w:val="auto"/>
        </w:rPr>
        <w:t>This Agreement shall be binding upon and inure to the benefit of the parties and their respective legal representatives,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and permitted assigns.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7.7. Headings. </w:t>
      </w:r>
      <w:r>
        <w:rPr>
          <w:rFonts w:ascii="Arial" w:cs="Arial" w:eastAsia="Arial" w:hAnsi="Arial"/>
          <w:sz w:val="17"/>
          <w:szCs w:val="17"/>
          <w:color w:val="auto"/>
        </w:rPr>
        <w:t>Section and subsection headings are inserted for convenience of reference only and do not form a part of this Agreement.</w:t>
      </w:r>
    </w:p>
    <w:p>
      <w:pPr>
        <w:spacing w:after="0" w:line="129" w:lineRule="exact"/>
        <w:rPr>
          <w:sz w:val="20"/>
          <w:szCs w:val="20"/>
          <w:color w:val="auto"/>
        </w:rPr>
      </w:pPr>
    </w:p>
    <w:p>
      <w:pPr>
        <w:ind w:right="60" w:firstLine="456"/>
        <w:spacing w:after="0" w:line="314" w:lineRule="auto"/>
        <w:rPr>
          <w:sz w:val="20"/>
          <w:szCs w:val="20"/>
          <w:color w:val="auto"/>
        </w:rPr>
      </w:pPr>
      <w:r>
        <w:rPr>
          <w:rFonts w:ascii="Arial" w:cs="Arial" w:eastAsia="Arial" w:hAnsi="Arial"/>
          <w:sz w:val="16"/>
          <w:szCs w:val="16"/>
          <w:b w:val="1"/>
          <w:bCs w:val="1"/>
          <w:color w:val="auto"/>
        </w:rPr>
        <w:t xml:space="preserve">7.8. Counterparts. </w:t>
      </w:r>
      <w:r>
        <w:rPr>
          <w:rFonts w:ascii="Arial" w:cs="Arial" w:eastAsia="Arial" w:hAnsi="Arial"/>
          <w:sz w:val="16"/>
          <w:szCs w:val="16"/>
          <w:color w:val="auto"/>
        </w:rPr>
        <w:t>The parties may execute this Agreement in two or more counterparts, each of which shall be deemed an original, but both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shall constitute one and the same instrument. Transmission by facsimile or electronic mail of an executed counterpart of this Agreement shall be deemed to constitute due and sufficient delivery of such counterpart. If by electronic mail, the executed Agreement must be delivered in a .pdf format.</w:t>
      </w:r>
    </w:p>
    <w:p>
      <w:pPr>
        <w:spacing w:after="0" w:line="34"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7.9. Amendment; Waiver. </w:t>
      </w:r>
      <w:r>
        <w:rPr>
          <w:rFonts w:ascii="Arial" w:cs="Arial" w:eastAsia="Arial" w:hAnsi="Arial"/>
          <w:sz w:val="17"/>
          <w:szCs w:val="17"/>
          <w:color w:val="auto"/>
        </w:rPr>
        <w:t>This Agreement may be amended, modified, superseded or canceled, and any of the terms may be waived, only by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executed by each party or, in the case of waiver, by the party waiving compliance. The delay or failure of either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60"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7.10. No Agency or Partnership. </w:t>
      </w:r>
      <w:r>
        <w:rPr>
          <w:rFonts w:ascii="Arial" w:cs="Arial" w:eastAsia="Arial" w:hAnsi="Arial"/>
          <w:sz w:val="18"/>
          <w:szCs w:val="18"/>
          <w:color w:val="auto"/>
        </w:rPr>
        <w:t>Nothing contained in this Agreement shall give either party the right to bind the other, or be deemed to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as agent for or partner of the other or any third party.</w:t>
      </w:r>
    </w:p>
    <w:p>
      <w:pPr>
        <w:spacing w:after="0" w:line="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7.11. Assignment and Successors. </w:t>
      </w:r>
      <w:r>
        <w:rPr>
          <w:rFonts w:ascii="Arial" w:cs="Arial" w:eastAsia="Arial" w:hAnsi="Arial"/>
          <w:sz w:val="16"/>
          <w:szCs w:val="16"/>
          <w:color w:val="auto"/>
        </w:rPr>
        <w:t>This Agreement may not be assigned by either party without the consent of the other, which consent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unreasonably withheld, except that each party may, without such consent, assign this Agreement and the rights, obligations and interests of such party to any purchaser of all or substantially all of its assets to which the subject matter of this Agreement relates, or to any successor corporation resulting from any merger or consolidation of such party with or into such corporation; provided, in each case, that the assignee agrees in writing to be bound by the terms of this Agreement. Any assignment purported or attempted to be made in violation of the terms of this Section 7.11 shall be null and void and of no legal effect.</w:t>
      </w:r>
    </w:p>
    <w:p>
      <w:pPr>
        <w:spacing w:after="0" w:line="91" w:lineRule="exact"/>
        <w:rPr>
          <w:sz w:val="20"/>
          <w:szCs w:val="20"/>
          <w:color w:val="auto"/>
        </w:rPr>
      </w:pPr>
    </w:p>
    <w:p>
      <w:pPr>
        <w:ind w:left="1580" w:right="1360" w:hanging="191"/>
        <w:spacing w:after="0" w:line="308" w:lineRule="auto"/>
        <w:tabs>
          <w:tab w:leader="none" w:pos="1945" w:val="left"/>
        </w:tabs>
        <w:numPr>
          <w:ilvl w:val="0"/>
          <w:numId w:val="711"/>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678" w:name="page679"/>
    <w:bookmarkEnd w:id="6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7.12. Force Majeure. </w:t>
      </w:r>
      <w:r>
        <w:rPr>
          <w:rFonts w:ascii="Arial" w:cs="Arial" w:eastAsia="Arial" w:hAnsi="Arial"/>
          <w:sz w:val="18"/>
          <w:szCs w:val="18"/>
          <w:color w:val="auto"/>
        </w:rPr>
        <w:t>Except for monetary obligations hereunder, neither party will be responsible for delays resulting from causes beyond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control of such party, including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7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7.13. Interpretation. </w:t>
      </w:r>
      <w:r>
        <w:rPr>
          <w:rFonts w:ascii="Arial" w:cs="Arial" w:eastAsia="Arial" w:hAnsi="Arial"/>
          <w:sz w:val="18"/>
          <w:szCs w:val="18"/>
          <w:color w:val="auto"/>
        </w:rPr>
        <w:t>Each party hereto acknowledges and agrees that: (a) it and/or its counsel reviewed and negotiated the terms and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has contributed to its revision; (b) the rule of construction to the effect that any ambiguities are resolved against the drafting party shall not be employed in the interpretation of this Agreement; (c) the terms and provisions of this Agreement shall be construed fairly as to both parties hereto and not in favor of or against either party, regardless of which party was generally responsible for the preparation of this Agreement; and (d) the use of “include,” “includes,” or “including” herein shall not be limiting and “or” shall not be exclusive.</w:t>
      </w:r>
    </w:p>
    <w:p>
      <w:pPr>
        <w:spacing w:after="0" w:line="76"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7.14. Severability. </w:t>
      </w:r>
      <w:r>
        <w:rPr>
          <w:rFonts w:ascii="Arial" w:cs="Arial" w:eastAsia="Arial" w:hAnsi="Arial"/>
          <w:sz w:val="18"/>
          <w:szCs w:val="18"/>
          <w:color w:val="auto"/>
        </w:rPr>
        <w:t>If any provision of this Agreement is or becomes invalid or is ruled invalid by any court of competent jurisdiction or is deemed</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it is the intention of the parties that the remainder of this Agreement shall not be affected.</w:t>
      </w:r>
    </w:p>
    <w:p>
      <w:pPr>
        <w:spacing w:after="0" w:line="98" w:lineRule="exact"/>
        <w:rPr>
          <w:sz w:val="20"/>
          <w:szCs w:val="20"/>
          <w:color w:val="auto"/>
        </w:rPr>
      </w:pPr>
    </w:p>
    <w:p>
      <w:pPr>
        <w:ind w:left="1580" w:right="1340" w:hanging="191"/>
        <w:spacing w:after="0" w:line="308" w:lineRule="auto"/>
        <w:tabs>
          <w:tab w:leader="none" w:pos="1945" w:val="left"/>
        </w:tabs>
        <w:numPr>
          <w:ilvl w:val="0"/>
          <w:numId w:val="712"/>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1" w:right="279" w:bottom="1440" w:gutter="0" w:footer="0" w:header="0"/>
        </w:sectPr>
      </w:pPr>
    </w:p>
    <w:bookmarkStart w:id="679" w:name="page680"/>
    <w:bookmarkEnd w:id="679"/>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Agreement to be executed by their duly authorized representatives as of the date first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5"/>
          </w:tcPr>
          <w:p>
            <w:pPr>
              <w:spacing w:after="0"/>
              <w:rPr>
                <w:sz w:val="20"/>
                <w:szCs w:val="20"/>
                <w:color w:val="auto"/>
              </w:rPr>
            </w:pPr>
            <w:r>
              <w:rPr>
                <w:rFonts w:ascii="Arial" w:cs="Arial" w:eastAsia="Arial" w:hAnsi="Arial"/>
                <w:sz w:val="18"/>
                <w:szCs w:val="18"/>
                <w:b w:val="1"/>
                <w:bCs w:val="1"/>
                <w:color w:val="auto"/>
              </w:rPr>
              <w:t>President and Fellows of Harvard College</w:t>
            </w:r>
          </w:p>
        </w:tc>
        <w:tc>
          <w:tcPr>
            <w:tcW w:w="5300" w:type="dxa"/>
            <w:vAlign w:val="bottom"/>
            <w:gridSpan w:val="5"/>
          </w:tcPr>
          <w:p>
            <w:pPr>
              <w:ind w:left="2320"/>
              <w:spacing w:after="0"/>
              <w:rPr>
                <w:sz w:val="20"/>
                <w:szCs w:val="20"/>
                <w:color w:val="auto"/>
              </w:rPr>
            </w:pPr>
            <w:r>
              <w:rPr>
                <w:rFonts w:ascii="Arial" w:cs="Arial" w:eastAsia="Arial" w:hAnsi="Arial"/>
                <w:sz w:val="18"/>
                <w:szCs w:val="18"/>
                <w:b w:val="1"/>
                <w:bCs w:val="1"/>
                <w:color w:val="auto"/>
              </w:rPr>
              <w:t>Solid Biosciences, LLC</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5580" w:type="dxa"/>
            <w:vAlign w:val="bottom"/>
            <w:gridSpan w:val="5"/>
          </w:tcPr>
          <w:p>
            <w:pPr>
              <w:spacing w:after="0"/>
              <w:rPr>
                <w:sz w:val="20"/>
                <w:szCs w:val="20"/>
                <w:color w:val="auto"/>
              </w:rPr>
            </w:pPr>
            <w:r>
              <w:rPr>
                <w:rFonts w:ascii="Arial" w:cs="Arial" w:eastAsia="Arial" w:hAnsi="Arial"/>
                <w:sz w:val="18"/>
                <w:szCs w:val="18"/>
                <w:color w:val="auto"/>
              </w:rPr>
              <w:t>By:  /s/ Jordan B. Grant</w:t>
            </w:r>
          </w:p>
        </w:tc>
        <w:tc>
          <w:tcPr>
            <w:tcW w:w="5300" w:type="dxa"/>
            <w:vAlign w:val="bottom"/>
            <w:gridSpan w:val="5"/>
          </w:tcPr>
          <w:p>
            <w:pPr>
              <w:ind w:left="2320"/>
              <w:spacing w:after="0"/>
              <w:rPr>
                <w:sz w:val="20"/>
                <w:szCs w:val="20"/>
                <w:color w:val="auto"/>
              </w:rPr>
            </w:pPr>
            <w:r>
              <w:rPr>
                <w:rFonts w:ascii="Arial" w:cs="Arial" w:eastAsia="Arial" w:hAnsi="Arial"/>
                <w:sz w:val="18"/>
                <w:szCs w:val="18"/>
                <w:color w:val="auto"/>
              </w:rPr>
              <w:t>By:  /s/ Ilan Ganot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sz w:val="20"/>
                <w:szCs w:val="20"/>
                <w:color w:val="auto"/>
              </w:rPr>
            </w:pPr>
            <w:r>
              <w:rPr>
                <w:rFonts w:ascii="Arial" w:cs="Arial" w:eastAsia="Arial" w:hAnsi="Arial"/>
                <w:sz w:val="18"/>
                <w:szCs w:val="18"/>
                <w:color w:val="auto"/>
                <w:w w:val="98"/>
              </w:rPr>
              <w:t>Name:</w:t>
            </w:r>
          </w:p>
        </w:tc>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Jordan B. Grant</w:t>
            </w:r>
          </w:p>
        </w:tc>
        <w:tc>
          <w:tcPr>
            <w:tcW w:w="2380" w:type="dxa"/>
            <w:vAlign w:val="bottom"/>
            <w:gridSpan w:val="2"/>
          </w:tcPr>
          <w:p>
            <w:pPr>
              <w:spacing w:after="0"/>
              <w:rPr>
                <w:sz w:val="24"/>
                <w:szCs w:val="24"/>
                <w:color w:val="auto"/>
              </w:rPr>
            </w:pPr>
          </w:p>
        </w:tc>
        <w:tc>
          <w:tcPr>
            <w:tcW w:w="2820" w:type="dxa"/>
            <w:vAlign w:val="bottom"/>
            <w:gridSpan w:val="3"/>
          </w:tcPr>
          <w:p>
            <w:pPr>
              <w:ind w:left="2320"/>
              <w:spacing w:after="0"/>
              <w:rPr>
                <w:sz w:val="20"/>
                <w:szCs w:val="20"/>
                <w:color w:val="auto"/>
              </w:rPr>
            </w:pPr>
            <w:r>
              <w:rPr>
                <w:rFonts w:ascii="Arial" w:cs="Arial" w:eastAsia="Arial" w:hAnsi="Arial"/>
                <w:sz w:val="18"/>
                <w:szCs w:val="18"/>
                <w:color w:val="auto"/>
                <w:w w:val="90"/>
              </w:rPr>
              <w:t>Name:</w:t>
            </w:r>
          </w:p>
        </w:tc>
        <w:tc>
          <w:tcPr>
            <w:tcW w:w="20" w:type="dxa"/>
            <w:vAlign w:val="bottom"/>
          </w:tcPr>
          <w:p>
            <w:pPr>
              <w:spacing w:after="0"/>
              <w:rPr>
                <w:sz w:val="24"/>
                <w:szCs w:val="24"/>
                <w:color w:val="auto"/>
              </w:rPr>
            </w:pPr>
          </w:p>
        </w:tc>
        <w:tc>
          <w:tcPr>
            <w:tcW w:w="2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Ilan Ganot</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3"/>
          </w:tcPr>
          <w:p>
            <w:pPr>
              <w:ind w:left="80"/>
              <w:spacing w:after="0"/>
              <w:rPr>
                <w:sz w:val="20"/>
                <w:szCs w:val="20"/>
                <w:color w:val="auto"/>
              </w:rPr>
            </w:pPr>
            <w:r>
              <w:rPr>
                <w:rFonts w:ascii="Arial" w:cs="Arial" w:eastAsia="Arial" w:hAnsi="Arial"/>
                <w:sz w:val="18"/>
                <w:szCs w:val="18"/>
                <w:color w:val="auto"/>
              </w:rPr>
              <w:t>Director of Technology Transactions</w:t>
            </w:r>
          </w:p>
        </w:tc>
        <w:tc>
          <w:tcPr>
            <w:tcW w:w="2820" w:type="dxa"/>
            <w:vAlign w:val="bottom"/>
            <w:gridSpan w:val="3"/>
          </w:tcPr>
          <w:p>
            <w:pPr>
              <w:ind w:left="2320"/>
              <w:spacing w:after="0"/>
              <w:rPr>
                <w:sz w:val="20"/>
                <w:szCs w:val="20"/>
                <w:color w:val="auto"/>
              </w:rPr>
            </w:pPr>
            <w:r>
              <w:rPr>
                <w:rFonts w:ascii="Arial" w:cs="Arial" w:eastAsia="Arial" w:hAnsi="Arial"/>
                <w:sz w:val="18"/>
                <w:szCs w:val="18"/>
                <w:color w:val="auto"/>
              </w:rPr>
              <w:t>Title:</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CEO</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3"/>
          </w:tcPr>
          <w:p>
            <w:pPr>
              <w:ind w:left="100"/>
              <w:spacing w:after="0"/>
              <w:rPr>
                <w:sz w:val="20"/>
                <w:szCs w:val="20"/>
                <w:color w:val="auto"/>
              </w:rPr>
            </w:pPr>
            <w:r>
              <w:rPr>
                <w:rFonts w:ascii="Arial" w:cs="Arial" w:eastAsia="Arial" w:hAnsi="Arial"/>
                <w:sz w:val="18"/>
                <w:szCs w:val="18"/>
                <w:color w:val="auto"/>
              </w:rPr>
              <w:t>Office of Technology Development</w:t>
            </w: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r>
      <w:tr>
        <w:trPr>
          <w:trHeight w:val="190"/>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tcBorders>
              <w:bottom w:val="single" w:sz="8" w:color="auto"/>
            </w:tcBorders>
            <w:gridSpan w:val="2"/>
          </w:tcPr>
          <w:p>
            <w:pPr>
              <w:ind w:left="100"/>
              <w:spacing w:after="0" w:line="190" w:lineRule="exact"/>
              <w:rPr>
                <w:sz w:val="20"/>
                <w:szCs w:val="20"/>
                <w:color w:val="auto"/>
              </w:rPr>
            </w:pPr>
            <w:r>
              <w:rPr>
                <w:rFonts w:ascii="Arial" w:cs="Arial" w:eastAsia="Arial" w:hAnsi="Arial"/>
                <w:sz w:val="18"/>
                <w:szCs w:val="18"/>
                <w:color w:val="auto"/>
              </w:rPr>
              <w:t>Harvard University</w:t>
            </w:r>
          </w:p>
        </w:tc>
        <w:tc>
          <w:tcPr>
            <w:tcW w:w="2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175" w:lineRule="exact"/>
        <w:rPr>
          <w:sz w:val="20"/>
          <w:szCs w:val="20"/>
          <w:color w:val="auto"/>
        </w:rPr>
      </w:pPr>
    </w:p>
    <w:p>
      <w:pPr>
        <w:ind w:left="1580" w:right="1240" w:hanging="191"/>
        <w:spacing w:after="0" w:line="308" w:lineRule="auto"/>
        <w:tabs>
          <w:tab w:leader="none" w:pos="1945" w:val="left"/>
        </w:tabs>
        <w:numPr>
          <w:ilvl w:val="0"/>
          <w:numId w:val="713"/>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Solid Biosciences, LLC Materials License – Signature Page</w:t>
      </w:r>
    </w:p>
    <w:p>
      <w:pPr>
        <w:sectPr>
          <w:pgSz w:w="11900" w:h="16838" w:orient="portrait"/>
          <w:cols w:equalWidth="0" w:num="1">
            <w:col w:w="11280"/>
          </w:cols>
          <w:pgMar w:left="240" w:top="270" w:right="379" w:bottom="1440" w:gutter="0" w:footer="0" w:header="0"/>
        </w:sectPr>
      </w:pPr>
    </w:p>
    <w:bookmarkStart w:id="680" w:name="page681"/>
    <w:bookmarkEnd w:id="68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1.3</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Biological Material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XXX</w:t>
      </w:r>
    </w:p>
    <w:p>
      <w:pPr>
        <w:spacing w:after="0" w:line="158" w:lineRule="exact"/>
        <w:rPr>
          <w:sz w:val="20"/>
          <w:szCs w:val="20"/>
          <w:color w:val="auto"/>
        </w:rPr>
      </w:pPr>
    </w:p>
    <w:p>
      <w:pPr>
        <w:ind w:left="1580" w:right="179" w:hanging="191"/>
        <w:spacing w:after="0" w:line="308" w:lineRule="auto"/>
        <w:tabs>
          <w:tab w:leader="none" w:pos="1945" w:val="left"/>
        </w:tabs>
        <w:numPr>
          <w:ilvl w:val="0"/>
          <w:numId w:val="714"/>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Solid Biosciences, LLC Materials License – Exhibit 1.3</w:t>
      </w:r>
    </w:p>
    <w:p>
      <w:pPr>
        <w:sectPr>
          <w:pgSz w:w="11900" w:h="16838" w:orient="portrait"/>
          <w:cols w:equalWidth="0" w:num="1">
            <w:col w:w="10219"/>
          </w:cols>
          <w:pgMar w:left="240" w:top="270" w:right="1440" w:bottom="1440" w:gutter="0" w:footer="0" w:header="0"/>
        </w:sectPr>
      </w:pPr>
    </w:p>
    <w:bookmarkStart w:id="681" w:name="page682"/>
    <w:bookmarkEnd w:id="681"/>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Technology Transfer Material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XXX – a document that describes the origin of the Biological Material</w:t>
      </w:r>
    </w:p>
    <w:p>
      <w:pPr>
        <w:spacing w:after="0" w:line="158" w:lineRule="exact"/>
        <w:rPr>
          <w:sz w:val="20"/>
          <w:szCs w:val="20"/>
          <w:color w:val="auto"/>
        </w:rPr>
      </w:pPr>
    </w:p>
    <w:p>
      <w:pPr>
        <w:ind w:left="1580" w:right="179" w:hanging="191"/>
        <w:spacing w:after="0" w:line="308" w:lineRule="auto"/>
        <w:tabs>
          <w:tab w:leader="none" w:pos="1945" w:val="left"/>
        </w:tabs>
        <w:numPr>
          <w:ilvl w:val="0"/>
          <w:numId w:val="715"/>
        </w:numPr>
        <w:rPr>
          <w:rFonts w:ascii="Arial" w:cs="Arial" w:eastAsia="Arial" w:hAnsi="Arial"/>
          <w:sz w:val="17"/>
          <w:szCs w:val="17"/>
          <w:color w:val="auto"/>
        </w:rPr>
      </w:pPr>
      <w:r>
        <w:rPr>
          <w:rFonts w:ascii="Arial" w:cs="Arial" w:eastAsia="Arial" w:hAnsi="Arial"/>
          <w:sz w:val="17"/>
          <w:szCs w:val="17"/>
          <w:color w:val="auto"/>
        </w:rPr>
        <w:t>CERTAIN INFORMATION HAS BEEN OMITTED AND FILED SEPARATELY WITH THE COMMISSION. CONFIDENTIAL TREATMENT HAS BEEN REQUESTED WITH RESPECT TO THE OMITTED PORTIONS.</w:t>
      </w:r>
    </w:p>
    <w:p>
      <w:pPr>
        <w:spacing w:after="0" w:line="7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Solid Biosciences, LLC Materials License – Exhibit 1.21</w:t>
      </w:r>
    </w:p>
    <w:p>
      <w:pPr>
        <w:sectPr>
          <w:pgSz w:w="11900" w:h="16838" w:orient="portrait"/>
          <w:cols w:equalWidth="0" w:num="1">
            <w:col w:w="10219"/>
          </w:cols>
          <w:pgMar w:left="240" w:top="269" w:right="1440" w:bottom="1440" w:gutter="0" w:footer="0" w:header="0"/>
        </w:sectPr>
      </w:pPr>
    </w:p>
    <w:bookmarkStart w:id="682" w:name="page683"/>
    <w:bookmarkEnd w:id="682"/>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800" w:type="dxa"/>
            <w:vAlign w:val="bottom"/>
          </w:tcPr>
          <w:p>
            <w:pPr>
              <w:ind w:left="2780"/>
              <w:spacing w:after="0"/>
              <w:rPr>
                <w:sz w:val="20"/>
                <w:szCs w:val="20"/>
                <w:color w:val="auto"/>
              </w:rPr>
            </w:pPr>
            <w:r>
              <w:rPr>
                <w:rFonts w:ascii="Arial" w:cs="Arial" w:eastAsia="Arial" w:hAnsi="Arial"/>
                <w:sz w:val="18"/>
                <w:szCs w:val="18"/>
                <w:b w:val="1"/>
                <w:bCs w:val="1"/>
                <w:color w:val="auto"/>
                <w:w w:val="90"/>
              </w:rPr>
              <w:t>Exhibit 10.16</w:t>
            </w:r>
          </w:p>
        </w:tc>
      </w:tr>
      <w:tr>
        <w:trPr>
          <w:trHeight w:val="392"/>
        </w:trPr>
        <w:tc>
          <w:tcPr>
            <w:tcW w:w="1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FORM OF INDEMNIFICATION AGREEMENT</w:t>
            </w:r>
          </w:p>
        </w:tc>
      </w:tr>
      <w:tr>
        <w:trPr>
          <w:trHeight w:val="20"/>
        </w:trPr>
        <w:tc>
          <w:tcPr>
            <w:tcW w:w="3800" w:type="dxa"/>
            <w:vAlign w:val="bottom"/>
            <w:gridSpan w:val="2"/>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34"/>
        </w:trPr>
        <w:tc>
          <w:tcPr>
            <w:tcW w:w="5580" w:type="dxa"/>
            <w:vAlign w:val="bottom"/>
            <w:gridSpan w:val="3"/>
          </w:tcPr>
          <w:p>
            <w:pPr>
              <w:ind w:left="460"/>
              <w:spacing w:after="0"/>
              <w:rPr>
                <w:sz w:val="20"/>
                <w:szCs w:val="20"/>
                <w:color w:val="auto"/>
              </w:rPr>
            </w:pPr>
            <w:r>
              <w:rPr>
                <w:rFonts w:ascii="Arial" w:cs="Arial" w:eastAsia="Arial" w:hAnsi="Arial"/>
                <w:sz w:val="18"/>
                <w:szCs w:val="18"/>
                <w:color w:val="auto"/>
                <w:w w:val="97"/>
              </w:rPr>
              <w:t>This Indemnification Agreement (this “</w:t>
            </w:r>
            <w:r>
              <w:rPr>
                <w:rFonts w:ascii="Arial" w:cs="Arial" w:eastAsia="Arial" w:hAnsi="Arial"/>
                <w:sz w:val="18"/>
                <w:szCs w:val="18"/>
                <w:b w:val="1"/>
                <w:bCs w:val="1"/>
                <w:color w:val="auto"/>
                <w:w w:val="97"/>
              </w:rPr>
              <w:t>Agreement</w:t>
            </w:r>
            <w:r>
              <w:rPr>
                <w:rFonts w:ascii="Arial" w:cs="Arial" w:eastAsia="Arial" w:hAnsi="Arial"/>
                <w:sz w:val="18"/>
                <w:szCs w:val="18"/>
                <w:color w:val="auto"/>
                <w:w w:val="97"/>
              </w:rPr>
              <w:t>”) is made as of</w:t>
            </w:r>
          </w:p>
        </w:tc>
        <w:tc>
          <w:tcPr>
            <w:tcW w:w="5840" w:type="dxa"/>
            <w:vAlign w:val="bottom"/>
            <w:gridSpan w:val="2"/>
          </w:tcPr>
          <w:p>
            <w:pPr>
              <w:ind w:left="300"/>
              <w:spacing w:after="0"/>
              <w:rPr>
                <w:sz w:val="20"/>
                <w:szCs w:val="20"/>
                <w:color w:val="auto"/>
              </w:rPr>
            </w:pPr>
            <w:r>
              <w:rPr>
                <w:rFonts w:ascii="Arial" w:cs="Arial" w:eastAsia="Arial" w:hAnsi="Arial"/>
                <w:sz w:val="18"/>
                <w:szCs w:val="18"/>
                <w:color w:val="auto"/>
                <w:w w:val="92"/>
              </w:rPr>
              <w:t>, 2018 by and between Solid Biosciences Inc., a Delaware corporation (the</w:t>
            </w:r>
          </w:p>
        </w:tc>
      </w:tr>
      <w:tr>
        <w:trPr>
          <w:trHeight w:val="234"/>
        </w:trPr>
        <w:tc>
          <w:tcPr>
            <w:tcW w:w="18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and [</w:t>
            </w:r>
          </w:p>
        </w:tc>
        <w:tc>
          <w:tcPr>
            <w:tcW w:w="9540" w:type="dxa"/>
            <w:vAlign w:val="bottom"/>
            <w:gridSpan w:val="4"/>
          </w:tcPr>
          <w:p>
            <w:pPr>
              <w:ind w:left="460"/>
              <w:spacing w:after="0"/>
              <w:rPr>
                <w:sz w:val="20"/>
                <w:szCs w:val="20"/>
                <w:color w:val="auto"/>
              </w:rPr>
            </w:pPr>
            <w:r>
              <w:rPr>
                <w:rFonts w:ascii="Arial" w:cs="Arial" w:eastAsia="Arial" w:hAnsi="Arial"/>
                <w:sz w:val="18"/>
                <w:szCs w:val="18"/>
                <w:color w:val="auto"/>
                <w:w w:val="93"/>
              </w:rPr>
              <w:t>] (“</w:t>
            </w:r>
            <w:r>
              <w:rPr>
                <w:rFonts w:ascii="Arial" w:cs="Arial" w:eastAsia="Arial" w:hAnsi="Arial"/>
                <w:sz w:val="18"/>
                <w:szCs w:val="18"/>
                <w:b w:val="1"/>
                <w:bCs w:val="1"/>
                <w:color w:val="auto"/>
                <w:w w:val="93"/>
              </w:rPr>
              <w:t>Indemnitee</w:t>
            </w:r>
            <w:r>
              <w:rPr>
                <w:rFonts w:ascii="Arial" w:cs="Arial" w:eastAsia="Arial" w:hAnsi="Arial"/>
                <w:sz w:val="18"/>
                <w:szCs w:val="18"/>
                <w:color w:val="auto"/>
                <w:w w:val="93"/>
              </w:rPr>
              <w:t>”). This Agreement supersedes and replaces any and all previous agreements between the Company, Solid</w:t>
            </w:r>
          </w:p>
        </w:tc>
      </w:tr>
    </w:tbl>
    <w:p>
      <w:pPr>
        <w:ind w:right="700"/>
        <w:spacing w:after="0" w:line="261" w:lineRule="auto"/>
        <w:rPr>
          <w:sz w:val="20"/>
          <w:szCs w:val="20"/>
          <w:color w:val="auto"/>
        </w:rPr>
      </w:pPr>
      <w:r>
        <w:rPr>
          <w:rFonts w:ascii="Arial" w:cs="Arial" w:eastAsia="Arial" w:hAnsi="Arial"/>
          <w:sz w:val="18"/>
          <w:szCs w:val="18"/>
          <w:color w:val="auto"/>
        </w:rPr>
        <w:t>Biosciences, LLC and/or Solid GT, LLC, on the one hand, and Indemnitee, on the other hand, covering the subject matter of this Agreement. Certain capitalized terms used herein are defined in Section 2 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WHEREAS, highly competent persons have become more reluctant to serve publicly held corporations as directors, officers or in other capacities unless they are provided with adequate protection through insurance or adequate indemnification against inordinate risks of claims and actions against them arising out of their service to and activities on behalf of such corporations;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corporation or business enterprise itself;</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uncertainties relating to such insurance and to indemnification have increased the difficulty of attracting and retaining such persons;</w:t>
      </w:r>
    </w:p>
    <w:p>
      <w:pPr>
        <w:spacing w:after="0" w:line="24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20"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color w:val="auto"/>
        </w:rPr>
        <w:t>WHEREAS, the Bylaws of the Company (the “</w:t>
      </w:r>
      <w:r>
        <w:rPr>
          <w:rFonts w:ascii="Arial" w:cs="Arial" w:eastAsia="Arial" w:hAnsi="Arial"/>
          <w:sz w:val="17"/>
          <w:szCs w:val="17"/>
          <w:b w:val="1"/>
          <w:bCs w:val="1"/>
          <w:color w:val="auto"/>
        </w:rPr>
        <w:t>Bylaws</w:t>
      </w:r>
      <w:r>
        <w:rPr>
          <w:rFonts w:ascii="Arial" w:cs="Arial" w:eastAsia="Arial" w:hAnsi="Arial"/>
          <w:sz w:val="17"/>
          <w:szCs w:val="17"/>
          <w:color w:val="auto"/>
        </w:rPr>
        <w:t>”) require indemnification of the officers and directors of the Company and the Certificate of Incorporation of the Company (the “</w:t>
      </w:r>
      <w:r>
        <w:rPr>
          <w:rFonts w:ascii="Arial" w:cs="Arial" w:eastAsia="Arial" w:hAnsi="Arial"/>
          <w:sz w:val="17"/>
          <w:szCs w:val="17"/>
          <w:b w:val="1"/>
          <w:bCs w:val="1"/>
          <w:color w:val="auto"/>
        </w:rPr>
        <w:t>Certificate of Incorporation</w:t>
      </w:r>
      <w:r>
        <w:rPr>
          <w:rFonts w:ascii="Arial" w:cs="Arial" w:eastAsia="Arial" w:hAnsi="Arial"/>
          <w:sz w:val="17"/>
          <w:szCs w:val="17"/>
          <w:color w:val="auto"/>
        </w:rPr>
        <w:t>”) requires indemnification of the directors of the Company, Indemnitee may also be entitled to indemnification pursuant to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The Bylaws, the Certificate of Incorporation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72"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683" w:name="page684"/>
    <w:bookmarkEnd w:id="683"/>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this Agreement is a supplement to and in furtherance of the Bylaws, the Certificate of Incorporation and any resolutions adopted pursuant thereto, and shall not be deemed a substitute therefor, nor to diminish or abrogate any rights of Indemnitee thereunder;</w:t>
      </w:r>
    </w:p>
    <w:p>
      <w:pPr>
        <w:spacing w:after="0" w:line="17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WHEREAS, Indemnitee does not regard the protection available under the Bylaws, the Certificate of Incorporation and insurance as adequate in the present circumstances, and may not be willing to serve as a director or officer without adequate protection, and the Company desires Indemnitee to serve in such capacity. Indemnitee is willing to serve, continue to serve and to take on additional service for or on behalf of the Company on the condition that he or she be so indemnified; [and]</w:t>
      </w:r>
    </w:p>
    <w:p>
      <w:pPr>
        <w:spacing w:after="0" w:line="183"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[WHEREAS, Indemnitee is a representative of [●] [and its affiliated investment funds] (the “</w:t>
      </w:r>
      <w:r>
        <w:rPr>
          <w:rFonts w:ascii="Arial" w:cs="Arial" w:eastAsia="Arial" w:hAnsi="Arial"/>
          <w:sz w:val="18"/>
          <w:szCs w:val="18"/>
          <w:b w:val="1"/>
          <w:bCs w:val="1"/>
          <w:color w:val="auto"/>
        </w:rPr>
        <w:t>Fund</w:t>
      </w:r>
      <w:r>
        <w:rPr>
          <w:rFonts w:ascii="Arial" w:cs="Arial" w:eastAsia="Arial" w:hAnsi="Arial"/>
          <w:sz w:val="18"/>
          <w:szCs w:val="18"/>
          <w:color w:val="auto"/>
        </w:rPr>
        <w:t>”), and has certain rights to indemnification and/or insurance provided by the Fund which Indemnitee and the Fund intend to be secondary to the primary obligation of the Company to indemnify Indemnitee as provided herein, with the Company’s acknowledgement and agreement to the foregoing being a material condition to Indemnitee’s willingness to serve on the Board;]</w:t>
      </w:r>
      <w:r>
        <w:rPr>
          <w:rFonts w:ascii="Arial" w:cs="Arial" w:eastAsia="Arial" w:hAnsi="Arial"/>
          <w:sz w:val="15"/>
          <w:szCs w:val="15"/>
          <w:color w:val="auto"/>
        </w:rPr>
        <w:t>1</w:t>
      </w:r>
    </w:p>
    <w:p>
      <w:pPr>
        <w:spacing w:after="0" w:line="18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7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Services to the Company.</w:t>
      </w:r>
      <w:r>
        <w:rPr>
          <w:rFonts w:ascii="Arial" w:cs="Arial" w:eastAsia="Arial" w:hAnsi="Arial"/>
          <w:sz w:val="16"/>
          <w:szCs w:val="16"/>
          <w:color w:val="auto"/>
        </w:rPr>
        <w:t xml:space="preserve"> Indemnitee agrees to serve as a director and/or officer of the Company, as the case may be.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Indemnitee’s employment with the Company (or any of its subsidiaries or any Enterprise), if any, is at will, and Indemnitee may be discharged at any time for any reason, with or without cause, except as may be otherwise provided in any written employment contract between Indemnitee and the Company (or any of its subsidiaries or any Enterprise), other applicable formal severance policies duly adopted by the Board or, with respect to service as a director or officer of the Company, by the Certificate of Incorporation, the Bylaws or the DGCL. The foregoing notwithstanding, this Agreement shall continue in force after Indemnitee has ceased to serve as a director or officer of the Company, as provided in Section 16 hereof.</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w:t>
      </w:r>
    </w:p>
    <w:p>
      <w:pPr>
        <w:spacing w:after="0" w:line="221" w:lineRule="exact"/>
        <w:rPr>
          <w:sz w:val="20"/>
          <w:szCs w:val="20"/>
          <w:color w:val="auto"/>
        </w:rPr>
      </w:pPr>
    </w:p>
    <w:p>
      <w:pPr>
        <w:ind w:firstLine="921"/>
        <w:spacing w:after="0" w:line="261" w:lineRule="auto"/>
        <w:tabs>
          <w:tab w:leader="none" w:pos="1158" w:val="left"/>
        </w:tabs>
        <w:numPr>
          <w:ilvl w:val="1"/>
          <w:numId w:val="716"/>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agent</w:t>
      </w:r>
      <w:r>
        <w:rPr>
          <w:rFonts w:ascii="Arial" w:cs="Arial" w:eastAsia="Arial" w:hAnsi="Arial"/>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60" w:right="34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Include this recital and the other bracketed provisions where indicated throughout if the Indemnitee is affiliated with a venture capital fund or other entity that provides indemnification to the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898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84" w:name="page685"/>
    <w:bookmarkEnd w:id="684"/>
    <w:p>
      <w:pPr>
        <w:ind w:left="1180" w:hanging="259"/>
        <w:spacing w:after="0"/>
        <w:tabs>
          <w:tab w:leader="none" w:pos="1180" w:val="left"/>
        </w:tabs>
        <w:numPr>
          <w:ilvl w:val="0"/>
          <w:numId w:val="7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w:t>
      </w:r>
      <w:r>
        <w:rPr>
          <w:rFonts w:ascii="Arial" w:cs="Arial" w:eastAsia="Arial" w:hAnsi="Arial"/>
          <w:sz w:val="16"/>
          <w:szCs w:val="16"/>
          <w:b w:val="1"/>
          <w:bCs w:val="1"/>
          <w:color w:val="auto"/>
        </w:rPr>
        <w:t>Change in Control</w:t>
      </w:r>
      <w:r>
        <w:rPr>
          <w:rFonts w:ascii="Arial" w:cs="Arial" w:eastAsia="Arial" w:hAnsi="Arial"/>
          <w:sz w:val="16"/>
          <w:szCs w:val="16"/>
          <w:color w:val="auto"/>
        </w:rPr>
        <w:t>” shall be deemed to occur upon the earliest to occur after the date of this Agreement of any of the following events:</w:t>
      </w:r>
    </w:p>
    <w:p>
      <w:pPr>
        <w:spacing w:after="0" w:line="252" w:lineRule="exact"/>
        <w:rPr>
          <w:rFonts w:ascii="Arial" w:cs="Arial" w:eastAsia="Arial" w:hAnsi="Arial"/>
          <w:sz w:val="16"/>
          <w:szCs w:val="16"/>
          <w:color w:val="auto"/>
        </w:rPr>
      </w:pPr>
    </w:p>
    <w:p>
      <w:pPr>
        <w:ind w:right="240" w:firstLine="1492"/>
        <w:spacing w:after="0" w:line="259" w:lineRule="auto"/>
        <w:tabs>
          <w:tab w:leader="none" w:pos="1624" w:val="left"/>
        </w:tabs>
        <w:numPr>
          <w:ilvl w:val="1"/>
          <w:numId w:val="717"/>
        </w:numPr>
        <w:rPr>
          <w:rFonts w:ascii="Arial" w:cs="Arial" w:eastAsia="Arial" w:hAnsi="Arial"/>
          <w:sz w:val="18"/>
          <w:szCs w:val="18"/>
          <w:color w:val="auto"/>
        </w:rPr>
      </w:pPr>
      <w:r>
        <w:rPr>
          <w:rFonts w:ascii="Arial" w:cs="Arial" w:eastAsia="Arial" w:hAnsi="Arial"/>
          <w:sz w:val="18"/>
          <w:szCs w:val="18"/>
          <w:color w:val="auto"/>
        </w:rPr>
        <w:t>any Person is or becomes the Beneficial Owner (as defined below), directly or indirectly, of securities of the Company representing 35%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86" w:lineRule="exact"/>
        <w:rPr>
          <w:rFonts w:ascii="Arial" w:cs="Arial" w:eastAsia="Arial" w:hAnsi="Arial"/>
          <w:sz w:val="18"/>
          <w:szCs w:val="18"/>
          <w:color w:val="auto"/>
        </w:rPr>
      </w:pPr>
    </w:p>
    <w:p>
      <w:pPr>
        <w:ind w:firstLine="1492"/>
        <w:spacing w:after="0" w:line="297" w:lineRule="auto"/>
        <w:tabs>
          <w:tab w:leader="none" w:pos="1674" w:val="left"/>
        </w:tabs>
        <w:numPr>
          <w:ilvl w:val="1"/>
          <w:numId w:val="717"/>
        </w:numPr>
        <w:rPr>
          <w:rFonts w:ascii="Arial" w:cs="Arial" w:eastAsia="Arial" w:hAnsi="Arial"/>
          <w:sz w:val="16"/>
          <w:szCs w:val="16"/>
          <w:color w:val="auto"/>
        </w:rPr>
      </w:pPr>
      <w:r>
        <w:rPr>
          <w:rFonts w:ascii="Arial" w:cs="Arial" w:eastAsia="Arial" w:hAnsi="Arial"/>
          <w:sz w:val="16"/>
          <w:szCs w:val="16"/>
          <w:color w:val="auto"/>
        </w:rPr>
        <w:t>during any period of two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58" w:lineRule="exact"/>
        <w:rPr>
          <w:rFonts w:ascii="Arial" w:cs="Arial" w:eastAsia="Arial" w:hAnsi="Arial"/>
          <w:sz w:val="16"/>
          <w:szCs w:val="16"/>
          <w:color w:val="auto"/>
        </w:rPr>
      </w:pPr>
    </w:p>
    <w:p>
      <w:pPr>
        <w:ind w:right="100" w:firstLine="1492"/>
        <w:spacing w:after="0" w:line="257" w:lineRule="auto"/>
        <w:tabs>
          <w:tab w:leader="none" w:pos="1724" w:val="left"/>
        </w:tabs>
        <w:numPr>
          <w:ilvl w:val="1"/>
          <w:numId w:val="717"/>
        </w:numPr>
        <w:rPr>
          <w:rFonts w:ascii="Arial" w:cs="Arial" w:eastAsia="Arial" w:hAnsi="Arial"/>
          <w:sz w:val="18"/>
          <w:szCs w:val="18"/>
          <w:color w:val="auto"/>
        </w:rPr>
      </w:pPr>
      <w:r>
        <w:rPr>
          <w:rFonts w:ascii="Arial" w:cs="Arial" w:eastAsia="Arial" w:hAnsi="Arial"/>
          <w:sz w:val="18"/>
          <w:szCs w:val="18"/>
          <w:color w:val="auto"/>
        </w:rPr>
        <w:t>the effective date of a merger or consolidation of the Company with any other entity,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88" w:lineRule="exact"/>
        <w:rPr>
          <w:rFonts w:ascii="Arial" w:cs="Arial" w:eastAsia="Arial" w:hAnsi="Arial"/>
          <w:sz w:val="18"/>
          <w:szCs w:val="18"/>
          <w:color w:val="auto"/>
        </w:rPr>
      </w:pPr>
    </w:p>
    <w:p>
      <w:pPr>
        <w:ind w:right="20" w:firstLine="1492"/>
        <w:spacing w:after="0" w:line="277" w:lineRule="auto"/>
        <w:tabs>
          <w:tab w:leader="none" w:pos="1702" w:val="left"/>
        </w:tabs>
        <w:numPr>
          <w:ilvl w:val="1"/>
          <w:numId w:val="717"/>
        </w:numPr>
        <w:rPr>
          <w:rFonts w:ascii="Arial" w:cs="Arial" w:eastAsia="Arial" w:hAnsi="Arial"/>
          <w:sz w:val="18"/>
          <w:szCs w:val="18"/>
          <w:color w:val="auto"/>
        </w:rPr>
      </w:pPr>
      <w:r>
        <w:rPr>
          <w:rFonts w:ascii="Arial" w:cs="Arial" w:eastAsia="Arial" w:hAnsi="Arial"/>
          <w:sz w:val="18"/>
          <w:szCs w:val="18"/>
          <w:color w:val="auto"/>
        </w:rPr>
        <w:t>the approval by the stockholders of the Company of a complete liquidation of the Company or an agreement for the sale or disposition by the Company of all or substantially all of the Company’s assets; and</w:t>
      </w:r>
    </w:p>
    <w:p>
      <w:pPr>
        <w:spacing w:after="0" w:line="170" w:lineRule="exact"/>
        <w:rPr>
          <w:rFonts w:ascii="Arial" w:cs="Arial" w:eastAsia="Arial" w:hAnsi="Arial"/>
          <w:sz w:val="18"/>
          <w:szCs w:val="18"/>
          <w:color w:val="auto"/>
        </w:rPr>
      </w:pPr>
    </w:p>
    <w:p>
      <w:pPr>
        <w:jc w:val="both"/>
        <w:ind w:right="80" w:firstLine="1492"/>
        <w:spacing w:after="0" w:line="264" w:lineRule="auto"/>
        <w:tabs>
          <w:tab w:leader="none" w:pos="1652" w:val="left"/>
        </w:tabs>
        <w:numPr>
          <w:ilvl w:val="1"/>
          <w:numId w:val="717"/>
        </w:numPr>
        <w:rPr>
          <w:rFonts w:ascii="Arial" w:cs="Arial" w:eastAsia="Arial" w:hAnsi="Arial"/>
          <w:sz w:val="18"/>
          <w:szCs w:val="18"/>
          <w:color w:val="auto"/>
        </w:rPr>
      </w:pPr>
      <w:r>
        <w:rPr>
          <w:rFonts w:ascii="Arial" w:cs="Arial" w:eastAsia="Arial" w:hAnsi="Arial"/>
          <w:sz w:val="18"/>
          <w:szCs w:val="18"/>
          <w:color w:val="auto"/>
        </w:rPr>
        <w:t>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2(b), the following terms shall have the following meanings:</w:t>
      </w:r>
    </w:p>
    <w:p>
      <w:pPr>
        <w:spacing w:after="0" w:line="113" w:lineRule="exact"/>
        <w:rPr>
          <w:sz w:val="20"/>
          <w:szCs w:val="20"/>
          <w:color w:val="auto"/>
        </w:rPr>
      </w:pPr>
    </w:p>
    <w:p>
      <w:pPr>
        <w:ind w:left="1640" w:hanging="299"/>
        <w:spacing w:after="0"/>
        <w:tabs>
          <w:tab w:leader="none" w:pos="164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 from time to time.</w:t>
      </w:r>
    </w:p>
    <w:p>
      <w:pPr>
        <w:spacing w:after="0" w:line="117" w:lineRule="exact"/>
        <w:rPr>
          <w:rFonts w:ascii="Arial" w:cs="Arial" w:eastAsia="Arial" w:hAnsi="Arial"/>
          <w:sz w:val="18"/>
          <w:szCs w:val="18"/>
          <w:color w:val="auto"/>
        </w:rPr>
      </w:pPr>
    </w:p>
    <w:p>
      <w:pPr>
        <w:ind w:left="920" w:firstLine="421"/>
        <w:spacing w:after="0" w:line="261" w:lineRule="auto"/>
        <w:tabs>
          <w:tab w:leader="none" w:pos="1625" w:val="left"/>
        </w:tabs>
        <w:numPr>
          <w:ilvl w:val="0"/>
          <w:numId w:val="7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have the meaning as set forth in Sections 13(d) and 14(d) of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69" w:right="259" w:bottom="1440" w:gutter="0" w:footer="0" w:header="0"/>
        </w:sectPr>
      </w:pPr>
    </w:p>
    <w:bookmarkStart w:id="685" w:name="page686"/>
    <w:bookmarkEnd w:id="685"/>
    <w:p>
      <w:pPr>
        <w:ind w:left="880" w:right="180" w:firstLine="421"/>
        <w:spacing w:after="0" w:line="266" w:lineRule="auto"/>
        <w:tabs>
          <w:tab w:leader="none" w:pos="1585" w:val="left"/>
        </w:tabs>
        <w:numPr>
          <w:ilvl w:val="1"/>
          <w:numId w:val="7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Beneficial Owner</w:t>
      </w:r>
      <w:r>
        <w:rPr>
          <w:rFonts w:ascii="Arial" w:cs="Arial" w:eastAsia="Arial" w:hAnsi="Arial"/>
          <w:sz w:val="18"/>
          <w:szCs w:val="18"/>
          <w:color w:val="auto"/>
        </w:rPr>
        <w:t xml:space="preserve">” shall have the meaning given to such term in Rule 13d-3 under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Beneficial Owner shall exclude any Person otherwise becoming a Beneficial Owner by reason of the stockholders of the Company approving a merger of the Company with another entity.</w:t>
      </w:r>
    </w:p>
    <w:p>
      <w:pPr>
        <w:spacing w:after="0" w:line="176" w:lineRule="exact"/>
        <w:rPr>
          <w:rFonts w:ascii="Arial" w:cs="Arial" w:eastAsia="Arial" w:hAnsi="Arial"/>
          <w:sz w:val="18"/>
          <w:szCs w:val="18"/>
          <w:color w:val="auto"/>
        </w:rPr>
      </w:pPr>
    </w:p>
    <w:p>
      <w:pPr>
        <w:jc w:val="both"/>
        <w:ind w:left="-40" w:right="80" w:firstLine="921"/>
        <w:spacing w:after="0" w:line="266" w:lineRule="auto"/>
        <w:tabs>
          <w:tab w:leader="none" w:pos="1118" w:val="left"/>
        </w:tabs>
        <w:numPr>
          <w:ilvl w:val="0"/>
          <w:numId w:val="7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Status</w:t>
      </w:r>
      <w:r>
        <w:rPr>
          <w:rFonts w:ascii="Arial" w:cs="Arial" w:eastAsia="Arial" w:hAnsi="Arial"/>
          <w:sz w:val="18"/>
          <w:szCs w:val="18"/>
          <w:color w:val="auto"/>
        </w:rPr>
        <w:t>” describes the status of a Person who is or was a director, trustee, partner, managing member, officer, employee, agent or fiduciary of the Company or of any other corporation, limited liability company, partnership or joint venture, trust or other enterprise which such Person is or was serving at the request of the Company.</w:t>
      </w:r>
    </w:p>
    <w:p>
      <w:pPr>
        <w:spacing w:after="0" w:line="176" w:lineRule="exact"/>
        <w:rPr>
          <w:rFonts w:ascii="Arial" w:cs="Arial" w:eastAsia="Arial" w:hAnsi="Arial"/>
          <w:sz w:val="18"/>
          <w:szCs w:val="18"/>
          <w:color w:val="auto"/>
        </w:rPr>
      </w:pPr>
    </w:p>
    <w:p>
      <w:pPr>
        <w:ind w:left="-40" w:right="640" w:firstLine="921"/>
        <w:spacing w:after="0" w:line="282" w:lineRule="auto"/>
        <w:tabs>
          <w:tab w:leader="none" w:pos="1128" w:val="left"/>
        </w:tabs>
        <w:numPr>
          <w:ilvl w:val="0"/>
          <w:numId w:val="7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shall mean a director of the Company who is not and was not a party to the Proceeding in respect of which indemnification is sought by Indemnitee.</w:t>
      </w:r>
    </w:p>
    <w:p>
      <w:pPr>
        <w:spacing w:after="0" w:line="161" w:lineRule="exact"/>
        <w:rPr>
          <w:rFonts w:ascii="Arial" w:cs="Arial" w:eastAsia="Arial" w:hAnsi="Arial"/>
          <w:sz w:val="18"/>
          <w:szCs w:val="18"/>
          <w:color w:val="auto"/>
        </w:rPr>
      </w:pPr>
    </w:p>
    <w:p>
      <w:pPr>
        <w:ind w:left="-40" w:right="140" w:firstLine="921"/>
        <w:spacing w:after="0" w:line="266" w:lineRule="auto"/>
        <w:tabs>
          <w:tab w:leader="none" w:pos="1118" w:val="left"/>
        </w:tabs>
        <w:numPr>
          <w:ilvl w:val="0"/>
          <w:numId w:val="7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Enterprise</w:t>
      </w:r>
      <w:r>
        <w:rPr>
          <w:rFonts w:ascii="Arial" w:cs="Arial" w:eastAsia="Arial" w:hAnsi="Arial"/>
          <w:sz w:val="18"/>
          <w:szCs w:val="18"/>
          <w:color w:val="auto"/>
        </w:rPr>
        <w:t>” shall mean the Company and any other corporation, limited liability company, partnership, joint venture, trust or other enterprise of which Indemnitee is or was serving at the request of the Company as a director, officer, trustee, partner, managing member, employee, agent or fiduciary.</w:t>
      </w:r>
    </w:p>
    <w:p>
      <w:pPr>
        <w:spacing w:after="0" w:line="176" w:lineRule="exact"/>
        <w:rPr>
          <w:rFonts w:ascii="Arial" w:cs="Arial" w:eastAsia="Arial" w:hAnsi="Arial"/>
          <w:sz w:val="18"/>
          <w:szCs w:val="18"/>
          <w:color w:val="auto"/>
        </w:rPr>
      </w:pPr>
    </w:p>
    <w:p>
      <w:pPr>
        <w:ind w:left="-40" w:right="20" w:firstLine="921"/>
        <w:spacing w:after="0" w:line="288" w:lineRule="auto"/>
        <w:tabs>
          <w:tab w:leader="none" w:pos="1098" w:val="left"/>
        </w:tabs>
        <w:numPr>
          <w:ilvl w:val="0"/>
          <w:numId w:val="7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Expenses</w:t>
      </w:r>
      <w:r>
        <w:rPr>
          <w:rFonts w:ascii="Arial" w:cs="Arial" w:eastAsia="Arial" w:hAnsi="Arial"/>
          <w:sz w:val="16"/>
          <w:szCs w:val="16"/>
          <w:color w:val="auto"/>
        </w:rPr>
        <w:t>” shall include all reasonable attorneys’ fees, retainers, court costs, transcript costs, fees of experts and other professionals, witness fees, travel expenses, duplicating costs, printing and binding costs, telephone charges, postage, delivery service fees, fax transmission charges, secretarial services, any federal, state, local or foreign taxes imposed on Indemnitee as a result of the actual or deemed receipt of any payments under this Agreement, ERISA excise taxes and penalties, and all other disbursements, obligations or expenses of the types customarily incurred in connection with, or as a result of, prosecuting, defending, preparing to prosecute or defend, investigating, being or preparing to be a deponent or witness in or otherwise participating in a Proceeding. Expenses also shall include (i) Expenses incurred in connection with any appeal resulting from any Proceeding, including, without limitation, the premium, security for and other costs relating to any cost bond, supersedeas bond or other appeal bond or its equivalent, (ii) expenses incurred in connection with recovery under any directors’ and officers’ liability insurance policies maintained by the Company, regardless of whether Indemnitee is ultimately determined to be entitled to indemnification, advancement of Expenses or insurance recovery, as the case may be, and (iii) for purposes of Section 14(d) only, Expenses incurred by or on behalf of Indemnitee in connection with the interpretation, enforcement or defense of Indemnitee’s rights under this Agreement, by litigation or otherwise. Expenses shall not include amounts paid in settlement by Indemnitee or the amount of judgments or fines against Indemnitee.</w:t>
      </w:r>
    </w:p>
    <w:p>
      <w:pPr>
        <w:spacing w:after="0" w:line="164" w:lineRule="exact"/>
        <w:rPr>
          <w:rFonts w:ascii="Arial" w:cs="Arial" w:eastAsia="Arial" w:hAnsi="Arial"/>
          <w:sz w:val="16"/>
          <w:szCs w:val="16"/>
          <w:color w:val="auto"/>
        </w:rPr>
      </w:pPr>
    </w:p>
    <w:p>
      <w:pPr>
        <w:ind w:left="-40" w:firstLine="921"/>
        <w:spacing w:after="0" w:line="255" w:lineRule="auto"/>
        <w:tabs>
          <w:tab w:leader="none" w:pos="1128" w:val="left"/>
        </w:tabs>
        <w:numPr>
          <w:ilvl w:val="0"/>
          <w:numId w:val="7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Counsel</w:t>
      </w:r>
      <w:r>
        <w:rPr>
          <w:rFonts w:ascii="Arial" w:cs="Arial" w:eastAsia="Arial" w:hAnsi="Arial"/>
          <w:sz w:val="18"/>
          <w:szCs w:val="18"/>
          <w:color w:val="auto"/>
        </w:rPr>
        <w:t>” shall mean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71" w:right="259" w:bottom="1440" w:gutter="0" w:footer="0" w:header="0"/>
        </w:sectPr>
      </w:pPr>
    </w:p>
    <w:bookmarkStart w:id="686" w:name="page687"/>
    <w:bookmarkEnd w:id="686"/>
    <w:p>
      <w:pPr>
        <w:ind w:right="40" w:firstLine="921"/>
        <w:spacing w:after="0" w:line="271" w:lineRule="auto"/>
        <w:tabs>
          <w:tab w:leader="none" w:pos="1168" w:val="left"/>
        </w:tabs>
        <w:numPr>
          <w:ilvl w:val="0"/>
          <w:numId w:val="7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w:t>
      </w:r>
      <w:r>
        <w:rPr>
          <w:rFonts w:ascii="Arial" w:cs="Arial" w:eastAsia="Arial" w:hAnsi="Arial"/>
          <w:sz w:val="17"/>
          <w:szCs w:val="17"/>
          <w:b w:val="1"/>
          <w:bCs w:val="1"/>
          <w:color w:val="auto"/>
        </w:rPr>
        <w:t>Proceeding</w:t>
      </w:r>
      <w:r>
        <w:rPr>
          <w:rFonts w:ascii="Arial" w:cs="Arial" w:eastAsia="Arial" w:hAnsi="Arial"/>
          <w:sz w:val="17"/>
          <w:szCs w:val="17"/>
          <w:color w:val="auto"/>
        </w:rPr>
        <w:t>” shall include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regulatory, legislative or investigative (formal or informal) nature, including any appeal therefrom, in which Indemnitee was, is or will be involved as a party, potential party, non-party witness or otherwise by reason of the fact that Indemnitee is or was a director or officer of the Company, by reason of any action taken by him or her (or a failure to take action by him or her) or of any action (or failure to act) on his or her part while acting pursuant to his or her Corporate Status, in each case whether or not serving in such capacity at the time any liability or Expense is incurred for which indemnification, reimbursement or advancement of Expenses can be provided under this Agreement. If Indemnitee believes in good faith that a given situation may lead to or culminate in the institution of a Proceeding, this shall be considered a Proceeding under this paragraph.</w:t>
      </w:r>
    </w:p>
    <w:p>
      <w:pPr>
        <w:spacing w:after="0" w:line="174" w:lineRule="exact"/>
        <w:rPr>
          <w:rFonts w:ascii="Arial" w:cs="Arial" w:eastAsia="Arial" w:hAnsi="Arial"/>
          <w:sz w:val="17"/>
          <w:szCs w:val="17"/>
          <w:color w:val="auto"/>
        </w:rPr>
      </w:pPr>
    </w:p>
    <w:p>
      <w:pPr>
        <w:ind w:right="40" w:firstLine="921"/>
        <w:spacing w:after="0" w:line="256" w:lineRule="auto"/>
        <w:tabs>
          <w:tab w:leader="none" w:pos="1128" w:val="left"/>
        </w:tabs>
        <w:numPr>
          <w:ilvl w:val="0"/>
          <w:numId w:val="721"/>
        </w:numPr>
        <w:rPr>
          <w:rFonts w:ascii="Arial" w:cs="Arial" w:eastAsia="Arial" w:hAnsi="Arial"/>
          <w:sz w:val="18"/>
          <w:szCs w:val="18"/>
          <w:color w:val="auto"/>
        </w:rPr>
      </w:pPr>
      <w:r>
        <w:rPr>
          <w:rFonts w:ascii="Arial" w:cs="Arial" w:eastAsia="Arial" w:hAnsi="Arial"/>
          <w:sz w:val="18"/>
          <w:szCs w:val="18"/>
          <w:color w:val="auto"/>
        </w:rPr>
        <w:t>Reference to “</w:t>
      </w:r>
      <w:r>
        <w:rPr>
          <w:rFonts w:ascii="Arial" w:cs="Arial" w:eastAsia="Arial" w:hAnsi="Arial"/>
          <w:sz w:val="18"/>
          <w:szCs w:val="18"/>
          <w:b w:val="1"/>
          <w:bCs w:val="1"/>
          <w:color w:val="auto"/>
        </w:rPr>
        <w:t>other enterprise</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color w:val="auto"/>
        </w:rPr>
        <w:t>fines</w:t>
      </w:r>
      <w:r>
        <w:rPr>
          <w:rFonts w:ascii="Arial" w:cs="Arial" w:eastAsia="Arial" w:hAnsi="Arial"/>
          <w:sz w:val="18"/>
          <w:szCs w:val="18"/>
          <w:color w:val="auto"/>
        </w:rPr>
        <w:t>” shall include any excise tax assessed with respect to any employee benefit plan; references to “</w:t>
      </w:r>
      <w:r>
        <w:rPr>
          <w:rFonts w:ascii="Arial" w:cs="Arial" w:eastAsia="Arial" w:hAnsi="Arial"/>
          <w:sz w:val="18"/>
          <w:szCs w:val="18"/>
          <w:b w:val="1"/>
          <w:bCs w:val="1"/>
          <w:color w:val="auto"/>
        </w:rPr>
        <w:t>serving at the request of the Company</w:t>
      </w:r>
      <w:r>
        <w:rPr>
          <w:rFonts w:ascii="Arial" w:cs="Arial" w:eastAsia="Arial" w:hAnsi="Arial"/>
          <w:sz w:val="18"/>
          <w:szCs w:val="18"/>
          <w:color w:val="auto"/>
        </w:rPr>
        <w:t>” shall include any service as a director, officer, employee or agent of the Company that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8"/>
          <w:szCs w:val="18"/>
          <w:b w:val="1"/>
          <w:bCs w:val="1"/>
          <w:color w:val="auto"/>
        </w:rPr>
        <w:t>not opposed to the best interests of the Company</w:t>
      </w:r>
      <w:r>
        <w:rPr>
          <w:rFonts w:ascii="Arial" w:cs="Arial" w:eastAsia="Arial" w:hAnsi="Arial"/>
          <w:sz w:val="18"/>
          <w:szCs w:val="18"/>
          <w:color w:val="auto"/>
        </w:rPr>
        <w:t>” as referred to in this Agreement.</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xml:space="preserve"> The Company shall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Indemnitee shall be indemnified to the fullest extent permitted by applicable law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The parties hereto intend that this Agreement, to the fullest extent permitted by law, shall provide for indemnification in excess of that expressly permitted by statute, including, without limitation, any indemnification provided by the Certificate of Incorporation, the Bylaws, vote of its stockholders or Disinterested Directors or applicable law.</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Indemnity in Proceedings by or in the Right of the Company.</w:t>
      </w:r>
      <w:r>
        <w:rPr>
          <w:rFonts w:ascii="Arial" w:cs="Arial" w:eastAsia="Arial" w:hAnsi="Arial"/>
          <w:sz w:val="18"/>
          <w:szCs w:val="18"/>
          <w:color w:val="auto"/>
        </w:rPr>
        <w:t xml:space="preserve"> The Company shall indemnify Indemnitee in accordance with the provisions of this Section 4 if Indemnitee is, or is threatened to be made, a party to or a participant in any Proceeding by or in the right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687" w:name="page688"/>
    <w:bookmarkEnd w:id="687"/>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to procure a judgment in its favor. Pursuant to this Section 4, Indemnitee shall be indemnified to the fullest extent permitted by applicable law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If applicable law so provides, no indemnification for Expenses shall be made under this Section 4 in respect of any claim, issue or matter as to which Indemnitee shall have been finally adjudged by a court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xml:space="preserve"> Notwithstanding any other provisions of this Agreement, to the fullest extent permitted by applicable law and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him or her or on his or her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her or on his or her behalf in connection with or related to each successfully resolved claim, issue or matter to the fullest extent permitted by law. For purposes of this Section 5 and without limitation, the termination of any claim, issue or matter in such a Proceeding by dismissal, with or without prejudice, shall be deemed to be a successful result as to such claim, issue or matter.</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 For Expenses of a Witness.</w:t>
      </w:r>
      <w:r>
        <w:rPr>
          <w:rFonts w:ascii="Arial" w:cs="Arial" w:eastAsia="Arial" w:hAnsi="Arial"/>
          <w:sz w:val="18"/>
          <w:szCs w:val="18"/>
          <w:color w:val="auto"/>
        </w:rPr>
        <w:t xml:space="preserve"> Notwithstanding any other provision of this Agreement, to the fullest extent permitted by applicable law and to the extent that Indemnitee is, by reason of his or her Corporate Status, a witness or otherwise asked to participate in any aspect of a Proceeding to which Indemnitee is not a party, he or she shall be indemnified against all Expenses actually and reasonably incurred by him or her or on his or her behalf in connection therewith.</w:t>
      </w:r>
    </w:p>
    <w:p>
      <w:pPr>
        <w:spacing w:after="0" w:line="18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Partial Indemnification.</w:t>
      </w:r>
      <w:r>
        <w:rPr>
          <w:rFonts w:ascii="Arial" w:cs="Arial" w:eastAsia="Arial" w:hAnsi="Arial"/>
          <w:sz w:val="18"/>
          <w:szCs w:val="18"/>
          <w:color w:val="auto"/>
        </w:rPr>
        <w:t xml:space="preserve">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Additional Indemnification.</w:t>
      </w:r>
    </w:p>
    <w:p>
      <w:pPr>
        <w:spacing w:after="0" w:line="117" w:lineRule="exact"/>
        <w:rPr>
          <w:sz w:val="20"/>
          <w:szCs w:val="20"/>
          <w:color w:val="auto"/>
        </w:rPr>
      </w:pPr>
    </w:p>
    <w:p>
      <w:pPr>
        <w:ind w:firstLine="921"/>
        <w:spacing w:after="0" w:line="257" w:lineRule="auto"/>
        <w:tabs>
          <w:tab w:leader="none" w:pos="1158" w:val="left"/>
        </w:tabs>
        <w:numPr>
          <w:ilvl w:val="0"/>
          <w:numId w:val="722"/>
        </w:numPr>
        <w:rPr>
          <w:rFonts w:ascii="Arial" w:cs="Arial" w:eastAsia="Arial" w:hAnsi="Arial"/>
          <w:sz w:val="18"/>
          <w:szCs w:val="18"/>
          <w:color w:val="auto"/>
        </w:rPr>
      </w:pPr>
      <w:r>
        <w:rPr>
          <w:rFonts w:ascii="Arial" w:cs="Arial" w:eastAsia="Arial" w:hAnsi="Arial"/>
          <w:sz w:val="18"/>
          <w:szCs w:val="18"/>
          <w:color w:val="auto"/>
        </w:rPr>
        <w:t>Notwithstanding any limitation in Sections 3, 4 or 5, the Company shall indemnify Indemnitee to the fullest extent permitted by applicable law if Indemnitee is a party to or threatened to be made a party to or a participant in any Proceeding (including a Proceeding by or in the right of the Company to procure a judgment in its favor) against all Expenses, judgments, fines and amounts paid in settlement (including all interest, assessments and other charges paid or payable in connection with or in respect of such Expenses, judgments, fines and amounts paid in settlement) actually and reasonably incurred by or on behalf of Indemnitee in connection with the Proceeding.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88" w:name="page689"/>
    <w:bookmarkEnd w:id="68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For purposes of Section 8(a), the meaning of the phrase “</w:t>
      </w:r>
      <w:r>
        <w:rPr>
          <w:rFonts w:ascii="Arial" w:cs="Arial" w:eastAsia="Arial" w:hAnsi="Arial"/>
          <w:sz w:val="16"/>
          <w:szCs w:val="16"/>
          <w:b w:val="1"/>
          <w:bCs w:val="1"/>
          <w:color w:val="auto"/>
        </w:rPr>
        <w:t>to the fullest extent permitted by applicable law</w:t>
      </w:r>
      <w:r>
        <w:rPr>
          <w:rFonts w:ascii="Arial" w:cs="Arial" w:eastAsia="Arial" w:hAnsi="Arial"/>
          <w:sz w:val="16"/>
          <w:szCs w:val="16"/>
          <w:color w:val="auto"/>
        </w:rPr>
        <w:t>” shall include, but not be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right="120" w:firstLine="1484"/>
        <w:spacing w:after="0" w:line="277" w:lineRule="auto"/>
        <w:rPr>
          <w:sz w:val="20"/>
          <w:szCs w:val="20"/>
          <w:color w:val="auto"/>
        </w:rPr>
      </w:pPr>
      <w:r>
        <w:rPr>
          <w:rFonts w:ascii="Arial" w:cs="Arial" w:eastAsia="Arial" w:hAnsi="Arial"/>
          <w:sz w:val="18"/>
          <w:szCs w:val="18"/>
          <w:color w:val="auto"/>
        </w:rPr>
        <w:t>i. to the fullest extent permitted by the provision of the DGCL that authorizes or contemplates additional indemnification by agreement, or the corresponding provision of any amendment to or replacement of the DGCL; and</w:t>
      </w:r>
    </w:p>
    <w:p>
      <w:pPr>
        <w:spacing w:after="0" w:line="170" w:lineRule="exact"/>
        <w:rPr>
          <w:sz w:val="20"/>
          <w:szCs w:val="20"/>
          <w:color w:val="auto"/>
        </w:rPr>
      </w:pPr>
    </w:p>
    <w:p>
      <w:pPr>
        <w:ind w:right="620" w:firstLine="1492"/>
        <w:spacing w:after="0" w:line="277" w:lineRule="auto"/>
        <w:tabs>
          <w:tab w:leader="none" w:pos="1674" w:val="left"/>
        </w:tabs>
        <w:numPr>
          <w:ilvl w:val="0"/>
          <w:numId w:val="723"/>
        </w:numPr>
        <w:rPr>
          <w:rFonts w:ascii="Arial" w:cs="Arial" w:eastAsia="Arial" w:hAnsi="Arial"/>
          <w:sz w:val="18"/>
          <w:szCs w:val="18"/>
          <w:color w:val="auto"/>
        </w:rPr>
      </w:pPr>
      <w:r>
        <w:rPr>
          <w:rFonts w:ascii="Arial" w:cs="Arial" w:eastAsia="Arial" w:hAnsi="Arial"/>
          <w:sz w:val="18"/>
          <w:szCs w:val="18"/>
          <w:color w:val="auto"/>
        </w:rPr>
        <w:t>to the fullest extent authorized or permitted by any amendments to or replacements of the DGCL adopted after the date of this Agreement that increase the extent to which a corporation may indemnify its officers and directors.</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Notwithstanding any provision in this Agreement, the Company shall not be obligated under this Agreement to make any indemnification payment in connection with any claim made against Indemnitee:</w:t>
      </w:r>
    </w:p>
    <w:p>
      <w:pPr>
        <w:spacing w:after="0" w:line="170" w:lineRule="exact"/>
        <w:rPr>
          <w:sz w:val="20"/>
          <w:szCs w:val="20"/>
          <w:color w:val="auto"/>
        </w:rPr>
      </w:pPr>
    </w:p>
    <w:p>
      <w:pPr>
        <w:ind w:right="140" w:firstLine="921"/>
        <w:spacing w:after="0" w:line="277" w:lineRule="auto"/>
        <w:tabs>
          <w:tab w:leader="none" w:pos="1158" w:val="left"/>
        </w:tabs>
        <w:numPr>
          <w:ilvl w:val="1"/>
          <w:numId w:val="724"/>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to the extent such payment is insufficient to satisfy the Indemnitee’s right to indemnification hereunder; or</w:t>
      </w:r>
    </w:p>
    <w:p>
      <w:pPr>
        <w:spacing w:after="0" w:line="170" w:lineRule="exact"/>
        <w:rPr>
          <w:rFonts w:ascii="Arial" w:cs="Arial" w:eastAsia="Arial" w:hAnsi="Arial"/>
          <w:sz w:val="18"/>
          <w:szCs w:val="18"/>
          <w:color w:val="auto"/>
        </w:rPr>
      </w:pPr>
    </w:p>
    <w:p>
      <w:pPr>
        <w:ind w:firstLine="921"/>
        <w:spacing w:after="0" w:line="273" w:lineRule="auto"/>
        <w:tabs>
          <w:tab w:leader="none" w:pos="1168" w:val="left"/>
        </w:tabs>
        <w:numPr>
          <w:ilvl w:val="1"/>
          <w:numId w:val="724"/>
        </w:numPr>
        <w:rPr>
          <w:rFonts w:ascii="Arial" w:cs="Arial" w:eastAsia="Arial" w:hAnsi="Arial"/>
          <w:sz w:val="17"/>
          <w:szCs w:val="17"/>
          <w:color w:val="auto"/>
        </w:rPr>
      </w:pPr>
      <w:r>
        <w:rPr>
          <w:rFonts w:ascii="Arial" w:cs="Arial" w:eastAsia="Arial" w:hAnsi="Arial"/>
          <w:sz w:val="17"/>
          <w:szCs w:val="17"/>
          <w:color w:val="auto"/>
        </w:rPr>
        <w:t>for (i) an accounting of profits made from the purchase and sale (or sale and purchase) by Indemnitee of securities of the Company within the meaning of Section 16(b) of the Exchange Act or similar provisions of state statutory law or common law, or (ii)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7"/>
          <w:szCs w:val="17"/>
          <w:b w:val="1"/>
          <w:bCs w:val="1"/>
          <w:color w:val="auto"/>
        </w:rPr>
        <w:t>Sarbanes-Oxley Act</w:t>
      </w:r>
      <w:r>
        <w:rPr>
          <w:rFonts w:ascii="Arial" w:cs="Arial" w:eastAsia="Arial" w:hAnsi="Arial"/>
          <w:sz w:val="17"/>
          <w:szCs w:val="17"/>
          <w:color w:val="auto"/>
        </w:rPr>
        <w:t>”), or the payment to the Company of profits arising from the purchase and sale by Indemnitee of securities in violation of Section 306 of the Sarbanes-Oxley Act); or</w:t>
      </w:r>
    </w:p>
    <w:p>
      <w:pPr>
        <w:spacing w:after="0" w:line="178" w:lineRule="exact"/>
        <w:rPr>
          <w:rFonts w:ascii="Arial" w:cs="Arial" w:eastAsia="Arial" w:hAnsi="Arial"/>
          <w:sz w:val="17"/>
          <w:szCs w:val="17"/>
          <w:color w:val="auto"/>
        </w:rPr>
      </w:pPr>
    </w:p>
    <w:p>
      <w:pPr>
        <w:ind w:firstLine="921"/>
        <w:spacing w:after="0" w:line="286" w:lineRule="auto"/>
        <w:tabs>
          <w:tab w:leader="none" w:pos="1158" w:val="left"/>
        </w:tabs>
        <w:numPr>
          <w:ilvl w:val="1"/>
          <w:numId w:val="724"/>
        </w:numPr>
        <w:rPr>
          <w:rFonts w:ascii="Arial" w:cs="Arial" w:eastAsia="Arial" w:hAnsi="Arial"/>
          <w:sz w:val="16"/>
          <w:szCs w:val="16"/>
          <w:color w:val="auto"/>
        </w:rPr>
      </w:pPr>
      <w:r>
        <w:rPr>
          <w:rFonts w:ascii="Arial" w:cs="Arial" w:eastAsia="Arial" w:hAnsi="Arial"/>
          <w:sz w:val="16"/>
          <w:szCs w:val="16"/>
          <w:color w:val="auto"/>
        </w:rPr>
        <w:t>except as provided in Section 14(d)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such payment arises in connection with any mandatory counterclaim or cross-claim or affirmative defense brought or raised by Indemnitee in any Proceeding (or any part of any Proceeding),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the Company provides the indemnification, in its sole discretion, pursuant to the powers vested in the Company under applicable law.</w:t>
      </w:r>
    </w:p>
    <w:p>
      <w:pPr>
        <w:spacing w:after="0" w:line="21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Advances of Expenses.</w:t>
      </w:r>
      <w:r>
        <w:rPr>
          <w:rFonts w:ascii="Arial" w:cs="Arial" w:eastAsia="Arial" w:hAnsi="Arial"/>
          <w:sz w:val="17"/>
          <w:szCs w:val="17"/>
          <w:color w:val="auto"/>
        </w:rPr>
        <w:t xml:space="preserve"> Notwithstanding any provision of this Agreement to the contrary (other than Section 14(d)), the Company shall advance, to the extent not prohibited by law, the Expenses incurred by or on behalf of Indemnitee in connection with any Proceeding (or any part of any Proceeding) not initiated by Indemnitee, and such advancement shall be made within 30 days after the receipt by the Company of a statement or statements requesting such advances from time to time (which shall include invoices received by Indemnitee in connection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1" w:right="279" w:bottom="1440" w:gutter="0" w:footer="0" w:header="0"/>
        </w:sectPr>
      </w:pPr>
    </w:p>
    <w:bookmarkStart w:id="689" w:name="page690"/>
    <w:bookmarkEnd w:id="689"/>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such Expenses but, in the case of invoices in connection with legal services, any references to legal work performed or to expenditures made that would cause Indemnitee to waive any privilege accorded by applicable law shall not be so included), whether prior to or after final disposition of any Proceeding. Advances shall be unsecured and interest-free. Advances shall be made without regard to Indemnitee’s ability to repay the Expenses and without regard to Indemnitee’s ultimate entitlement to indemnification under the other provisions of this Agreement. In accordance with Section 14(d), advances shall include any and all reasonable Expenses incurred pursuing an action to enforce this right of advancement, including Expenses incurred preparing and forwarding statements to the Company to support the advances claimed. Indemnitee shall qualify for advances upon the execution and delivery to the Company of this Agreement, which shall constitute an undertaking providing that Indemnitee undertakes to repay the amounts advanced (without interest) to the extent that it is ultimately determined that Indemnitee is not entitled to be indemnified by the Company. No other form of undertaking shall be required other than the execution of this Agreement. This Section 10 shall not apply to any claim made by Indemnitee for which indemnity is excluded pursuant to Section 9.</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Procedure for Notification and Defense of Claim.</w:t>
      </w:r>
    </w:p>
    <w:p>
      <w:pPr>
        <w:spacing w:after="0" w:line="117" w:lineRule="exact"/>
        <w:rPr>
          <w:sz w:val="20"/>
          <w:szCs w:val="20"/>
          <w:color w:val="auto"/>
        </w:rPr>
      </w:pPr>
    </w:p>
    <w:p>
      <w:pPr>
        <w:ind w:firstLine="921"/>
        <w:spacing w:after="0" w:line="288" w:lineRule="auto"/>
        <w:tabs>
          <w:tab w:leader="none" w:pos="1158" w:val="left"/>
        </w:tabs>
        <w:numPr>
          <w:ilvl w:val="0"/>
          <w:numId w:val="726"/>
        </w:numPr>
        <w:rPr>
          <w:rFonts w:ascii="Arial" w:cs="Arial" w:eastAsia="Arial" w:hAnsi="Arial"/>
          <w:sz w:val="16"/>
          <w:szCs w:val="16"/>
          <w:color w:val="auto"/>
        </w:rPr>
      </w:pPr>
      <w:r>
        <w:rPr>
          <w:rFonts w:ascii="Arial" w:cs="Arial" w:eastAsia="Arial" w:hAnsi="Arial"/>
          <w:sz w:val="16"/>
          <w:szCs w:val="16"/>
          <w:color w:val="auto"/>
        </w:rPr>
        <w:t>Indemnitee shall notify the Company in writing of any matter with respect to which Indemnitee intends to seek indemnification or advancement of Expenses hereunder as soon as reasonably practicable following the receipt by Indemnitee of written notice thereof or Indemnitee’s becoming aware thereof. The written notification to the Company shall include a description of the nature of the Proceeding and the facts underlying the Proceeding, in each case, to the extent known to Indemnitee.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Proceeding. The failure by Indemnitee to notify the Company hereunder will not relieve the Company from any liability that it may have to Indemnitee hereunder or otherwise than under this Agreement, and any delay in so notifying the Company shall not constitute a waiver by Indemnitee of any rights under this Agreement, except to the extent (solely with respect to the indemnity hereunder) that such failure or delay materially prejudices the Company. The Chief Financial Officer of the Company shall, promptly upon receipt of such a request for indemnification, advise the Board in writing that Indemnitee has requested indemnification.</w:t>
      </w:r>
    </w:p>
    <w:p>
      <w:pPr>
        <w:spacing w:after="0" w:line="169" w:lineRule="exact"/>
        <w:rPr>
          <w:rFonts w:ascii="Arial" w:cs="Arial" w:eastAsia="Arial" w:hAnsi="Arial"/>
          <w:sz w:val="16"/>
          <w:szCs w:val="16"/>
          <w:color w:val="auto"/>
        </w:rPr>
      </w:pPr>
    </w:p>
    <w:p>
      <w:pPr>
        <w:ind w:left="1180" w:hanging="259"/>
        <w:spacing w:after="0"/>
        <w:tabs>
          <w:tab w:leader="none" w:pos="1180" w:val="left"/>
        </w:tabs>
        <w:numPr>
          <w:ilvl w:val="0"/>
          <w:numId w:val="726"/>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right="340" w:firstLine="921"/>
        <w:spacing w:after="0" w:line="308" w:lineRule="auto"/>
        <w:tabs>
          <w:tab w:leader="none" w:pos="1158" w:val="left"/>
        </w:tabs>
        <w:numPr>
          <w:ilvl w:val="0"/>
          <w:numId w:val="726"/>
        </w:numPr>
        <w:rPr>
          <w:rFonts w:ascii="Arial" w:cs="Arial" w:eastAsia="Arial" w:hAnsi="Arial"/>
          <w:sz w:val="17"/>
          <w:szCs w:val="17"/>
          <w:color w:val="auto"/>
        </w:rPr>
      </w:pPr>
      <w:r>
        <w:rPr>
          <w:rFonts w:ascii="Arial" w:cs="Arial" w:eastAsia="Arial" w:hAnsi="Arial"/>
          <w:sz w:val="17"/>
          <w:szCs w:val="17"/>
          <w:color w:val="auto"/>
        </w:rPr>
        <w:t>The Company shall not settle any Proceeding (in whole or in part) if such settlement would impose any Expense, judgment, liability, fine, penalty or limitation on Indemnitee for which Indemnitee is not entitled to be indemnified hereunder without Indemnitee’s prior written consent.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Procedure Upon Application for Indemnification.</w:t>
      </w:r>
    </w:p>
    <w:p>
      <w:pPr>
        <w:spacing w:after="0" w:line="117" w:lineRule="exact"/>
        <w:rPr>
          <w:sz w:val="20"/>
          <w:szCs w:val="20"/>
          <w:color w:val="auto"/>
        </w:rPr>
      </w:pPr>
    </w:p>
    <w:p>
      <w:pPr>
        <w:ind w:right="40" w:firstLine="921"/>
        <w:spacing w:after="0" w:line="264" w:lineRule="auto"/>
        <w:tabs>
          <w:tab w:leader="none" w:pos="1158" w:val="left"/>
        </w:tabs>
        <w:numPr>
          <w:ilvl w:val="0"/>
          <w:numId w:val="727"/>
        </w:numPr>
        <w:rPr>
          <w:rFonts w:ascii="Arial" w:cs="Arial" w:eastAsia="Arial" w:hAnsi="Arial"/>
          <w:sz w:val="18"/>
          <w:szCs w:val="18"/>
          <w:color w:val="auto"/>
        </w:rPr>
      </w:pPr>
      <w:r>
        <w:rPr>
          <w:rFonts w:ascii="Arial" w:cs="Arial" w:eastAsia="Arial" w:hAnsi="Arial"/>
          <w:sz w:val="18"/>
          <w:szCs w:val="18"/>
          <w:color w:val="auto"/>
        </w:rPr>
        <w:t>Upon written request by Indemnitee for indemnification pursuant to Section 11(a), a determination, if required by applicable law, with respect to Indemnitee’s entitlement thereto shall be made in the specific case: (i) if a Change in Control shall have occurred, by Independent Counsel in a written opinion to the Board, a copy of which shall be delivered to Indemnitee;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690" w:name="page691"/>
    <w:bookmarkEnd w:id="690"/>
    <w:p>
      <w:pPr>
        <w:ind w:left="-8" w:firstLine="8"/>
        <w:spacing w:after="0" w:line="287" w:lineRule="auto"/>
        <w:tabs>
          <w:tab w:leader="none" w:pos="257" w:val="left"/>
        </w:tabs>
        <w:numPr>
          <w:ilvl w:val="0"/>
          <w:numId w:val="7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Change in Control shall not have occurred,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Board, by the stockholders of the Company; and, if it is so determined that Indemnitee is entitled to indemnification, payment to Indemnitee shall be made within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incurred by or on behalf of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The Company promptly will advise Indemnitee in writing with respect to any determination that Indemnitee is or is not entitled to indemnification, including a description of any reason or basis for which indemnification has been denied.</w:t>
      </w:r>
    </w:p>
    <w:p>
      <w:pPr>
        <w:spacing w:after="0" w:line="168" w:lineRule="exact"/>
        <w:rPr>
          <w:rFonts w:ascii="Arial" w:cs="Arial" w:eastAsia="Arial" w:hAnsi="Arial"/>
          <w:sz w:val="16"/>
          <w:szCs w:val="16"/>
          <w:color w:val="auto"/>
        </w:rPr>
      </w:pPr>
    </w:p>
    <w:p>
      <w:pPr>
        <w:ind w:left="-8" w:firstLine="921"/>
        <w:spacing w:after="0" w:line="285" w:lineRule="auto"/>
        <w:tabs>
          <w:tab w:leader="none" w:pos="1160" w:val="left"/>
        </w:tabs>
        <w:numPr>
          <w:ilvl w:val="1"/>
          <w:numId w:val="728"/>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Section 12(a) hereof, the Independent Counsel shall be selected as provided in this Section 12(b). If a Change in Control shall not have occurred, the Independent Counsel shall be selected by the Board,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10 days after such written notice of selection shall have been given, deliver to the Company or to Indemnitee, as the case may be,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20 days after the later of submission by Indemnitee of a written request for indemnification pursuant to Section 11(a) hereof and the final disposition of the Proceeding, no Independent Counsel shall have been selected and not objected to, either the Company or Indemnitee may petition the Delaware Court for resolution of any objection that shall have been made by the Company or Indemnitee to the other’s selection of Independent Counsel and/or for the appointment as Independent Counsel of a Person selected by such court or by such other Person as such court shall designate, and the Person with respect to whom all objections are so resolved or the Person so appointed shall act as Independent Counsel under Section 12(a) hereof.</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74" w:right="239" w:bottom="1440" w:gutter="0" w:footer="0" w:header="0"/>
        </w:sectPr>
      </w:pPr>
    </w:p>
    <w:bookmarkStart w:id="691" w:name="page692"/>
    <w:bookmarkEnd w:id="691"/>
    <w:p>
      <w:pPr>
        <w:ind w:right="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47" w:lineRule="exact"/>
        <w:rPr>
          <w:sz w:val="20"/>
          <w:szCs w:val="20"/>
          <w:color w:val="auto"/>
        </w:rPr>
      </w:pPr>
    </w:p>
    <w:p>
      <w:pPr>
        <w:ind w:right="200" w:firstLine="921"/>
        <w:spacing w:after="0" w:line="277" w:lineRule="auto"/>
        <w:tabs>
          <w:tab w:leader="none" w:pos="1158" w:val="left"/>
        </w:tabs>
        <w:numPr>
          <w:ilvl w:val="0"/>
          <w:numId w:val="729"/>
        </w:numPr>
        <w:rPr>
          <w:rFonts w:ascii="Arial" w:cs="Arial" w:eastAsia="Arial" w:hAnsi="Arial"/>
          <w:sz w:val="18"/>
          <w:szCs w:val="18"/>
          <w:color w:val="auto"/>
        </w:rPr>
      </w:pPr>
      <w:r>
        <w:rPr>
          <w:rFonts w:ascii="Arial" w:cs="Arial" w:eastAsia="Arial" w:hAnsi="Arial"/>
          <w:sz w:val="18"/>
          <w:szCs w:val="18"/>
          <w:color w:val="auto"/>
        </w:rPr>
        <w:t>If the Company disputes a portion of the amounts for which indemnification is requested, the undisputed portion shall be paid and only the disputed portion withheld pending resolution of any such dispute.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Presumptions and Effect of Certain Proceedings.</w:t>
      </w:r>
    </w:p>
    <w:p>
      <w:pPr>
        <w:spacing w:after="0" w:line="117" w:lineRule="exact"/>
        <w:rPr>
          <w:sz w:val="20"/>
          <w:szCs w:val="20"/>
          <w:color w:val="auto"/>
        </w:rPr>
      </w:pPr>
    </w:p>
    <w:p>
      <w:pPr>
        <w:ind w:right="20" w:firstLine="921"/>
        <w:spacing w:after="0" w:line="290" w:lineRule="auto"/>
        <w:tabs>
          <w:tab w:leader="none" w:pos="1158" w:val="left"/>
        </w:tabs>
        <w:numPr>
          <w:ilvl w:val="0"/>
          <w:numId w:val="730"/>
        </w:numPr>
        <w:rPr>
          <w:rFonts w:ascii="Arial" w:cs="Arial" w:eastAsia="Arial" w:hAnsi="Arial"/>
          <w:sz w:val="16"/>
          <w:szCs w:val="16"/>
          <w:color w:val="auto"/>
        </w:rPr>
      </w:pPr>
      <w:r>
        <w:rPr>
          <w:rFonts w:ascii="Arial" w:cs="Arial" w:eastAsia="Arial" w:hAnsi="Arial"/>
          <w:sz w:val="16"/>
          <w:szCs w:val="16"/>
          <w:color w:val="auto"/>
        </w:rPr>
        <w:t>In making a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Section 11(a)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66" w:lineRule="exact"/>
        <w:rPr>
          <w:rFonts w:ascii="Arial" w:cs="Arial" w:eastAsia="Arial" w:hAnsi="Arial"/>
          <w:sz w:val="16"/>
          <w:szCs w:val="16"/>
          <w:color w:val="auto"/>
        </w:rPr>
      </w:pPr>
    </w:p>
    <w:p>
      <w:pPr>
        <w:ind w:firstLine="921"/>
        <w:spacing w:after="0" w:line="268" w:lineRule="auto"/>
        <w:tabs>
          <w:tab w:leader="none" w:pos="1168" w:val="left"/>
        </w:tabs>
        <w:numPr>
          <w:ilvl w:val="0"/>
          <w:numId w:val="730"/>
        </w:numPr>
        <w:rPr>
          <w:rFonts w:ascii="Arial" w:cs="Arial" w:eastAsia="Arial" w:hAnsi="Arial"/>
          <w:sz w:val="17"/>
          <w:szCs w:val="17"/>
          <w:color w:val="auto"/>
        </w:rPr>
      </w:pPr>
      <w:r>
        <w:rPr>
          <w:rFonts w:ascii="Arial" w:cs="Arial" w:eastAsia="Arial" w:hAnsi="Arial"/>
          <w:sz w:val="17"/>
          <w:szCs w:val="17"/>
          <w:color w:val="auto"/>
        </w:rPr>
        <w:t xml:space="preserve">Subject to Section 14(e), if the person, persons or entity empowered or selected under Section 12 of this Agreement to determine whether Indemnitee is entitled to indemnification shall not have made a determination within 60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60-day period may be extended for a reasonable time, not to exceed an additional 30 days, if the person, persons or entity making the determination with respect to entitlement to indemnification in good faith requires such additional time for the obtaining or evaluating of documentation and/or information relating thereto;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foregoing provisions of this Section 13(b) shall not apply (i) if the determination of entitlement to indemnification is to be made by the stockholders pursuant to Section 12(a) of this Agreement and if (A) within 15 days after receipt by the Company of the request for such determination the Board has resolved to submit such determination to the stockholders for their consideration at an annual meeting thereof to be held within 75 days after such receipt and such determination is made thereat, or (B) a special meeting of stockholders is called within 15 days after such receipt for the purpose of making such determination, such meeting is held for such purpose within 60 days after having been so called and such determination is made thereat, or (ii) if the determination of entitlement to indemnification is to be made by Independent Counsel pursuant to Section 12(a) of this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692" w:name="page693"/>
    <w:bookmarkEnd w:id="692"/>
    <w:p>
      <w:pPr>
        <w:ind w:left="-20" w:right="40" w:firstLine="921"/>
        <w:spacing w:after="0" w:line="257" w:lineRule="auto"/>
        <w:tabs>
          <w:tab w:leader="none" w:pos="1138" w:val="left"/>
        </w:tabs>
        <w:numPr>
          <w:ilvl w:val="0"/>
          <w:numId w:val="7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termination of any Proceeding or of any claim, issue or matter therein, by judgment, order, settlement or conviction, or upon a plea of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8" w:lineRule="exact"/>
        <w:rPr>
          <w:rFonts w:ascii="Arial" w:cs="Arial" w:eastAsia="Arial" w:hAnsi="Arial"/>
          <w:sz w:val="18"/>
          <w:szCs w:val="18"/>
          <w:color w:val="auto"/>
        </w:rPr>
      </w:pPr>
    </w:p>
    <w:p>
      <w:pPr>
        <w:ind w:left="-20" w:firstLine="921"/>
        <w:spacing w:after="0" w:line="254" w:lineRule="auto"/>
        <w:tabs>
          <w:tab w:leader="none" w:pos="1148" w:val="left"/>
        </w:tabs>
        <w:numPr>
          <w:ilvl w:val="0"/>
          <w:numId w:val="731"/>
        </w:numPr>
        <w:rPr>
          <w:rFonts w:ascii="Arial" w:cs="Arial" w:eastAsia="Arial" w:hAnsi="Arial"/>
          <w:sz w:val="18"/>
          <w:szCs w:val="18"/>
          <w:color w:val="auto"/>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or on information or records given or reports made to the Enterprise by an independent certified public accountant or by an appraiser or other expert selected with the reasonable care by the Enterprise. The provisions of this Section 13(d) shall not be deemed to be exclusive or to limit in any way the other circumstances in which Indemnitee may be deemed to have met the applicable standard of conduct set forth in this Agreement. Whether or not the foregoing provisions of this Section 13(d) are satisfied, it shall in any event be presumed that Indemnitee has at all times acted in good faith and in a manner he or she reasonably believed to be in or not opposed to the best interests of the Company.</w:t>
      </w:r>
    </w:p>
    <w:p>
      <w:pPr>
        <w:spacing w:after="0" w:line="192" w:lineRule="exact"/>
        <w:rPr>
          <w:rFonts w:ascii="Arial" w:cs="Arial" w:eastAsia="Arial" w:hAnsi="Arial"/>
          <w:sz w:val="18"/>
          <w:szCs w:val="18"/>
          <w:color w:val="auto"/>
        </w:rPr>
      </w:pPr>
    </w:p>
    <w:p>
      <w:pPr>
        <w:ind w:left="-20" w:right="260" w:firstLine="921"/>
        <w:spacing w:after="0" w:line="308" w:lineRule="auto"/>
        <w:tabs>
          <w:tab w:leader="none" w:pos="1138" w:val="left"/>
        </w:tabs>
        <w:numPr>
          <w:ilvl w:val="0"/>
          <w:numId w:val="731"/>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director, officer, trustee, partner, managing member, fiduciary, agent or employee of the Enterprise shall not be imputed to Indemnitee for purposes of determining the right to indemnification under this Agreement.</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Remedies of Indemnitee.</w:t>
      </w:r>
    </w:p>
    <w:p>
      <w:pPr>
        <w:spacing w:after="0" w:line="117" w:lineRule="exact"/>
        <w:rPr>
          <w:sz w:val="20"/>
          <w:szCs w:val="20"/>
          <w:color w:val="auto"/>
        </w:rPr>
      </w:pPr>
    </w:p>
    <w:p>
      <w:pPr>
        <w:ind w:left="-20" w:right="20" w:firstLine="921"/>
        <w:spacing w:after="0" w:line="287" w:lineRule="auto"/>
        <w:tabs>
          <w:tab w:leader="none" w:pos="1138" w:val="left"/>
        </w:tabs>
        <w:numPr>
          <w:ilvl w:val="0"/>
          <w:numId w:val="732"/>
        </w:numPr>
        <w:rPr>
          <w:rFonts w:ascii="Arial" w:cs="Arial" w:eastAsia="Arial" w:hAnsi="Arial"/>
          <w:sz w:val="16"/>
          <w:szCs w:val="16"/>
          <w:color w:val="auto"/>
        </w:rPr>
      </w:pPr>
      <w:r>
        <w:rPr>
          <w:rFonts w:ascii="Arial" w:cs="Arial" w:eastAsia="Arial" w:hAnsi="Arial"/>
          <w:sz w:val="16"/>
          <w:szCs w:val="16"/>
          <w:color w:val="auto"/>
        </w:rPr>
        <w:t>Subject to Section 14(e), in the event that (i) a determination is made pursuant to Section 12 of this Agreement that Indemnitee is not entitled to indemnification under this Agreement, (ii) advancement of Expenses is not timely made pursuant to Section 10 of this Agreement, (iii) no determination of entitlement to indemnification shall have been made pursuant to Section 12(a) of this Agreement within 90 days after receipt by the Company of the request for indemnification, (iv) payment of indemnification is not made pursuant to Section 5, 6 or 7 or the last sentence of Section 12(a) of this Agreement within 10 days after receipt by the Company of a written request therefor, (v) payment of indemnification pursuant to Section 3, 4 or 8 of this Agreement is not made within 10 days after a determination has been made that Indemnitee is entitled to indemnification, or (vi) the Company or any other Person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his or her entitlement to such indemnification or advancement of Expenses.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74" w:right="239" w:bottom="1440" w:gutter="0" w:footer="0" w:header="0"/>
        </w:sectPr>
      </w:pPr>
    </w:p>
    <w:bookmarkStart w:id="693" w:name="page694"/>
    <w:bookmarkEnd w:id="693"/>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first has the right to commence such proceeding pursuant to this Section 14(a);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clause shall not apply in respect of a proceeding brought by Indemnitee to enforce his or her rights under Section 5 of this Agreement. The Company shall not oppose Indemnitee’s right to seek any such adjudication or award in arbitration.</w:t>
      </w:r>
    </w:p>
    <w:p>
      <w:pPr>
        <w:spacing w:after="0" w:line="181" w:lineRule="exact"/>
        <w:rPr>
          <w:sz w:val="20"/>
          <w:szCs w:val="20"/>
          <w:color w:val="auto"/>
        </w:rPr>
      </w:pPr>
    </w:p>
    <w:p>
      <w:pPr>
        <w:ind w:firstLine="921"/>
        <w:spacing w:after="0" w:line="257" w:lineRule="auto"/>
        <w:tabs>
          <w:tab w:leader="none" w:pos="1168" w:val="left"/>
        </w:tabs>
        <w:numPr>
          <w:ilvl w:val="0"/>
          <w:numId w:val="733"/>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Section 12(a) of this Agreement that Indemnitee is not entitled to indemnification, any judicial proceeding or arbitration commenced pursuant to this Section 14 shall be conducted in all respects as a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trial, or arbitration, on the merits and Indemnitee shall not be prejudiced by reason of that adverse determination. In any judicial proceeding or arbitration commenced pursuant to this Section 14 the Company shall have the burden of proving Indemnitee is not entitled to indemnification or advancement of Expenses, as the case may be.</w:t>
      </w:r>
    </w:p>
    <w:p>
      <w:pPr>
        <w:spacing w:after="0" w:line="188" w:lineRule="exact"/>
        <w:rPr>
          <w:rFonts w:ascii="Arial" w:cs="Arial" w:eastAsia="Arial" w:hAnsi="Arial"/>
          <w:sz w:val="18"/>
          <w:szCs w:val="18"/>
          <w:color w:val="auto"/>
        </w:rPr>
      </w:pPr>
    </w:p>
    <w:p>
      <w:pPr>
        <w:ind w:right="60" w:firstLine="921"/>
        <w:spacing w:after="0" w:line="279" w:lineRule="auto"/>
        <w:tabs>
          <w:tab w:leader="none" w:pos="1158" w:val="left"/>
        </w:tabs>
        <w:numPr>
          <w:ilvl w:val="0"/>
          <w:numId w:val="733"/>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1" w:lineRule="exact"/>
        <w:rPr>
          <w:rFonts w:ascii="Arial" w:cs="Arial" w:eastAsia="Arial" w:hAnsi="Arial"/>
          <w:sz w:val="17"/>
          <w:szCs w:val="17"/>
          <w:color w:val="auto"/>
        </w:rPr>
      </w:pPr>
    </w:p>
    <w:p>
      <w:pPr>
        <w:ind w:right="80" w:firstLine="921"/>
        <w:spacing w:after="0" w:line="269" w:lineRule="auto"/>
        <w:tabs>
          <w:tab w:leader="none" w:pos="1168" w:val="left"/>
        </w:tabs>
        <w:numPr>
          <w:ilvl w:val="0"/>
          <w:numId w:val="733"/>
        </w:numPr>
        <w:rPr>
          <w:rFonts w:ascii="Arial" w:cs="Arial" w:eastAsia="Arial" w:hAnsi="Arial"/>
          <w:sz w:val="17"/>
          <w:szCs w:val="17"/>
          <w:color w:val="auto"/>
        </w:rPr>
      </w:pPr>
      <w:r>
        <w:rPr>
          <w:rFonts w:ascii="Arial" w:cs="Arial" w:eastAsia="Arial" w:hAnsi="Arial"/>
          <w:sz w:val="17"/>
          <w:szCs w:val="17"/>
          <w:color w:val="auto"/>
        </w:rPr>
        <w:t>The Company shall, to the fullest extent not prohibited by law,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Indemnitee hereunder. The Company shall, to the fullest extent permitted by law, indemnify Indemnitee against any and all Expenses and, if requested by Indemnitee, shall (within 10 days after receipt by the Company of a written request therefor) advance, to the extent not prohibited by law, such Expenses to Indemnitee, which are incurred by or on behalf of Indemnitee in connection with any action brought by Indemnitee for indemnification or advancement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spacing w:after="0" w:line="179" w:lineRule="exact"/>
        <w:rPr>
          <w:rFonts w:ascii="Arial" w:cs="Arial" w:eastAsia="Arial" w:hAnsi="Arial"/>
          <w:sz w:val="17"/>
          <w:szCs w:val="17"/>
          <w:color w:val="auto"/>
        </w:rPr>
      </w:pPr>
    </w:p>
    <w:p>
      <w:pPr>
        <w:ind w:right="220" w:firstLine="921"/>
        <w:spacing w:after="0" w:line="277" w:lineRule="auto"/>
        <w:tabs>
          <w:tab w:leader="none" w:pos="1158" w:val="left"/>
        </w:tabs>
        <w:numPr>
          <w:ilvl w:val="0"/>
          <w:numId w:val="73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of Indemnitee to indemnification under this Agreement shall be required to be made prior to the final disposition of the Proceeding.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Non-exclusivity; Survival of Rights; Insurance; Subrogation.</w:t>
      </w:r>
    </w:p>
    <w:p>
      <w:pPr>
        <w:spacing w:after="0" w:line="117" w:lineRule="exact"/>
        <w:rPr>
          <w:sz w:val="20"/>
          <w:szCs w:val="20"/>
          <w:color w:val="auto"/>
        </w:rPr>
      </w:pPr>
    </w:p>
    <w:p>
      <w:pPr>
        <w:ind w:right="280" w:firstLine="921"/>
        <w:spacing w:after="0" w:line="277" w:lineRule="auto"/>
        <w:tabs>
          <w:tab w:leader="none" w:pos="1158"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The rights of indemnification and to receive advancement of Expenses as provided by this Agreement (i) shall not be deemed exclusive of any other rights to which Indemnitee may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5" w:right="259" w:bottom="1440" w:gutter="0" w:footer="0" w:header="0"/>
        </w:sectPr>
      </w:pPr>
    </w:p>
    <w:bookmarkStart w:id="694" w:name="page695"/>
    <w:bookmarkEnd w:id="69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be entitled under applicable law, the Certificate of Incorporation, the Bylaws, any agreement, a vote of stockholders or a resolution of the Board, or otherwise and (ii) shall be interpreted independently of, and without reference to, any other such rights to which Indemnitee may at any time be entitled.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of Expenses than would be afforded currently under the Bylaws, Certificate of Incorporation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8" w:lineRule="exact"/>
        <w:rPr>
          <w:sz w:val="20"/>
          <w:szCs w:val="20"/>
          <w:color w:val="auto"/>
        </w:rPr>
      </w:pPr>
    </w:p>
    <w:p>
      <w:pPr>
        <w:ind w:right="60" w:firstLine="921"/>
        <w:spacing w:after="0" w:line="255" w:lineRule="auto"/>
        <w:tabs>
          <w:tab w:leader="none" w:pos="1168" w:val="left"/>
        </w:tabs>
        <w:numPr>
          <w:ilvl w:val="0"/>
          <w:numId w:val="735"/>
        </w:numPr>
        <w:rPr>
          <w:rFonts w:ascii="Arial" w:cs="Arial" w:eastAsia="Arial" w:hAnsi="Arial"/>
          <w:sz w:val="18"/>
          <w:szCs w:val="18"/>
          <w:color w:val="auto"/>
        </w:rPr>
      </w:pPr>
      <w:r>
        <w:rPr>
          <w:rFonts w:ascii="Arial" w:cs="Arial" w:eastAsia="Arial" w:hAnsi="Arial"/>
          <w:sz w:val="18"/>
          <w:szCs w:val="18"/>
          <w:color w:val="auto"/>
        </w:rPr>
        <w:t>To the extent that the Company maintains an insurance policy or policies providing liability insurance for directors, officers, employees, or agents of the Enterprise,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such claim or of the commencement of a Proceeding, as the case may be,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89" w:lineRule="exact"/>
        <w:rPr>
          <w:rFonts w:ascii="Arial" w:cs="Arial" w:eastAsia="Arial" w:hAnsi="Arial"/>
          <w:sz w:val="18"/>
          <w:szCs w:val="18"/>
          <w:color w:val="auto"/>
        </w:rPr>
      </w:pPr>
    </w:p>
    <w:p>
      <w:pPr>
        <w:ind w:right="60" w:firstLine="921"/>
        <w:spacing w:after="0" w:line="259" w:lineRule="auto"/>
        <w:tabs>
          <w:tab w:leader="none" w:pos="1158" w:val="left"/>
        </w:tabs>
        <w:numPr>
          <w:ilvl w:val="0"/>
          <w:numId w:val="735"/>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[(other than any rights of recovery of Indemnitee from a Fund Indemnitor (as defined in Section 15(e) hereof) or under any insurance provided by the Fund or its affiliates)] who shall execute all papers required and take all action necessary to secure such rights, including execution of such documents as are necessary to enable the Company to bring suit to enforce such rights.</w:t>
      </w:r>
    </w:p>
    <w:p>
      <w:pPr>
        <w:spacing w:after="0" w:line="186" w:lineRule="exact"/>
        <w:rPr>
          <w:rFonts w:ascii="Arial" w:cs="Arial" w:eastAsia="Arial" w:hAnsi="Arial"/>
          <w:sz w:val="18"/>
          <w:szCs w:val="18"/>
          <w:color w:val="auto"/>
        </w:rPr>
      </w:pPr>
    </w:p>
    <w:p>
      <w:pPr>
        <w:ind w:right="140" w:firstLine="921"/>
        <w:spacing w:after="0" w:line="264" w:lineRule="auto"/>
        <w:tabs>
          <w:tab w:leader="none" w:pos="1168" w:val="left"/>
        </w:tabs>
        <w:numPr>
          <w:ilvl w:val="0"/>
          <w:numId w:val="735"/>
        </w:numPr>
        <w:rPr>
          <w:rFonts w:ascii="Arial" w:cs="Arial" w:eastAsia="Arial" w:hAnsi="Arial"/>
          <w:sz w:val="18"/>
          <w:szCs w:val="18"/>
          <w:color w:val="auto"/>
        </w:rPr>
      </w:pPr>
      <w:r>
        <w:rPr>
          <w:rFonts w:ascii="Arial" w:cs="Arial" w:eastAsia="Arial" w:hAnsi="Arial"/>
          <w:sz w:val="18"/>
          <w:szCs w:val="18"/>
          <w:color w:val="auto"/>
        </w:rPr>
        <w:t>[Except as provided for under Section 15(e) of this Agreement, the] The Company shall not be liable under this Agreement to make any payment of amounts otherwise indemnifiable (or for which advancement is provided hereunder) hereunder if and to the extent that Indemnitee has otherwise actually received such payment under any insurance policy, contract, agreement or otherwise.]</w:t>
      </w:r>
    </w:p>
    <w:p>
      <w:pPr>
        <w:spacing w:after="0" w:line="181"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(e)[The Company hereby acknowledges that Indemnitee has certain rights to indemnification, advancement of expenses and/or insurance provided by the Fund and certain of its affiliates (collectively, the “Fund Indemnitors”).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695" w:name="page696"/>
    <w:bookmarkEnd w:id="695"/>
    <w:p>
      <w:pPr>
        <w:jc w:val="both"/>
        <w:ind w:right="3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judgments, penalties, fines and amounts paid in settlement to the extent legally permitted and as required by the Certificate of Incorporation or Bylaws (or any agreement between the Company and Indemnitee), without regard to any rights Indemnitee may have against the Fund Indemnitors, and,</w:t>
      </w:r>
    </w:p>
    <w:p>
      <w:pPr>
        <w:ind w:right="220" w:firstLine="8"/>
        <w:spacing w:after="0" w:line="292" w:lineRule="auto"/>
        <w:tabs>
          <w:tab w:leader="none" w:pos="315" w:val="left"/>
        </w:tabs>
        <w:numPr>
          <w:ilvl w:val="0"/>
          <w:numId w:val="736"/>
        </w:numPr>
        <w:rPr>
          <w:rFonts w:ascii="Arial" w:cs="Arial" w:eastAsia="Arial" w:hAnsi="Arial"/>
          <w:sz w:val="16"/>
          <w:szCs w:val="16"/>
          <w:color w:val="auto"/>
        </w:rPr>
      </w:pPr>
      <w:r>
        <w:rPr>
          <w:rFonts w:ascii="Arial" w:cs="Arial" w:eastAsia="Arial" w:hAnsi="Arial"/>
          <w:sz w:val="16"/>
          <w:szCs w:val="16"/>
          <w:color w:val="auto"/>
        </w:rPr>
        <w:t>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hereof.]]</w:t>
      </w:r>
    </w:p>
    <w:p>
      <w:pPr>
        <w:spacing w:after="0" w:line="162" w:lineRule="exact"/>
        <w:rPr>
          <w:rFonts w:ascii="Arial" w:cs="Arial" w:eastAsia="Arial" w:hAnsi="Arial"/>
          <w:sz w:val="16"/>
          <w:szCs w:val="16"/>
          <w:color w:val="auto"/>
        </w:rPr>
      </w:pPr>
    </w:p>
    <w:p>
      <w:pPr>
        <w:ind w:firstLine="921"/>
        <w:spacing w:after="0" w:line="302" w:lineRule="auto"/>
        <w:tabs>
          <w:tab w:leader="none" w:pos="1138" w:val="left"/>
        </w:tabs>
        <w:numPr>
          <w:ilvl w:val="1"/>
          <w:numId w:val="736"/>
        </w:numPr>
        <w:rPr>
          <w:rFonts w:ascii="Arial" w:cs="Arial" w:eastAsia="Arial" w:hAnsi="Arial"/>
          <w:sz w:val="16"/>
          <w:szCs w:val="16"/>
          <w:color w:val="auto"/>
        </w:rPr>
      </w:pPr>
      <w:r>
        <w:rPr>
          <w:rFonts w:ascii="Arial" w:cs="Arial" w:eastAsia="Arial" w:hAnsi="Arial"/>
          <w:sz w:val="16"/>
          <w:szCs w:val="16"/>
          <w:color w:val="auto"/>
        </w:rPr>
        <w:t>The Company’s obligation to indemnify or advance Expenses hereunder to Indemnitee who is or was serving at the request of the Company as a director, officer, trustee, partner, managing member, fiduciary,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employee benefit plan or other enterprise.</w:t>
      </w:r>
    </w:p>
    <w:p>
      <w:pPr>
        <w:spacing w:after="0" w:line="154"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Duration of Agreement.</w:t>
      </w:r>
      <w:r>
        <w:rPr>
          <w:rFonts w:ascii="Arial" w:cs="Arial" w:eastAsia="Arial" w:hAnsi="Arial"/>
          <w:sz w:val="17"/>
          <w:szCs w:val="17"/>
          <w:color w:val="auto"/>
        </w:rPr>
        <w:t xml:space="preserve"> This Agreement shall continue until and terminate upon the later of (a) 10 years after the date that Indemnitee shall have ceased to serve as a director or officer, as applicable, of the Company or (b) one year after the final termination of any Proceeding then pending in respect of which Indemnitee is granted rights of indemnification or advancement of Expenses hereunder and of any Proceeding (including any appeal) commenced by Indemnitee pursuant to Section 14 of this Agreement [or by a Fund Indemnitor pursuant to Section 15(e) of this Agreement, in either case,] relating thereto. The indemnification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and shall inure to the benefit of Indemnitee and his or her spouse, assigns, heirs, devisees, executors and administrators and other legal representatives. The Company shall require and shall cause any successor (whether direct or indirect by purchase, merger, consolidation or otherwise) to all or substantially all of the business or assets of the Company to, by written agreement, expressly assume and agree to perform this Agreement in the same manner and to the same extent that the Company would be required to perform if no such succession had taken place.</w:t>
      </w:r>
    </w:p>
    <w:p>
      <w:pPr>
        <w:spacing w:after="0" w:line="18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provisions of this Agreement shall be held to be invalid, illegal or unenforceable for any reason whatsoever, then: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5" w:right="239" w:bottom="1440" w:gutter="0" w:footer="0" w:header="0"/>
        </w:sectPr>
      </w:pPr>
    </w:p>
    <w:bookmarkStart w:id="696" w:name="page697"/>
    <w:bookmarkEnd w:id="69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Enforcement.</w:t>
      </w:r>
    </w:p>
    <w:p>
      <w:pPr>
        <w:spacing w:after="0" w:line="117" w:lineRule="exact"/>
        <w:rPr>
          <w:sz w:val="20"/>
          <w:szCs w:val="20"/>
          <w:color w:val="auto"/>
        </w:rPr>
      </w:pPr>
    </w:p>
    <w:p>
      <w:pPr>
        <w:ind w:right="120" w:firstLine="921"/>
        <w:spacing w:after="0" w:line="264" w:lineRule="auto"/>
        <w:tabs>
          <w:tab w:leader="none" w:pos="1158" w:val="left"/>
        </w:tabs>
        <w:numPr>
          <w:ilvl w:val="0"/>
          <w:numId w:val="737"/>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spacing w:after="0" w:line="181" w:lineRule="exact"/>
        <w:rPr>
          <w:rFonts w:ascii="Arial" w:cs="Arial" w:eastAsia="Arial" w:hAnsi="Arial"/>
          <w:sz w:val="18"/>
          <w:szCs w:val="18"/>
          <w:color w:val="auto"/>
        </w:rPr>
      </w:pPr>
    </w:p>
    <w:p>
      <w:pPr>
        <w:ind w:right="100" w:firstLine="921"/>
        <w:spacing w:after="0" w:line="302" w:lineRule="auto"/>
        <w:tabs>
          <w:tab w:leader="none" w:pos="1168" w:val="left"/>
        </w:tabs>
        <w:numPr>
          <w:ilvl w:val="0"/>
          <w:numId w:val="737"/>
        </w:numPr>
        <w:rPr>
          <w:rFonts w:ascii="Arial" w:cs="Arial" w:eastAsia="Arial" w:hAnsi="Arial"/>
          <w:sz w:val="16"/>
          <w:szCs w:val="16"/>
          <w:color w:val="auto"/>
        </w:rPr>
      </w:pPr>
      <w:r>
        <w:rPr>
          <w:rFonts w:ascii="Arial" w:cs="Arial" w:eastAsia="Arial" w:hAnsi="Arial"/>
          <w:sz w:val="16"/>
          <w:szCs w:val="16"/>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Agreement is a supplement to and in furtherance of the Certificate of Incorporation, the Bylaws, any directors’ and officers’ insurance maintained by the Company and applicable law, and shall not be deemed a substitute therefor, nor to diminish or abrogate any rights of Indemnitee thereunder.</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xml:space="preserve"> 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18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Notice by Indemnitee.</w:t>
      </w:r>
      <w:r>
        <w:rPr>
          <w:rFonts w:ascii="Arial" w:cs="Arial" w:eastAsia="Arial" w:hAnsi="Arial"/>
          <w:sz w:val="17"/>
          <w:szCs w:val="17"/>
          <w:color w:val="auto"/>
        </w:rPr>
        <w:t xml:space="preserve">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Indemnitee under this Agreement or otherwise, except to the extent that such failure materially prejudices the Company.</w:t>
      </w:r>
    </w:p>
    <w:p>
      <w:pPr>
        <w:spacing w:after="0" w:line="171"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requests, demands and other communications under this Agreement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or (c) sent by reputable overnight courier and receipted for by the party to whom said notice or other communication shall have been directed: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If to Indemnitee, at the address indicated on the signature page of this Agreement, or such other address as Indemnitee shall provide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1500" w:right="8240" w:hanging="579"/>
        <w:spacing w:after="0" w:line="624" w:lineRule="auto"/>
        <w:tabs>
          <w:tab w:leader="none" w:pos="1184" w:val="left"/>
        </w:tabs>
        <w:numPr>
          <w:ilvl w:val="0"/>
          <w:numId w:val="738"/>
        </w:numPr>
        <w:rPr>
          <w:rFonts w:ascii="Arial" w:cs="Arial" w:eastAsia="Arial" w:hAnsi="Arial"/>
          <w:sz w:val="16"/>
          <w:szCs w:val="16"/>
          <w:color w:val="auto"/>
        </w:rPr>
      </w:pPr>
      <w:r>
        <w:rPr>
          <w:rFonts w:ascii="Arial" w:cs="Arial" w:eastAsia="Arial" w:hAnsi="Arial"/>
          <w:sz w:val="16"/>
          <w:szCs w:val="16"/>
          <w:color w:val="auto"/>
        </w:rPr>
        <w:t>If to the Company to: Solid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-74930</wp:posOffset>
            </wp:positionV>
            <wp:extent cx="151447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514475"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62230</wp:posOffset>
            </wp:positionV>
            <wp:extent cx="151447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32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Chief Financial Officer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5" w:right="279" w:bottom="1440" w:gutter="0" w:footer="0" w:header="0"/>
        </w:sectPr>
      </w:pPr>
    </w:p>
    <w:bookmarkStart w:id="697" w:name="page698"/>
    <w:bookmarkEnd w:id="6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to any other address as may have been furnished to Indemnitee by the Company.</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or on behalf of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xml:space="preserve"> This Agreement and the legal relations among the parties shall be governed by, and construed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enforced in accordance with, the laws of the State of Delaware, without regard to its conflict of laws rules. Except with respect to any arbitration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commenced by Indemnitee pursuant to Section 14(a) of this Agreement, the Company and Indemnitee hereby irrevocably and unconditionally (i) agree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action or proceeding arising out of or in connection with this Agreement shall be brought only in the Chancery Court of the State of Delaware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Delaware Court</w:t>
      </w:r>
      <w:r>
        <w:rPr>
          <w:rFonts w:ascii="Arial" w:cs="Arial" w:eastAsia="Arial" w:hAnsi="Arial"/>
          <w:sz w:val="16"/>
          <w:szCs w:val="16"/>
          <w:color w:val="auto"/>
        </w:rPr>
        <w:t>”), and not in any other state or federal court in the United States of America or any court in any other country, (ii) consent to submit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exclusive jurisdiction of the Delaware Court for purposes of any action or proceeding arising out of or in connection with this Agreement, (iii) waive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objection to the laying of venue of any such action or proceeding in the Delaware Court and (iv) waive, and agree not to plead or to make, any claim that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action or proceeding brought in the Delaware Court has been brought in an improper or inconvenient forum.</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Use of the masculine pronoun shall be deemed to include usage of the feminine pronoun where appropriate. The headings of this Agreement are inserted for convenience only and shall not be deemed to constitute part of this Agreement or to affect the construction thereof.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Signature Page Follows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98" w:name="page699"/>
    <w:bookmarkEnd w:id="69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signed as of the day and year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SOLID BIOSCIENCES INC.</w:t>
            </w:r>
          </w:p>
        </w:tc>
        <w:tc>
          <w:tcPr>
            <w:tcW w:w="2020" w:type="dxa"/>
            <w:vAlign w:val="bottom"/>
          </w:tcPr>
          <w:p>
            <w:pPr>
              <w:spacing w:after="0"/>
              <w:rPr>
                <w:sz w:val="20"/>
                <w:szCs w:val="20"/>
                <w:color w:val="auto"/>
              </w:rPr>
            </w:pPr>
          </w:p>
        </w:tc>
        <w:tc>
          <w:tcPr>
            <w:tcW w:w="6260" w:type="dxa"/>
            <w:vAlign w:val="bottom"/>
            <w:gridSpan w:val="2"/>
          </w:tcPr>
          <w:p>
            <w:pPr>
              <w:ind w:left="820"/>
              <w:spacing w:after="0"/>
              <w:rPr>
                <w:sz w:val="20"/>
                <w:szCs w:val="20"/>
                <w:color w:val="auto"/>
              </w:rPr>
            </w:pPr>
            <w:r>
              <w:rPr>
                <w:rFonts w:ascii="Arial" w:cs="Arial" w:eastAsia="Arial" w:hAnsi="Arial"/>
                <w:sz w:val="18"/>
                <w:szCs w:val="18"/>
                <w:b w:val="1"/>
                <w:bCs w:val="1"/>
                <w:color w:val="auto"/>
              </w:rPr>
              <w:t>INDEMNITEE</w:t>
            </w:r>
          </w:p>
        </w:tc>
      </w:tr>
      <w:tr>
        <w:trPr>
          <w:trHeight w:val="432"/>
        </w:trPr>
        <w:tc>
          <w:tcPr>
            <w:tcW w:w="3140" w:type="dxa"/>
            <w:vAlign w:val="bottom"/>
            <w:gridSpan w:val="2"/>
          </w:tcPr>
          <w:p>
            <w:pPr>
              <w:spacing w:after="0"/>
              <w:rPr>
                <w:sz w:val="20"/>
                <w:szCs w:val="20"/>
                <w:color w:val="auto"/>
              </w:rPr>
            </w:pPr>
            <w:r>
              <w:rPr>
                <w:rFonts w:ascii="Arial" w:cs="Arial" w:eastAsia="Arial" w:hAnsi="Arial"/>
                <w:sz w:val="18"/>
                <w:szCs w:val="18"/>
                <w:color w:val="auto"/>
              </w:rPr>
              <w:t>By:</w:t>
            </w:r>
          </w:p>
        </w:tc>
        <w:tc>
          <w:tcPr>
            <w:tcW w:w="2020" w:type="dxa"/>
            <w:vAlign w:val="bottom"/>
          </w:tcPr>
          <w:p>
            <w:pPr>
              <w:spacing w:after="0"/>
              <w:rPr>
                <w:sz w:val="24"/>
                <w:szCs w:val="24"/>
                <w:color w:val="auto"/>
              </w:rPr>
            </w:pPr>
          </w:p>
        </w:tc>
        <w:tc>
          <w:tcPr>
            <w:tcW w:w="6260" w:type="dxa"/>
            <w:vAlign w:val="bottom"/>
            <w:gridSpan w:val="2"/>
          </w:tcPr>
          <w:p>
            <w:pPr>
              <w:ind w:left="700"/>
              <w:spacing w:after="0"/>
              <w:rPr>
                <w:sz w:val="20"/>
                <w:szCs w:val="20"/>
                <w:color w:val="auto"/>
              </w:rPr>
            </w:pPr>
            <w:r>
              <w:rPr>
                <w:rFonts w:ascii="Arial" w:cs="Arial" w:eastAsia="Arial" w:hAnsi="Arial"/>
                <w:sz w:val="18"/>
                <w:szCs w:val="18"/>
                <w:color w:val="auto"/>
              </w:rPr>
              <w:t>By:</w:t>
            </w:r>
          </w:p>
        </w:tc>
      </w:tr>
      <w:tr>
        <w:trPr>
          <w:trHeight w:val="209"/>
        </w:trPr>
        <w:tc>
          <w:tcPr>
            <w:tcW w:w="380" w:type="dxa"/>
            <w:vAlign w:val="bottom"/>
          </w:tcPr>
          <w:p>
            <w:pPr>
              <w:spacing w:after="0"/>
              <w:rPr>
                <w:sz w:val="18"/>
                <w:szCs w:val="18"/>
                <w:color w:val="auto"/>
              </w:rPr>
            </w:pPr>
          </w:p>
        </w:tc>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020" w:type="dxa"/>
            <w:vAlign w:val="bottom"/>
            <w:tcBorders>
              <w:top w:val="single" w:sz="8" w:color="auto"/>
            </w:tcBorders>
          </w:tcPr>
          <w:p>
            <w:pPr>
              <w:spacing w:after="0"/>
              <w:rPr>
                <w:sz w:val="18"/>
                <w:szCs w:val="18"/>
                <w:color w:val="auto"/>
              </w:rPr>
            </w:pPr>
          </w:p>
        </w:tc>
        <w:tc>
          <w:tcPr>
            <w:tcW w:w="1480" w:type="dxa"/>
            <w:vAlign w:val="bottom"/>
          </w:tcPr>
          <w:p>
            <w:pPr>
              <w:ind w:left="70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Title:</w:t>
            </w:r>
          </w:p>
        </w:tc>
        <w:tc>
          <w:tcPr>
            <w:tcW w:w="2020" w:type="dxa"/>
            <w:vAlign w:val="bottom"/>
          </w:tcPr>
          <w:p>
            <w:pPr>
              <w:spacing w:after="0"/>
              <w:rPr>
                <w:sz w:val="20"/>
                <w:szCs w:val="20"/>
                <w:color w:val="auto"/>
              </w:rPr>
            </w:pPr>
          </w:p>
        </w:tc>
        <w:tc>
          <w:tcPr>
            <w:tcW w:w="6260" w:type="dxa"/>
            <w:vAlign w:val="bottom"/>
            <w:gridSpan w:val="2"/>
          </w:tcPr>
          <w:p>
            <w:pPr>
              <w:ind w:left="700"/>
              <w:spacing w:after="0"/>
              <w:rPr>
                <w:sz w:val="20"/>
                <w:szCs w:val="20"/>
                <w:color w:val="auto"/>
              </w:rPr>
            </w:pPr>
            <w:r>
              <w:rPr>
                <w:rFonts w:ascii="Arial" w:cs="Arial" w:eastAsia="Arial" w:hAnsi="Arial"/>
                <w:sz w:val="18"/>
                <w:szCs w:val="18"/>
                <w:color w:val="auto"/>
              </w:rPr>
              <w:t>Address:</w:t>
            </w:r>
          </w:p>
        </w:tc>
      </w:tr>
      <w:tr>
        <w:trPr>
          <w:trHeight w:val="432"/>
        </w:trPr>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280" w:type="dxa"/>
            <w:vAlign w:val="bottom"/>
            <w:gridSpan w:val="3"/>
          </w:tcPr>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Indemnification Agreement</w:t>
            </w:r>
            <w:r>
              <w:rPr>
                <w:rFonts w:ascii="Arial" w:cs="Arial" w:eastAsia="Arial" w:hAnsi="Arial"/>
                <w:sz w:val="18"/>
                <w:szCs w:val="18"/>
                <w:color w:val="auto"/>
              </w:rPr>
              <w:t>]</w:t>
            </w:r>
          </w:p>
        </w:tc>
      </w:tr>
    </w:tbl>
    <w:p>
      <w:pPr>
        <w:sectPr>
          <w:pgSz w:w="11900" w:h="16838" w:orient="portrait"/>
          <w:cols w:equalWidth="0" w:num="1">
            <w:col w:w="11420"/>
          </w:cols>
          <w:pgMar w:left="240" w:top="275" w:right="239" w:bottom="1440" w:gutter="0" w:footer="0" w:header="0"/>
        </w:sectPr>
      </w:pPr>
    </w:p>
    <w:bookmarkStart w:id="699" w:name="page700"/>
    <w:bookmarkEnd w:id="699"/>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This Amended and Restated Registration Rights Agreement (this “Agreement”) dated as of March 29, 2017, is made by and among Solid Biosciences, LLC, a Delaware limited liability company (“Solid”), and the persons listed on Schedule A (each, an “Investor”).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WHEREAS, certain of the Investors (the “Solid Existing Investors”) hold Preferred Units and/or Series A Common Units of Solid and possess certain rights pursuant to a Registration Rights Agreement dated as of December 27, 2013, among Solid (under its former name, Solid Ventures, LLC) and such Investors (the “Solid Prior Agreement”); and</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WHEREAS, certain of the Investors (the “GT Existing Investors”) hold Class A Voting Units, Class B Non-Voting Units and/or Class D Voting Units of Solid GT, LLC, a Delaware limited liability company (“GT”), and possess certain rights pursuant to Section 11.1(c) of the Second Amended and Restated Limited Liability Company Agreement of GT dated as of November 2, 2015, between GT and such Investors (the “GT Prior Rights”); and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GT is being merged with and into Solid; and</w:t>
      </w:r>
    </w:p>
    <w:p>
      <w:pPr>
        <w:spacing w:after="0" w:line="22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WHEREAS, the Solid Existing Investors are holders of a majority of the voting power of the Registrable Securities (as defined in the Solid Prior Agreement) of Solid, and desire to amend and restate the Solid Prior Agreement in its entirety and to accept the rights and obligations created pursuant to this Agreement in lieu of the rights and obligations of the Solid Existing Investors under the Solid Prior Agreement; and</w:t>
      </w:r>
    </w:p>
    <w:p>
      <w:pPr>
        <w:spacing w:after="0" w:line="166"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WHEREAS, the GT Existing Investors and certain of the other parties to this Agreement have the right to terminate the GT Prior Rights and replace them with rights and obligations pursuant to this Agreement; and</w:t>
      </w:r>
    </w:p>
    <w:p>
      <w:pPr>
        <w:spacing w:after="0" w:line="170"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WHEREAS, certain of the Investors are parties to that certain Senior Preferred Units Purchase Agreement of even date herewith between Solid and such Investors, under which certain of Solid’s and such Investors’ obligations are conditioned upon the execution and delivery of this Agreement by such Investors, certain Solid Existing Investors, certain GT Existing Investors and Solid;</w:t>
      </w:r>
    </w:p>
    <w:p>
      <w:pPr>
        <w:spacing w:after="0" w:line="181"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NOW, THEREFORE, the Solid Existing Investors hereby agree that the Solid Prior Agreement shall be amended and restated, the GT Existing Investors hereby agree that the GT Prior Rights shall be terminated, and the parties to this Agreement further agree as follows:</w:t>
      </w:r>
    </w:p>
    <w:p>
      <w:pPr>
        <w:spacing w:after="0" w:line="1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EGISTRATION RIGHTS</w:t>
      </w:r>
      <w:r>
        <w:rPr>
          <w:rFonts w:ascii="Arial" w:cs="Arial" w:eastAsia="Arial" w:hAnsi="Arial"/>
          <w:sz w:val="16"/>
          <w:szCs w:val="16"/>
          <w:color w:val="auto"/>
        </w:rPr>
        <w:t>. Solid and the Investors covenant and agree as follows: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following respective meanings (such meanings being equally applicable to both the singular and plural form of the terms defined):</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or any other federal agency then administering the Securities Act and other federal securities laws.</w:t>
      </w:r>
    </w:p>
    <w:p>
      <w:pPr>
        <w:sectPr>
          <w:pgSz w:w="11900" w:h="16838" w:orient="portrait"/>
          <w:cols w:equalWidth="0" w:num="1">
            <w:col w:w="11420"/>
          </w:cols>
          <w:pgMar w:left="240" w:top="121" w:right="239" w:bottom="1440" w:gutter="0" w:footer="0" w:header="0"/>
        </w:sectPr>
      </w:pPr>
    </w:p>
    <w:bookmarkStart w:id="700" w:name="page701"/>
    <w:bookmarkEnd w:id="7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Common Shares</w:t>
      </w:r>
      <w:r>
        <w:rPr>
          <w:rFonts w:ascii="Arial" w:cs="Arial" w:eastAsia="Arial" w:hAnsi="Arial"/>
          <w:sz w:val="18"/>
          <w:szCs w:val="18"/>
          <w:color w:val="auto"/>
        </w:rPr>
        <w:t>” shall mean the shares of the common stock of the Company owned by the Investors.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any corporation into which Solid converts.</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or any similar federal statute, and the rules and regulations of the Commission thereunder, all as the same shall be in effect from time to time.</w:t>
      </w:r>
    </w:p>
    <w:p>
      <w:pPr>
        <w:spacing w:after="0" w:line="17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w:t>
      </w:r>
      <w:r>
        <w:rPr>
          <w:rFonts w:ascii="Arial" w:cs="Arial" w:eastAsia="Arial" w:hAnsi="Arial"/>
          <w:sz w:val="18"/>
          <w:szCs w:val="18"/>
          <w:color w:val="auto"/>
        </w:rPr>
        <w:t>” shall mean such form under the Securities Act as in effect on the date hereof or any successor registration form under the Securities Act subsequently adopted by the Commission which permits inclusion or incorporation of substantial information by reference to other documents filed by the Company with the Commission.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Holders</w:t>
      </w:r>
      <w:r>
        <w:rPr>
          <w:rFonts w:ascii="Arial" w:cs="Arial" w:eastAsia="Arial" w:hAnsi="Arial"/>
          <w:sz w:val="16"/>
          <w:szCs w:val="16"/>
          <w:color w:val="auto"/>
        </w:rPr>
        <w:t>” shall mean any Person owning or having the right to acquire Registrable Securities, or any assignee thereof in accordance with Section 1.9.</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shall have the meaning set forth in the first paragraph of this Agreement.</w:t>
      </w:r>
    </w:p>
    <w:p>
      <w:pPr>
        <w:spacing w:after="0" w:line="225"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limited liability company, corporation, joint venture, association, trust or any other entity or organization.</w:t>
      </w:r>
    </w:p>
    <w:p>
      <w:pPr>
        <w:spacing w:after="0" w:line="170"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shall mean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w:t>
      </w:r>
    </w:p>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IPO</w:t>
      </w:r>
      <w:r>
        <w:rPr>
          <w:rFonts w:ascii="Arial" w:cs="Arial" w:eastAsia="Arial" w:hAnsi="Arial"/>
          <w:sz w:val="18"/>
          <w:szCs w:val="18"/>
          <w:color w:val="auto"/>
        </w:rPr>
        <w:t>” shall mean the first registration statement for an underwritten public offering of common stock of the Company pursuant to Section 1.1(b), (i) at a price per share of common stock of not less than twenty dollars ($20.00) (appropriately adjusted for splits, dividends, combinations, recapitalizations and the like), and (ii) with respect to which the Company receives aggregate gross proceeds attributable to sales for the account of the Company of not less than twenty million dollars ($20 million).</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shall mean (1) any Common Shares now or hereafter owned by the Investors, (2) any Common Shares issuable or issued upon conversion or exercise of any option, warrant, right or other security now or hereafter owned by the Investors, and (3) any Common Shares issued as (or issuable upon the conversion or exercise of any option, warrant, right or other security which is issued as) a distribution with respect to, or in exchange for or in replacement of, or upon conversion of, such Common Shares, options, warrants, rights or other securities; provided, however, that any Common Shares sold by a Person in a transaction in which such Person’s rights under this Agreement are not assigned pursuant to the terms of this Agreement shall cease to be Registrable Securities from and after the time of such sale; and provided, further, that any Common Shares which may be resold by a Holder pursuant to Rule 144 promulgated by the Commission under the Securities Act shall cease to be Registrable Securities from and after the time of the availability of Rule 144 for such resale provided such Holder owns less than one percent (1%) of the outstanding Common Shares.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701" w:name="page702"/>
    <w:bookmarkEnd w:id="701"/>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any registration statement of the Company which covers any of the Registrable Securities, including the Prospectus, amendments and supplements to such Registration Statement, including post-effective amendments, all exhibits and all material incorporated by reference in such Registration Statement.</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or any similar federal statute, and the rules and regulations of the Commission thereunder, all as the same shall be in effect from time to time.</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Violation</w:t>
      </w:r>
      <w:r>
        <w:rPr>
          <w:rFonts w:ascii="Arial" w:cs="Arial" w:eastAsia="Arial" w:hAnsi="Arial"/>
          <w:sz w:val="16"/>
          <w:szCs w:val="16"/>
          <w:color w:val="auto"/>
        </w:rPr>
        <w:t>” shall mean any of the following statements, omissions or violations: (1) any untrue statement or alleged untrue statement of a material fact contained in a Registration Statement, including any documents filed under state securities or “blue sky” laws in connection therewith, (2) the omission or alleged omission to state therein a material fact required to be stated therein, or necessary to make the statements therein not misleading, or (3) any violation or alleged violation by the Company of the Securities Act, the Exchange Act, any state securities law or any rule or regulation promulgated thereunder.</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w:t>
      </w:r>
      <w:r>
        <w:rPr>
          <w:rFonts w:ascii="Arial" w:cs="Arial" w:eastAsia="Arial" w:hAnsi="Arial"/>
          <w:sz w:val="13"/>
          <w:szCs w:val="13"/>
          <w:u w:val="single" w:color="auto"/>
          <w:color w:val="auto"/>
        </w:rPr>
        <w:t>EMAND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EGISTRATION</w:t>
      </w:r>
      <w:r>
        <w:rPr>
          <w:rFonts w:ascii="Arial" w:cs="Arial" w:eastAsia="Arial" w:hAnsi="Arial"/>
          <w:sz w:val="16"/>
          <w:szCs w:val="16"/>
          <w:color w:val="auto"/>
        </w:rPr>
        <w:t>. Subject to the restrictions of this Section 1.1, at any time after the earlier of thirty-six (36) months after the date of this Agreement or one hundred eighty (180) days following the effective date of a Qualified IPO, Investors holding not less than twenty percent (20%) of the then outstanding Registrable Securities shall have the right, by written notice to the Company, to request that the Company register the Registrable Securities under the Securities Act. The Company shall, within ten (10) days of the receipt of such notice, give written notice of such request to all Holders and shall, subject to the limitations of Section 1.1(b) below, use its best efforts to effect as soon as practicable the registration under the Securities Act of all Registrable Securities which the Holders request to be registered within twenty (20) days of the mailing of such notice by the Company. Any registration of Registrable Securities pursuant to a Registration Statement in accordance with this Section 1.1 is sometimes referred to herein as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167" w:lineRule="exact"/>
        <w:rPr>
          <w:sz w:val="20"/>
          <w:szCs w:val="20"/>
          <w:color w:val="auto"/>
        </w:rPr>
      </w:pPr>
    </w:p>
    <w:p>
      <w:pPr>
        <w:ind w:firstLine="921"/>
        <w:spacing w:after="0" w:line="290" w:lineRule="auto"/>
        <w:tabs>
          <w:tab w:leader="none" w:pos="1293" w:val="left"/>
        </w:tabs>
        <w:numPr>
          <w:ilvl w:val="0"/>
          <w:numId w:val="739"/>
        </w:numPr>
        <w:rPr>
          <w:rFonts w:ascii="Arial" w:cs="Arial" w:eastAsia="Arial" w:hAnsi="Arial"/>
          <w:sz w:val="16"/>
          <w:szCs w:val="16"/>
          <w:color w:val="auto"/>
        </w:rPr>
      </w:pPr>
      <w:r>
        <w:rPr>
          <w:rFonts w:ascii="Arial" w:cs="Arial" w:eastAsia="Arial" w:hAnsi="Arial"/>
          <w:sz w:val="16"/>
          <w:szCs w:val="16"/>
          <w:color w:val="auto"/>
        </w:rPr>
        <w:t>If the Holder(s) requesting the registration (“</w:t>
      </w:r>
      <w:r>
        <w:rPr>
          <w:rFonts w:ascii="Arial" w:cs="Arial" w:eastAsia="Arial" w:hAnsi="Arial"/>
          <w:sz w:val="16"/>
          <w:szCs w:val="16"/>
          <w:u w:val="single" w:color="auto"/>
          <w:color w:val="auto"/>
        </w:rPr>
        <w:t>Initiating Holders</w:t>
      </w:r>
      <w:r>
        <w:rPr>
          <w:rFonts w:ascii="Arial" w:cs="Arial" w:eastAsia="Arial" w:hAnsi="Arial"/>
          <w:sz w:val="16"/>
          <w:szCs w:val="16"/>
          <w:color w:val="auto"/>
        </w:rPr>
        <w:t>”) intend to distribute the Registrable Securities covered by their request by means of an underwriting, they shall so advise the Company as a part of their request made pursuant to Section 1.1 and the Company shall include such information in the written notice referred to in Section 1.1(a). In such event, the right of any Holder to include such Holder’s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The managing underwriter or underwriters in such underwriting shall be selected by the Initiating Holders, subject to the approval of the Company (such approval not to be unreasonably withheld) and prior written acceptance of such underwriter or underwriters by the Initiating Holders. All Holders proposing to distribute their Registrable Securities through such underwriting shall enter into an underwriting agreement in customary form with the underwriter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702" w:name="page703"/>
    <w:bookmarkEnd w:id="70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underwriters so selected; provided, however, that no such Holder shall be required to make any representations or warranties except as they relate to such Holder’s ownership of Registrable Securities and authority to enter into the underwriting agreement and to such Holder’s intended method of distribution, and the liability of such Holder shall be limited to an amount equal to net proceeds from the offering received by such Holder. Notwithstanding any other provision of this Section 1.1, if the underwriter advises the Company or the Initiating Holders in writing that marketing factors require a limitation of the number of securities underwritten, then the Company shall so advise all Holders of Registrable Securities which would otherwise be underwritten pursuant hereto, and the number of Registrable Securities that may be included in the underwriting shall be allocated among all Holders thereof, including the Initiating Holders, in proportion (as nearly as practicable) to the amount of Registrable Securities being sold in the underwriting by each such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securities other than Registrable Securities shall be covered by such registration.</w:t>
      </w:r>
    </w:p>
    <w:p>
      <w:pPr>
        <w:spacing w:after="0" w:line="179" w:lineRule="exact"/>
        <w:rPr>
          <w:sz w:val="20"/>
          <w:szCs w:val="20"/>
          <w:color w:val="auto"/>
        </w:rPr>
      </w:pPr>
    </w:p>
    <w:p>
      <w:pPr>
        <w:ind w:right="140" w:firstLine="921"/>
        <w:spacing w:after="0" w:line="293" w:lineRule="auto"/>
        <w:tabs>
          <w:tab w:leader="none" w:pos="1303" w:val="left"/>
        </w:tabs>
        <w:numPr>
          <w:ilvl w:val="0"/>
          <w:numId w:val="740"/>
        </w:numPr>
        <w:rPr>
          <w:rFonts w:ascii="Arial" w:cs="Arial" w:eastAsia="Arial" w:hAnsi="Arial"/>
          <w:sz w:val="16"/>
          <w:szCs w:val="16"/>
          <w:color w:val="auto"/>
        </w:rPr>
      </w:pPr>
      <w:r>
        <w:rPr>
          <w:rFonts w:ascii="Arial" w:cs="Arial" w:eastAsia="Arial" w:hAnsi="Arial"/>
          <w:sz w:val="16"/>
          <w:szCs w:val="16"/>
          <w:color w:val="auto"/>
        </w:rPr>
        <w:t xml:space="preserve">Holders of Registrable Securities shall be entitled to an aggregate of only two (2) Demand Registrations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be obligated to effect as many registrations as may be requested by the Holders in the event and so long as a registration pursuant to Form S-3 or any similar “short-form” registration statement is available, provided that (i) such request must cover Registrable Securities which, together with other securities of the Company entitled to inclusion in such registration, are proposed to be sold at an aggregate price to the public of not less than two million dollars ($2,000,000), and (ii) the Company shall not be obligated to effect any such registration until the next calendar year if the Company has effected two (2) registrations on Form S-3 (or its then equivalent) pursuant to this Section 1.1(b) in a calendar year.</w:t>
      </w:r>
    </w:p>
    <w:p>
      <w:pPr>
        <w:spacing w:after="0" w:line="164" w:lineRule="exact"/>
        <w:rPr>
          <w:rFonts w:ascii="Arial" w:cs="Arial" w:eastAsia="Arial" w:hAnsi="Arial"/>
          <w:sz w:val="16"/>
          <w:szCs w:val="16"/>
          <w:color w:val="auto"/>
        </w:rPr>
      </w:pPr>
    </w:p>
    <w:p>
      <w:pPr>
        <w:ind w:right="20" w:firstLine="921"/>
        <w:spacing w:after="0" w:line="253" w:lineRule="auto"/>
        <w:tabs>
          <w:tab w:leader="none" w:pos="1283" w:val="left"/>
        </w:tabs>
        <w:numPr>
          <w:ilvl w:val="0"/>
          <w:numId w:val="740"/>
        </w:numPr>
        <w:rPr>
          <w:rFonts w:ascii="Arial" w:cs="Arial" w:eastAsia="Arial" w:hAnsi="Arial"/>
          <w:sz w:val="18"/>
          <w:szCs w:val="18"/>
          <w:color w:val="auto"/>
        </w:rPr>
      </w:pPr>
      <w:r>
        <w:rPr>
          <w:rFonts w:ascii="Arial" w:cs="Arial" w:eastAsia="Arial" w:hAnsi="Arial"/>
          <w:sz w:val="18"/>
          <w:szCs w:val="18"/>
          <w:color w:val="auto"/>
        </w:rPr>
        <w:t>A registration will not count as a Demand Registration until the related Registration Statement has been declared effective by the Commission. The Registration Statement relating to the Demand Registration shall remain effective for up to six (6) months. In any registration initiated as a Demand Registration, the Company will pay all Registration Expenses (as defined in Section 1.6 hereof) in connection therewith, whether or not it becomes effective; provided that if the Holders of a majority of the Registrable Securities covered by a Registration Statement which has been filed (or which the Company notifies such Holders it is prepared to file within five days) but not yet become effective shall cause or request the Company to withdraw (or cease the preparation of) any such Registration Statement, the Holders of a majority of the Registrable Securities covered by such Registration Statement may thereafter request the Company to reinstate (or recommence preparation of) such Registration Statement, if permitted under the Securities Act, or to file another Demand Registration, in accordance with the procedures set forth herein, only upon agreeing in writing to reimburse the Company for all Registration Expenses over and above those Registration Expenses which the Company would not have incurred had such initial Demand Registration not been withdrawn.</w:t>
      </w:r>
    </w:p>
    <w:p>
      <w:pPr>
        <w:spacing w:after="0" w:line="194" w:lineRule="exact"/>
        <w:rPr>
          <w:rFonts w:ascii="Arial" w:cs="Arial" w:eastAsia="Arial" w:hAnsi="Arial"/>
          <w:sz w:val="18"/>
          <w:szCs w:val="18"/>
          <w:color w:val="auto"/>
        </w:rPr>
      </w:pPr>
    </w:p>
    <w:p>
      <w:pPr>
        <w:jc w:val="both"/>
        <w:ind w:right="100" w:firstLine="921"/>
        <w:spacing w:after="0" w:line="312" w:lineRule="auto"/>
        <w:tabs>
          <w:tab w:leader="none" w:pos="1300" w:val="left"/>
        </w:tabs>
        <w:numPr>
          <w:ilvl w:val="0"/>
          <w:numId w:val="740"/>
        </w:numPr>
        <w:rPr>
          <w:rFonts w:ascii="Arial" w:cs="Arial" w:eastAsia="Arial" w:hAnsi="Arial"/>
          <w:sz w:val="16"/>
          <w:szCs w:val="16"/>
          <w:color w:val="auto"/>
        </w:rPr>
      </w:pPr>
      <w:r>
        <w:rPr>
          <w:rFonts w:ascii="Arial" w:cs="Arial" w:eastAsia="Arial" w:hAnsi="Arial"/>
          <w:sz w:val="16"/>
          <w:szCs w:val="16"/>
          <w:color w:val="auto"/>
        </w:rPr>
        <w:t>The Company shall not be required to undergo or pay for any special audit to effect any Registration Statement under this Section 1.1, and if such a special audit would be required in order to file or effect a registration hereunder, the Company shall be entitled to delay the filing or effectiveness of such Registration Statement until a reasonable period of time following the completion of an audit in the ordinary course of the Company’s activities.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03" w:name="page704"/>
    <w:bookmarkEnd w:id="703"/>
    <w:p>
      <w:pPr>
        <w:ind w:right="20" w:firstLine="921"/>
        <w:spacing w:after="0" w:line="279" w:lineRule="auto"/>
        <w:tabs>
          <w:tab w:leader="none" w:pos="1289" w:val="left"/>
        </w:tabs>
        <w:numPr>
          <w:ilvl w:val="0"/>
          <w:numId w:val="7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shall be entitled to postpone for a reasonable period of time, but not in excess of ninety (90) calendar days after receipt of the request from the Initiating Holders, filing of any Registration Statement otherwise required to be prepared and filed by it if the Company, at the time it receives a request for registration, reasonably and in good faith believes that it would be materially disadvantageous to the Company for such filing to be made at the time requested;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will not utilize this right more than once in any twelve (12) month period.</w:t>
      </w:r>
    </w:p>
    <w:p>
      <w:pPr>
        <w:spacing w:after="0" w:line="171" w:lineRule="exact"/>
        <w:rPr>
          <w:rFonts w:ascii="Arial" w:cs="Arial" w:eastAsia="Arial" w:hAnsi="Arial"/>
          <w:sz w:val="17"/>
          <w:szCs w:val="17"/>
          <w:color w:val="auto"/>
        </w:rPr>
      </w:pPr>
    </w:p>
    <w:p>
      <w:pPr>
        <w:ind w:right="300" w:firstLine="921"/>
        <w:spacing w:after="0" w:line="264" w:lineRule="auto"/>
        <w:tabs>
          <w:tab w:leader="none" w:pos="1269" w:val="left"/>
        </w:tabs>
        <w:numPr>
          <w:ilvl w:val="0"/>
          <w:numId w:val="741"/>
        </w:numPr>
        <w:rPr>
          <w:rFonts w:ascii="Arial" w:cs="Arial" w:eastAsia="Arial" w:hAnsi="Arial"/>
          <w:sz w:val="18"/>
          <w:szCs w:val="18"/>
          <w:color w:val="auto"/>
        </w:rPr>
      </w:pPr>
      <w:r>
        <w:rPr>
          <w:rFonts w:ascii="Arial" w:cs="Arial" w:eastAsia="Arial" w:hAnsi="Arial"/>
          <w:sz w:val="18"/>
          <w:szCs w:val="18"/>
          <w:color w:val="auto"/>
        </w:rPr>
        <w:t>The Company shall not be obligated to file a Registration Statement during (i) the period ending one hundred eighty (180) days after the effective date of the Company’s initial Registration Statement, or (ii) the ninety (90)-day period following the effectiveness of any other Registration Statement filed by the Company in connection with an underwritten offering of its securities.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w:t>
      </w:r>
      <w:r>
        <w:rPr>
          <w:rFonts w:ascii="Arial" w:cs="Arial" w:eastAsia="Arial" w:hAnsi="Arial"/>
          <w:sz w:val="13"/>
          <w:szCs w:val="13"/>
          <w:u w:val="single" w:color="auto"/>
          <w:color w:val="auto"/>
        </w:rPr>
        <w:t>IGGYBACK</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EGISTRATION</w:t>
      </w:r>
      <w:r>
        <w:rPr>
          <w:rFonts w:ascii="Arial" w:cs="Arial" w:eastAsia="Arial" w:hAnsi="Arial"/>
          <w:sz w:val="16"/>
          <w:szCs w:val="16"/>
          <w:color w:val="auto"/>
        </w:rPr>
        <w:t>. If the Company proposes to register (including for this purpose a registration effected by the Company for Persons other than the Holders) any of its equity securities under the Securities Act in connection with the public offering of such securities solely for cash (other than a registration on Form S-8 relating solely to the sale of securities to participants in a Company stock plan or to other compensatory arrangements to the extent includable on Form S-8, or a registration on Form S-4), the Company shall, at such time, promptly give each Holder written notice of such registration. Upon the written request of each Holder given within twenty (20) days after mailing of such notice by the Company, the Company shall, subject to the provisions of this Section 1, use its best efforts to cause to be registered under the Securities Act all of the Registrable Securities that each such Holder has requested to be registered. Notwithstanding any other provision of this Section 1.2, if the underwriter advises the Company in writing that, in the good faith judgment of the underwriter, marketing factors require a limitation of the number of securities underwritten, then (i) the Company shall so advise all Holders of Registrable Securities which would otherwise be underwritten pursuant hereto, (ii) the number of shares that may be included in the underwriting shall be allocated first to the Company and second to such Holders, and (iii) the aggregate number of Registrable Securities held by the Holders that may be included in the underwriting shall be allocated (as nearly as practicable) among all requesting Holders thereof under this Agreement in proportion to the amount of Registrable Securities sought to be sold by each such Holder. The Company shall have no obligation under this Section 1.2 to make any offering of its securities, or to complete an offering of its securities that it proposes to make, and shall incur no liability to any Holder for its failure to do so (except for the payment of Registration Expenses in connection with any registration, whether or not completed).</w:t>
      </w:r>
    </w:p>
    <w:p>
      <w:pPr>
        <w:spacing w:after="0" w:line="17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O</w:t>
      </w:r>
      <w:r>
        <w:rPr>
          <w:rFonts w:ascii="Arial" w:cs="Arial" w:eastAsia="Arial" w:hAnsi="Arial"/>
          <w:sz w:val="15"/>
          <w:szCs w:val="15"/>
          <w:u w:val="single" w:color="auto"/>
          <w:color w:val="auto"/>
        </w:rPr>
        <w:t>BLIGATIONS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5"/>
          <w:szCs w:val="15"/>
          <w:u w:val="single" w:color="auto"/>
          <w:color w:val="auto"/>
        </w:rPr>
        <w:t>OMPANY</w:t>
      </w:r>
      <w:r>
        <w:rPr>
          <w:rFonts w:ascii="Arial" w:cs="Arial" w:eastAsia="Arial" w:hAnsi="Arial"/>
          <w:sz w:val="18"/>
          <w:szCs w:val="18"/>
          <w:color w:val="auto"/>
        </w:rPr>
        <w:t>. Whenever required under this Agreement to effect the registration of any Registrable Securities, the Company shall, as expeditiously as reasonably possible:</w:t>
      </w:r>
    </w:p>
    <w:p>
      <w:pPr>
        <w:spacing w:after="0" w:line="170" w:lineRule="exact"/>
        <w:rPr>
          <w:sz w:val="20"/>
          <w:szCs w:val="20"/>
          <w:color w:val="auto"/>
        </w:rPr>
      </w:pPr>
    </w:p>
    <w:p>
      <w:pPr>
        <w:ind w:right="100" w:firstLine="921"/>
        <w:spacing w:after="0" w:line="312" w:lineRule="auto"/>
        <w:tabs>
          <w:tab w:leader="none" w:pos="1293" w:val="left"/>
        </w:tabs>
        <w:numPr>
          <w:ilvl w:val="0"/>
          <w:numId w:val="742"/>
        </w:numPr>
        <w:rPr>
          <w:rFonts w:ascii="Arial" w:cs="Arial" w:eastAsia="Arial" w:hAnsi="Arial"/>
          <w:sz w:val="16"/>
          <w:szCs w:val="16"/>
          <w:color w:val="auto"/>
        </w:rPr>
      </w:pPr>
      <w:r>
        <w:rPr>
          <w:rFonts w:ascii="Arial" w:cs="Arial" w:eastAsia="Arial" w:hAnsi="Arial"/>
          <w:sz w:val="16"/>
          <w:szCs w:val="16"/>
          <w:color w:val="auto"/>
        </w:rPr>
        <w:t>Prepare and file with the Commission a Registration Statement with respect to such Registrable Securities and use its best efforts to cause such Registration Statement to become effective, and, upon the request of the Holders of a majority of the Registrable Securities being registered thereunder, keep such Registration Statement effective for up to six (6) months or until the Holders have completed the distribution referred to in such</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704" w:name="page705"/>
    <w:bookmarkEnd w:id="704"/>
    <w:p>
      <w:pPr>
        <w:ind w:right="3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Statement, whichever occurs first (but in any event for at least any period required under the Securities Act); provided that before filing such Registration Statement or any amendments thereto, the Company will furnish to the Holders copies of all such documents proposed to be filed.</w:t>
      </w:r>
    </w:p>
    <w:p>
      <w:pPr>
        <w:spacing w:after="0" w:line="124" w:lineRule="exact"/>
        <w:rPr>
          <w:sz w:val="20"/>
          <w:szCs w:val="20"/>
          <w:color w:val="auto"/>
        </w:rPr>
      </w:pPr>
    </w:p>
    <w:p>
      <w:pPr>
        <w:ind w:right="300" w:firstLine="921"/>
        <w:spacing w:after="0" w:line="264" w:lineRule="auto"/>
        <w:tabs>
          <w:tab w:leader="none" w:pos="1303" w:val="left"/>
        </w:tabs>
        <w:numPr>
          <w:ilvl w:val="0"/>
          <w:numId w:val="743"/>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181" w:lineRule="exact"/>
        <w:rPr>
          <w:rFonts w:ascii="Arial" w:cs="Arial" w:eastAsia="Arial" w:hAnsi="Arial"/>
          <w:sz w:val="18"/>
          <w:szCs w:val="18"/>
          <w:color w:val="auto"/>
        </w:rPr>
      </w:pPr>
    </w:p>
    <w:p>
      <w:pPr>
        <w:ind w:right="80" w:firstLine="921"/>
        <w:spacing w:after="0" w:line="302" w:lineRule="auto"/>
        <w:tabs>
          <w:tab w:leader="none" w:pos="1293" w:val="left"/>
        </w:tabs>
        <w:numPr>
          <w:ilvl w:val="0"/>
          <w:numId w:val="743"/>
        </w:numPr>
        <w:rPr>
          <w:rFonts w:ascii="Arial" w:cs="Arial" w:eastAsia="Arial" w:hAnsi="Arial"/>
          <w:sz w:val="16"/>
          <w:szCs w:val="16"/>
          <w:color w:val="auto"/>
        </w:rPr>
      </w:pPr>
      <w:r>
        <w:rPr>
          <w:rFonts w:ascii="Arial" w:cs="Arial" w:eastAsia="Arial" w:hAnsi="Arial"/>
          <w:sz w:val="16"/>
          <w:szCs w:val="16"/>
          <w:color w:val="auto"/>
        </w:rPr>
        <w:t>Furnish to the Holders such number of copies of such Registration Statement and of each amendment and supplement thereto (in each case including all exhibits), such number of copies of the Prospectus included in such Registration Statement (including each preliminary prospectus and any summary prospectus) and any other Prospectus filed under Rule 424 under the Securities Act, in conformity with the requirements of the Securities Act, and such other documents as Holders may reasonably request in order to facilitate the disposition of Registrable Securities owned by them.</w:t>
      </w:r>
    </w:p>
    <w:p>
      <w:pPr>
        <w:spacing w:after="0" w:line="154" w:lineRule="exact"/>
        <w:rPr>
          <w:rFonts w:ascii="Arial" w:cs="Arial" w:eastAsia="Arial" w:hAnsi="Arial"/>
          <w:sz w:val="16"/>
          <w:szCs w:val="16"/>
          <w:color w:val="auto"/>
        </w:rPr>
      </w:pPr>
    </w:p>
    <w:p>
      <w:pPr>
        <w:ind w:right="260" w:firstLine="921"/>
        <w:spacing w:after="0" w:line="312" w:lineRule="auto"/>
        <w:tabs>
          <w:tab w:leader="none" w:pos="1303" w:val="left"/>
        </w:tabs>
        <w:numPr>
          <w:ilvl w:val="0"/>
          <w:numId w:val="743"/>
        </w:numPr>
        <w:rPr>
          <w:rFonts w:ascii="Arial" w:cs="Arial" w:eastAsia="Arial" w:hAnsi="Arial"/>
          <w:sz w:val="16"/>
          <w:szCs w:val="16"/>
          <w:color w:val="auto"/>
        </w:rPr>
      </w:pPr>
      <w:r>
        <w:rPr>
          <w:rFonts w:ascii="Arial" w:cs="Arial" w:eastAsia="Arial" w:hAnsi="Arial"/>
          <w:sz w:val="16"/>
          <w:szCs w:val="16"/>
          <w:color w:val="auto"/>
        </w:rPr>
        <w:t xml:space="preserve">Use diligent efforts to register and qualify the securities covered by such Registration Statement and under such other securities or “blue sky” laws of such states or jurisdictions as shall be reasonably requested by the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in connection therewith or as a condition thereto to qualify to do business or to file a general consent to service of process in any such states or jurisdictions.</w:t>
      </w:r>
    </w:p>
    <w:p>
      <w:pPr>
        <w:spacing w:after="0" w:line="146" w:lineRule="exact"/>
        <w:rPr>
          <w:rFonts w:ascii="Arial" w:cs="Arial" w:eastAsia="Arial" w:hAnsi="Arial"/>
          <w:sz w:val="16"/>
          <w:szCs w:val="16"/>
          <w:color w:val="auto"/>
        </w:rPr>
      </w:pPr>
    </w:p>
    <w:p>
      <w:pPr>
        <w:jc w:val="both"/>
        <w:ind w:right="280" w:firstLine="921"/>
        <w:spacing w:after="0" w:line="264" w:lineRule="auto"/>
        <w:tabs>
          <w:tab w:leader="none" w:pos="1293" w:val="left"/>
        </w:tabs>
        <w:numPr>
          <w:ilvl w:val="0"/>
          <w:numId w:val="743"/>
        </w:numPr>
        <w:rPr>
          <w:rFonts w:ascii="Arial" w:cs="Arial" w:eastAsia="Arial" w:hAnsi="Arial"/>
          <w:sz w:val="18"/>
          <w:szCs w:val="18"/>
          <w:color w:val="auto"/>
        </w:rPr>
      </w:pPr>
      <w:r>
        <w:rPr>
          <w:rFonts w:ascii="Arial" w:cs="Arial" w:eastAsia="Arial" w:hAnsi="Arial"/>
          <w:sz w:val="18"/>
          <w:szCs w:val="18"/>
          <w:color w:val="auto"/>
        </w:rPr>
        <w:t>Use diligent efforts to cause all Registrable Securities covered by such Registration Statement to be registered with or approved by such other governmental agencies or authorities as may be necessary by virtue of the Company’s business or operations to enable the seller or sellers thereof to consummate the disposition of such Registrable Securities.</w:t>
      </w:r>
    </w:p>
    <w:p>
      <w:pPr>
        <w:spacing w:after="0" w:line="181" w:lineRule="exact"/>
        <w:rPr>
          <w:rFonts w:ascii="Arial" w:cs="Arial" w:eastAsia="Arial" w:hAnsi="Arial"/>
          <w:sz w:val="18"/>
          <w:szCs w:val="18"/>
          <w:color w:val="auto"/>
        </w:rPr>
      </w:pPr>
    </w:p>
    <w:p>
      <w:pPr>
        <w:ind w:right="500" w:firstLine="921"/>
        <w:spacing w:after="0" w:line="277" w:lineRule="auto"/>
        <w:tabs>
          <w:tab w:leader="none" w:pos="1273" w:val="left"/>
        </w:tabs>
        <w:numPr>
          <w:ilvl w:val="0"/>
          <w:numId w:val="743"/>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 of such offering.</w:t>
      </w:r>
    </w:p>
    <w:p>
      <w:pPr>
        <w:spacing w:after="0" w:line="170" w:lineRule="exact"/>
        <w:rPr>
          <w:rFonts w:ascii="Arial" w:cs="Arial" w:eastAsia="Arial" w:hAnsi="Arial"/>
          <w:sz w:val="18"/>
          <w:szCs w:val="18"/>
          <w:color w:val="auto"/>
        </w:rPr>
      </w:pPr>
    </w:p>
    <w:p>
      <w:pPr>
        <w:ind w:firstLine="921"/>
        <w:spacing w:after="0" w:line="259" w:lineRule="auto"/>
        <w:tabs>
          <w:tab w:leader="none" w:pos="1303" w:val="left"/>
        </w:tabs>
        <w:numPr>
          <w:ilvl w:val="0"/>
          <w:numId w:val="743"/>
        </w:numPr>
        <w:rPr>
          <w:rFonts w:ascii="Arial" w:cs="Arial" w:eastAsia="Arial" w:hAnsi="Arial"/>
          <w:sz w:val="18"/>
          <w:szCs w:val="18"/>
          <w:color w:val="auto"/>
        </w:rPr>
      </w:pPr>
      <w:r>
        <w:rPr>
          <w:rFonts w:ascii="Arial" w:cs="Arial" w:eastAsia="Arial" w:hAnsi="Arial"/>
          <w:sz w:val="18"/>
          <w:szCs w:val="18"/>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86" w:lineRule="exact"/>
        <w:rPr>
          <w:rFonts w:ascii="Arial" w:cs="Arial" w:eastAsia="Arial" w:hAnsi="Arial"/>
          <w:sz w:val="18"/>
          <w:szCs w:val="18"/>
          <w:color w:val="auto"/>
        </w:rPr>
      </w:pPr>
    </w:p>
    <w:p>
      <w:pPr>
        <w:ind w:right="60" w:firstLine="921"/>
        <w:spacing w:after="0" w:line="259" w:lineRule="auto"/>
        <w:tabs>
          <w:tab w:leader="none" w:pos="1303" w:val="left"/>
        </w:tabs>
        <w:numPr>
          <w:ilvl w:val="0"/>
          <w:numId w:val="743"/>
        </w:numPr>
        <w:rPr>
          <w:rFonts w:ascii="Arial" w:cs="Arial" w:eastAsia="Arial" w:hAnsi="Arial"/>
          <w:sz w:val="18"/>
          <w:szCs w:val="18"/>
          <w:color w:val="auto"/>
        </w:rPr>
      </w:pPr>
      <w:r>
        <w:rPr>
          <w:rFonts w:ascii="Arial" w:cs="Arial" w:eastAsia="Arial" w:hAnsi="Arial"/>
          <w:sz w:val="18"/>
          <w:szCs w:val="18"/>
          <w:color w:val="auto"/>
        </w:rPr>
        <w:t>Notify each Holder of Registrable Securities covered by such Registration Statement and such Holder’s underwriters, if any, and confirm such advice in writing: (1) when the Registration Statement has become effective, (2) when any post-effective amendment to the Registration Statement becomes effective, and (3) of any request by the Commission for any amendment or supplement to the Registration Statement or Prospectus or for additional information.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3" w:right="279" w:bottom="1440" w:gutter="0" w:footer="0" w:header="0"/>
        </w:sectPr>
      </w:pPr>
    </w:p>
    <w:bookmarkStart w:id="705" w:name="page706"/>
    <w:bookmarkEnd w:id="705"/>
    <w:p>
      <w:pPr>
        <w:ind w:right="80" w:firstLine="921"/>
        <w:spacing w:after="0" w:line="297" w:lineRule="auto"/>
        <w:tabs>
          <w:tab w:leader="none" w:pos="1263" w:val="left"/>
        </w:tabs>
        <w:numPr>
          <w:ilvl w:val="0"/>
          <w:numId w:val="7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Notify each Holder of Registrable Securities if at any time the Commission should institute or threaten to institute any proceedings for the purpose of issuing, or should issue, a stop order suspending the effectiveness of the Registration Statement. Upon the occurrence of any of the events mentioned in the preceding sentence, the Company will use diligent efforts to prevent the issuance of any such stop order or to obtain the withdrawal thereof as soon as possible. The Company will advise each Holder of Registrable Securities promptly of any order or communication of any public board or body addressed to the Company suspending or threatening to suspend the qualification of any Registrable Securities for sale in any jurisdiction.</w:t>
      </w:r>
    </w:p>
    <w:p>
      <w:pPr>
        <w:spacing w:after="0" w:line="158" w:lineRule="exact"/>
        <w:rPr>
          <w:rFonts w:ascii="Arial" w:cs="Arial" w:eastAsia="Arial" w:hAnsi="Arial"/>
          <w:sz w:val="16"/>
          <w:szCs w:val="16"/>
          <w:color w:val="auto"/>
        </w:rPr>
      </w:pPr>
    </w:p>
    <w:p>
      <w:pPr>
        <w:ind w:right="80" w:firstLine="921"/>
        <w:spacing w:after="0" w:line="255" w:lineRule="auto"/>
        <w:tabs>
          <w:tab w:leader="none" w:pos="1263" w:val="left"/>
        </w:tabs>
        <w:numPr>
          <w:ilvl w:val="0"/>
          <w:numId w:val="744"/>
        </w:numPr>
        <w:rPr>
          <w:rFonts w:ascii="Arial" w:cs="Arial" w:eastAsia="Arial" w:hAnsi="Arial"/>
          <w:sz w:val="18"/>
          <w:szCs w:val="18"/>
          <w:color w:val="auto"/>
        </w:rPr>
      </w:pPr>
      <w:r>
        <w:rPr>
          <w:rFonts w:ascii="Arial" w:cs="Arial" w:eastAsia="Arial" w:hAnsi="Arial"/>
          <w:sz w:val="18"/>
          <w:szCs w:val="18"/>
          <w:color w:val="auto"/>
        </w:rPr>
        <w:t>Furnish, at the request of any Holder requesting registration of Registrable Securities pursuant to this Agreement, on the date that such Registrable Securities are delivered to the underwriters for sale in connection with a registration pursuant to this Agreement, if such securities are being sold through underwriters, or, if such securities are not being sold through underwriters, on the date that the Registration Statement with respect to such securities becomes effective, an opinion, dated such date, of the counsel representing the Company for the purposes of such registration, in form and substance as is customarily given to underwriters in an underwritten public offering, addressed to the underwriters, if any, and to the Holders requesting registration of Registrable Securities.</w:t>
      </w:r>
    </w:p>
    <w:p>
      <w:pPr>
        <w:spacing w:after="0" w:line="193" w:lineRule="exact"/>
        <w:rPr>
          <w:rFonts w:ascii="Arial" w:cs="Arial" w:eastAsia="Arial" w:hAnsi="Arial"/>
          <w:sz w:val="18"/>
          <w:szCs w:val="18"/>
          <w:color w:val="auto"/>
        </w:rPr>
      </w:pPr>
    </w:p>
    <w:p>
      <w:pPr>
        <w:ind w:right="240" w:firstLine="921"/>
        <w:spacing w:after="0" w:line="259" w:lineRule="auto"/>
        <w:tabs>
          <w:tab w:leader="none" w:pos="1293" w:val="left"/>
        </w:tabs>
        <w:numPr>
          <w:ilvl w:val="0"/>
          <w:numId w:val="744"/>
        </w:numPr>
        <w:rPr>
          <w:rFonts w:ascii="Arial" w:cs="Arial" w:eastAsia="Arial" w:hAnsi="Arial"/>
          <w:sz w:val="18"/>
          <w:szCs w:val="18"/>
          <w:color w:val="auto"/>
        </w:rPr>
      </w:pPr>
      <w:r>
        <w:rPr>
          <w:rFonts w:ascii="Arial" w:cs="Arial" w:eastAsia="Arial" w:hAnsi="Arial"/>
          <w:sz w:val="18"/>
          <w:szCs w:val="18"/>
          <w:color w:val="auto"/>
        </w:rPr>
        <w:t>As soon as practicable after the effective date of the Registration Statement, and in any event within sixteen (16) months thereafter, have “made generally available to its security holders” (within the meaning of Rule 158 under the Securities Act) an earnings statement (which need not be audited) covering a period of at least twelve (12) months beginning after the effective date of the Registration Statement and otherwise complying with Section 11(a) of the Securities Act.</w:t>
      </w:r>
    </w:p>
    <w:p>
      <w:pPr>
        <w:spacing w:after="0" w:line="18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u w:val="single" w:color="auto"/>
          <w:color w:val="auto"/>
        </w:rPr>
        <w:t>O</w:t>
      </w:r>
      <w:r>
        <w:rPr>
          <w:rFonts w:ascii="Arial" w:cs="Arial" w:eastAsia="Arial" w:hAnsi="Arial"/>
          <w:sz w:val="14"/>
          <w:szCs w:val="14"/>
          <w:u w:val="single" w:color="auto"/>
          <w:color w:val="auto"/>
        </w:rPr>
        <w:t>BLIGATIONS AND</w:t>
      </w:r>
      <w:r>
        <w:rPr>
          <w:rFonts w:ascii="Arial" w:cs="Arial" w:eastAsia="Arial" w:hAnsi="Arial"/>
          <w:sz w:val="17"/>
          <w:szCs w:val="17"/>
          <w:u w:val="single" w:color="auto"/>
          <w:color w:val="auto"/>
        </w:rPr>
        <w:t xml:space="preserve"> O</w:t>
      </w:r>
      <w:r>
        <w:rPr>
          <w:rFonts w:ascii="Arial" w:cs="Arial" w:eastAsia="Arial" w:hAnsi="Arial"/>
          <w:sz w:val="14"/>
          <w:szCs w:val="14"/>
          <w:u w:val="single" w:color="auto"/>
          <w:color w:val="auto"/>
        </w:rPr>
        <w:t>THER</w:t>
      </w:r>
      <w:r>
        <w:rPr>
          <w:rFonts w:ascii="Arial" w:cs="Arial" w:eastAsia="Arial" w:hAnsi="Arial"/>
          <w:sz w:val="17"/>
          <w:szCs w:val="17"/>
          <w:u w:val="single" w:color="auto"/>
          <w:color w:val="auto"/>
        </w:rPr>
        <w:t xml:space="preserve"> A</w:t>
      </w:r>
      <w:r>
        <w:rPr>
          <w:rFonts w:ascii="Arial" w:cs="Arial" w:eastAsia="Arial" w:hAnsi="Arial"/>
          <w:sz w:val="14"/>
          <w:szCs w:val="14"/>
          <w:u w:val="single" w:color="auto"/>
          <w:color w:val="auto"/>
        </w:rPr>
        <w:t>GREEMENTS OF THE</w:t>
      </w:r>
      <w:r>
        <w:rPr>
          <w:rFonts w:ascii="Arial" w:cs="Arial" w:eastAsia="Arial" w:hAnsi="Arial"/>
          <w:sz w:val="17"/>
          <w:szCs w:val="17"/>
          <w:u w:val="single" w:color="auto"/>
          <w:color w:val="auto"/>
        </w:rPr>
        <w:t xml:space="preserve"> H</w:t>
      </w:r>
      <w:r>
        <w:rPr>
          <w:rFonts w:ascii="Arial" w:cs="Arial" w:eastAsia="Arial" w:hAnsi="Arial"/>
          <w:sz w:val="14"/>
          <w:szCs w:val="14"/>
          <w:u w:val="single" w:color="auto"/>
          <w:color w:val="auto"/>
        </w:rPr>
        <w:t>OLDERS</w:t>
      </w:r>
      <w:r>
        <w:rPr>
          <w:rFonts w:ascii="Arial" w:cs="Arial" w:eastAsia="Arial" w:hAnsi="Arial"/>
          <w:sz w:val="17"/>
          <w:szCs w:val="17"/>
          <w:color w:val="auto"/>
        </w:rPr>
        <w:t>.</w:t>
      </w:r>
    </w:p>
    <w:p>
      <w:pPr>
        <w:spacing w:after="0" w:line="225" w:lineRule="exact"/>
        <w:rPr>
          <w:sz w:val="20"/>
          <w:szCs w:val="20"/>
          <w:color w:val="auto"/>
        </w:rPr>
      </w:pPr>
    </w:p>
    <w:p>
      <w:pPr>
        <w:ind w:right="320" w:firstLine="921"/>
        <w:spacing w:after="0" w:line="308" w:lineRule="auto"/>
        <w:tabs>
          <w:tab w:leader="none" w:pos="1289" w:val="left"/>
        </w:tabs>
        <w:numPr>
          <w:ilvl w:val="0"/>
          <w:numId w:val="745"/>
        </w:numPr>
        <w:rPr>
          <w:rFonts w:ascii="Arial" w:cs="Arial" w:eastAsia="Arial" w:hAnsi="Arial"/>
          <w:sz w:val="17"/>
          <w:szCs w:val="17"/>
          <w:color w:val="auto"/>
        </w:rPr>
      </w:pPr>
      <w:r>
        <w:rPr>
          <w:rFonts w:ascii="Arial" w:cs="Arial" w:eastAsia="Arial" w:hAnsi="Arial"/>
          <w:sz w:val="17"/>
          <w:szCs w:val="17"/>
          <w:color w:val="auto"/>
        </w:rPr>
        <w:t>The Company may require each seller of Registrable Securities as to which any registration is being effected to furnish to the Company such information regarding the distribution of such securities as the Company may from time to time reasonably request in writing.</w:t>
      </w:r>
    </w:p>
    <w:p>
      <w:pPr>
        <w:spacing w:after="0" w:line="146" w:lineRule="exact"/>
        <w:rPr>
          <w:rFonts w:ascii="Arial" w:cs="Arial" w:eastAsia="Arial" w:hAnsi="Arial"/>
          <w:sz w:val="17"/>
          <w:szCs w:val="17"/>
          <w:color w:val="auto"/>
        </w:rPr>
      </w:pPr>
    </w:p>
    <w:p>
      <w:pPr>
        <w:ind w:firstLine="921"/>
        <w:spacing w:after="0" w:line="255" w:lineRule="auto"/>
        <w:tabs>
          <w:tab w:leader="none" w:pos="1303" w:val="left"/>
        </w:tabs>
        <w:numPr>
          <w:ilvl w:val="0"/>
          <w:numId w:val="745"/>
        </w:numPr>
        <w:rPr>
          <w:rFonts w:ascii="Arial" w:cs="Arial" w:eastAsia="Arial" w:hAnsi="Arial"/>
          <w:sz w:val="18"/>
          <w:szCs w:val="18"/>
          <w:color w:val="auto"/>
        </w:rPr>
      </w:pPr>
      <w:r>
        <w:rPr>
          <w:rFonts w:ascii="Arial" w:cs="Arial" w:eastAsia="Arial" w:hAnsi="Arial"/>
          <w:sz w:val="18"/>
          <w:szCs w:val="18"/>
          <w:color w:val="auto"/>
        </w:rPr>
        <w:t>Each Holder of Registrable Securities agrees that, upon receipt of any notice from the Company of the happening of any event of the kind described in Sections 1.3(b), 1.3(g), 1.3(h) or 1.3(i), such Holder will forthwith discontinue disposition of the Registrable Securities until such Holder’s receipt of copies of the supplemented or amended Prospectus or until it is advised in writing by the Company that the use of the Prospectus may be resumed, and has received copies of any additional or supplemental filings which are incorporated by reference in the Prospectus, and, if so directed by the Company, such Holder will deliver to the Company all copies, other than permanent file copies then in such Holder’s possession, of the Prospectus current at the time of receipt of such notice.</w:t>
      </w:r>
    </w:p>
    <w:p>
      <w:pPr>
        <w:spacing w:after="0" w:line="1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F</w:t>
      </w:r>
      <w:r>
        <w:rPr>
          <w:rFonts w:ascii="Arial" w:cs="Arial" w:eastAsia="Arial" w:hAnsi="Arial"/>
          <w:sz w:val="15"/>
          <w:szCs w:val="15"/>
          <w:u w:val="single" w:color="auto"/>
          <w:color w:val="auto"/>
        </w:rPr>
        <w:t>URNISH</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5"/>
          <w:szCs w:val="15"/>
          <w:u w:val="single" w:color="auto"/>
          <w:color w:val="auto"/>
        </w:rPr>
        <w:t>NFORMATION</w:t>
      </w:r>
      <w:r>
        <w:rPr>
          <w:rFonts w:ascii="Arial" w:cs="Arial" w:eastAsia="Arial" w:hAnsi="Arial"/>
          <w:sz w:val="18"/>
          <w:szCs w:val="18"/>
          <w:color w:val="auto"/>
        </w:rPr>
        <w:t>. It shall be a condition precedent to the obligations of the Company to take any action pursuant to this Agreement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706" w:name="page707"/>
    <w:bookmarkEnd w:id="706"/>
    <w:p>
      <w:pPr>
        <w:ind w:right="8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 </w:t>
      </w:r>
      <w:r>
        <w:rPr>
          <w:rFonts w:ascii="Arial" w:cs="Arial" w:eastAsia="Arial" w:hAnsi="Arial"/>
          <w:sz w:val="17"/>
          <w:szCs w:val="17"/>
          <w:u w:val="single" w:color="auto"/>
          <w:color w:val="auto"/>
        </w:rPr>
        <w:t>E</w:t>
      </w:r>
      <w:r>
        <w:rPr>
          <w:rFonts w:ascii="Arial" w:cs="Arial" w:eastAsia="Arial" w:hAnsi="Arial"/>
          <w:sz w:val="14"/>
          <w:szCs w:val="14"/>
          <w:u w:val="single" w:color="auto"/>
          <w:color w:val="auto"/>
        </w:rPr>
        <w:t>XPENSES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R</w:t>
      </w:r>
      <w:r>
        <w:rPr>
          <w:rFonts w:ascii="Arial" w:cs="Arial" w:eastAsia="Arial" w:hAnsi="Arial"/>
          <w:sz w:val="14"/>
          <w:szCs w:val="14"/>
          <w:u w:val="single" w:color="auto"/>
          <w:color w:val="auto"/>
        </w:rPr>
        <w:t>EGISTRATION</w:t>
      </w:r>
      <w:r>
        <w:rPr>
          <w:rFonts w:ascii="Arial" w:cs="Arial" w:eastAsia="Arial" w:hAnsi="Arial"/>
          <w:sz w:val="17"/>
          <w:szCs w:val="17"/>
          <w:color w:val="auto"/>
        </w:rPr>
        <w:t>. (a) Subject to Section 1.1(c), all expenses incident to the Company’s performance of or compliance with the provisions of this Section 1, including, without limitation, all registration and filing fees, fees and expenses of compliance with securities or “blue sky” laws, printing expenses and reasonable fees and disbursements of counsel for the Company and for the sellers of the Registrable Securities (subject to the provisions of Section 1.6(b) hereof) and of all independent certified public accountants of the Company, securities acts liability insurance if the Company so desires and fees and expenses of other Persons retained by the Company (all such expenses being herein called “Registration Expenses”) will be borne by the Company, regardless of whether the Registration Statement becomes effective.</w:t>
      </w:r>
    </w:p>
    <w:p>
      <w:pPr>
        <w:spacing w:after="0" w:line="178" w:lineRule="exact"/>
        <w:rPr>
          <w:sz w:val="20"/>
          <w:szCs w:val="20"/>
          <w:color w:val="auto"/>
        </w:rPr>
      </w:pPr>
    </w:p>
    <w:p>
      <w:pPr>
        <w:ind w:right="140" w:firstLine="921"/>
        <w:spacing w:after="0" w:line="264" w:lineRule="auto"/>
        <w:tabs>
          <w:tab w:leader="none" w:pos="1303" w:val="left"/>
        </w:tabs>
        <w:numPr>
          <w:ilvl w:val="0"/>
          <w:numId w:val="746"/>
        </w:numPr>
        <w:rPr>
          <w:rFonts w:ascii="Arial" w:cs="Arial" w:eastAsia="Arial" w:hAnsi="Arial"/>
          <w:sz w:val="18"/>
          <w:szCs w:val="18"/>
          <w:color w:val="auto"/>
        </w:rPr>
      </w:pPr>
      <w:r>
        <w:rPr>
          <w:rFonts w:ascii="Arial" w:cs="Arial" w:eastAsia="Arial" w:hAnsi="Arial"/>
          <w:sz w:val="18"/>
          <w:szCs w:val="18"/>
          <w:color w:val="auto"/>
        </w:rPr>
        <w:t>In connection with each registration pursuant to this Agreement, the Company will reimburse the Holders of Registrable Securities being registered in such registration for the reasonable fees and disbursements of not more than one counsel chosen by the Holders of a majority of the Registrable Securities being registered.</w:t>
      </w:r>
    </w:p>
    <w:p>
      <w:pPr>
        <w:spacing w:after="0" w:line="18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u w:val="single" w:color="auto"/>
          <w:color w:val="auto"/>
        </w:rPr>
        <w:t>I</w:t>
      </w:r>
      <w:r>
        <w:rPr>
          <w:rFonts w:ascii="Arial" w:cs="Arial" w:eastAsia="Arial" w:hAnsi="Arial"/>
          <w:sz w:val="15"/>
          <w:szCs w:val="15"/>
          <w:u w:val="single" w:color="auto"/>
          <w:color w:val="auto"/>
        </w:rPr>
        <w:t>NDEMNIFICATION</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7" w:lineRule="auto"/>
        <w:tabs>
          <w:tab w:leader="none" w:pos="1293" w:val="left"/>
        </w:tabs>
        <w:numPr>
          <w:ilvl w:val="0"/>
          <w:numId w:val="747"/>
        </w:numPr>
        <w:rPr>
          <w:rFonts w:ascii="Arial" w:cs="Arial" w:eastAsia="Arial" w:hAnsi="Arial"/>
          <w:sz w:val="16"/>
          <w:szCs w:val="16"/>
          <w:color w:val="auto"/>
        </w:rPr>
      </w:pPr>
      <w:r>
        <w:rPr>
          <w:rFonts w:ascii="Arial" w:cs="Arial" w:eastAsia="Arial" w:hAnsi="Arial"/>
          <w:sz w:val="16"/>
          <w:szCs w:val="16"/>
          <w:u w:val="single" w:color="auto"/>
          <w:color w:val="auto"/>
        </w:rPr>
        <w:t>I</w:t>
      </w:r>
      <w:r>
        <w:rPr>
          <w:rFonts w:ascii="Arial" w:cs="Arial" w:eastAsia="Arial" w:hAnsi="Arial"/>
          <w:sz w:val="13"/>
          <w:szCs w:val="13"/>
          <w:u w:val="single" w:color="auto"/>
          <w:color w:val="auto"/>
        </w:rPr>
        <w:t>NDEMNIFICATION BY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3"/>
          <w:szCs w:val="13"/>
          <w:u w:val="single" w:color="auto"/>
          <w:color w:val="auto"/>
        </w:rPr>
        <w:t>OMPANY</w:t>
      </w:r>
      <w:r>
        <w:rPr>
          <w:rFonts w:ascii="Arial" w:cs="Arial" w:eastAsia="Arial" w:hAnsi="Arial"/>
          <w:sz w:val="16"/>
          <w:szCs w:val="16"/>
          <w:color w:val="auto"/>
        </w:rPr>
        <w:t>. The Company agrees to indemnify and hold harmless each Holder, its heirs, personal representatives and assigns, and each of such Holder’s partners, stockholders, members, officers, directors, employees and affiliates,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relate to or are based upon a Violation; and the Company will pay to each such indemnified party, as incurred, any legal or other expenses reasonably incurred by them in connection with investigating or defending any such loss, claim, damage, liability or action; provided, however, that the indemnity agreement contained in this Section 1.7(a) shall not apply to amounts paid in settlement of any such loss, claim, damage, liability or action if such settlement is effected without the consent of the Company (which consent shall not be unreasonably withheld), nor shall the Company be liable in any such case to a particular indemnified party for any such loss, claim, damage, liability or action to the extent that it arises out of, relates to or is based upon a Violation which occurs in reliance upon and in conformity with written information furnished expressly for use in connection with such registration by such indemnified party.</w:t>
      </w:r>
    </w:p>
    <w:p>
      <w:pPr>
        <w:spacing w:after="0" w:line="172" w:lineRule="exact"/>
        <w:rPr>
          <w:rFonts w:ascii="Arial" w:cs="Arial" w:eastAsia="Arial" w:hAnsi="Arial"/>
          <w:sz w:val="16"/>
          <w:szCs w:val="16"/>
          <w:color w:val="auto"/>
        </w:rPr>
      </w:pPr>
    </w:p>
    <w:p>
      <w:pPr>
        <w:ind w:right="60" w:firstLine="921"/>
        <w:spacing w:after="0" w:line="257" w:lineRule="auto"/>
        <w:tabs>
          <w:tab w:leader="none" w:pos="1303" w:val="left"/>
        </w:tabs>
        <w:numPr>
          <w:ilvl w:val="0"/>
          <w:numId w:val="747"/>
        </w:numPr>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5"/>
          <w:szCs w:val="15"/>
          <w:u w:val="single" w:color="auto"/>
          <w:color w:val="auto"/>
        </w:rPr>
        <w:t>NDEMNIFICATION BY</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5"/>
          <w:szCs w:val="15"/>
          <w:u w:val="single" w:color="auto"/>
          <w:color w:val="auto"/>
        </w:rPr>
        <w:t>OLDERS</w:t>
      </w:r>
      <w:r>
        <w:rPr>
          <w:rFonts w:ascii="Arial" w:cs="Arial" w:eastAsia="Arial" w:hAnsi="Arial"/>
          <w:sz w:val="18"/>
          <w:szCs w:val="18"/>
          <w:color w:val="auto"/>
        </w:rPr>
        <w:t>. Each selling Holder, severally and not jointly, will indemnify and hold harmless the Company, each of its partners’ directors, officers, employees and affiliates, each officer and manager of each subsidiary or Affiliate of the Company, each of its officers who has signed the Registration Statement, each Person, if any, who controls the Company within the meaning of the Securities Act, any underwriter, any other holder of securities being sold pursuant to such Registration Statement and any controlling Person of any such underwriter or other Holder, against any losses, claims, damages or liabilities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5" w:right="239" w:bottom="1440" w:gutter="0" w:footer="0" w:header="0"/>
        </w:sectPr>
      </w:pPr>
    </w:p>
    <w:bookmarkStart w:id="707" w:name="page708"/>
    <w:bookmarkEnd w:id="707"/>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(joint or several) to which any of the foregoing Persons may become subject under the Securities Act, the Exchange Act or other federal or state law or regulation promulgated thereunder,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severally and not jointly, will pay, as incurred, any legal or other expenses reasonably incurred by any Person entitled to be indemnified pursuant to this Section 1.7(b), in connection with investigating or defending any such loss, claim, damage, liability, or action; provided, however, that the indemnity agreement contained in this Section 1.7(b) shall not apply to amounts paid in settlement of any such loss, claim, damage, liability or action if such settlement is effected without the consent of the Holder (which consent shall not be unreasonably withheld); and provided further, that, in no event shall the liability of any Holder under this Section 1.7(b) exceed the net proceeds from the offering received by such Holder.</w:t>
      </w:r>
    </w:p>
    <w:p>
      <w:pPr>
        <w:spacing w:after="0" w:line="182" w:lineRule="exact"/>
        <w:rPr>
          <w:sz w:val="20"/>
          <w:szCs w:val="20"/>
          <w:color w:val="auto"/>
        </w:rPr>
      </w:pPr>
    </w:p>
    <w:p>
      <w:pPr>
        <w:ind w:firstLine="921"/>
        <w:spacing w:after="0" w:line="288" w:lineRule="auto"/>
        <w:tabs>
          <w:tab w:leader="none" w:pos="1293" w:val="left"/>
        </w:tabs>
        <w:numPr>
          <w:ilvl w:val="0"/>
          <w:numId w:val="748"/>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1.7 of notice of the commencement of any action (including any governmental action), such indemnified party will, if a claim in respect thereof is to be made against any indemnifying party under this Section 1.7,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shall not relieve such indemnifying party of any liability to the indemnified party under this Section 1.7 except to the extent that the indemnifying party is materially prejudiced thereby; and such failure to deliver written notice to the indemnifying party will not relieve it of any liability that it may have to any indemnified party otherwise than under this Section 1.7.</w:t>
      </w:r>
    </w:p>
    <w:p>
      <w:pPr>
        <w:spacing w:after="0" w:line="169" w:lineRule="exact"/>
        <w:rPr>
          <w:rFonts w:ascii="Arial" w:cs="Arial" w:eastAsia="Arial" w:hAnsi="Arial"/>
          <w:sz w:val="16"/>
          <w:szCs w:val="16"/>
          <w:color w:val="auto"/>
        </w:rPr>
      </w:pPr>
    </w:p>
    <w:p>
      <w:pPr>
        <w:ind w:right="20" w:firstLine="921"/>
        <w:spacing w:after="0" w:line="277" w:lineRule="auto"/>
        <w:tabs>
          <w:tab w:leader="none" w:pos="130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The obligations of the Company and Holders under this Section 1.7 shall survive the completion of any offering of Registrable Securities in a registration statement under this Agreement, and otherwise.</w:t>
      </w:r>
    </w:p>
    <w:p>
      <w:pPr>
        <w:spacing w:after="0" w:line="170" w:lineRule="exact"/>
        <w:rPr>
          <w:rFonts w:ascii="Arial" w:cs="Arial" w:eastAsia="Arial" w:hAnsi="Arial"/>
          <w:sz w:val="18"/>
          <w:szCs w:val="18"/>
          <w:color w:val="auto"/>
        </w:rPr>
      </w:pPr>
    </w:p>
    <w:p>
      <w:pPr>
        <w:ind w:right="20" w:firstLine="921"/>
        <w:spacing w:after="0" w:line="264" w:lineRule="auto"/>
        <w:tabs>
          <w:tab w:leader="none" w:pos="1283" w:val="left"/>
        </w:tabs>
        <w:numPr>
          <w:ilvl w:val="0"/>
          <w:numId w:val="748"/>
        </w:numPr>
        <w:rPr>
          <w:rFonts w:ascii="Arial" w:cs="Arial" w:eastAsia="Arial" w:hAnsi="Arial"/>
          <w:sz w:val="18"/>
          <w:szCs w:val="18"/>
          <w:color w:val="auto"/>
        </w:rPr>
      </w:pPr>
      <w:r>
        <w:rPr>
          <w:rFonts w:ascii="Arial" w:cs="Arial" w:eastAsia="Arial" w:hAnsi="Arial"/>
          <w:sz w:val="18"/>
          <w:szCs w:val="18"/>
          <w:color w:val="auto"/>
        </w:rPr>
        <w:t>Any indemnity agreements contained herein shall be in addition to any other rights to indemnification or contribution which any indemnified party may have pursuant to law or contract and shall remain operative and in full force and effect regardless of any investigation made or omitted by or on behalf of any indemnified party.</w:t>
      </w:r>
    </w:p>
    <w:p>
      <w:pPr>
        <w:spacing w:after="0" w:line="181" w:lineRule="exact"/>
        <w:rPr>
          <w:rFonts w:ascii="Arial" w:cs="Arial" w:eastAsia="Arial" w:hAnsi="Arial"/>
          <w:sz w:val="18"/>
          <w:szCs w:val="18"/>
          <w:color w:val="auto"/>
        </w:rPr>
      </w:pPr>
    </w:p>
    <w:p>
      <w:pPr>
        <w:ind w:firstLine="921"/>
        <w:spacing w:after="0" w:line="264" w:lineRule="auto"/>
        <w:tabs>
          <w:tab w:leader="none" w:pos="1273" w:val="left"/>
        </w:tabs>
        <w:numPr>
          <w:ilvl w:val="0"/>
          <w:numId w:val="748"/>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an underwriting agreement entered into in connection with the underwritten public offering are in conflict with the foregoing provisions, the provisions of the underwriting agreement shall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708" w:name="page709"/>
    <w:bookmarkEnd w:id="708"/>
    <w:p>
      <w:pPr>
        <w:ind w:firstLine="921"/>
        <w:spacing w:after="0" w:line="286" w:lineRule="auto"/>
        <w:tabs>
          <w:tab w:leader="none" w:pos="1303" w:val="left"/>
        </w:tabs>
        <w:numPr>
          <w:ilvl w:val="0"/>
          <w:numId w:val="7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indemnification provided for in this Section 1.7 is required by its terms but is for any reason held to be unavailable or otherwise insufficient to hold harmless an indemnified party in respect of any loss, claim, damage or liability referred to herein, then the indemnifying party shall contribute to the amount paid or payable by the indemnified party as a result of such losses, claims, damages, liabilities or expenses (1) in such proportion as is appropriate to reflect the relative benefits received by the indemnifying party on the one hand and the indemnified party on the other or (2) if the allocation provided by clause (1) above is not permitted by applicable law or provides a lesser sum to the indemnified party than the amount hereafter calculated, in such proportion as is appropriate to reflect not only the relative benefits received by the indemnifying party and the indemnified party, but also the relative fault of the indemnifying party and the indemnified party as well as any other relevant equitable considerations. The relative fault shall be determined by reference to, among other things, whether the untrue or alleged untrue statement of a material fact or the omission or alleged omission to state a material fact relates to information supplied by the indemnifying party or the indemnified party and the parties’ relative intent, knowledge, access to information and opportunity to correct or prevent such untrue statement or omission. No Person guilty of fraudulent misrepresentation (within the meaning of Section 11(f) of the Securities Act) shall be entitled to contribution from any Person who was not guilty of such fraudulent misrepresentation. Notwithstanding anything to the contrary in this Section 1.7, no Holder shall be required, pursuant to this Section 1.7, to contribute any amount in excess of the net proceeds received by such Holder from the sale of Registrable Securities in the offering to which the losses, claims, damages, liabilities or expenses of the indemnified party relate.</w:t>
      </w:r>
    </w:p>
    <w:p>
      <w:pPr>
        <w:spacing w:after="0" w:line="17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R</w:t>
      </w:r>
      <w:r>
        <w:rPr>
          <w:rFonts w:ascii="Arial" w:cs="Arial" w:eastAsia="Arial" w:hAnsi="Arial"/>
          <w:sz w:val="15"/>
          <w:szCs w:val="15"/>
          <w:u w:val="single" w:color="auto"/>
          <w:color w:val="auto"/>
        </w:rPr>
        <w:t>EPORTS</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5"/>
          <w:szCs w:val="15"/>
          <w:u w:val="single" w:color="auto"/>
          <w:color w:val="auto"/>
        </w:rPr>
        <w:t>NDER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5"/>
          <w:szCs w:val="15"/>
          <w:u w:val="single" w:color="auto"/>
          <w:color w:val="auto"/>
        </w:rPr>
        <w:t>XCHANGE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5"/>
          <w:szCs w:val="15"/>
          <w:u w:val="single" w:color="auto"/>
          <w:color w:val="auto"/>
        </w:rPr>
        <w:t>CT</w:t>
      </w:r>
      <w:r>
        <w:rPr>
          <w:rFonts w:ascii="Arial" w:cs="Arial" w:eastAsia="Arial" w:hAnsi="Arial"/>
          <w:sz w:val="18"/>
          <w:szCs w:val="18"/>
          <w:color w:val="auto"/>
        </w:rPr>
        <w:t>. With a view to making available to the Holders the benefits of Rule 144 under the Securities Act and any other rule or regulation of the Commission that may at any time permit a Holder to sell securities of the Company to the public without registration or pursuant to a registration on Form S-3, the Company agrees to:</w:t>
      </w:r>
    </w:p>
    <w:p>
      <w:pPr>
        <w:spacing w:after="0" w:line="181" w:lineRule="exact"/>
        <w:rPr>
          <w:sz w:val="20"/>
          <w:szCs w:val="20"/>
          <w:color w:val="auto"/>
        </w:rPr>
      </w:pPr>
    </w:p>
    <w:p>
      <w:pPr>
        <w:ind w:right="620" w:firstLine="921"/>
        <w:spacing w:after="0" w:line="277" w:lineRule="auto"/>
        <w:tabs>
          <w:tab w:leader="none" w:pos="1293" w:val="left"/>
        </w:tabs>
        <w:numPr>
          <w:ilvl w:val="1"/>
          <w:numId w:val="750"/>
        </w:numPr>
        <w:rPr>
          <w:rFonts w:ascii="Arial" w:cs="Arial" w:eastAsia="Arial" w:hAnsi="Arial"/>
          <w:sz w:val="18"/>
          <w:szCs w:val="18"/>
          <w:color w:val="auto"/>
        </w:rPr>
      </w:pPr>
      <w:r>
        <w:rPr>
          <w:rFonts w:ascii="Arial" w:cs="Arial" w:eastAsia="Arial" w:hAnsi="Arial"/>
          <w:sz w:val="18"/>
          <w:szCs w:val="18"/>
          <w:color w:val="auto"/>
        </w:rPr>
        <w:t>Use diligent efforts to make and keep public information available, as those terms are understood and defined in Rule 144 under the Securities Act, at all times;</w:t>
      </w:r>
    </w:p>
    <w:p>
      <w:pPr>
        <w:spacing w:after="0" w:line="170" w:lineRule="exact"/>
        <w:rPr>
          <w:rFonts w:ascii="Arial" w:cs="Arial" w:eastAsia="Arial" w:hAnsi="Arial"/>
          <w:sz w:val="18"/>
          <w:szCs w:val="18"/>
          <w:color w:val="auto"/>
        </w:rPr>
      </w:pPr>
    </w:p>
    <w:p>
      <w:pPr>
        <w:ind w:left="1300" w:hanging="379"/>
        <w:spacing w:after="0"/>
        <w:tabs>
          <w:tab w:leader="none" w:pos="1300" w:val="left"/>
        </w:tabs>
        <w:numPr>
          <w:ilvl w:val="1"/>
          <w:numId w:val="750"/>
        </w:numPr>
        <w:rPr>
          <w:rFonts w:ascii="Arial" w:cs="Arial" w:eastAsia="Arial" w:hAnsi="Arial"/>
          <w:sz w:val="18"/>
          <w:szCs w:val="18"/>
          <w:color w:val="auto"/>
        </w:rPr>
      </w:pPr>
      <w:r>
        <w:rPr>
          <w:rFonts w:ascii="Arial" w:cs="Arial" w:eastAsia="Arial" w:hAnsi="Arial"/>
          <w:sz w:val="18"/>
          <w:szCs w:val="18"/>
          <w:color w:val="auto"/>
        </w:rPr>
        <w:t>Take such action as is necessary to enable the Holders to utilize Form S-3 for the sale of their Registrable Securities;</w:t>
      </w:r>
    </w:p>
    <w:p>
      <w:pPr>
        <w:spacing w:after="0" w:line="225" w:lineRule="exact"/>
        <w:rPr>
          <w:rFonts w:ascii="Arial" w:cs="Arial" w:eastAsia="Arial" w:hAnsi="Arial"/>
          <w:sz w:val="18"/>
          <w:szCs w:val="18"/>
          <w:color w:val="auto"/>
        </w:rPr>
      </w:pPr>
    </w:p>
    <w:p>
      <w:pPr>
        <w:ind w:right="400" w:firstLine="921"/>
        <w:spacing w:after="0" w:line="277" w:lineRule="auto"/>
        <w:tabs>
          <w:tab w:leader="none" w:pos="1293" w:val="left"/>
        </w:tabs>
        <w:numPr>
          <w:ilvl w:val="1"/>
          <w:numId w:val="750"/>
        </w:numPr>
        <w:rPr>
          <w:rFonts w:ascii="Arial" w:cs="Arial" w:eastAsia="Arial" w:hAnsi="Arial"/>
          <w:sz w:val="18"/>
          <w:szCs w:val="18"/>
          <w:color w:val="auto"/>
        </w:rPr>
      </w:pPr>
      <w:r>
        <w:rPr>
          <w:rFonts w:ascii="Arial" w:cs="Arial" w:eastAsia="Arial" w:hAnsi="Arial"/>
          <w:sz w:val="18"/>
          <w:szCs w:val="18"/>
          <w:color w:val="auto"/>
        </w:rPr>
        <w:t>Use diligent efforts to file with the Commission in a timely manner all reports and other documents required of the Company under the Securities Act and the Exchange Act; and</w:t>
      </w:r>
    </w:p>
    <w:p>
      <w:pPr>
        <w:spacing w:after="0" w:line="170" w:lineRule="exact"/>
        <w:rPr>
          <w:rFonts w:ascii="Arial" w:cs="Arial" w:eastAsia="Arial" w:hAnsi="Arial"/>
          <w:sz w:val="18"/>
          <w:szCs w:val="18"/>
          <w:color w:val="auto"/>
        </w:rPr>
      </w:pPr>
    </w:p>
    <w:p>
      <w:pPr>
        <w:ind w:right="100" w:firstLine="921"/>
        <w:spacing w:after="0" w:line="286" w:lineRule="auto"/>
        <w:tabs>
          <w:tab w:leader="none" w:pos="1303" w:val="left"/>
        </w:tabs>
        <w:numPr>
          <w:ilvl w:val="1"/>
          <w:numId w:val="750"/>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(1) a written statement by the Company that it has complied with the reporting requirements of Rule 144 under the Securities Act (at any time after ninety (90) days after the effective date of the initial registration statement filed by the Company) or that it qualifies as a registrant whose securities may be resold pursuant to Form S-3 (at any time it so qualifies), (2) a copy of the most recent annual or quarterly report of the Company and such other reports and documents so filed by the Company, and</w:t>
      </w:r>
    </w:p>
    <w:p>
      <w:pPr>
        <w:spacing w:after="0" w:line="1" w:lineRule="exact"/>
        <w:rPr>
          <w:rFonts w:ascii="Arial" w:cs="Arial" w:eastAsia="Arial" w:hAnsi="Arial"/>
          <w:sz w:val="16"/>
          <w:szCs w:val="16"/>
          <w:color w:val="auto"/>
        </w:rPr>
      </w:pPr>
    </w:p>
    <w:p>
      <w:pPr>
        <w:ind w:right="260" w:firstLine="8"/>
        <w:spacing w:after="0" w:line="261" w:lineRule="auto"/>
        <w:tabs>
          <w:tab w:leader="none" w:pos="255" w:val="left"/>
        </w:tabs>
        <w:numPr>
          <w:ilvl w:val="0"/>
          <w:numId w:val="751"/>
        </w:numPr>
        <w:rPr>
          <w:rFonts w:ascii="Arial" w:cs="Arial" w:eastAsia="Arial" w:hAnsi="Arial"/>
          <w:sz w:val="18"/>
          <w:szCs w:val="18"/>
          <w:color w:val="auto"/>
        </w:rPr>
      </w:pPr>
      <w:r>
        <w:rPr>
          <w:rFonts w:ascii="Arial" w:cs="Arial" w:eastAsia="Arial" w:hAnsi="Arial"/>
          <w:sz w:val="18"/>
          <w:szCs w:val="18"/>
          <w:color w:val="auto"/>
        </w:rPr>
        <w:t>such other information as may be reasonably requested in availing any Holder of any rule or regulation of the Commission which permits the selling of any such securities without registration or pursuant to such form.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5" w:right="239" w:bottom="1440" w:gutter="0" w:footer="0" w:header="0"/>
        </w:sectPr>
      </w:pPr>
    </w:p>
    <w:bookmarkStart w:id="709" w:name="page710"/>
    <w:bookmarkEnd w:id="709"/>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 </w:t>
      </w: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SSIGNMENT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3"/>
          <w:szCs w:val="13"/>
          <w:u w:val="single" w:color="auto"/>
          <w:color w:val="auto"/>
        </w:rPr>
        <w:t>IGHTS</w:t>
      </w:r>
      <w:r>
        <w:rPr>
          <w:rFonts w:ascii="Arial" w:cs="Arial" w:eastAsia="Arial" w:hAnsi="Arial"/>
          <w:sz w:val="16"/>
          <w:szCs w:val="16"/>
          <w:color w:val="auto"/>
        </w:rPr>
        <w:t>. The rights to cause the Company to register Registrable Securities pursuant to this Agreement may be assigned in whole or in part by a Holder to one or more transferees or assignees who acquire (i) not less than 10% of all Registrable Securities held by the Holder as of the date hereof and (ii) not less than 5% of the then outstanding Registrable Securities; provided that such transferee or assignee delivers to the Company a written instrument by which such assignee agrees to be bound by the obligations imposed on Holders under this Agreement to the same extent as if such transferee or assignee was a party hereto. Any assignment of rights under this Section 1.9 shall only be effective provided that (x) the Company is, within a reasonable time after such transfer, furnished with written notice of the same and address of such transferee or assignee; and (y) such transferee or assignee agrees in writing to be bound by and subject to the conditions of this Agreement. Except as specifically set forth in this Section 1.9, neither this Agreement nor any Holder’s rights or privileges under this Agreement can be assigned or transferred in whole or in part.</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L</w:t>
      </w:r>
      <w:r>
        <w:rPr>
          <w:rFonts w:ascii="Arial" w:cs="Arial" w:eastAsia="Arial" w:hAnsi="Arial"/>
          <w:sz w:val="15"/>
          <w:szCs w:val="15"/>
          <w:u w:val="single" w:color="auto"/>
          <w:color w:val="auto"/>
        </w:rPr>
        <w:t>IMITATIONS 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5"/>
          <w:szCs w:val="15"/>
          <w:u w:val="single" w:color="auto"/>
          <w:color w:val="auto"/>
        </w:rPr>
        <w:t>UBSEQUENT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5"/>
          <w:szCs w:val="15"/>
          <w:u w:val="single" w:color="auto"/>
          <w:color w:val="auto"/>
        </w:rPr>
        <w:t>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5"/>
          <w:szCs w:val="15"/>
          <w:u w:val="single" w:color="auto"/>
          <w:color w:val="auto"/>
        </w:rPr>
        <w:t>IGHTS</w:t>
      </w:r>
      <w:r>
        <w:rPr>
          <w:rFonts w:ascii="Arial" w:cs="Arial" w:eastAsia="Arial" w:hAnsi="Arial"/>
          <w:sz w:val="18"/>
          <w:szCs w:val="18"/>
          <w:u w:val="single" w:color="auto"/>
          <w:color w:val="auto"/>
        </w:rPr>
        <w:t>; E</w:t>
      </w:r>
      <w:r>
        <w:rPr>
          <w:rFonts w:ascii="Arial" w:cs="Arial" w:eastAsia="Arial" w:hAnsi="Arial"/>
          <w:sz w:val="15"/>
          <w:szCs w:val="15"/>
          <w:u w:val="single" w:color="auto"/>
          <w:color w:val="auto"/>
        </w:rPr>
        <w:t>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5"/>
          <w:szCs w:val="15"/>
          <w:u w:val="single" w:color="auto"/>
          <w:color w:val="auto"/>
        </w:rPr>
        <w:t>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5"/>
          <w:szCs w:val="15"/>
          <w:u w:val="single" w:color="auto"/>
          <w:color w:val="auto"/>
        </w:rPr>
        <w:t>IGHTS</w:t>
      </w:r>
      <w:r>
        <w:rPr>
          <w:rFonts w:ascii="Arial" w:cs="Arial" w:eastAsia="Arial" w:hAnsi="Arial"/>
          <w:sz w:val="18"/>
          <w:szCs w:val="18"/>
          <w:color w:val="auto"/>
        </w:rPr>
        <w:t>. From and after the date of this Agreement, the Company shall not, without the prior written consent of the Holders of a majority of the outstanding Registrable Securities, enter into any agreement with any holder or prospective holder of any securities of the Company which would allow such holder or prospective holder (1) to include such securities in any registration filed under this Agreement, unless under the terms of such agreement, such holder or prospective holder may include such securities in any such registration only to the extent that the inclusion of such holder’s securities will not reduce the amount of the Registrable Securities of the Holders which is included or (2) to require a registration of shares of the Company’s common stock under the Securities Act. The Company represents and warrants to the Holders that there are no registration rights relating to securities of the Company as of the date hereof, other than the registration rights which are granted to the Holders pursuant to this Agreement.</w:t>
      </w:r>
    </w:p>
    <w:p>
      <w:pPr>
        <w:spacing w:after="0" w:line="19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“M</w:t>
      </w:r>
      <w:r>
        <w:rPr>
          <w:rFonts w:ascii="Arial" w:cs="Arial" w:eastAsia="Arial" w:hAnsi="Arial"/>
          <w:sz w:val="15"/>
          <w:szCs w:val="15"/>
          <w:u w:val="single" w:color="auto"/>
          <w:color w:val="auto"/>
        </w:rPr>
        <w:t>ARKET</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5"/>
          <w:szCs w:val="15"/>
          <w:u w:val="single" w:color="auto"/>
          <w:color w:val="auto"/>
        </w:rPr>
        <w:t>TAND</w:t>
      </w:r>
      <w:r>
        <w:rPr>
          <w:rFonts w:ascii="Arial" w:cs="Arial" w:eastAsia="Arial" w:hAnsi="Arial"/>
          <w:sz w:val="18"/>
          <w:szCs w:val="18"/>
          <w:u w:val="single" w:color="auto"/>
          <w:color w:val="auto"/>
        </w:rPr>
        <w:t>-O</w:t>
      </w:r>
      <w:r>
        <w:rPr>
          <w:rFonts w:ascii="Arial" w:cs="Arial" w:eastAsia="Arial" w:hAnsi="Arial"/>
          <w:sz w:val="15"/>
          <w:szCs w:val="15"/>
          <w:u w:val="single" w:color="auto"/>
          <w:color w:val="auto"/>
        </w:rPr>
        <w:t>FF</w:t>
      </w:r>
      <w:r>
        <w:rPr>
          <w:rFonts w:ascii="Arial" w:cs="Arial" w:eastAsia="Arial" w:hAnsi="Arial"/>
          <w:sz w:val="18"/>
          <w:szCs w:val="18"/>
          <w:u w:val="single" w:color="auto"/>
          <w:color w:val="auto"/>
        </w:rPr>
        <w:t>” A</w:t>
      </w:r>
      <w:r>
        <w:rPr>
          <w:rFonts w:ascii="Arial" w:cs="Arial" w:eastAsia="Arial" w:hAnsi="Arial"/>
          <w:sz w:val="15"/>
          <w:szCs w:val="15"/>
          <w:u w:val="single" w:color="auto"/>
          <w:color w:val="auto"/>
        </w:rPr>
        <w:t>GREEMENT</w:t>
      </w:r>
      <w:r>
        <w:rPr>
          <w:rFonts w:ascii="Arial" w:cs="Arial" w:eastAsia="Arial" w:hAnsi="Arial"/>
          <w:sz w:val="18"/>
          <w:szCs w:val="18"/>
          <w:color w:val="auto"/>
        </w:rPr>
        <w:t>. Each Holder hereby agrees that, during the fourteen (14) day period prior to, and during the one hundred eighty (180) day period following the effective date of an IPO, it shall not, to the extent requested by the Company and the underwriter, sell or otherwise transfer or dispose of (other than to donees, affiliates or partners who agree to be similarly bound) any Registrable Securities except Registrable Securities included in such registration; provided, however, that all officers and directors of the Company and all other Persons (a) with registration rights (whether or not pursuant to this Agreement), or (b) who own five percent (5%) or more of the outstanding Common Stock of the Company, enter into similar agreements. For the avoidance of doubt, this Section 1.11 shall not apply to any Common Shares purchased by a Holder in the IPO or on the open securities markets or exchanges following such IPO.</w:t>
      </w:r>
    </w:p>
    <w:p>
      <w:pPr>
        <w:spacing w:after="0" w:line="18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C</w:t>
      </w:r>
      <w:r>
        <w:rPr>
          <w:rFonts w:ascii="Arial" w:cs="Arial" w:eastAsia="Arial" w:hAnsi="Arial"/>
          <w:sz w:val="14"/>
          <w:szCs w:val="14"/>
          <w:u w:val="single" w:color="auto"/>
          <w:color w:val="auto"/>
        </w:rPr>
        <w:t>HANGES IN</w:t>
      </w:r>
      <w:r>
        <w:rPr>
          <w:rFonts w:ascii="Arial" w:cs="Arial" w:eastAsia="Arial" w:hAnsi="Arial"/>
          <w:sz w:val="17"/>
          <w:szCs w:val="17"/>
          <w:color w:val="auto"/>
        </w:rPr>
        <w:t xml:space="preserve"> </w:t>
      </w:r>
      <w:r>
        <w:rPr>
          <w:rFonts w:ascii="Arial" w:cs="Arial" w:eastAsia="Arial" w:hAnsi="Arial"/>
          <w:sz w:val="17"/>
          <w:szCs w:val="17"/>
          <w:u w:val="single" w:color="auto"/>
          <w:color w:val="auto"/>
        </w:rPr>
        <w:t>R</w:t>
      </w:r>
      <w:r>
        <w:rPr>
          <w:rFonts w:ascii="Arial" w:cs="Arial" w:eastAsia="Arial" w:hAnsi="Arial"/>
          <w:sz w:val="14"/>
          <w:szCs w:val="14"/>
          <w:u w:val="single" w:color="auto"/>
          <w:color w:val="auto"/>
        </w:rPr>
        <w:t>EGISTRABLE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S</w:t>
      </w:r>
      <w:r>
        <w:rPr>
          <w:rFonts w:ascii="Arial" w:cs="Arial" w:eastAsia="Arial" w:hAnsi="Arial"/>
          <w:sz w:val="14"/>
          <w:szCs w:val="14"/>
          <w:u w:val="single" w:color="auto"/>
          <w:color w:val="auto"/>
        </w:rPr>
        <w:t>ECURITIES</w:t>
      </w:r>
      <w:r>
        <w:rPr>
          <w:rFonts w:ascii="Arial" w:cs="Arial" w:eastAsia="Arial" w:hAnsi="Arial"/>
          <w:sz w:val="17"/>
          <w:szCs w:val="17"/>
          <w:color w:val="auto"/>
        </w:rPr>
        <w:t>. If, and as often as, there are any changes in the Registrable Securities by way of unit split, distribution, combination or reclassification, or through merger, consolidation, reorganization or recapitalization, or by any other means, appropriate adjustment shall be made in the provisions of this Agreement, as may be required, so that the rights and privileges granted hereby shall continue with respect to the Registrable Securities as so changed. Without limiting the generality of the foregoing, the Company will require any successor by merger or consolidation to assume and agree to be bound by the terms of this Section, as a condition to any such merger or consolidation.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710" w:name="page711"/>
    <w:bookmarkEnd w:id="710"/>
    <w:p>
      <w:pPr>
        <w:ind w:right="2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1.13 </w:t>
      </w:r>
      <w:r>
        <w:rPr>
          <w:rFonts w:ascii="Arial" w:cs="Arial" w:eastAsia="Arial" w:hAnsi="Arial"/>
          <w:sz w:val="17"/>
          <w:szCs w:val="17"/>
          <w:u w:val="single" w:color="auto"/>
          <w:color w:val="auto"/>
        </w:rPr>
        <w:t>T</w:t>
      </w:r>
      <w:r>
        <w:rPr>
          <w:rFonts w:ascii="Arial" w:cs="Arial" w:eastAsia="Arial" w:hAnsi="Arial"/>
          <w:sz w:val="14"/>
          <w:szCs w:val="14"/>
          <w:u w:val="single" w:color="auto"/>
          <w:color w:val="auto"/>
        </w:rPr>
        <w:t>ERMINATION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R</w:t>
      </w:r>
      <w:r>
        <w:rPr>
          <w:rFonts w:ascii="Arial" w:cs="Arial" w:eastAsia="Arial" w:hAnsi="Arial"/>
          <w:sz w:val="14"/>
          <w:szCs w:val="14"/>
          <w:u w:val="single" w:color="auto"/>
          <w:color w:val="auto"/>
        </w:rPr>
        <w:t>IGHTS</w:t>
      </w:r>
      <w:r>
        <w:rPr>
          <w:rFonts w:ascii="Arial" w:cs="Arial" w:eastAsia="Arial" w:hAnsi="Arial"/>
          <w:sz w:val="17"/>
          <w:szCs w:val="17"/>
          <w:color w:val="auto"/>
        </w:rPr>
        <w:t>. All registration rights granted in this Agreement shall terminate and be of no further force and effect with respect to a Holder as of the date when all Registrable Securities held by and issuable to such Holder may be sold under Rule 144 under the Securities Act during any ninety (90) day period, provided such Holder owns less than one percent (1%) of the outstanding Common Stock of the Company.</w:t>
      </w:r>
    </w:p>
    <w:p>
      <w:pPr>
        <w:spacing w:after="0" w:line="166" w:lineRule="exact"/>
        <w:rPr>
          <w:sz w:val="20"/>
          <w:szCs w:val="20"/>
          <w:color w:val="auto"/>
        </w:rPr>
      </w:pPr>
    </w:p>
    <w:p>
      <w:pPr>
        <w:ind w:left="320" w:hanging="312"/>
        <w:spacing w:after="0"/>
        <w:tabs>
          <w:tab w:leader="none" w:pos="320" w:val="left"/>
        </w:tabs>
        <w:numPr>
          <w:ilvl w:val="0"/>
          <w:numId w:val="752"/>
        </w:numPr>
        <w:rPr>
          <w:rFonts w:ascii="Arial" w:cs="Arial" w:eastAsia="Arial" w:hAnsi="Arial"/>
          <w:sz w:val="18"/>
          <w:szCs w:val="18"/>
          <w:color w:val="auto"/>
        </w:rPr>
      </w:pPr>
      <w:r>
        <w:rPr>
          <w:rFonts w:ascii="Arial" w:cs="Arial" w:eastAsia="Arial" w:hAnsi="Arial"/>
          <w:sz w:val="18"/>
          <w:szCs w:val="18"/>
          <w:u w:val="single" w:color="auto"/>
          <w:color w:val="auto"/>
        </w:rPr>
        <w:t>M</w:t>
      </w:r>
      <w:r>
        <w:rPr>
          <w:rFonts w:ascii="Arial" w:cs="Arial" w:eastAsia="Arial" w:hAnsi="Arial"/>
          <w:sz w:val="15"/>
          <w:szCs w:val="15"/>
          <w:u w:val="single" w:color="auto"/>
          <w:color w:val="auto"/>
        </w:rPr>
        <w:t>ISCELLANEOUS</w:t>
      </w:r>
      <w:r>
        <w:rPr>
          <w:rFonts w:ascii="Arial" w:cs="Arial" w:eastAsia="Arial" w:hAnsi="Arial"/>
          <w:sz w:val="18"/>
          <w:szCs w:val="18"/>
          <w:color w:val="auto"/>
        </w:rPr>
        <w: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w:t>
      </w:r>
      <w:r>
        <w:rPr>
          <w:rFonts w:ascii="Arial" w:cs="Arial" w:eastAsia="Arial" w:hAnsi="Arial"/>
          <w:sz w:val="15"/>
          <w:szCs w:val="15"/>
          <w:u w:val="single" w:color="auto"/>
          <w:color w:val="auto"/>
        </w:rPr>
        <w:t>NTIRE</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5"/>
          <w:szCs w:val="15"/>
          <w:u w:val="single" w:color="auto"/>
          <w:color w:val="auto"/>
        </w:rPr>
        <w:t>GREEMENT</w:t>
      </w:r>
      <w:r>
        <w:rPr>
          <w:rFonts w:ascii="Arial" w:cs="Arial" w:eastAsia="Arial" w:hAnsi="Arial"/>
          <w:sz w:val="18"/>
          <w:szCs w:val="18"/>
          <w:color w:val="auto"/>
        </w:rPr>
        <w:t>. This Agreement contains the entire agreement among the parties hereto with respect to the subject matter hereof and supersedes all prior written agreements and negotiations and oral understandings, if any, with respect thereto.</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G</w:t>
      </w:r>
      <w:r>
        <w:rPr>
          <w:rFonts w:ascii="Arial" w:cs="Arial" w:eastAsia="Arial" w:hAnsi="Arial"/>
          <w:sz w:val="15"/>
          <w:szCs w:val="15"/>
          <w:u w:val="single" w:color="auto"/>
          <w:color w:val="auto"/>
        </w:rPr>
        <w:t>OVERNING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5"/>
          <w:szCs w:val="15"/>
          <w:u w:val="single" w:color="auto"/>
          <w:color w:val="auto"/>
        </w:rPr>
        <w:t>AW</w:t>
      </w:r>
      <w:r>
        <w:rPr>
          <w:rFonts w:ascii="Arial" w:cs="Arial" w:eastAsia="Arial" w:hAnsi="Arial"/>
          <w:sz w:val="18"/>
          <w:szCs w:val="18"/>
          <w:color w:val="auto"/>
        </w:rPr>
        <w:t>. This Agreement shall be governed in all respects by the laws of the State of Delaware as such laws are applied to agreements entered into and to be performed entirely within the State of Delaware, without regard to conflict of law provisions.</w:t>
      </w:r>
    </w:p>
    <w:p>
      <w:pPr>
        <w:spacing w:after="0" w:line="170"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w:t>
      </w:r>
      <w:r>
        <w:rPr>
          <w:rFonts w:ascii="Arial" w:cs="Arial" w:eastAsia="Arial" w:hAnsi="Arial"/>
          <w:sz w:val="15"/>
          <w:szCs w:val="15"/>
          <w:u w:val="single" w:color="auto"/>
          <w:color w:val="auto"/>
        </w:rPr>
        <w:t>UCCESSORS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5"/>
          <w:szCs w:val="15"/>
          <w:u w:val="single" w:color="auto"/>
          <w:color w:val="auto"/>
        </w:rPr>
        <w:t>SSIGNS</w:t>
      </w:r>
      <w:r>
        <w:rPr>
          <w:rFonts w:ascii="Arial" w:cs="Arial" w:eastAsia="Arial" w:hAnsi="Arial"/>
          <w:sz w:val="18"/>
          <w:szCs w:val="18"/>
          <w:color w:val="auto"/>
        </w:rPr>
        <w:t>. Except as otherwise expressly provided herein (including, without limitation, Section 1.9), the provisions hereof shall inure to the benefit of, and be binding upon, the successors, assigns, heirs, executors and administrators of the parties hereto (including any successor entity of the Company upon a reincorporation).</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w:t>
      </w:r>
      <w:r>
        <w:rPr>
          <w:rFonts w:ascii="Arial" w:cs="Arial" w:eastAsia="Arial" w:hAnsi="Arial"/>
          <w:sz w:val="15"/>
          <w:szCs w:val="15"/>
          <w:u w:val="single" w:color="auto"/>
          <w:color w:val="auto"/>
        </w:rPr>
        <w:t>OTICES</w:t>
      </w:r>
      <w:r>
        <w:rPr>
          <w:rFonts w:ascii="Arial" w:cs="Arial" w:eastAsia="Arial" w:hAnsi="Arial"/>
          <w:sz w:val="18"/>
          <w:szCs w:val="18"/>
          <w:color w:val="auto"/>
        </w:rPr>
        <w:t>. Unless otherwise provided, any notice required or permitted under this Agreement shall be given in writing and shall be deemed effectively given upon receipt by the party to be notified or three (3) days after deposit with the United States Post Office, by registered or certified mail, postage prepaid or via facsimile or overnight courier and addressed to the party to be notified (1) if to a party other than the Company, at such party’s address set forth on Schedule A of this Agreement or at such other address as such party shall have furnished the Company in writing, or, until any such party so furnishes an address to the Company, then to and at the address of the last holder of the Common Shares covered by this Agreement who has so furnished an address to the Company, or (2) if to the Company, at 161 First Street, 3</w:t>
      </w:r>
      <w:r>
        <w:rPr>
          <w:rFonts w:ascii="Arial" w:cs="Arial" w:eastAsia="Arial" w:hAnsi="Arial"/>
          <w:sz w:val="15"/>
          <w:szCs w:val="15"/>
          <w:color w:val="auto"/>
        </w:rPr>
        <w:t>rd</w:t>
      </w:r>
      <w:r>
        <w:rPr>
          <w:rFonts w:ascii="Arial" w:cs="Arial" w:eastAsia="Arial" w:hAnsi="Arial"/>
          <w:sz w:val="18"/>
          <w:szCs w:val="18"/>
          <w:color w:val="auto"/>
        </w:rPr>
        <w:t xml:space="preserve"> Floor, Cambridge, MA 02142, or at such other address as the Company shall have furnished to the parties in writing.</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S</w:t>
      </w:r>
      <w:r>
        <w:rPr>
          <w:rFonts w:ascii="Arial" w:cs="Arial" w:eastAsia="Arial" w:hAnsi="Arial"/>
          <w:sz w:val="15"/>
          <w:szCs w:val="15"/>
          <w:u w:val="single" w:color="auto"/>
          <w:color w:val="auto"/>
        </w:rPr>
        <w:t>EVERABILITY</w:t>
      </w:r>
      <w:r>
        <w:rPr>
          <w:rFonts w:ascii="Arial" w:cs="Arial" w:eastAsia="Arial" w:hAnsi="Arial"/>
          <w:sz w:val="18"/>
          <w:szCs w:val="18"/>
          <w:color w:val="auto"/>
        </w:rPr>
        <w:t>. Any invalidity, illegality or limitation on the enforceability of this Agreement or any part thereof, by any party whether arising by reason of the law of the respective party’s domicile or otherwise, shall in no way affect or impair the validity, legality or enforceability of this Agreement with respect to other parties. If any provision of this Agreement shall be judicially determined to be invalid, illegal or unenforceable, the validity, legality and enforceability of the remaining provisions shall not in any way be affected or impaired thereby.</w:t>
      </w:r>
    </w:p>
    <w:p>
      <w:pPr>
        <w:spacing w:after="0" w:line="18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w:t>
      </w:r>
      <w:r>
        <w:rPr>
          <w:rFonts w:ascii="Arial" w:cs="Arial" w:eastAsia="Arial" w:hAnsi="Arial"/>
          <w:sz w:val="15"/>
          <w:szCs w:val="15"/>
          <w:u w:val="single" w:color="auto"/>
          <w:color w:val="auto"/>
        </w:rPr>
        <w:t>ITLES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5"/>
          <w:szCs w:val="15"/>
          <w:u w:val="single" w:color="auto"/>
          <w:color w:val="auto"/>
        </w:rPr>
        <w:t>UBTITLES</w:t>
      </w:r>
      <w:r>
        <w:rPr>
          <w:rFonts w:ascii="Arial" w:cs="Arial" w:eastAsia="Arial" w:hAnsi="Arial"/>
          <w:sz w:val="18"/>
          <w:szCs w:val="18"/>
          <w:color w:val="auto"/>
        </w:rPr>
        <w:t>. The titles of the Sections of this Agreement are for convenience of reference only and are not to be considered in construing this Agreement.</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w:t>
      </w:r>
      <w:r>
        <w:rPr>
          <w:rFonts w:ascii="Arial" w:cs="Arial" w:eastAsia="Arial" w:hAnsi="Arial"/>
          <w:sz w:val="15"/>
          <w:szCs w:val="15"/>
          <w:u w:val="single" w:color="auto"/>
          <w:color w:val="auto"/>
        </w:rPr>
        <w:t>ELAYS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5"/>
          <w:szCs w:val="15"/>
          <w:u w:val="single" w:color="auto"/>
          <w:color w:val="auto"/>
        </w:rPr>
        <w:t>MISSIONS</w:t>
      </w:r>
      <w:r>
        <w:rPr>
          <w:rFonts w:ascii="Arial" w:cs="Arial" w:eastAsia="Arial" w:hAnsi="Arial"/>
          <w:sz w:val="18"/>
          <w:szCs w:val="18"/>
          <w:u w:val="single" w:color="auto"/>
          <w:color w:val="auto"/>
        </w:rPr>
        <w:t>; R</w:t>
      </w:r>
      <w:r>
        <w:rPr>
          <w:rFonts w:ascii="Arial" w:cs="Arial" w:eastAsia="Arial" w:hAnsi="Arial"/>
          <w:sz w:val="15"/>
          <w:szCs w:val="15"/>
          <w:u w:val="single" w:color="auto"/>
          <w:color w:val="auto"/>
        </w:rPr>
        <w:t>EMEDIES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5"/>
          <w:szCs w:val="15"/>
          <w:u w:val="single" w:color="auto"/>
          <w:color w:val="auto"/>
        </w:rPr>
        <w:t>UMULATIVE</w:t>
      </w:r>
      <w:r>
        <w:rPr>
          <w:rFonts w:ascii="Arial" w:cs="Arial" w:eastAsia="Arial" w:hAnsi="Arial"/>
          <w:sz w:val="18"/>
          <w:szCs w:val="18"/>
          <w:color w:val="auto"/>
        </w:rPr>
        <w:t>. It is agreed that no delay or omission to exercise any right, power or remedy accruing to the parties, upon any breach or default of the Company under this Agreement, shall impair any such right, power or remedy, nor shall it be construed to be a waiver of any such breach or default, or any acquiescence therein, or of any similar breach or default thereafter occurring; nor shall any waiver of any single breach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711" w:name="page712"/>
    <w:bookmarkEnd w:id="71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be deemed a waiver of any other breach or default theretofore or thereafter occurring. It is further agreed that any waiver, permit, consent or approval of any kind or character by a party of any breach or default under this Agreement, or any waiver by a party of any provisions or conditions of this Agreement must be in writing and shall be effective only to the extent specifically set forth in writing and that all remedies, either under this Agreement or by law or otherwise afforded to a party, shall be cumulative and not alternative.</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MENDMENT</w:t>
      </w:r>
      <w:r>
        <w:rPr>
          <w:rFonts w:ascii="Arial" w:cs="Arial" w:eastAsia="Arial" w:hAnsi="Arial"/>
          <w:sz w:val="16"/>
          <w:szCs w:val="16"/>
          <w:color w:val="auto"/>
        </w:rPr>
        <w:t>. This Agreement may not be amended or supplemented except by an instrument or counterparts thereof signed in writing by (i) the Company and (ii) Holders of a majority of the voting power of Registrable Securities (calculated as if all Registrable Securities, if not already shares of common stock, had been converted to shares of common stock); provided that no such amendment or supplement may materially impair the rights of, or impose any additional liability or obligation on, any Investor out of proportion to such effect on other Investors without such Investor’s consent.</w:t>
      </w:r>
    </w:p>
    <w:p>
      <w:pPr>
        <w:spacing w:after="0" w:line="15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C</w:t>
      </w:r>
      <w:r>
        <w:rPr>
          <w:rFonts w:ascii="Arial" w:cs="Arial" w:eastAsia="Arial" w:hAnsi="Arial"/>
          <w:sz w:val="15"/>
          <w:szCs w:val="15"/>
          <w:u w:val="single" w:color="auto"/>
          <w:color w:val="auto"/>
        </w:rPr>
        <w:t>OUNTERPARTS</w:t>
      </w:r>
      <w:r>
        <w:rPr>
          <w:rFonts w:ascii="Arial" w:cs="Arial" w:eastAsia="Arial" w:hAnsi="Arial"/>
          <w:sz w:val="18"/>
          <w:szCs w:val="18"/>
          <w:color w:val="auto"/>
        </w:rPr>
        <w:t>. This Agreement may be executed in any number of counterparts, each of which shall be an original, but all of which together shall constitute one and the same instrument.</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N</w:t>
      </w:r>
      <w:r>
        <w:rPr>
          <w:rFonts w:ascii="Arial" w:cs="Arial" w:eastAsia="Arial" w:hAnsi="Arial"/>
          <w:sz w:val="15"/>
          <w:szCs w:val="15"/>
          <w:u w:val="single" w:color="auto"/>
          <w:color w:val="auto"/>
        </w:rPr>
        <w:t>OT</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5"/>
          <w:szCs w:val="15"/>
          <w:u w:val="single" w:color="auto"/>
          <w:color w:val="auto"/>
        </w:rPr>
        <w:t>HELL</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5"/>
          <w:szCs w:val="15"/>
          <w:u w:val="single" w:color="auto"/>
          <w:color w:val="auto"/>
        </w:rPr>
        <w:t>OMPANY</w:t>
      </w:r>
      <w:r>
        <w:rPr>
          <w:rFonts w:ascii="Arial" w:cs="Arial" w:eastAsia="Arial" w:hAnsi="Arial"/>
          <w:sz w:val="18"/>
          <w:szCs w:val="18"/>
          <w:color w:val="auto"/>
        </w:rPr>
        <w:t>. The Company represents and warrants that it is not a “shell company” within the meaning of Rule 12(b)-2 under the Exchange Act.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4" w:right="319" w:bottom="1440" w:gutter="0" w:footer="0" w:header="0"/>
        </w:sectPr>
      </w:pPr>
    </w:p>
    <w:bookmarkStart w:id="712" w:name="page713"/>
    <w:bookmarkEnd w:id="71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SOLID BIOSCIENCES,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Ilan Ganot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Ilan Ganot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19"/>
          </w:cols>
          <w:pgMar w:left="240" w:top="274" w:right="1440" w:bottom="1440" w:gutter="0" w:footer="0" w:header="0"/>
        </w:sectPr>
      </w:pPr>
    </w:p>
    <w:bookmarkStart w:id="713" w:name="page714"/>
    <w:bookmarkEnd w:id="71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 SIGNATURE PAGES OMITTED]</w:t>
      </w:r>
    </w:p>
    <w:p>
      <w:pPr>
        <w:sectPr>
          <w:pgSz w:w="11900" w:h="16838" w:orient="portrait"/>
          <w:cols w:equalWidth="0" w:num="1">
            <w:col w:w="9019"/>
          </w:cols>
          <w:pgMar w:left="1440" w:top="274" w:right="1440" w:bottom="1440" w:gutter="0" w:footer="0" w:header="0"/>
        </w:sectPr>
      </w:pPr>
    </w:p>
    <w:bookmarkStart w:id="714" w:name="page715"/>
    <w:bookmarkEnd w:id="714"/>
    <w:p>
      <w:pPr>
        <w:jc w:val="right"/>
        <w:spacing w:after="0"/>
        <w:rPr>
          <w:sz w:val="20"/>
          <w:szCs w:val="20"/>
          <w:color w:val="auto"/>
        </w:rPr>
      </w:pPr>
      <w:r>
        <w:rPr>
          <w:rFonts w:ascii="Arial" w:cs="Arial" w:eastAsia="Arial" w:hAnsi="Arial"/>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4150995" cy="95186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415099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July 24,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read the section entitled “Experts – Change in our public accounting firm”in the Registration Statement on Form S-1 of Solid Biosciences, LLC and agree with the statements in this section concerning our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Katz, Nannis + Solomon,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2101215" cy="3771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1012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Waltham, Massachusetts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Watermill Center 800 South Street, Suite 250 Waltham, MA 02453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781 453 8700 Fax 781 453 8778 www.knscpa.com</w:t>
      </w:r>
    </w:p>
    <w:p>
      <w:pPr>
        <w:sectPr>
          <w:pgSz w:w="11900" w:h="16838" w:orient="portrait"/>
          <w:cols w:equalWidth="0" w:num="1">
            <w:col w:w="11420"/>
          </w:cols>
          <w:pgMar w:left="240" w:top="122" w:right="239" w:bottom="1440" w:gutter="0" w:footer="0" w:header="0"/>
        </w:sectPr>
      </w:pPr>
    </w:p>
    <w:bookmarkStart w:id="715" w:name="page716"/>
    <w:bookmarkEnd w:id="715"/>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780" w:type="dxa"/>
            <w:vAlign w:val="bottom"/>
            <w:gridSpan w:val="4"/>
          </w:tcPr>
          <w:p>
            <w:pPr>
              <w:ind w:left="580"/>
              <w:spacing w:after="0"/>
              <w:rPr>
                <w:sz w:val="20"/>
                <w:szCs w:val="20"/>
                <w:color w:val="auto"/>
              </w:rPr>
            </w:pPr>
            <w:r>
              <w:rPr>
                <w:rFonts w:ascii="Arial" w:cs="Arial" w:eastAsia="Arial" w:hAnsi="Arial"/>
                <w:sz w:val="18"/>
                <w:szCs w:val="18"/>
                <w:b w:val="1"/>
                <w:bCs w:val="1"/>
                <w:color w:val="auto"/>
              </w:rPr>
              <w:t>Subsidiaries of Solid Biosciences Inc.</w:t>
            </w:r>
          </w:p>
        </w:tc>
      </w:tr>
      <w:tr>
        <w:trPr>
          <w:trHeight w:val="432"/>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58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17"/>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Solid Biosciences</w:t>
            </w:r>
          </w:p>
        </w:tc>
        <w:tc>
          <w:tcPr>
            <w:tcW w:w="1580" w:type="dxa"/>
            <w:vAlign w:val="bottom"/>
          </w:tcPr>
          <w:p>
            <w:pPr>
              <w:ind w:left="120"/>
              <w:spacing w:after="0" w:line="203" w:lineRule="exact"/>
              <w:rPr>
                <w:sz w:val="20"/>
                <w:szCs w:val="20"/>
                <w:color w:val="auto"/>
              </w:rPr>
            </w:pPr>
            <w:r>
              <w:rPr>
                <w:rFonts w:ascii="Arial" w:cs="Arial" w:eastAsia="Arial" w:hAnsi="Arial"/>
                <w:sz w:val="18"/>
                <w:szCs w:val="18"/>
                <w:color w:val="auto"/>
              </w:rPr>
              <w:t>UK Limited</w:t>
            </w:r>
          </w:p>
        </w:tc>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310"/>
        </w:trPr>
        <w:tc>
          <w:tcPr>
            <w:tcW w:w="2800" w:type="dxa"/>
            <w:vAlign w:val="bottom"/>
            <w:gridSpan w:val="2"/>
          </w:tcPr>
          <w:p>
            <w:pPr>
              <w:spacing w:after="0"/>
              <w:rPr>
                <w:sz w:val="20"/>
                <w:szCs w:val="20"/>
                <w:color w:val="auto"/>
              </w:rPr>
            </w:pPr>
            <w:r>
              <w:rPr>
                <w:rFonts w:ascii="Arial" w:cs="Arial" w:eastAsia="Arial" w:hAnsi="Arial"/>
                <w:sz w:val="18"/>
                <w:szCs w:val="18"/>
                <w:color w:val="auto"/>
              </w:rPr>
              <w:t>Solid Suit, LLC</w:t>
            </w:r>
          </w:p>
        </w:tc>
        <w:tc>
          <w:tcPr>
            <w:tcW w:w="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bl>
    <w:p>
      <w:pPr>
        <w:sectPr>
          <w:pgSz w:w="11900" w:h="16838" w:orient="portrait"/>
          <w:cols w:equalWidth="0" w:num="1">
            <w:col w:w="10500"/>
          </w:cols>
          <w:pgMar w:left="1160" w:top="122" w:right="239" w:bottom="1440" w:gutter="0" w:footer="0" w:header="0"/>
        </w:sectPr>
      </w:pPr>
    </w:p>
    <w:bookmarkStart w:id="716" w:name="page717"/>
    <w:bookmarkEnd w:id="71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hereby consent to the use in this Registration Statement on Form S-1 of Solid Biosciences, LLC of our report dated August 4, 2017 relating to the financial statements, which appear in such Registration Statement.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2017</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1BCF1C"/>
    <w:multiLevelType w:val="hybridMultilevel"/>
    <w:lvl w:ilvl="0">
      <w:lvlJc w:val="left"/>
      <w:lvlText w:val="(%1)"/>
      <w:numFmt w:val="decimal"/>
      <w:start w:val="1"/>
    </w:lvl>
  </w:abstractNum>
  <w:abstractNum w:abstractNumId="1">
    <w:nsid w:val="4CE5CA53"/>
    <w:multiLevelType w:val="hybridMultilevel"/>
    <w:lvl w:ilvl="0">
      <w:lvlJc w:val="left"/>
      <w:lvlText w:val="•"/>
      <w:numFmt w:val="bullet"/>
      <w:start w:val="1"/>
    </w:lvl>
  </w:abstractNum>
  <w:abstractNum w:abstractNumId="2">
    <w:nsid w:val="29262D1A"/>
    <w:multiLevelType w:val="hybridMultilevel"/>
    <w:lvl w:ilvl="0">
      <w:lvlJc w:val="left"/>
      <w:lvlText w:val="•"/>
      <w:numFmt w:val="bullet"/>
      <w:start w:val="1"/>
    </w:lvl>
  </w:abstractNum>
  <w:abstractNum w:abstractNumId="3">
    <w:nsid w:val="557FB7EE"/>
    <w:multiLevelType w:val="hybridMultilevel"/>
    <w:lvl w:ilvl="0">
      <w:lvlJc w:val="left"/>
      <w:lvlText w:val="•"/>
      <w:numFmt w:val="bullet"/>
      <w:start w:val="1"/>
    </w:lvl>
  </w:abstractNum>
  <w:abstractNum w:abstractNumId="4">
    <w:nsid w:val="436F2BEB"/>
    <w:multiLevelType w:val="hybridMultilevel"/>
    <w:lvl w:ilvl="0">
      <w:lvlJc w:val="left"/>
      <w:lvlText w:val="•"/>
      <w:numFmt w:val="bullet"/>
      <w:start w:val="1"/>
    </w:lvl>
  </w:abstractNum>
  <w:abstractNum w:abstractNumId="5">
    <w:nsid w:val="6C8B4466"/>
    <w:multiLevelType w:val="hybridMultilevel"/>
    <w:lvl w:ilvl="0">
      <w:lvlJc w:val="left"/>
      <w:lvlText w:val="•"/>
      <w:numFmt w:val="bullet"/>
      <w:start w:val="1"/>
    </w:lvl>
  </w:abstractNum>
  <w:abstractNum w:abstractNumId="6">
    <w:nsid w:val="2006E424"/>
    <w:multiLevelType w:val="hybridMultilevel"/>
    <w:lvl w:ilvl="0">
      <w:lvlJc w:val="left"/>
      <w:lvlText w:val="•"/>
      <w:numFmt w:val="bullet"/>
      <w:start w:val="1"/>
    </w:lvl>
  </w:abstractNum>
  <w:abstractNum w:abstractNumId="7">
    <w:nsid w:val="20CC134C"/>
    <w:multiLevelType w:val="hybridMultilevel"/>
    <w:lvl w:ilvl="0">
      <w:lvlJc w:val="left"/>
      <w:lvlText w:val="•"/>
      <w:numFmt w:val="bullet"/>
      <w:start w:val="1"/>
    </w:lvl>
  </w:abstractNum>
  <w:abstractNum w:abstractNumId="8">
    <w:nsid w:val="95FC93B"/>
    <w:multiLevelType w:val="hybridMultilevel"/>
    <w:lvl w:ilvl="0">
      <w:lvlJc w:val="left"/>
      <w:lvlText w:val="•"/>
      <w:numFmt w:val="bullet"/>
      <w:start w:val="1"/>
    </w:lvl>
  </w:abstractNum>
  <w:abstractNum w:abstractNumId="9">
    <w:nsid w:val="41D74679"/>
    <w:multiLevelType w:val="hybridMultilevel"/>
    <w:lvl w:ilvl="0">
      <w:lvlJc w:val="left"/>
      <w:lvlText w:val="•"/>
      <w:numFmt w:val="bullet"/>
      <w:start w:val="1"/>
    </w:lvl>
  </w:abstractNum>
  <w:abstractNum w:abstractNumId="10">
    <w:nsid w:val="71E5621E"/>
    <w:multiLevelType w:val="hybridMultilevel"/>
    <w:lvl w:ilvl="0">
      <w:lvlJc w:val="left"/>
      <w:lvlText w:val="(%1)"/>
      <w:numFmt w:val="decimal"/>
      <w:start w:val="1"/>
    </w:lvl>
  </w:abstractNum>
  <w:abstractNum w:abstractNumId="11">
    <w:nsid w:val="4E42B6A8"/>
    <w:multiLevelType w:val="hybridMultilevel"/>
    <w:lvl w:ilvl="0">
      <w:lvlJc w:val="left"/>
      <w:lvlText w:val="(%1)"/>
      <w:numFmt w:val="decimal"/>
      <w:start w:val="5"/>
    </w:lvl>
  </w:abstractNum>
  <w:abstractNum w:abstractNumId="12">
    <w:nsid w:val="43F8E1AC"/>
    <w:multiLevelType w:val="hybridMultilevel"/>
    <w:lvl w:ilvl="0">
      <w:lvlJc w:val="left"/>
      <w:lvlText w:val="•"/>
      <w:numFmt w:val="bullet"/>
      <w:start w:val="1"/>
    </w:lvl>
  </w:abstractNum>
  <w:abstractNum w:abstractNumId="13">
    <w:nsid w:val="69215DFB"/>
    <w:multiLevelType w:val="hybridMultilevel"/>
    <w:lvl w:ilvl="0">
      <w:lvlJc w:val="left"/>
      <w:lvlText w:val="•"/>
      <w:numFmt w:val="bullet"/>
      <w:start w:val="1"/>
    </w:lvl>
  </w:abstractNum>
  <w:abstractNum w:abstractNumId="14">
    <w:nsid w:val="7ABF196A"/>
    <w:multiLevelType w:val="hybridMultilevel"/>
    <w:lvl w:ilvl="0">
      <w:lvlJc w:val="left"/>
      <w:lvlText w:val="•"/>
      <w:numFmt w:val="bullet"/>
      <w:start w:val="1"/>
    </w:lvl>
  </w:abstractNum>
  <w:abstractNum w:abstractNumId="15">
    <w:nsid w:val="5E4DB968"/>
    <w:multiLevelType w:val="hybridMultilevel"/>
    <w:lvl w:ilvl="0">
      <w:lvlJc w:val="left"/>
      <w:lvlText w:val="•"/>
      <w:numFmt w:val="bullet"/>
      <w:start w:val="1"/>
    </w:lvl>
  </w:abstractNum>
  <w:abstractNum w:abstractNumId="16">
    <w:nsid w:val="2C06DCF3"/>
    <w:multiLevelType w:val="hybridMultilevel"/>
    <w:lvl w:ilvl="0">
      <w:lvlJc w:val="left"/>
      <w:lvlText w:val="•"/>
      <w:numFmt w:val="bullet"/>
      <w:start w:val="1"/>
    </w:lvl>
  </w:abstractNum>
  <w:abstractNum w:abstractNumId="17">
    <w:nsid w:val="2E129658"/>
    <w:multiLevelType w:val="hybridMultilevel"/>
    <w:lvl w:ilvl="0">
      <w:lvlJc w:val="left"/>
      <w:lvlText w:val="•"/>
      <w:numFmt w:val="bullet"/>
      <w:start w:val="1"/>
    </w:lvl>
  </w:abstractNum>
  <w:abstractNum w:abstractNumId="18">
    <w:nsid w:val="59F0446"/>
    <w:multiLevelType w:val="hybridMultilevel"/>
    <w:lvl w:ilvl="0">
      <w:lvlJc w:val="left"/>
      <w:lvlText w:val="•"/>
      <w:numFmt w:val="bullet"/>
      <w:start w:val="1"/>
    </w:lvl>
  </w:abstractNum>
  <w:abstractNum w:abstractNumId="19">
    <w:nsid w:val="30DF306"/>
    <w:multiLevelType w:val="hybridMultilevel"/>
    <w:lvl w:ilvl="0">
      <w:lvlJc w:val="left"/>
      <w:lvlText w:val="•"/>
      <w:numFmt w:val="bullet"/>
      <w:start w:val="1"/>
    </w:lvl>
  </w:abstractNum>
  <w:abstractNum w:abstractNumId="20">
    <w:nsid w:val="A65647"/>
    <w:multiLevelType w:val="hybridMultilevel"/>
    <w:lvl w:ilvl="0">
      <w:lvlJc w:val="left"/>
      <w:lvlText w:val="•"/>
      <w:numFmt w:val="bullet"/>
      <w:start w:val="1"/>
    </w:lvl>
  </w:abstractNum>
  <w:abstractNum w:abstractNumId="21">
    <w:nsid w:val="3E5E582B"/>
    <w:multiLevelType w:val="hybridMultilevel"/>
    <w:lvl w:ilvl="0">
      <w:lvlJc w:val="left"/>
      <w:lvlText w:val="•"/>
      <w:numFmt w:val="bullet"/>
      <w:start w:val="1"/>
    </w:lvl>
  </w:abstractNum>
  <w:abstractNum w:abstractNumId="22">
    <w:nsid w:val="257D4626"/>
    <w:multiLevelType w:val="hybridMultilevel"/>
    <w:lvl w:ilvl="0">
      <w:lvlJc w:val="left"/>
      <w:lvlText w:val="•"/>
      <w:numFmt w:val="bullet"/>
      <w:start w:val="1"/>
    </w:lvl>
  </w:abstractNum>
  <w:abstractNum w:abstractNumId="23">
    <w:nsid w:val="5AA8580E"/>
    <w:multiLevelType w:val="hybridMultilevel"/>
    <w:lvl w:ilvl="0">
      <w:lvlJc w:val="left"/>
      <w:lvlText w:val="•"/>
      <w:numFmt w:val="bullet"/>
      <w:start w:val="1"/>
    </w:lvl>
  </w:abstractNum>
  <w:abstractNum w:abstractNumId="24">
    <w:nsid w:val="68FA8D0D"/>
    <w:multiLevelType w:val="hybridMultilevel"/>
    <w:lvl w:ilvl="0">
      <w:lvlJc w:val="left"/>
      <w:lvlText w:val="•"/>
      <w:numFmt w:val="bullet"/>
      <w:start w:val="1"/>
    </w:lvl>
  </w:abstractNum>
  <w:abstractNum w:abstractNumId="25">
    <w:nsid w:val="40F2CBD2"/>
    <w:multiLevelType w:val="hybridMultilevel"/>
    <w:lvl w:ilvl="0">
      <w:lvlJc w:val="left"/>
      <w:lvlText w:val="•"/>
      <w:numFmt w:val="bullet"/>
      <w:start w:val="1"/>
    </w:lvl>
  </w:abstractNum>
  <w:abstractNum w:abstractNumId="26">
    <w:nsid w:val="3BD615EB"/>
    <w:multiLevelType w:val="hybridMultilevel"/>
    <w:lvl w:ilvl="0">
      <w:lvlJc w:val="left"/>
      <w:lvlText w:val="•"/>
      <w:numFmt w:val="bullet"/>
      <w:start w:val="1"/>
    </w:lvl>
  </w:abstractNum>
  <w:abstractNum w:abstractNumId="27">
    <w:nsid w:val="A045AB2"/>
    <w:multiLevelType w:val="hybridMultilevel"/>
    <w:lvl w:ilvl="0">
      <w:lvlJc w:val="left"/>
      <w:lvlText w:val="•"/>
      <w:numFmt w:val="bullet"/>
      <w:start w:val="1"/>
    </w:lvl>
  </w:abstractNum>
  <w:abstractNum w:abstractNumId="28">
    <w:nsid w:val="1872261F"/>
    <w:multiLevelType w:val="hybridMultilevel"/>
    <w:lvl w:ilvl="0">
      <w:lvlJc w:val="left"/>
      <w:lvlText w:val="•"/>
      <w:numFmt w:val="bullet"/>
      <w:start w:val="1"/>
    </w:lvl>
  </w:abstractNum>
  <w:abstractNum w:abstractNumId="29">
    <w:nsid w:val="3DE8306C"/>
    <w:multiLevelType w:val="hybridMultilevel"/>
    <w:lvl w:ilvl="0">
      <w:lvlJc w:val="left"/>
      <w:lvlText w:val="•"/>
      <w:numFmt w:val="bullet"/>
      <w:start w:val="1"/>
    </w:lvl>
  </w:abstractNum>
  <w:abstractNum w:abstractNumId="30">
    <w:nsid w:val="7631573A"/>
    <w:multiLevelType w:val="hybridMultilevel"/>
    <w:lvl w:ilvl="0">
      <w:lvlJc w:val="left"/>
      <w:lvlText w:val="•"/>
      <w:numFmt w:val="bullet"/>
      <w:start w:val="1"/>
    </w:lvl>
  </w:abstractNum>
  <w:abstractNum w:abstractNumId="31">
    <w:nsid w:val="58DF53B"/>
    <w:multiLevelType w:val="hybridMultilevel"/>
    <w:lvl w:ilvl="0">
      <w:lvlJc w:val="left"/>
      <w:lvlText w:val="•"/>
      <w:numFmt w:val="bullet"/>
      <w:start w:val="1"/>
    </w:lvl>
  </w:abstractNum>
  <w:abstractNum w:abstractNumId="32">
    <w:nsid w:val="ACDFAC0"/>
    <w:multiLevelType w:val="hybridMultilevel"/>
    <w:lvl w:ilvl="0">
      <w:lvlJc w:val="left"/>
      <w:lvlText w:val="•"/>
      <w:numFmt w:val="bullet"/>
      <w:start w:val="1"/>
    </w:lvl>
  </w:abstractNum>
  <w:abstractNum w:abstractNumId="33">
    <w:nsid w:val="1F578454"/>
    <w:multiLevelType w:val="hybridMultilevel"/>
    <w:lvl w:ilvl="0">
      <w:lvlJc w:val="left"/>
      <w:lvlText w:val="•"/>
      <w:numFmt w:val="bullet"/>
      <w:start w:val="1"/>
    </w:lvl>
  </w:abstractNum>
  <w:abstractNum w:abstractNumId="34">
    <w:nsid w:val="5B0DAD2A"/>
    <w:multiLevelType w:val="hybridMultilevel"/>
    <w:lvl w:ilvl="0">
      <w:lvlJc w:val="left"/>
      <w:lvlText w:val="•"/>
      <w:numFmt w:val="bullet"/>
      <w:start w:val="1"/>
    </w:lvl>
  </w:abstractNum>
  <w:abstractNum w:abstractNumId="35">
    <w:nsid w:val="4E3D26AB"/>
    <w:multiLevelType w:val="hybridMultilevel"/>
    <w:lvl w:ilvl="0">
      <w:lvlJc w:val="left"/>
      <w:lvlText w:val="•"/>
      <w:numFmt w:val="bullet"/>
      <w:start w:val="1"/>
    </w:lvl>
  </w:abstractNum>
  <w:abstractNum w:abstractNumId="36">
    <w:nsid w:val="BE2C8BA"/>
    <w:multiLevelType w:val="hybridMultilevel"/>
    <w:lvl w:ilvl="0">
      <w:lvlJc w:val="left"/>
      <w:lvlText w:val="•"/>
      <w:numFmt w:val="bullet"/>
      <w:start w:val="1"/>
    </w:lvl>
  </w:abstractNum>
  <w:abstractNum w:abstractNumId="37">
    <w:nsid w:val="7B14914E"/>
    <w:multiLevelType w:val="hybridMultilevel"/>
    <w:lvl w:ilvl="0">
      <w:lvlJc w:val="left"/>
      <w:lvlText w:val="•"/>
      <w:numFmt w:val="bullet"/>
      <w:start w:val="1"/>
    </w:lvl>
  </w:abstractNum>
  <w:abstractNum w:abstractNumId="38">
    <w:nsid w:val="6F0939F8"/>
    <w:multiLevelType w:val="hybridMultilevel"/>
    <w:lvl w:ilvl="0">
      <w:lvlJc w:val="left"/>
      <w:lvlText w:val="•"/>
      <w:numFmt w:val="bullet"/>
      <w:start w:val="1"/>
    </w:lvl>
  </w:abstractNum>
  <w:abstractNum w:abstractNumId="39">
    <w:nsid w:val="154291F6"/>
    <w:multiLevelType w:val="hybridMultilevel"/>
    <w:lvl w:ilvl="0">
      <w:lvlJc w:val="left"/>
      <w:lvlText w:val="•"/>
      <w:numFmt w:val="bullet"/>
      <w:start w:val="1"/>
    </w:lvl>
  </w:abstractNum>
  <w:abstractNum w:abstractNumId="40">
    <w:nsid w:val="3CEBD7C7"/>
    <w:multiLevelType w:val="hybridMultilevel"/>
    <w:lvl w:ilvl="0">
      <w:lvlJc w:val="left"/>
      <w:lvlText w:val="•"/>
      <w:numFmt w:val="bullet"/>
      <w:start w:val="1"/>
    </w:lvl>
  </w:abstractNum>
  <w:abstractNum w:abstractNumId="41">
    <w:nsid w:val="60EE9C16"/>
    <w:multiLevelType w:val="hybridMultilevel"/>
    <w:lvl w:ilvl="0">
      <w:lvlJc w:val="left"/>
      <w:lvlText w:val="•"/>
      <w:numFmt w:val="bullet"/>
      <w:start w:val="1"/>
    </w:lvl>
  </w:abstractNum>
  <w:abstractNum w:abstractNumId="42">
    <w:nsid w:val="6385489E"/>
    <w:multiLevelType w:val="hybridMultilevel"/>
    <w:lvl w:ilvl="0">
      <w:lvlJc w:val="left"/>
      <w:lvlText w:val="•"/>
      <w:numFmt w:val="bullet"/>
      <w:start w:val="1"/>
    </w:lvl>
  </w:abstractNum>
  <w:abstractNum w:abstractNumId="43">
    <w:nsid w:val="E4B973"/>
    <w:multiLevelType w:val="hybridMultilevel"/>
    <w:lvl w:ilvl="0">
      <w:lvlJc w:val="left"/>
      <w:lvlText w:val="•"/>
      <w:numFmt w:val="bullet"/>
      <w:start w:val="1"/>
    </w:lvl>
  </w:abstractNum>
  <w:abstractNum w:abstractNumId="44">
    <w:nsid w:val="4A0FFA11"/>
    <w:multiLevelType w:val="hybridMultilevel"/>
    <w:lvl w:ilvl="0">
      <w:lvlJc w:val="left"/>
      <w:lvlText w:val="(%1)"/>
      <w:numFmt w:val="decimal"/>
      <w:start w:val="1"/>
    </w:lvl>
  </w:abstractNum>
  <w:abstractNum w:abstractNumId="45">
    <w:nsid w:val="5E446208"/>
    <w:multiLevelType w:val="hybridMultilevel"/>
    <w:lvl w:ilvl="0">
      <w:lvlJc w:val="left"/>
      <w:lvlText w:val="(%1)"/>
      <w:numFmt w:val="decimal"/>
      <w:start w:val="2"/>
    </w:lvl>
  </w:abstractNum>
  <w:abstractNum w:abstractNumId="46">
    <w:nsid w:val="5F3272DB"/>
    <w:multiLevelType w:val="hybridMultilevel"/>
    <w:lvl w:ilvl="0">
      <w:lvlJc w:val="left"/>
      <w:lvlText w:val="(%1)"/>
      <w:numFmt w:val="decimal"/>
      <w:start w:val="1"/>
    </w:lvl>
  </w:abstractNum>
  <w:abstractNum w:abstractNumId="47">
    <w:nsid w:val="7616D704"/>
    <w:multiLevelType w:val="hybridMultilevel"/>
    <w:lvl w:ilvl="0">
      <w:lvlJc w:val="left"/>
      <w:lvlText w:val="•"/>
      <w:numFmt w:val="bullet"/>
      <w:start w:val="1"/>
    </w:lvl>
  </w:abstractNum>
  <w:abstractNum w:abstractNumId="48">
    <w:nsid w:val="C56F860"/>
    <w:multiLevelType w:val="hybridMultilevel"/>
    <w:lvl w:ilvl="0">
      <w:lvlJc w:val="left"/>
      <w:lvlText w:val="•"/>
      <w:numFmt w:val="bullet"/>
      <w:start w:val="1"/>
    </w:lvl>
  </w:abstractNum>
  <w:abstractNum w:abstractNumId="49">
    <w:nsid w:val="64D17722"/>
    <w:multiLevelType w:val="hybridMultilevel"/>
    <w:lvl w:ilvl="0">
      <w:lvlJc w:val="left"/>
      <w:lvlText w:val="•"/>
      <w:numFmt w:val="bullet"/>
      <w:start w:val="1"/>
    </w:lvl>
  </w:abstractNum>
  <w:abstractNum w:abstractNumId="50">
    <w:nsid w:val="7924CA0A"/>
    <w:multiLevelType w:val="hybridMultilevel"/>
    <w:lvl w:ilvl="0">
      <w:lvlJc w:val="left"/>
      <w:lvlText w:val="•"/>
      <w:numFmt w:val="bullet"/>
      <w:start w:val="1"/>
    </w:lvl>
  </w:abstractNum>
  <w:abstractNum w:abstractNumId="51">
    <w:nsid w:val="CFD4EA7"/>
    <w:multiLevelType w:val="hybridMultilevel"/>
    <w:lvl w:ilvl="0">
      <w:lvlJc w:val="left"/>
      <w:lvlText w:val="•"/>
      <w:numFmt w:val="bullet"/>
      <w:start w:val="1"/>
    </w:lvl>
  </w:abstractNum>
  <w:abstractNum w:abstractNumId="52">
    <w:nsid w:val="232FCF4D"/>
    <w:multiLevelType w:val="hybridMultilevel"/>
    <w:lvl w:ilvl="0">
      <w:lvlJc w:val="left"/>
      <w:lvlText w:val="•"/>
      <w:numFmt w:val="bullet"/>
      <w:start w:val="1"/>
    </w:lvl>
  </w:abstractNum>
  <w:abstractNum w:abstractNumId="53">
    <w:nsid w:val="1EA21031"/>
    <w:multiLevelType w:val="hybridMultilevel"/>
    <w:lvl w:ilvl="0">
      <w:lvlJc w:val="left"/>
      <w:lvlText w:val="•"/>
      <w:numFmt w:val="bullet"/>
      <w:start w:val="1"/>
    </w:lvl>
  </w:abstractNum>
  <w:abstractNum w:abstractNumId="54">
    <w:nsid w:val="67A5A6B5"/>
    <w:multiLevelType w:val="hybridMultilevel"/>
    <w:lvl w:ilvl="0">
      <w:lvlJc w:val="left"/>
      <w:lvlText w:val="(%1)"/>
      <w:numFmt w:val="decimal"/>
      <w:start w:val="1"/>
    </w:lvl>
  </w:abstractNum>
  <w:abstractNum w:abstractNumId="55">
    <w:nsid w:val="C2A5C5B"/>
    <w:multiLevelType w:val="hybridMultilevel"/>
    <w:lvl w:ilvl="0">
      <w:lvlJc w:val="left"/>
      <w:lvlText w:val="•"/>
      <w:numFmt w:val="bullet"/>
      <w:start w:val="1"/>
    </w:lvl>
  </w:abstractNum>
  <w:abstractNum w:abstractNumId="56">
    <w:nsid w:val="5F94DC03"/>
    <w:multiLevelType w:val="hybridMultilevel"/>
    <w:lvl w:ilvl="0">
      <w:lvlJc w:val="left"/>
      <w:lvlText w:val="•"/>
      <w:numFmt w:val="bullet"/>
      <w:start w:val="1"/>
    </w:lvl>
  </w:abstractNum>
  <w:abstractNum w:abstractNumId="57">
    <w:nsid w:val="237BBCA0"/>
    <w:multiLevelType w:val="hybridMultilevel"/>
    <w:lvl w:ilvl="0">
      <w:lvlJc w:val="left"/>
      <w:lvlText w:val="•"/>
      <w:numFmt w:val="bullet"/>
      <w:start w:val="1"/>
    </w:lvl>
  </w:abstractNum>
  <w:abstractNum w:abstractNumId="58">
    <w:nsid w:val="162EB70D"/>
    <w:multiLevelType w:val="hybridMultilevel"/>
    <w:lvl w:ilvl="0">
      <w:lvlJc w:val="left"/>
      <w:lvlText w:val="•"/>
      <w:numFmt w:val="bullet"/>
      <w:start w:val="1"/>
    </w:lvl>
  </w:abstractNum>
  <w:abstractNum w:abstractNumId="59">
    <w:nsid w:val="78070222"/>
    <w:multiLevelType w:val="hybridMultilevel"/>
    <w:lvl w:ilvl="0">
      <w:lvlJc w:val="left"/>
      <w:lvlText w:val="•"/>
      <w:numFmt w:val="bullet"/>
      <w:start w:val="1"/>
    </w:lvl>
  </w:abstractNum>
  <w:abstractNum w:abstractNumId="60">
    <w:nsid w:val="6163ED0D"/>
    <w:multiLevelType w:val="hybridMultilevel"/>
    <w:lvl w:ilvl="0">
      <w:lvlJc w:val="left"/>
      <w:lvlText w:val="•"/>
      <w:numFmt w:val="bullet"/>
      <w:start w:val="1"/>
    </w:lvl>
  </w:abstractNum>
  <w:abstractNum w:abstractNumId="61">
    <w:nsid w:val="C600E47"/>
    <w:multiLevelType w:val="hybridMultilevel"/>
    <w:lvl w:ilvl="0">
      <w:lvlJc w:val="left"/>
      <w:lvlText w:val="•"/>
      <w:numFmt w:val="bullet"/>
      <w:start w:val="1"/>
    </w:lvl>
  </w:abstractNum>
  <w:abstractNum w:abstractNumId="62">
    <w:nsid w:val="7D94F75D"/>
    <w:multiLevelType w:val="hybridMultilevel"/>
    <w:lvl w:ilvl="0">
      <w:lvlJc w:val="left"/>
      <w:lvlText w:val="•"/>
      <w:numFmt w:val="bullet"/>
      <w:start w:val="1"/>
    </w:lvl>
  </w:abstractNum>
  <w:abstractNum w:abstractNumId="63">
    <w:nsid w:val="6C31E7CD"/>
    <w:multiLevelType w:val="hybridMultilevel"/>
    <w:lvl w:ilvl="0">
      <w:lvlJc w:val="left"/>
      <w:lvlText w:val="•"/>
      <w:numFmt w:val="bullet"/>
      <w:start w:val="1"/>
    </w:lvl>
  </w:abstractNum>
  <w:abstractNum w:abstractNumId="64">
    <w:nsid w:val="2BB7929B"/>
    <w:multiLevelType w:val="hybridMultilevel"/>
    <w:lvl w:ilvl="0">
      <w:lvlJc w:val="left"/>
      <w:lvlText w:val="•"/>
      <w:numFmt w:val="bullet"/>
      <w:start w:val="1"/>
    </w:lvl>
  </w:abstractNum>
  <w:abstractNum w:abstractNumId="65">
    <w:nsid w:val="58A2A487"/>
    <w:multiLevelType w:val="hybridMultilevel"/>
    <w:lvl w:ilvl="0">
      <w:lvlJc w:val="left"/>
      <w:lvlText w:val="•"/>
      <w:numFmt w:val="bullet"/>
      <w:start w:val="1"/>
    </w:lvl>
  </w:abstractNum>
  <w:abstractNum w:abstractNumId="66">
    <w:nsid w:val="3A6F0E78"/>
    <w:multiLevelType w:val="hybridMultilevel"/>
    <w:lvl w:ilvl="0">
      <w:lvlJc w:val="left"/>
      <w:lvlText w:val="•"/>
      <w:numFmt w:val="bullet"/>
      <w:start w:val="1"/>
    </w:lvl>
  </w:abstractNum>
  <w:abstractNum w:abstractNumId="67">
    <w:nsid w:val="379A5B56"/>
    <w:multiLevelType w:val="hybridMultilevel"/>
    <w:lvl w:ilvl="0">
      <w:lvlJc w:val="left"/>
      <w:lvlText w:val="•"/>
      <w:numFmt w:val="bullet"/>
      <w:start w:val="1"/>
    </w:lvl>
  </w:abstractNum>
  <w:abstractNum w:abstractNumId="68">
    <w:nsid w:val="53B735D5"/>
    <w:multiLevelType w:val="hybridMultilevel"/>
    <w:lvl w:ilvl="0">
      <w:lvlJc w:val="left"/>
      <w:lvlText w:val="•"/>
      <w:numFmt w:val="bullet"/>
      <w:start w:val="1"/>
    </w:lvl>
  </w:abstractNum>
  <w:abstractNum w:abstractNumId="69">
    <w:nsid w:val="29784870"/>
    <w:multiLevelType w:val="hybridMultilevel"/>
    <w:lvl w:ilvl="0">
      <w:lvlJc w:val="left"/>
      <w:lvlText w:val="•"/>
      <w:numFmt w:val="bullet"/>
      <w:start w:val="1"/>
    </w:lvl>
  </w:abstractNum>
  <w:abstractNum w:abstractNumId="70">
    <w:nsid w:val="4CDCED4C"/>
    <w:multiLevelType w:val="hybridMultilevel"/>
    <w:lvl w:ilvl="0">
      <w:lvlJc w:val="left"/>
      <w:lvlText w:val="•"/>
      <w:numFmt w:val="bullet"/>
      <w:start w:val="1"/>
    </w:lvl>
  </w:abstractNum>
  <w:abstractNum w:abstractNumId="71">
    <w:nsid w:val="10A30D9C"/>
    <w:multiLevelType w:val="hybridMultilevel"/>
    <w:lvl w:ilvl="0">
      <w:lvlJc w:val="left"/>
      <w:lvlText w:val="•"/>
      <w:numFmt w:val="bullet"/>
      <w:start w:val="1"/>
    </w:lvl>
  </w:abstractNum>
  <w:abstractNum w:abstractNumId="72">
    <w:nsid w:val="A66E486"/>
    <w:multiLevelType w:val="hybridMultilevel"/>
    <w:lvl w:ilvl="0">
      <w:lvlJc w:val="left"/>
      <w:lvlText w:val="•"/>
      <w:numFmt w:val="bullet"/>
      <w:start w:val="1"/>
    </w:lvl>
  </w:abstractNum>
  <w:abstractNum w:abstractNumId="73">
    <w:nsid w:val="306235EA"/>
    <w:multiLevelType w:val="hybridMultilevel"/>
    <w:lvl w:ilvl="0">
      <w:lvlJc w:val="left"/>
      <w:lvlText w:val="•"/>
      <w:numFmt w:val="bullet"/>
      <w:start w:val="1"/>
    </w:lvl>
  </w:abstractNum>
  <w:abstractNum w:abstractNumId="74">
    <w:nsid w:val="1187C70F"/>
    <w:multiLevelType w:val="hybridMultilevel"/>
    <w:lvl w:ilvl="0">
      <w:lvlJc w:val="left"/>
      <w:lvlText w:val="•"/>
      <w:numFmt w:val="bullet"/>
      <w:start w:val="1"/>
    </w:lvl>
  </w:abstractNum>
  <w:abstractNum w:abstractNumId="75">
    <w:nsid w:val="5476DE98"/>
    <w:multiLevelType w:val="hybridMultilevel"/>
    <w:lvl w:ilvl="0">
      <w:lvlJc w:val="left"/>
      <w:lvlText w:val="•"/>
      <w:numFmt w:val="bullet"/>
      <w:start w:val="1"/>
    </w:lvl>
  </w:abstractNum>
  <w:abstractNum w:abstractNumId="76">
    <w:nsid w:val="EA697F2"/>
    <w:multiLevelType w:val="hybridMultilevel"/>
    <w:lvl w:ilvl="0">
      <w:lvlJc w:val="left"/>
      <w:lvlText w:val="(%1)"/>
      <w:numFmt w:val="decimal"/>
      <w:start w:val="1"/>
    </w:lvl>
  </w:abstractNum>
  <w:abstractNum w:abstractNumId="77">
    <w:nsid w:val="70BA39EB"/>
    <w:multiLevelType w:val="hybridMultilevel"/>
    <w:lvl w:ilvl="0">
      <w:lvlJc w:val="left"/>
      <w:lvlText w:val="(%1)"/>
      <w:numFmt w:val="decimal"/>
      <w:start w:val="1"/>
    </w:lvl>
  </w:abstractNum>
  <w:abstractNum w:abstractNumId="78">
    <w:nsid w:val="4A8DB59C"/>
    <w:multiLevelType w:val="hybridMultilevel"/>
    <w:lvl w:ilvl="0">
      <w:lvlJc w:val="left"/>
      <w:lvlText w:val="(%1)"/>
      <w:numFmt w:val="decimal"/>
      <w:start w:val="1"/>
    </w:lvl>
  </w:abstractNum>
  <w:abstractNum w:abstractNumId="79">
    <w:nsid w:val="1AFD9053"/>
    <w:multiLevelType w:val="hybridMultilevel"/>
    <w:lvl w:ilvl="0">
      <w:lvlJc w:val="left"/>
      <w:lvlText w:val="•"/>
      <w:numFmt w:val="bullet"/>
      <w:start w:val="1"/>
    </w:lvl>
  </w:abstractNum>
  <w:abstractNum w:abstractNumId="80">
    <w:nsid w:val="558BB10D"/>
    <w:multiLevelType w:val="hybridMultilevel"/>
    <w:lvl w:ilvl="0">
      <w:lvlJc w:val="left"/>
      <w:lvlText w:val="•"/>
      <w:numFmt w:val="bullet"/>
      <w:start w:val="1"/>
    </w:lvl>
  </w:abstractNum>
  <w:abstractNum w:abstractNumId="81">
    <w:nsid w:val="43B27FA7"/>
    <w:multiLevelType w:val="hybridMultilevel"/>
    <w:lvl w:ilvl="0">
      <w:lvlJc w:val="left"/>
      <w:lvlText w:val="•"/>
      <w:numFmt w:val="bullet"/>
      <w:start w:val="1"/>
    </w:lvl>
  </w:abstractNum>
  <w:abstractNum w:abstractNumId="82">
    <w:nsid w:val="27FADEFA"/>
    <w:multiLevelType w:val="hybridMultilevel"/>
    <w:lvl w:ilvl="0">
      <w:lvlJc w:val="left"/>
      <w:lvlText w:val="(%1)"/>
      <w:numFmt w:val="decimal"/>
      <w:start w:val="1"/>
    </w:lvl>
  </w:abstractNum>
  <w:abstractNum w:abstractNumId="83">
    <w:nsid w:val="78BB805A"/>
    <w:multiLevelType w:val="hybridMultilevel"/>
    <w:lvl w:ilvl="0">
      <w:lvlJc w:val="left"/>
      <w:lvlText w:val="(%1)"/>
      <w:numFmt w:val="decimal"/>
      <w:start w:val="3"/>
    </w:lvl>
  </w:abstractNum>
  <w:abstractNum w:abstractNumId="84">
    <w:nsid w:val="62548FD8"/>
    <w:multiLevelType w:val="hybridMultilevel"/>
    <w:lvl w:ilvl="0">
      <w:lvlJc w:val="left"/>
      <w:lvlText w:val="(%1)"/>
      <w:numFmt w:val="decimal"/>
      <w:start w:val="5"/>
    </w:lvl>
  </w:abstractNum>
  <w:abstractNum w:abstractNumId="85">
    <w:nsid w:val="FA085B0"/>
    <w:multiLevelType w:val="hybridMultilevel"/>
    <w:lvl w:ilvl="0">
      <w:lvlJc w:val="left"/>
      <w:lvlText w:val="(%1)"/>
      <w:numFmt w:val="decimal"/>
      <w:start w:val="8"/>
    </w:lvl>
  </w:abstractNum>
  <w:abstractNum w:abstractNumId="86">
    <w:nsid w:val="4E5DCB5"/>
    <w:multiLevelType w:val="hybridMultilevel"/>
    <w:lvl w:ilvl="0">
      <w:lvlJc w:val="left"/>
      <w:lvlText w:val="•"/>
      <w:numFmt w:val="bullet"/>
      <w:start w:val="1"/>
    </w:lvl>
  </w:abstractNum>
  <w:abstractNum w:abstractNumId="87">
    <w:nsid w:val="41E96BDB"/>
    <w:multiLevelType w:val="hybridMultilevel"/>
    <w:lvl w:ilvl="0">
      <w:lvlJc w:val="left"/>
      <w:lvlText w:val="•"/>
      <w:numFmt w:val="bullet"/>
      <w:start w:val="1"/>
    </w:lvl>
  </w:abstractNum>
  <w:abstractNum w:abstractNumId="88">
    <w:nsid w:val="331C4250"/>
    <w:multiLevelType w:val="hybridMultilevel"/>
    <w:lvl w:ilvl="0">
      <w:lvlJc w:val="left"/>
      <w:lvlText w:val="•"/>
      <w:numFmt w:val="bullet"/>
      <w:start w:val="1"/>
    </w:lvl>
  </w:abstractNum>
  <w:abstractNum w:abstractNumId="89">
    <w:nsid w:val="1B1493C2"/>
    <w:multiLevelType w:val="hybridMultilevel"/>
    <w:lvl w:ilvl="0">
      <w:lvlJc w:val="left"/>
      <w:lvlText w:val="•"/>
      <w:numFmt w:val="bullet"/>
      <w:start w:val="1"/>
    </w:lvl>
  </w:abstractNum>
  <w:abstractNum w:abstractNumId="90">
    <w:nsid w:val="39F06DFD"/>
    <w:multiLevelType w:val="hybridMultilevel"/>
    <w:lvl w:ilvl="0">
      <w:lvlJc w:val="left"/>
      <w:lvlText w:val="•"/>
      <w:numFmt w:val="bullet"/>
      <w:start w:val="1"/>
    </w:lvl>
  </w:abstractNum>
  <w:abstractNum w:abstractNumId="91">
    <w:nsid w:val="14802F5D"/>
    <w:multiLevelType w:val="hybridMultilevel"/>
    <w:lvl w:ilvl="0">
      <w:lvlJc w:val="left"/>
      <w:lvlText w:val="•"/>
      <w:numFmt w:val="bullet"/>
      <w:start w:val="1"/>
    </w:lvl>
  </w:abstractNum>
  <w:abstractNum w:abstractNumId="92">
    <w:nsid w:val="2774A209"/>
    <w:multiLevelType w:val="hybridMultilevel"/>
    <w:lvl w:ilvl="0">
      <w:lvlJc w:val="left"/>
      <w:lvlText w:val="•"/>
      <w:numFmt w:val="bullet"/>
      <w:start w:val="1"/>
    </w:lvl>
  </w:abstractNum>
  <w:abstractNum w:abstractNumId="93">
    <w:nsid w:val="3785655A"/>
    <w:multiLevelType w:val="hybridMultilevel"/>
    <w:lvl w:ilvl="0">
      <w:lvlJc w:val="left"/>
      <w:lvlText w:val="(%1)"/>
      <w:numFmt w:val="decimal"/>
      <w:start w:val="2"/>
    </w:lvl>
    <w:lvl w:ilvl="1">
      <w:lvlJc w:val="left"/>
      <w:lvlText w:val="(%2)"/>
      <w:numFmt w:val="upperLetter"/>
      <w:start w:val="1"/>
    </w:lvl>
  </w:abstractNum>
  <w:abstractNum w:abstractNumId="94">
    <w:nsid w:val="B2172A"/>
    <w:multiLevelType w:val="hybridMultilevel"/>
    <w:lvl w:ilvl="0">
      <w:lvlJc w:val="left"/>
      <w:lvlText w:val="(%1)"/>
      <w:numFmt w:val="upperLetter"/>
      <w:start w:val="3"/>
    </w:lvl>
  </w:abstractNum>
  <w:abstractNum w:abstractNumId="95">
    <w:nsid w:val="532C34A5"/>
    <w:multiLevelType w:val="hybridMultilevel"/>
    <w:lvl w:ilvl="0">
      <w:lvlJc w:val="left"/>
      <w:lvlText w:val="•"/>
      <w:numFmt w:val="bullet"/>
      <w:start w:val="1"/>
    </w:lvl>
  </w:abstractNum>
  <w:abstractNum w:abstractNumId="96">
    <w:nsid w:val="102809E2"/>
    <w:multiLevelType w:val="hybridMultilevel"/>
    <w:lvl w:ilvl="0">
      <w:lvlJc w:val="left"/>
      <w:lvlText w:val="•"/>
      <w:numFmt w:val="bullet"/>
      <w:start w:val="1"/>
    </w:lvl>
  </w:abstractNum>
  <w:abstractNum w:abstractNumId="97">
    <w:nsid w:val="3B2125A3"/>
    <w:multiLevelType w:val="hybridMultilevel"/>
    <w:lvl w:ilvl="0">
      <w:lvlJc w:val="left"/>
      <w:lvlText w:val="(%1)"/>
      <w:numFmt w:val="lowerLetter"/>
      <w:start w:val="1"/>
    </w:lvl>
  </w:abstractNum>
  <w:abstractNum w:abstractNumId="98">
    <w:nsid w:val="AC68FFB"/>
    <w:multiLevelType w:val="hybridMultilevel"/>
    <w:lvl w:ilvl="0">
      <w:lvlJc w:val="left"/>
      <w:lvlText w:val="%1."/>
      <w:numFmt w:val="decimal"/>
      <w:start w:val="2"/>
    </w:lvl>
  </w:abstractNum>
  <w:abstractNum w:abstractNumId="99">
    <w:nsid w:val="63DF3FB7"/>
    <w:multiLevelType w:val="hybridMultilevel"/>
    <w:lvl w:ilvl="0">
      <w:lvlJc w:val="left"/>
      <w:lvlText w:val="•"/>
      <w:numFmt w:val="bullet"/>
      <w:start w:val="1"/>
    </w:lvl>
  </w:abstractNum>
  <w:abstractNum w:abstractNumId="100">
    <w:nsid w:val="64996E13"/>
    <w:multiLevelType w:val="hybridMultilevel"/>
    <w:lvl w:ilvl="0">
      <w:lvlJc w:val="left"/>
      <w:lvlText w:val="%1."/>
      <w:numFmt w:val="decimal"/>
      <w:start w:val="2"/>
    </w:lvl>
  </w:abstractNum>
  <w:abstractNum w:abstractNumId="101">
    <w:nsid w:val="57A37D47"/>
    <w:multiLevelType w:val="hybridMultilevel"/>
    <w:lvl w:ilvl="0">
      <w:lvlJc w:val="left"/>
      <w:lvlText w:val="%1."/>
      <w:numFmt w:val="decimal"/>
      <w:start w:val="2"/>
    </w:lvl>
  </w:abstractNum>
  <w:abstractNum w:abstractNumId="102">
    <w:nsid w:val="74824D54"/>
    <w:multiLevelType w:val="hybridMultilevel"/>
    <w:lvl w:ilvl="0">
      <w:lvlJc w:val="left"/>
      <w:lvlText w:val="%1)"/>
      <w:numFmt w:val="decimal"/>
      <w:start w:val="842"/>
    </w:lvl>
  </w:abstractNum>
  <w:abstractNum w:abstractNumId="103">
    <w:nsid w:val="6F00529A"/>
    <w:multiLevelType w:val="hybridMultilevel"/>
    <w:lvl w:ilvl="0">
      <w:lvlJc w:val="left"/>
      <w:lvlText w:val="(%1)"/>
      <w:numFmt w:val="lowerLetter"/>
      <w:start w:val="1"/>
    </w:lvl>
  </w:abstractNum>
  <w:abstractNum w:abstractNumId="104">
    <w:nsid w:val="805B331"/>
    <w:multiLevelType w:val="hybridMultilevel"/>
    <w:lvl w:ilvl="0">
      <w:lvlJc w:val="left"/>
      <w:lvlText w:val="(%1)"/>
      <w:numFmt w:val="lowerLetter"/>
      <w:start w:val="2"/>
    </w:lvl>
  </w:abstractNum>
  <w:abstractNum w:abstractNumId="105">
    <w:nsid w:val="60A1463"/>
    <w:multiLevelType w:val="hybridMultilevel"/>
    <w:lvl w:ilvl="0">
      <w:lvlJc w:val="left"/>
      <w:lvlText w:val="•"/>
      <w:numFmt w:val="bullet"/>
      <w:start w:val="1"/>
    </w:lvl>
  </w:abstractNum>
  <w:abstractNum w:abstractNumId="106">
    <w:nsid w:val="43773132"/>
    <w:multiLevelType w:val="hybridMultilevel"/>
    <w:lvl w:ilvl="0">
      <w:lvlJc w:val="left"/>
      <w:lvlText w:val="(%1)"/>
      <w:numFmt w:val="lowerLetter"/>
      <w:start w:val="3"/>
    </w:lvl>
  </w:abstractNum>
  <w:abstractNum w:abstractNumId="107">
    <w:nsid w:val="16AC4B23"/>
    <w:multiLevelType w:val="hybridMultilevel"/>
    <w:lvl w:ilvl="0">
      <w:lvlJc w:val="left"/>
      <w:lvlText w:val="•"/>
      <w:numFmt w:val="bullet"/>
      <w:start w:val="1"/>
    </w:lvl>
  </w:abstractNum>
  <w:abstractNum w:abstractNumId="108">
    <w:nsid w:val="76C44E4E"/>
    <w:multiLevelType w:val="hybridMultilevel"/>
    <w:lvl w:ilvl="0">
      <w:lvlJc w:val="left"/>
      <w:lvlText w:val="%1."/>
      <w:numFmt w:val="decimal"/>
      <w:start w:val="10"/>
    </w:lvl>
  </w:abstractNum>
  <w:abstractNum w:abstractNumId="109">
    <w:nsid w:val="E04E6CE"/>
    <w:multiLevelType w:val="hybridMultilevel"/>
    <w:lvl w:ilvl="0">
      <w:lvlJc w:val="left"/>
      <w:lvlText w:val="•"/>
      <w:numFmt w:val="bullet"/>
      <w:start w:val="1"/>
    </w:lvl>
  </w:abstractNum>
  <w:abstractNum w:abstractNumId="110">
    <w:nsid w:val="31A9DB76"/>
    <w:multiLevelType w:val="hybridMultilevel"/>
    <w:lvl w:ilvl="0">
      <w:lvlJc w:val="left"/>
      <w:lvlText w:val="%1."/>
      <w:numFmt w:val="decimal"/>
      <w:start w:val="10"/>
    </w:lvl>
  </w:abstractNum>
  <w:abstractNum w:abstractNumId="111">
    <w:nsid w:val="4C4FFF5B"/>
    <w:multiLevelType w:val="hybridMultilevel"/>
    <w:lvl w:ilvl="0">
      <w:lvlJc w:val="left"/>
      <w:lvlText w:val="•"/>
      <w:numFmt w:val="bullet"/>
      <w:start w:val="1"/>
    </w:lvl>
  </w:abstractNum>
  <w:abstractNum w:abstractNumId="112">
    <w:nsid w:val="51B76675"/>
    <w:multiLevelType w:val="hybridMultilevel"/>
    <w:lvl w:ilvl="0">
      <w:lvlJc w:val="left"/>
      <w:lvlText w:val="%1."/>
      <w:numFmt w:val="decimal"/>
      <w:start w:val="10"/>
    </w:lvl>
  </w:abstractNum>
  <w:abstractNum w:abstractNumId="113">
    <w:nsid w:val="59A4BA71"/>
    <w:multiLevelType w:val="hybridMultilevel"/>
    <w:lvl w:ilvl="0">
      <w:lvlJc w:val="left"/>
      <w:lvlText w:val="%1."/>
      <w:numFmt w:val="decimal"/>
      <w:start w:val="11"/>
    </w:lvl>
  </w:abstractNum>
  <w:abstractNum w:abstractNumId="114">
    <w:nsid w:val="450B7FB6"/>
    <w:multiLevelType w:val="hybridMultilevel"/>
    <w:lvl w:ilvl="0">
      <w:lvlJc w:val="left"/>
      <w:lvlText w:val="•"/>
      <w:numFmt w:val="bullet"/>
      <w:start w:val="1"/>
    </w:lvl>
  </w:abstractNum>
  <w:abstractNum w:abstractNumId="115">
    <w:nsid w:val="340BF64D"/>
    <w:multiLevelType w:val="hybridMultilevel"/>
    <w:lvl w:ilvl="0">
      <w:lvlJc w:val="left"/>
      <w:lvlText w:val="•"/>
      <w:numFmt w:val="bullet"/>
      <w:start w:val="1"/>
    </w:lvl>
  </w:abstractNum>
  <w:abstractNum w:abstractNumId="116">
    <w:nsid w:val="69454021"/>
    <w:multiLevelType w:val="hybridMultilevel"/>
    <w:lvl w:ilvl="0">
      <w:lvlJc w:val="left"/>
      <w:lvlText w:val="•"/>
      <w:numFmt w:val="bullet"/>
      <w:start w:val="1"/>
    </w:lvl>
  </w:abstractNum>
  <w:abstractNum w:abstractNumId="117">
    <w:nsid w:val="49F15C6B"/>
    <w:multiLevelType w:val="hybridMultilevel"/>
    <w:lvl w:ilvl="0">
      <w:lvlJc w:val="left"/>
      <w:lvlText w:val="•"/>
      <w:numFmt w:val="bullet"/>
      <w:start w:val="1"/>
    </w:lvl>
  </w:abstractNum>
  <w:abstractNum w:abstractNumId="118">
    <w:nsid w:val="75F56228"/>
    <w:multiLevelType w:val="hybridMultilevel"/>
    <w:lvl w:ilvl="0">
      <w:lvlJc w:val="left"/>
      <w:lvlText w:val="•"/>
      <w:numFmt w:val="bullet"/>
      <w:start w:val="1"/>
    </w:lvl>
  </w:abstractNum>
  <w:abstractNum w:abstractNumId="119">
    <w:nsid w:val="1C618271"/>
    <w:multiLevelType w:val="hybridMultilevel"/>
    <w:lvl w:ilvl="0">
      <w:lvlJc w:val="left"/>
      <w:lvlText w:val="•"/>
      <w:numFmt w:val="bullet"/>
      <w:start w:val="1"/>
    </w:lvl>
  </w:abstractNum>
  <w:abstractNum w:abstractNumId="120">
    <w:nsid w:val="6505F02E"/>
    <w:multiLevelType w:val="hybridMultilevel"/>
    <w:lvl w:ilvl="0">
      <w:lvlJc w:val="left"/>
      <w:lvlText w:val="(%1)"/>
      <w:numFmt w:val="lowerLetter"/>
      <w:start w:val="1"/>
    </w:lvl>
  </w:abstractNum>
  <w:abstractNum w:abstractNumId="121">
    <w:nsid w:val="2FE5D025"/>
    <w:multiLevelType w:val="hybridMultilevel"/>
    <w:lvl w:ilvl="0">
      <w:lvlJc w:val="left"/>
      <w:lvlText w:val="†"/>
      <w:numFmt w:val="bullet"/>
      <w:start w:val="1"/>
    </w:lvl>
  </w:abstractNum>
  <w:abstractNum w:abstractNumId="122">
    <w:nsid w:val="30E1B1CF"/>
    <w:multiLevelType w:val="hybridMultilevel"/>
    <w:lvl w:ilvl="0">
      <w:lvlJc w:val="left"/>
      <w:lvlText w:val="#"/>
      <w:numFmt w:val="bullet"/>
      <w:start w:val="1"/>
    </w:lvl>
    <w:lvl w:ilvl="1">
      <w:lvlJc w:val="left"/>
      <w:lvlText w:val="(%2)"/>
      <w:numFmt w:val="lowerLetter"/>
      <w:start w:val="2"/>
    </w:lvl>
  </w:abstractNum>
  <w:abstractNum w:abstractNumId="123">
    <w:nsid w:val="C7A9237"/>
    <w:multiLevelType w:val="hybridMultilevel"/>
    <w:lvl w:ilvl="0">
      <w:lvlJc w:val="left"/>
      <w:lvlText w:val="(%1)"/>
      <w:numFmt w:val="decimal"/>
      <w:start w:val="1"/>
    </w:lvl>
  </w:abstractNum>
  <w:abstractNum w:abstractNumId="124">
    <w:nsid w:val="676B3580"/>
    <w:multiLevelType w:val="hybridMultilevel"/>
    <w:lvl w:ilvl="0">
      <w:lvlJc w:val="left"/>
      <w:lvlText w:val="†"/>
      <w:numFmt w:val="bullet"/>
      <w:start w:val="1"/>
    </w:lvl>
  </w:abstractNum>
  <w:abstractNum w:abstractNumId="125">
    <w:nsid w:val="3193C8F9"/>
    <w:multiLevelType w:val="hybridMultilevel"/>
    <w:lvl w:ilvl="0">
      <w:lvlJc w:val="left"/>
      <w:lvlText w:val="#"/>
      <w:numFmt w:val="bullet"/>
      <w:start w:val="1"/>
    </w:lvl>
  </w:abstractNum>
  <w:abstractNum w:abstractNumId="126">
    <w:nsid w:val="5FA6C6DC"/>
    <w:multiLevelType w:val="hybridMultilevel"/>
    <w:lvl w:ilvl="0">
      <w:lvlJc w:val="left"/>
      <w:lvlText w:val="[●]"/>
      <w:numFmt w:val="bullet"/>
      <w:start w:val="1"/>
    </w:lvl>
  </w:abstractNum>
  <w:abstractNum w:abstractNumId="127">
    <w:nsid w:val="77933F62"/>
    <w:multiLevelType w:val="hybridMultilevel"/>
    <w:lvl w:ilvl="0">
      <w:lvlJc w:val="left"/>
      <w:lvlText w:val="%1."/>
      <w:numFmt w:val="decimal"/>
      <w:start w:val="1"/>
    </w:lvl>
  </w:abstractNum>
  <w:abstractNum w:abstractNumId="128">
    <w:nsid w:val="6CB4EE9C"/>
    <w:multiLevelType w:val="hybridMultilevel"/>
    <w:lvl w:ilvl="0">
      <w:lvlJc w:val="left"/>
      <w:lvlText w:val="%1."/>
      <w:numFmt w:val="decimal"/>
      <w:start w:val="2"/>
    </w:lvl>
  </w:abstractNum>
  <w:abstractNum w:abstractNumId="129">
    <w:nsid w:val="6A6D56D7"/>
    <w:multiLevelType w:val="hybridMultilevel"/>
    <w:lvl w:ilvl="0">
      <w:lvlJc w:val="left"/>
      <w:lvlText w:val="(%1)"/>
      <w:numFmt w:val="lowerLetter"/>
      <w:start w:val="2"/>
    </w:lvl>
  </w:abstractNum>
  <w:abstractNum w:abstractNumId="130">
    <w:nsid w:val="5B727F19"/>
    <w:multiLevelType w:val="hybridMultilevel"/>
    <w:lvl w:ilvl="0">
      <w:lvlJc w:val="left"/>
      <w:lvlText w:val="(%1)"/>
      <w:numFmt w:val="lowerLetter"/>
      <w:start w:val="4"/>
    </w:lvl>
  </w:abstractNum>
  <w:abstractNum w:abstractNumId="131">
    <w:nsid w:val="514E5CB0"/>
    <w:multiLevelType w:val="hybridMultilevel"/>
    <w:lvl w:ilvl="0">
      <w:lvlJc w:val="left"/>
      <w:lvlText w:val="%1."/>
      <w:numFmt w:val="decimal"/>
      <w:start w:val="3"/>
    </w:lvl>
    <w:lvl w:ilvl="1">
      <w:lvlJc w:val="left"/>
      <w:lvlText w:val="(%2)"/>
      <w:numFmt w:val="lowerLetter"/>
      <w:start w:val="1"/>
    </w:lvl>
  </w:abstractNum>
  <w:abstractNum w:abstractNumId="132">
    <w:nsid w:val="4210D41E"/>
    <w:multiLevelType w:val="hybridMultilevel"/>
    <w:lvl w:ilvl="0">
      <w:lvlJc w:val="left"/>
      <w:lvlText w:val="(%1)"/>
      <w:numFmt w:val="lowerLetter"/>
      <w:start w:val="4"/>
    </w:lvl>
  </w:abstractNum>
  <w:abstractNum w:abstractNumId="133">
    <w:nsid w:val="4FF4CC6D"/>
    <w:multiLevelType w:val="hybridMultilevel"/>
    <w:lvl w:ilvl="0">
      <w:lvlJc w:val="left"/>
      <w:lvlText w:val="(%1)"/>
      <w:numFmt w:val="lowerLetter"/>
      <w:start w:val="6"/>
    </w:lvl>
  </w:abstractNum>
  <w:abstractNum w:abstractNumId="134">
    <w:nsid w:val="404EAF4A"/>
    <w:multiLevelType w:val="hybridMultilevel"/>
    <w:lvl w:ilvl="0">
      <w:lvlJc w:val="left"/>
      <w:lvlText w:val="(%1)"/>
      <w:numFmt w:val="lowerLetter"/>
      <w:start w:val="9"/>
    </w:lvl>
  </w:abstractNum>
  <w:abstractNum w:abstractNumId="135">
    <w:nsid w:val="4A16874F"/>
    <w:multiLevelType w:val="hybridMultilevel"/>
    <w:lvl w:ilvl="0">
      <w:lvlJc w:val="left"/>
      <w:lvlText w:val="(%1)"/>
      <w:numFmt w:val="lowerLetter"/>
      <w:start w:val="11"/>
    </w:lvl>
  </w:abstractNum>
  <w:abstractNum w:abstractNumId="136">
    <w:nsid w:val="55FEE0D1"/>
    <w:multiLevelType w:val="hybridMultilevel"/>
    <w:lvl w:ilvl="0">
      <w:lvlJc w:val="left"/>
      <w:lvlText w:val="(%1)"/>
      <w:numFmt w:val="lowerLetter"/>
      <w:start w:val="15"/>
    </w:lvl>
  </w:abstractNum>
  <w:abstractNum w:abstractNumId="137">
    <w:nsid w:val="3C5E07C"/>
    <w:multiLevelType w:val="hybridMultilevel"/>
    <w:lvl w:ilvl="0">
      <w:lvlJc w:val="left"/>
      <w:lvlText w:val="(%1)"/>
      <w:numFmt w:val="lowerLetter"/>
      <w:start w:val="19"/>
    </w:lvl>
  </w:abstractNum>
  <w:abstractNum w:abstractNumId="138">
    <w:nsid w:val="60C2D273"/>
    <w:multiLevelType w:val="hybridMultilevel"/>
    <w:lvl w:ilvl="0">
      <w:lvlJc w:val="left"/>
      <w:lvlText w:val="(%1)"/>
      <w:numFmt w:val="lowerLetter"/>
      <w:start w:val="23"/>
    </w:lvl>
  </w:abstractNum>
  <w:abstractNum w:abstractNumId="139">
    <w:nsid w:val="4CC32F1F"/>
    <w:multiLevelType w:val="hybridMultilevel"/>
    <w:lvl w:ilvl="0">
      <w:lvlJc w:val="left"/>
      <w:lvlText w:val="(%1)"/>
      <w:numFmt w:val="lowerLetter"/>
      <w:start w:val="24"/>
    </w:lvl>
  </w:abstractNum>
  <w:abstractNum w:abstractNumId="140">
    <w:nsid w:val="11CAC74A"/>
    <w:multiLevelType w:val="hybridMultilevel"/>
    <w:lvl w:ilvl="0">
      <w:lvlJc w:val="left"/>
      <w:lvlText w:val="(%1)"/>
      <w:numFmt w:val="lowerLetter"/>
      <w:start w:val="27"/>
    </w:lvl>
  </w:abstractNum>
  <w:abstractNum w:abstractNumId="141">
    <w:nsid w:val="126CADE9"/>
    <w:multiLevelType w:val="hybridMultilevel"/>
    <w:lvl w:ilvl="0">
      <w:lvlJc w:val="left"/>
      <w:lvlText w:val="(%1)"/>
      <w:numFmt w:val="lowerLetter"/>
      <w:start w:val="26"/>
    </w:lvl>
    <w:lvl w:ilvl="1">
      <w:lvlJc w:val="left"/>
      <w:lvlText w:val="(%2)"/>
      <w:numFmt w:val="lowerLetter"/>
      <w:start w:val="29"/>
    </w:lvl>
  </w:abstractNum>
  <w:abstractNum w:abstractNumId="142">
    <w:nsid w:val="19132E7B"/>
    <w:multiLevelType w:val="hybridMultilevel"/>
    <w:lvl w:ilvl="0">
      <w:lvlJc w:val="left"/>
      <w:lvlText w:val="(%1)"/>
      <w:numFmt w:val="lowerLetter"/>
      <w:start w:val="30"/>
    </w:lvl>
  </w:abstractNum>
  <w:abstractNum w:abstractNumId="143">
    <w:nsid w:val="63822DC0"/>
    <w:multiLevelType w:val="hybridMultilevel"/>
    <w:lvl w:ilvl="0">
      <w:lvlJc w:val="left"/>
      <w:lvlText w:val="(%1)"/>
      <w:numFmt w:val="lowerLetter"/>
      <w:start w:val="9"/>
    </w:lvl>
    <w:lvl w:ilvl="1">
      <w:lvlJc w:val="left"/>
      <w:lvlText w:val="(%2)"/>
      <w:numFmt w:val="lowerLetter"/>
      <w:start w:val="32"/>
    </w:lvl>
  </w:abstractNum>
  <w:abstractNum w:abstractNumId="144">
    <w:nsid w:val="6C11685A"/>
    <w:multiLevelType w:val="hybridMultilevel"/>
    <w:lvl w:ilvl="0">
      <w:lvlJc w:val="left"/>
      <w:lvlText w:val="(%1)"/>
      <w:numFmt w:val="lowerLetter"/>
      <w:start w:val="35"/>
    </w:lvl>
    <w:lvl w:ilvl="1">
      <w:lvlJc w:val="left"/>
      <w:lvlText w:val="%2"/>
      <w:numFmt w:val="lowerLetter"/>
      <w:start w:val="1"/>
    </w:lvl>
  </w:abstractNum>
  <w:abstractNum w:abstractNumId="145">
    <w:nsid w:val="5E1EAE31"/>
    <w:multiLevelType w:val="hybridMultilevel"/>
    <w:lvl w:ilvl="0">
      <w:lvlJc w:val="left"/>
      <w:lvlText w:val="(%1)"/>
      <w:numFmt w:val="lowerLetter"/>
      <w:start w:val="61"/>
    </w:lvl>
    <w:lvl w:ilvl="1">
      <w:lvlJc w:val="left"/>
      <w:lvlText w:val="%2"/>
      <w:numFmt w:val="lowerLetter"/>
      <w:start w:val="1"/>
    </w:lvl>
  </w:abstractNum>
  <w:abstractNum w:abstractNumId="146">
    <w:nsid w:val="178E240D"/>
    <w:multiLevelType w:val="hybridMultilevel"/>
    <w:lvl w:ilvl="0">
      <w:lvlJc w:val="left"/>
      <w:lvlText w:val="(%1)"/>
      <w:numFmt w:val="lowerLetter"/>
      <w:start w:val="34"/>
    </w:lvl>
  </w:abstractNum>
  <w:abstractNum w:abstractNumId="147">
    <w:nsid w:val="5556A87B"/>
    <w:multiLevelType w:val="hybridMultilevel"/>
    <w:lvl w:ilvl="0">
      <w:lvlJc w:val="left"/>
      <w:lvlText w:val="(%1)"/>
      <w:numFmt w:val="lowerLetter"/>
      <w:start w:val="37"/>
    </w:lvl>
  </w:abstractNum>
  <w:abstractNum w:abstractNumId="148">
    <w:nsid w:val="28100A9C"/>
    <w:multiLevelType w:val="hybridMultilevel"/>
    <w:lvl w:ilvl="0">
      <w:lvlJc w:val="left"/>
      <w:lvlText w:val="(%1)"/>
      <w:numFmt w:val="lowerLetter"/>
      <w:start w:val="45"/>
    </w:lvl>
  </w:abstractNum>
  <w:abstractNum w:abstractNumId="149">
    <w:nsid w:val="D838636"/>
    <w:multiLevelType w:val="hybridMultilevel"/>
    <w:lvl w:ilvl="0">
      <w:lvlJc w:val="left"/>
      <w:lvlText w:val="%1."/>
      <w:numFmt w:val="decimal"/>
      <w:start w:val="4"/>
    </w:lvl>
    <w:lvl w:ilvl="1">
      <w:lvlJc w:val="left"/>
      <w:lvlText w:val="(%2)"/>
      <w:numFmt w:val="lowerLetter"/>
      <w:start w:val="1"/>
    </w:lvl>
  </w:abstractNum>
  <w:abstractNum w:abstractNumId="150">
    <w:nsid w:val="71B82AED"/>
    <w:multiLevelType w:val="hybridMultilevel"/>
    <w:lvl w:ilvl="0">
      <w:lvlJc w:val="left"/>
      <w:lvlText w:val="(%1)"/>
      <w:numFmt w:val="lowerLetter"/>
      <w:start w:val="5"/>
    </w:lvl>
  </w:abstractNum>
  <w:abstractNum w:abstractNumId="151">
    <w:nsid w:val="D15FACA"/>
    <w:multiLevelType w:val="hybridMultilevel"/>
    <w:lvl w:ilvl="0">
      <w:lvlJc w:val="left"/>
      <w:lvlText w:val="(%1)"/>
      <w:numFmt w:val="lowerLetter"/>
      <w:start w:val="6"/>
    </w:lvl>
  </w:abstractNum>
  <w:abstractNum w:abstractNumId="152">
    <w:nsid w:val="3D69565B"/>
    <w:multiLevelType w:val="hybridMultilevel"/>
    <w:lvl w:ilvl="0">
      <w:lvlJc w:val="left"/>
      <w:lvlText w:val="(%1)"/>
      <w:numFmt w:val="lowerLetter"/>
      <w:start w:val="9"/>
    </w:lvl>
  </w:abstractNum>
  <w:abstractNum w:abstractNumId="153">
    <w:nsid w:val="2299DCBC"/>
    <w:multiLevelType w:val="hybridMultilevel"/>
    <w:lvl w:ilvl="0">
      <w:lvlJc w:val="left"/>
      <w:lvlText w:val="%1."/>
      <w:numFmt w:val="decimal"/>
      <w:start w:val="5"/>
    </w:lvl>
    <w:lvl w:ilvl="1">
      <w:lvlJc w:val="left"/>
      <w:lvlText w:val="(%2)"/>
      <w:numFmt w:val="lowerLetter"/>
      <w:start w:val="1"/>
    </w:lvl>
  </w:abstractNum>
  <w:abstractNum w:abstractNumId="154">
    <w:nsid w:val="19908D02"/>
    <w:multiLevelType w:val="hybridMultilevel"/>
    <w:lvl w:ilvl="0">
      <w:lvlJc w:val="left"/>
      <w:lvlText w:val="%1"/>
      <w:numFmt w:val="decimal"/>
      <w:start w:val="405"/>
    </w:lvl>
    <w:lvl w:ilvl="1">
      <w:lvlJc w:val="left"/>
      <w:lvlText w:val="(%2)"/>
      <w:numFmt w:val="lowerLetter"/>
      <w:start w:val="2"/>
    </w:lvl>
  </w:abstractNum>
  <w:abstractNum w:abstractNumId="155">
    <w:nsid w:val="24D48BDB"/>
    <w:multiLevelType w:val="hybridMultilevel"/>
    <w:lvl w:ilvl="0">
      <w:lvlJc w:val="left"/>
      <w:lvlText w:val="%1."/>
      <w:numFmt w:val="decimal"/>
      <w:start w:val="6"/>
    </w:lvl>
    <w:lvl w:ilvl="1">
      <w:lvlJc w:val="left"/>
      <w:lvlText w:val="(%2)"/>
      <w:numFmt w:val="lowerLetter"/>
      <w:start w:val="1"/>
    </w:lvl>
  </w:abstractNum>
  <w:abstractNum w:abstractNumId="156">
    <w:nsid w:val="542DA5B5"/>
    <w:multiLevelType w:val="hybridMultilevel"/>
    <w:lvl w:ilvl="0">
      <w:lvlJc w:val="left"/>
      <w:lvlText w:val="(%1)"/>
      <w:numFmt w:val="lowerLetter"/>
      <w:start w:val="3"/>
    </w:lvl>
  </w:abstractNum>
  <w:abstractNum w:abstractNumId="157">
    <w:nsid w:val="793753DE"/>
    <w:multiLevelType w:val="hybridMultilevel"/>
    <w:lvl w:ilvl="0">
      <w:lvlJc w:val="left"/>
      <w:lvlText w:val="(%1)"/>
      <w:numFmt w:val="lowerLetter"/>
      <w:start w:val="7"/>
    </w:lvl>
  </w:abstractNum>
  <w:abstractNum w:abstractNumId="158">
    <w:nsid w:val="1C67CB3D"/>
    <w:multiLevelType w:val="hybridMultilevel"/>
    <w:lvl w:ilvl="0">
      <w:lvlJc w:val="left"/>
      <w:lvlText w:val="%1."/>
      <w:numFmt w:val="decimal"/>
      <w:start w:val="7"/>
    </w:lvl>
  </w:abstractNum>
  <w:abstractNum w:abstractNumId="159">
    <w:nsid w:val="40E29452"/>
    <w:multiLevelType w:val="hybridMultilevel"/>
    <w:lvl w:ilvl="0">
      <w:lvlJc w:val="left"/>
      <w:lvlText w:val="(%1)"/>
      <w:numFmt w:val="lowerLetter"/>
      <w:start w:val="1"/>
    </w:lvl>
  </w:abstractNum>
  <w:abstractNum w:abstractNumId="160">
    <w:nsid w:val="63A4AAB6"/>
    <w:multiLevelType w:val="hybridMultilevel"/>
    <w:lvl w:ilvl="0">
      <w:lvlJc w:val="left"/>
      <w:lvlText w:val="(%1)"/>
      <w:numFmt w:val="lowerLetter"/>
      <w:start w:val="2"/>
    </w:lvl>
  </w:abstractNum>
  <w:abstractNum w:abstractNumId="161">
    <w:nsid w:val="77DA4A57"/>
    <w:multiLevelType w:val="hybridMultilevel"/>
    <w:lvl w:ilvl="0">
      <w:lvlJc w:val="left"/>
      <w:lvlText w:val="(%1)"/>
      <w:numFmt w:val="lowerLetter"/>
      <w:start w:val="3"/>
    </w:lvl>
  </w:abstractNum>
  <w:abstractNum w:abstractNumId="162">
    <w:nsid w:val="1230F102"/>
    <w:multiLevelType w:val="hybridMultilevel"/>
    <w:lvl w:ilvl="0">
      <w:lvlJc w:val="left"/>
      <w:lvlText w:val="(%1)"/>
      <w:numFmt w:val="lowerLetter"/>
      <w:start w:val="35"/>
    </w:lvl>
    <w:lvl w:ilvl="1">
      <w:lvlJc w:val="left"/>
      <w:lvlText w:val="(%2)"/>
      <w:numFmt w:val="lowerLetter"/>
      <w:start w:val="4"/>
    </w:lvl>
  </w:abstractNum>
  <w:abstractNum w:abstractNumId="163">
    <w:nsid w:val="25B57ED4"/>
    <w:multiLevelType w:val="hybridMultilevel"/>
    <w:lvl w:ilvl="0">
      <w:lvlJc w:val="left"/>
      <w:lvlText w:val="%1"/>
      <w:numFmt w:val="lowerLetter"/>
      <w:start w:val="1"/>
    </w:lvl>
    <w:lvl w:ilvl="1">
      <w:lvlJc w:val="left"/>
      <w:lvlText w:val="(%2)"/>
      <w:numFmt w:val="lowerLetter"/>
      <w:start w:val="5"/>
    </w:lvl>
  </w:abstractNum>
  <w:abstractNum w:abstractNumId="164">
    <w:nsid w:val="47CF16C4"/>
    <w:multiLevelType w:val="hybridMultilevel"/>
    <w:lvl w:ilvl="0">
      <w:lvlJc w:val="left"/>
      <w:lvlText w:val="(%1)"/>
      <w:numFmt w:val="lowerLetter"/>
      <w:start w:val="4"/>
    </w:lvl>
    <w:lvl w:ilvl="1">
      <w:lvlJc w:val="left"/>
      <w:lvlText w:val="(%2)"/>
      <w:numFmt w:val="lowerLetter"/>
      <w:start w:val="6"/>
    </w:lvl>
  </w:abstractNum>
  <w:abstractNum w:abstractNumId="165">
    <w:nsid w:val="527FA04C"/>
    <w:multiLevelType w:val="hybridMultilevel"/>
    <w:lvl w:ilvl="0">
      <w:lvlJc w:val="left"/>
      <w:lvlText w:val="%1."/>
      <w:numFmt w:val="decimal"/>
      <w:start w:val="8"/>
    </w:lvl>
  </w:abstractNum>
  <w:abstractNum w:abstractNumId="166">
    <w:nsid w:val="6FCC0624"/>
    <w:multiLevelType w:val="hybridMultilevel"/>
    <w:lvl w:ilvl="0">
      <w:lvlJc w:val="left"/>
      <w:lvlText w:val="%1."/>
      <w:numFmt w:val="decimal"/>
      <w:start w:val="10"/>
    </w:lvl>
  </w:abstractNum>
  <w:abstractNum w:abstractNumId="167">
    <w:nsid w:val="1DCDF795"/>
    <w:multiLevelType w:val="hybridMultilevel"/>
    <w:lvl w:ilvl="0">
      <w:lvlJc w:val="left"/>
      <w:lvlText w:val="(%1)"/>
      <w:numFmt w:val="lowerLetter"/>
      <w:start w:val="1"/>
    </w:lvl>
  </w:abstractNum>
  <w:abstractNum w:abstractNumId="168">
    <w:nsid w:val="564580C8"/>
    <w:multiLevelType w:val="hybridMultilevel"/>
    <w:lvl w:ilvl="0">
      <w:lvlJc w:val="left"/>
      <w:lvlText w:val="%1."/>
      <w:numFmt w:val="decimal"/>
      <w:start w:val="11"/>
    </w:lvl>
  </w:abstractNum>
  <w:abstractNum w:abstractNumId="169">
    <w:nsid w:val="508ED897"/>
    <w:multiLevelType w:val="hybridMultilevel"/>
    <w:lvl w:ilvl="0">
      <w:lvlJc w:val="left"/>
      <w:lvlText w:val="(%1)"/>
      <w:numFmt w:val="lowerLetter"/>
      <w:start w:val="1"/>
    </w:lvl>
  </w:abstractNum>
  <w:abstractNum w:abstractNumId="170">
    <w:nsid w:val="6A9126B5"/>
    <w:multiLevelType w:val="hybridMultilevel"/>
    <w:lvl w:ilvl="0">
      <w:lvlJc w:val="left"/>
      <w:lvlText w:val="%1."/>
      <w:numFmt w:val="decimal"/>
      <w:start w:val="12"/>
    </w:lvl>
  </w:abstractNum>
  <w:abstractNum w:abstractNumId="171">
    <w:nsid w:val="68104812"/>
    <w:multiLevelType w:val="hybridMultilevel"/>
    <w:lvl w:ilvl="0">
      <w:lvlJc w:val="left"/>
      <w:lvlText w:val="%1."/>
      <w:numFmt w:val="decimal"/>
      <w:start w:val="14"/>
    </w:lvl>
  </w:abstractNum>
  <w:abstractNum w:abstractNumId="172">
    <w:nsid w:val="62FB8680"/>
    <w:multiLevelType w:val="hybridMultilevel"/>
    <w:lvl w:ilvl="0">
      <w:lvlJc w:val="left"/>
      <w:lvlText w:val="(%1)"/>
      <w:numFmt w:val="lowerLetter"/>
      <w:start w:val="1"/>
    </w:lvl>
  </w:abstractNum>
  <w:abstractNum w:abstractNumId="173">
    <w:nsid w:val="3A45530"/>
    <w:multiLevelType w:val="hybridMultilevel"/>
    <w:lvl w:ilvl="0">
      <w:lvlJc w:val="left"/>
      <w:lvlText w:val="%1:"/>
      <w:numFmt w:val="lowerLetter"/>
      <w:start w:val="29"/>
    </w:lvl>
  </w:abstractNum>
  <w:abstractNum w:abstractNumId="174">
    <w:nsid w:val="4B9275D2"/>
    <w:multiLevelType w:val="hybridMultilevel"/>
    <w:lvl w:ilvl="0">
      <w:lvlJc w:val="left"/>
      <w:lvlText w:val="(%1)"/>
      <w:numFmt w:val="decimal"/>
      <w:start w:val="3"/>
    </w:lvl>
  </w:abstractNum>
  <w:abstractNum w:abstractNumId="175">
    <w:nsid w:val="4F0CEEDB"/>
    <w:multiLevelType w:val="hybridMultilevel"/>
    <w:lvl w:ilvl="0">
      <w:lvlJc w:val="left"/>
      <w:lvlText w:val="(%1)"/>
      <w:numFmt w:val="upperLetter"/>
      <w:start w:val="1"/>
    </w:lvl>
  </w:abstractNum>
  <w:abstractNum w:abstractNumId="176">
    <w:nsid w:val="61C30361"/>
    <w:multiLevelType w:val="hybridMultilevel"/>
    <w:lvl w:ilvl="0">
      <w:lvlJc w:val="left"/>
      <w:lvlText w:val="(%1)"/>
      <w:numFmt w:val="upperLetter"/>
      <w:start w:val="8"/>
    </w:lvl>
  </w:abstractNum>
  <w:abstractNum w:abstractNumId="177">
    <w:nsid w:val="632099E0"/>
    <w:multiLevelType w:val="hybridMultilevel"/>
    <w:lvl w:ilvl="0">
      <w:lvlJc w:val="left"/>
      <w:lvlText w:val="(%1)"/>
      <w:numFmt w:val="lowerLetter"/>
      <w:start w:val="1"/>
    </w:lvl>
  </w:abstractNum>
  <w:abstractNum w:abstractNumId="178">
    <w:nsid w:val="24639756"/>
    <w:multiLevelType w:val="hybridMultilevel"/>
    <w:lvl w:ilvl="0">
      <w:lvlJc w:val="left"/>
      <w:lvlText w:val="(%1)"/>
      <w:numFmt w:val="lowerLetter"/>
      <w:start w:val="2"/>
    </w:lvl>
  </w:abstractNum>
  <w:abstractNum w:abstractNumId="179">
    <w:nsid w:val="9D30DFD"/>
    <w:multiLevelType w:val="hybridMultilevel"/>
    <w:lvl w:ilvl="0">
      <w:lvlJc w:val="left"/>
      <w:lvlText w:val="(%1)"/>
      <w:numFmt w:val="lowerLetter"/>
      <w:start w:val="1"/>
    </w:lvl>
  </w:abstractNum>
  <w:abstractNum w:abstractNumId="180">
    <w:nsid w:val="70A42016"/>
    <w:multiLevelType w:val="hybridMultilevel"/>
    <w:lvl w:ilvl="0">
      <w:lvlJc w:val="left"/>
      <w:lvlText w:val="(%1)"/>
      <w:numFmt w:val="lowerLetter"/>
      <w:start w:val="6"/>
    </w:lvl>
  </w:abstractNum>
  <w:abstractNum w:abstractNumId="181">
    <w:nsid w:val="161BC243"/>
    <w:multiLevelType w:val="hybridMultilevel"/>
    <w:lvl w:ilvl="0">
      <w:lvlJc w:val="left"/>
      <w:lvlText w:val="(%1)"/>
      <w:numFmt w:val="lowerLetter"/>
      <w:start w:val="2"/>
    </w:lvl>
  </w:abstractNum>
  <w:abstractNum w:abstractNumId="182">
    <w:nsid w:val="16E908C8"/>
    <w:multiLevelType w:val="hybridMultilevel"/>
    <w:lvl w:ilvl="0">
      <w:lvlJc w:val="left"/>
      <w:lvlText w:val="(%1)"/>
      <w:numFmt w:val="lowerLetter"/>
      <w:start w:val="2"/>
    </w:lvl>
  </w:abstractNum>
  <w:abstractNum w:abstractNumId="183">
    <w:nsid w:val="2E0D7671"/>
    <w:multiLevelType w:val="hybridMultilevel"/>
    <w:lvl w:ilvl="0">
      <w:lvlJc w:val="left"/>
      <w:lvlText w:val="%1."/>
      <w:numFmt w:val="decimal"/>
      <w:start w:val="1"/>
    </w:lvl>
  </w:abstractNum>
  <w:abstractNum w:abstractNumId="184">
    <w:nsid w:val="38B59EFF"/>
    <w:multiLevelType w:val="hybridMultilevel"/>
    <w:lvl w:ilvl="0">
      <w:lvlJc w:val="left"/>
      <w:lvlText w:val="%1."/>
      <w:numFmt w:val="decimal"/>
      <w:start w:val="2"/>
    </w:lvl>
  </w:abstractNum>
  <w:abstractNum w:abstractNumId="185">
    <w:nsid w:val="307995CA"/>
    <w:multiLevelType w:val="hybridMultilevel"/>
    <w:lvl w:ilvl="0">
      <w:lvlJc w:val="left"/>
      <w:lvlText w:val="%1"/>
      <w:numFmt w:val="decimal"/>
      <w:start w:val="1"/>
    </w:lvl>
    <w:lvl w:ilvl="1">
      <w:lvlJc w:val="left"/>
      <w:lvlText w:val="(%2)"/>
      <w:numFmt w:val="lowerLetter"/>
      <w:start w:val="1"/>
    </w:lvl>
  </w:abstractNum>
  <w:abstractNum w:abstractNumId="186">
    <w:nsid w:val="52E2024D"/>
    <w:multiLevelType w:val="hybridMultilevel"/>
    <w:lvl w:ilvl="0">
      <w:lvlJc w:val="left"/>
      <w:lvlText w:val="%1."/>
      <w:numFmt w:val="decimal"/>
      <w:start w:val="6"/>
    </w:lvl>
    <w:lvl w:ilvl="1">
      <w:lvlJc w:val="left"/>
      <w:lvlText w:val="%2"/>
      <w:numFmt w:val="lowerLetter"/>
      <w:start w:val="1"/>
    </w:lvl>
  </w:abstractNum>
  <w:abstractNum w:abstractNumId="187">
    <w:nsid w:val="CE344B5"/>
    <w:multiLevelType w:val="hybridMultilevel"/>
    <w:lvl w:ilvl="0">
      <w:lvlJc w:val="left"/>
      <w:lvlText w:val="%1."/>
      <w:numFmt w:val="decimal"/>
      <w:start w:val="8"/>
    </w:lvl>
  </w:abstractNum>
  <w:abstractNum w:abstractNumId="188">
    <w:nsid w:val="29B0E9A8"/>
    <w:multiLevelType w:val="hybridMultilevel"/>
    <w:lvl w:ilvl="0">
      <w:lvlJc w:val="left"/>
      <w:lvlText w:val="%1"/>
      <w:numFmt w:val="lowerLetter"/>
      <w:start w:val="1"/>
    </w:lvl>
    <w:lvl w:ilvl="1">
      <w:lvlJc w:val="left"/>
      <w:lvlText w:val="(%2)"/>
      <w:numFmt w:val="lowerLetter"/>
      <w:start w:val="1"/>
    </w:lvl>
  </w:abstractNum>
  <w:abstractNum w:abstractNumId="189">
    <w:nsid w:val="6F49CD8A"/>
    <w:multiLevelType w:val="hybridMultilevel"/>
    <w:lvl w:ilvl="0">
      <w:lvlJc w:val="left"/>
      <w:lvlText w:val="(%1)"/>
      <w:numFmt w:val="lowerLetter"/>
      <w:start w:val="35"/>
    </w:lvl>
    <w:lvl w:ilvl="1">
      <w:lvlJc w:val="left"/>
      <w:lvlText w:val="(%2)"/>
      <w:numFmt w:val="lowerLetter"/>
      <w:start w:val="6"/>
    </w:lvl>
  </w:abstractNum>
  <w:abstractNum w:abstractNumId="190">
    <w:nsid w:val="4DC5D907"/>
    <w:multiLevelType w:val="hybridMultilevel"/>
    <w:lvl w:ilvl="0">
      <w:lvlJc w:val="left"/>
      <w:lvlText w:val="(%1)"/>
      <w:numFmt w:val="lowerLetter"/>
      <w:start w:val="7"/>
    </w:lvl>
    <w:lvl w:ilvl="1">
      <w:lvlJc w:val="left"/>
      <w:lvlText w:val="(%2)"/>
      <w:numFmt w:val="lowerRoman"/>
      <w:start w:val="1"/>
    </w:lvl>
  </w:abstractNum>
  <w:abstractNum w:abstractNumId="191">
    <w:nsid w:val="D55945E"/>
    <w:multiLevelType w:val="hybridMultilevel"/>
    <w:lvl w:ilvl="0">
      <w:lvlJc w:val="left"/>
      <w:lvlText w:val="(%1)"/>
      <w:numFmt w:val="lowerRoman"/>
      <w:start w:val="1"/>
    </w:lvl>
  </w:abstractNum>
  <w:abstractNum w:abstractNumId="192">
    <w:nsid w:val="672417E1"/>
    <w:multiLevelType w:val="hybridMultilevel"/>
    <w:lvl w:ilvl="0">
      <w:lvlJc w:val="left"/>
      <w:lvlText w:val="%1"/>
      <w:numFmt w:val="lowerRoman"/>
      <w:start w:val="1"/>
    </w:lvl>
    <w:lvl w:ilvl="1">
      <w:lvlJc w:val="left"/>
      <w:lvlText w:val="(%2)"/>
      <w:numFmt w:val="lowerRoman"/>
      <w:start w:val="4"/>
    </w:lvl>
  </w:abstractNum>
  <w:abstractNum w:abstractNumId="193">
    <w:nsid w:val="5FF6CA09"/>
    <w:multiLevelType w:val="hybridMultilevel"/>
    <w:lvl w:ilvl="0">
      <w:lvlJc w:val="left"/>
      <w:lvlText w:val="(%1)"/>
      <w:numFmt w:val="lowerRoman"/>
      <w:start w:val="2"/>
    </w:lvl>
    <w:lvl w:ilvl="1">
      <w:lvlJc w:val="left"/>
      <w:lvlText w:val="%2"/>
      <w:numFmt w:val="lowerRoman"/>
      <w:start w:val="1"/>
    </w:lvl>
  </w:abstractNum>
  <w:abstractNum w:abstractNumId="194">
    <w:nsid w:val="330B1333"/>
    <w:multiLevelType w:val="hybridMultilevel"/>
    <w:lvl w:ilvl="0">
      <w:lvlJc w:val="left"/>
      <w:lvlText w:val="(%1)"/>
      <w:numFmt w:val="lowerLetter"/>
      <w:start w:val="3"/>
    </w:lvl>
  </w:abstractNum>
  <w:abstractNum w:abstractNumId="195">
    <w:nsid w:val="2EF32EA6"/>
    <w:multiLevelType w:val="hybridMultilevel"/>
    <w:lvl w:ilvl="0">
      <w:lvlJc w:val="left"/>
      <w:lvlText w:val="(%1)"/>
      <w:numFmt w:val="lowerLetter"/>
      <w:start w:val="1"/>
    </w:lvl>
  </w:abstractNum>
  <w:abstractNum w:abstractNumId="196">
    <w:nsid w:val="32766A55"/>
    <w:multiLevelType w:val="hybridMultilevel"/>
    <w:lvl w:ilvl="0">
      <w:lvlJc w:val="left"/>
      <w:lvlText w:val="(%1)"/>
      <w:numFmt w:val="lowerLetter"/>
      <w:start w:val="1"/>
    </w:lvl>
  </w:abstractNum>
  <w:abstractNum w:abstractNumId="197">
    <w:nsid w:val="22D71957"/>
    <w:multiLevelType w:val="hybridMultilevel"/>
    <w:lvl w:ilvl="0">
      <w:lvlJc w:val="left"/>
      <w:lvlText w:val="(%1)"/>
      <w:numFmt w:val="lowerLetter"/>
      <w:start w:val="1"/>
    </w:lvl>
  </w:abstractNum>
  <w:abstractNum w:abstractNumId="198">
    <w:nsid w:val="4CC1263B"/>
    <w:multiLevelType w:val="hybridMultilevel"/>
    <w:lvl w:ilvl="0">
      <w:lvlJc w:val="left"/>
      <w:lvlText w:val="(%1)"/>
      <w:numFmt w:val="lowerLetter"/>
      <w:start w:val="2"/>
    </w:lvl>
  </w:abstractNum>
  <w:abstractNum w:abstractNumId="199">
    <w:nsid w:val="8BBEB1D"/>
    <w:multiLevelType w:val="hybridMultilevel"/>
    <w:lvl w:ilvl="0">
      <w:lvlJc w:val="left"/>
      <w:lvlText w:val="(%1)"/>
      <w:numFmt w:val="lowerLetter"/>
      <w:start w:val="1"/>
    </w:lvl>
  </w:abstractNum>
  <w:abstractNum w:abstractNumId="200">
    <w:nsid w:val="7365F1EE"/>
    <w:multiLevelType w:val="hybridMultilevel"/>
    <w:lvl w:ilvl="0">
      <w:lvlJc w:val="left"/>
      <w:lvlText w:val="(%1)"/>
      <w:numFmt w:val="lowerLetter"/>
      <w:start w:val="2"/>
    </w:lvl>
  </w:abstractNum>
  <w:abstractNum w:abstractNumId="201">
    <w:nsid w:val="37524CF0"/>
    <w:multiLevelType w:val="hybridMultilevel"/>
    <w:lvl w:ilvl="0">
      <w:lvlJc w:val="left"/>
      <w:lvlText w:val="(%1)"/>
      <w:numFmt w:val="lowerLetter"/>
      <w:start w:val="1"/>
    </w:lvl>
  </w:abstractNum>
  <w:abstractNum w:abstractNumId="202">
    <w:nsid w:val="70CC332F"/>
    <w:multiLevelType w:val="hybridMultilevel"/>
    <w:lvl w:ilvl="0">
      <w:lvlJc w:val="left"/>
      <w:lvlText w:val="(%1)"/>
      <w:numFmt w:val="lowerRoman"/>
      <w:start w:val="2"/>
    </w:lvl>
  </w:abstractNum>
  <w:abstractNum w:abstractNumId="203">
    <w:nsid w:val="5661786E"/>
    <w:multiLevelType w:val="hybridMultilevel"/>
    <w:lvl w:ilvl="0">
      <w:lvlJc w:val="left"/>
      <w:lvlText w:val="(%1)"/>
      <w:numFmt w:val="lowerLetter"/>
      <w:start w:val="1"/>
    </w:lvl>
  </w:abstractNum>
  <w:abstractNum w:abstractNumId="204">
    <w:nsid w:val="3AF6A220"/>
    <w:multiLevelType w:val="hybridMultilevel"/>
    <w:lvl w:ilvl="0">
      <w:lvlJc w:val="left"/>
      <w:lvlText w:val="(%1)"/>
      <w:numFmt w:val="lowerLetter"/>
      <w:start w:val="2"/>
    </w:lvl>
  </w:abstractNum>
  <w:abstractNum w:abstractNumId="205">
    <w:nsid w:val="3C5EA902"/>
    <w:multiLevelType w:val="hybridMultilevel"/>
    <w:lvl w:ilvl="0">
      <w:lvlJc w:val="left"/>
      <w:lvlText w:val="(%1)"/>
      <w:numFmt w:val="lowerLetter"/>
      <w:start w:val="1"/>
    </w:lvl>
  </w:abstractNum>
  <w:abstractNum w:abstractNumId="206">
    <w:nsid w:val="256E6749"/>
    <w:multiLevelType w:val="hybridMultilevel"/>
    <w:lvl w:ilvl="0">
      <w:lvlJc w:val="left"/>
      <w:lvlText w:val="(%1)"/>
      <w:numFmt w:val="lowerLetter"/>
      <w:start w:val="1"/>
    </w:lvl>
  </w:abstractNum>
  <w:abstractNum w:abstractNumId="207">
    <w:nsid w:val="1CB9A581"/>
    <w:multiLevelType w:val="hybridMultilevel"/>
    <w:lvl w:ilvl="0">
      <w:lvlJc w:val="left"/>
      <w:lvlText w:val="(%1)"/>
      <w:numFmt w:val="lowerLetter"/>
      <w:start w:val="4"/>
    </w:lvl>
  </w:abstractNum>
  <w:abstractNum w:abstractNumId="208">
    <w:nsid w:val="1F7F42E2"/>
    <w:multiLevelType w:val="hybridMultilevel"/>
    <w:lvl w:ilvl="0">
      <w:lvlJc w:val="left"/>
      <w:lvlText w:val="(%1)"/>
      <w:numFmt w:val="lowerLetter"/>
      <w:start w:val="2"/>
    </w:lvl>
  </w:abstractNum>
  <w:abstractNum w:abstractNumId="209">
    <w:nsid w:val="49D1FEA0"/>
    <w:multiLevelType w:val="hybridMultilevel"/>
    <w:lvl w:ilvl="0">
      <w:lvlJc w:val="left"/>
      <w:lvlText w:val="(%1)"/>
      <w:numFmt w:val="lowerLetter"/>
      <w:start w:val="1"/>
    </w:lvl>
  </w:abstractNum>
  <w:abstractNum w:abstractNumId="210">
    <w:nsid w:val="268CB37F"/>
    <w:multiLevelType w:val="hybridMultilevel"/>
    <w:lvl w:ilvl="0">
      <w:lvlJc w:val="left"/>
      <w:lvlText w:val="(%1)"/>
      <w:numFmt w:val="lowerLetter"/>
      <w:start w:val="2"/>
    </w:lvl>
  </w:abstractNum>
  <w:abstractNum w:abstractNumId="211">
    <w:nsid w:val="102362F8"/>
    <w:multiLevelType w:val="hybridMultilevel"/>
    <w:lvl w:ilvl="0">
      <w:lvlJc w:val="left"/>
      <w:lvlText w:val="(%1)"/>
      <w:numFmt w:val="lowerLetter"/>
      <w:start w:val="1"/>
    </w:lvl>
  </w:abstractNum>
  <w:abstractNum w:abstractNumId="212">
    <w:nsid w:val="5FEDC0E3"/>
    <w:multiLevelType w:val="hybridMultilevel"/>
    <w:lvl w:ilvl="0">
      <w:lvlJc w:val="left"/>
      <w:lvlText w:val="(%1)"/>
      <w:numFmt w:val="lowerLetter"/>
      <w:start w:val="2"/>
    </w:lvl>
  </w:abstractNum>
  <w:abstractNum w:abstractNumId="213">
    <w:nsid w:val="3D75BC47"/>
    <w:multiLevelType w:val="hybridMultilevel"/>
    <w:lvl w:ilvl="0">
      <w:lvlJc w:val="left"/>
      <w:lvlText w:val="(%1)"/>
      <w:numFmt w:val="lowerRoman"/>
      <w:start w:val="2"/>
    </w:lvl>
  </w:abstractNum>
  <w:abstractNum w:abstractNumId="214">
    <w:nsid w:val="3E30D969"/>
    <w:multiLevelType w:val="hybridMultilevel"/>
    <w:lvl w:ilvl="0">
      <w:lvlJc w:val="left"/>
      <w:lvlText w:val="(%1)"/>
      <w:numFmt w:val="lowerLetter"/>
      <w:start w:val="1"/>
    </w:lvl>
  </w:abstractNum>
  <w:abstractNum w:abstractNumId="215">
    <w:nsid w:val="18A35FE3"/>
    <w:multiLevelType w:val="hybridMultilevel"/>
    <w:lvl w:ilvl="0">
      <w:lvlJc w:val="left"/>
      <w:lvlText w:val="(%1)"/>
      <w:numFmt w:val="lowerLetter"/>
      <w:start w:val="2"/>
    </w:lvl>
  </w:abstractNum>
  <w:abstractNum w:abstractNumId="216">
    <w:nsid w:val="6DEF5211"/>
    <w:multiLevelType w:val="hybridMultilevel"/>
    <w:lvl w:ilvl="0">
      <w:lvlJc w:val="left"/>
      <w:lvlText w:val="%1"/>
      <w:numFmt w:val="lowerLetter"/>
      <w:start w:val="1"/>
    </w:lvl>
    <w:lvl w:ilvl="1">
      <w:lvlJc w:val="left"/>
      <w:lvlText w:val="(%2)"/>
      <w:numFmt w:val="lowerLetter"/>
      <w:start w:val="1"/>
    </w:lvl>
  </w:abstractNum>
  <w:abstractNum w:abstractNumId="217">
    <w:nsid w:val="1112DBB6"/>
    <w:multiLevelType w:val="hybridMultilevel"/>
    <w:lvl w:ilvl="0">
      <w:lvlJc w:val="left"/>
      <w:lvlText w:val="(%1)"/>
      <w:numFmt w:val="lowerLetter"/>
      <w:start w:val="2"/>
    </w:lvl>
    <w:lvl w:ilvl="1">
      <w:lvlJc w:val="left"/>
      <w:lvlText w:val="%2"/>
      <w:numFmt w:val="lowerLetter"/>
      <w:start w:val="1"/>
    </w:lvl>
  </w:abstractNum>
  <w:abstractNum w:abstractNumId="218">
    <w:nsid w:val="2586A498"/>
    <w:multiLevelType w:val="hybridMultilevel"/>
    <w:lvl w:ilvl="0">
      <w:lvlJc w:val="left"/>
      <w:lvlText w:val="%1"/>
      <w:numFmt w:val="decimal"/>
      <w:start w:val="1"/>
    </w:lvl>
    <w:lvl w:ilvl="1">
      <w:lvlJc w:val="left"/>
      <w:lvlText w:val="(%2)"/>
      <w:numFmt w:val="lowerLetter"/>
      <w:start w:val="1"/>
    </w:lvl>
  </w:abstractNum>
  <w:abstractNum w:abstractNumId="219">
    <w:nsid w:val="17A03BB9"/>
    <w:multiLevelType w:val="hybridMultilevel"/>
    <w:lvl w:ilvl="0">
      <w:lvlJc w:val="left"/>
      <w:lvlText w:val="(%1)"/>
      <w:numFmt w:val="lowerLetter"/>
      <w:start w:val="1"/>
    </w:lvl>
  </w:abstractNum>
  <w:abstractNum w:abstractNumId="220">
    <w:nsid w:val="5CA941"/>
    <w:multiLevelType w:val="hybridMultilevel"/>
    <w:lvl w:ilvl="0">
      <w:lvlJc w:val="left"/>
      <w:lvlText w:val="%1"/>
      <w:numFmt w:val="lowerLetter"/>
      <w:start w:val="1"/>
    </w:lvl>
    <w:lvl w:ilvl="1">
      <w:lvlJc w:val="left"/>
      <w:lvlText w:val="(%2)"/>
      <w:numFmt w:val="lowerLetter"/>
      <w:start w:val="2"/>
    </w:lvl>
  </w:abstractNum>
  <w:abstractNum w:abstractNumId="221">
    <w:nsid w:val="734C7D9F"/>
    <w:multiLevelType w:val="hybridMultilevel"/>
    <w:lvl w:ilvl="0">
      <w:lvlJc w:val="left"/>
      <w:lvlText w:val="(%1)"/>
      <w:numFmt w:val="lowerLetter"/>
      <w:start w:val="35"/>
    </w:lvl>
    <w:lvl w:ilvl="1">
      <w:lvlJc w:val="left"/>
      <w:lvlText w:val="(%2)"/>
      <w:numFmt w:val="lowerLetter"/>
      <w:start w:val="4"/>
    </w:lvl>
  </w:abstractNum>
  <w:abstractNum w:abstractNumId="222">
    <w:nsid w:val="24F5D018"/>
    <w:multiLevelType w:val="hybridMultilevel"/>
    <w:lvl w:ilvl="0">
      <w:lvlJc w:val="left"/>
      <w:lvlText w:val="(%1)"/>
      <w:numFmt w:val="lowerLetter"/>
      <w:start w:val="1"/>
    </w:lvl>
  </w:abstractNum>
  <w:abstractNum w:abstractNumId="223">
    <w:nsid w:val="6780C122"/>
    <w:multiLevelType w:val="hybridMultilevel"/>
    <w:lvl w:ilvl="0">
      <w:lvlJc w:val="left"/>
      <w:lvlText w:val="(%1)"/>
      <w:numFmt w:val="lowerLetter"/>
      <w:start w:val="4"/>
    </w:lvl>
  </w:abstractNum>
  <w:abstractNum w:abstractNumId="224">
    <w:nsid w:val="534347A8"/>
    <w:multiLevelType w:val="hybridMultilevel"/>
    <w:lvl w:ilvl="0">
      <w:lvlJc w:val="left"/>
      <w:lvlText w:val="(%1)"/>
      <w:numFmt w:val="lowerLetter"/>
      <w:start w:val="1"/>
    </w:lvl>
  </w:abstractNum>
  <w:abstractNum w:abstractNumId="225">
    <w:nsid w:val="5800E34B"/>
    <w:multiLevelType w:val="hybridMultilevel"/>
    <w:lvl w:ilvl="0">
      <w:lvlJc w:val="left"/>
      <w:lvlText w:val="(%1)"/>
      <w:numFmt w:val="lowerLetter"/>
      <w:start w:val="2"/>
    </w:lvl>
    <w:lvl w:ilvl="1">
      <w:lvlJc w:val="left"/>
      <w:lvlText w:val="(%2)"/>
      <w:numFmt w:val="lowerRoman"/>
      <w:start w:val="1"/>
    </w:lvl>
  </w:abstractNum>
  <w:abstractNum w:abstractNumId="226">
    <w:nsid w:val="1673EFC8"/>
    <w:multiLevelType w:val="hybridMultilevel"/>
    <w:lvl w:ilvl="0">
      <w:lvlJc w:val="left"/>
      <w:lvlText w:val="(%1)"/>
      <w:numFmt w:val="lowerLetter"/>
      <w:start w:val="5"/>
    </w:lvl>
  </w:abstractNum>
  <w:abstractNum w:abstractNumId="227">
    <w:nsid w:val="5B9B1FD"/>
    <w:multiLevelType w:val="hybridMultilevel"/>
    <w:lvl w:ilvl="0">
      <w:lvlJc w:val="left"/>
      <w:lvlText w:val="(%1)"/>
      <w:numFmt w:val="lowerLetter"/>
      <w:start w:val="1"/>
    </w:lvl>
  </w:abstractNum>
  <w:abstractNum w:abstractNumId="228">
    <w:nsid w:val="7AD7FCA2"/>
    <w:multiLevelType w:val="hybridMultilevel"/>
    <w:lvl w:ilvl="0">
      <w:lvlJc w:val="left"/>
      <w:lvlText w:val="(%1)"/>
      <w:numFmt w:val="lowerLetter"/>
      <w:start w:val="2"/>
    </w:lvl>
    <w:lvl w:ilvl="1">
      <w:lvlJc w:val="left"/>
      <w:lvlText w:val="(%2)"/>
      <w:numFmt w:val="lowerRoman"/>
      <w:start w:val="1"/>
    </w:lvl>
  </w:abstractNum>
  <w:abstractNum w:abstractNumId="229">
    <w:nsid w:val="63351604"/>
    <w:multiLevelType w:val="hybridMultilevel"/>
    <w:lvl w:ilvl="0">
      <w:lvlJc w:val="left"/>
      <w:lvlText w:val="%1"/>
      <w:numFmt w:val="lowerLetter"/>
      <w:start w:val="1"/>
    </w:lvl>
    <w:lvl w:ilvl="1">
      <w:lvlJc w:val="left"/>
      <w:lvlText w:val="(%2)"/>
      <w:numFmt w:val="lowerRoman"/>
      <w:start w:val="4"/>
    </w:lvl>
  </w:abstractNum>
  <w:abstractNum w:abstractNumId="230">
    <w:nsid w:val="E759D1A"/>
    <w:multiLevelType w:val="hybridMultilevel"/>
    <w:lvl w:ilvl="0">
      <w:lvlJc w:val="left"/>
      <w:lvlText w:val="(%1)"/>
      <w:numFmt w:val="lowerLetter"/>
      <w:start w:val="3"/>
    </w:lvl>
    <w:lvl w:ilvl="1">
      <w:lvlJc w:val="left"/>
      <w:lvlText w:val="%2"/>
      <w:numFmt w:val="lowerRoman"/>
      <w:start w:val="1"/>
    </w:lvl>
  </w:abstractNum>
  <w:abstractNum w:abstractNumId="231">
    <w:nsid w:val="6E3DEE90"/>
    <w:multiLevelType w:val="hybridMultilevel"/>
    <w:lvl w:ilvl="0">
      <w:lvlJc w:val="left"/>
      <w:lvlText w:val="(%1)"/>
      <w:numFmt w:val="lowerRoman"/>
      <w:start w:val="1"/>
    </w:lvl>
    <w:lvl w:ilvl="1">
      <w:lvlJc w:val="left"/>
      <w:lvlText w:val="(%2)"/>
      <w:numFmt w:val="lowerRoman"/>
      <w:start w:val="1"/>
    </w:lvl>
  </w:abstractNum>
  <w:abstractNum w:abstractNumId="232">
    <w:nsid w:val="1A8762F4"/>
    <w:multiLevelType w:val="hybridMultilevel"/>
    <w:lvl w:ilvl="0">
      <w:lvlJc w:val="left"/>
      <w:lvlText w:val="(%1)"/>
      <w:numFmt w:val="lowerLetter"/>
      <w:start w:val="10"/>
    </w:lvl>
  </w:abstractNum>
  <w:abstractNum w:abstractNumId="233">
    <w:nsid w:val="7F41D049"/>
    <w:multiLevelType w:val="hybridMultilevel"/>
    <w:lvl w:ilvl="0">
      <w:lvlJc w:val="left"/>
      <w:lvlText w:val="(%1)"/>
      <w:numFmt w:val="lowerRoman"/>
      <w:start w:val="2"/>
    </w:lvl>
  </w:abstractNum>
  <w:abstractNum w:abstractNumId="234">
    <w:nsid w:val="449F66FE"/>
    <w:multiLevelType w:val="hybridMultilevel"/>
    <w:lvl w:ilvl="0">
      <w:lvlJc w:val="left"/>
      <w:lvlText w:val="(%1)"/>
      <w:numFmt w:val="lowerLetter"/>
      <w:start w:val="11"/>
    </w:lvl>
    <w:lvl w:ilvl="1">
      <w:lvlJc w:val="left"/>
      <w:lvlText w:val="(%2)"/>
      <w:numFmt w:val="lowerLetter"/>
      <w:start w:val="9"/>
    </w:lvl>
  </w:abstractNum>
  <w:abstractNum w:abstractNumId="235">
    <w:nsid w:val="557E0515"/>
    <w:multiLevelType w:val="hybridMultilevel"/>
    <w:lvl w:ilvl="0">
      <w:lvlJc w:val="left"/>
      <w:lvlText w:val="(%1)"/>
      <w:numFmt w:val="lowerRoman"/>
      <w:start w:val="2"/>
    </w:lvl>
  </w:abstractNum>
  <w:abstractNum w:abstractNumId="236">
    <w:nsid w:val="3BA0794B"/>
    <w:multiLevelType w:val="hybridMultilevel"/>
    <w:lvl w:ilvl="0">
      <w:lvlJc w:val="left"/>
      <w:lvlText w:val="(%1)"/>
      <w:numFmt w:val="lowerLetter"/>
      <w:start w:val="1"/>
    </w:lvl>
  </w:abstractNum>
  <w:abstractNum w:abstractNumId="237">
    <w:nsid w:val="6A0DCE48"/>
    <w:multiLevelType w:val="hybridMultilevel"/>
    <w:lvl w:ilvl="0">
      <w:lvlJc w:val="left"/>
      <w:lvlText w:val="(%1)"/>
      <w:numFmt w:val="lowerLetter"/>
      <w:start w:val="5"/>
    </w:lvl>
  </w:abstractNum>
  <w:abstractNum w:abstractNumId="238">
    <w:nsid w:val="7237AA96"/>
    <w:multiLevelType w:val="hybridMultilevel"/>
    <w:lvl w:ilvl="0">
      <w:lvlJc w:val="left"/>
      <w:lvlText w:val="(%1)"/>
      <w:numFmt w:val="lowerLetter"/>
      <w:start w:val="1"/>
    </w:lvl>
    <w:lvl w:ilvl="1">
      <w:lvlJc w:val="left"/>
      <w:lvlText w:val="(%2)"/>
      <w:numFmt w:val="lowerRoman"/>
      <w:start w:val="1"/>
    </w:lvl>
  </w:abstractNum>
  <w:abstractNum w:abstractNumId="239">
    <w:nsid w:val="5B1FBC2D"/>
    <w:multiLevelType w:val="hybridMultilevel"/>
    <w:lvl w:ilvl="0">
      <w:lvlJc w:val="left"/>
      <w:lvlText w:val="(%1)"/>
      <w:numFmt w:val="lowerLetter"/>
      <w:start w:val="2"/>
    </w:lvl>
  </w:abstractNum>
  <w:abstractNum w:abstractNumId="240">
    <w:nsid w:val="33DFCCE8"/>
    <w:multiLevelType w:val="hybridMultilevel"/>
    <w:lvl w:ilvl="0">
      <w:lvlJc w:val="left"/>
      <w:lvlText w:val="(%1)"/>
      <w:numFmt w:val="lowerLetter"/>
      <w:start w:val="1"/>
    </w:lvl>
  </w:abstractNum>
  <w:abstractNum w:abstractNumId="241">
    <w:nsid w:val="18C45E15"/>
    <w:multiLevelType w:val="hybridMultilevel"/>
    <w:lvl w:ilvl="0">
      <w:lvlJc w:val="left"/>
      <w:lvlText w:val="(%1)"/>
      <w:numFmt w:val="lowerLetter"/>
      <w:start w:val="1"/>
    </w:lvl>
    <w:lvl w:ilvl="1">
      <w:lvlJc w:val="left"/>
      <w:lvlText w:val="(%2)"/>
      <w:numFmt w:val="lowerRoman"/>
      <w:start w:val="1"/>
    </w:lvl>
  </w:abstractNum>
  <w:abstractNum w:abstractNumId="242">
    <w:nsid w:val="6B431F25"/>
    <w:multiLevelType w:val="hybridMultilevel"/>
    <w:lvl w:ilvl="0">
      <w:lvlJc w:val="left"/>
      <w:lvlText w:val="(%1)"/>
      <w:numFmt w:val="lowerLetter"/>
      <w:start w:val="2"/>
    </w:lvl>
    <w:lvl w:ilvl="1">
      <w:lvlJc w:val="left"/>
      <w:lvlText w:val="(%2)"/>
      <w:numFmt w:val="lowerRoman"/>
      <w:start w:val="1"/>
    </w:lvl>
  </w:abstractNum>
  <w:abstractNum w:abstractNumId="243">
    <w:nsid w:val="13CD8DCB"/>
    <w:multiLevelType w:val="hybridMultilevel"/>
    <w:lvl w:ilvl="0">
      <w:lvlJc w:val="left"/>
      <w:lvlText w:val="(%1)"/>
      <w:numFmt w:val="lowerLetter"/>
      <w:start w:val="4"/>
    </w:lvl>
    <w:lvl w:ilvl="1">
      <w:lvlJc w:val="left"/>
      <w:lvlText w:val="(%2)"/>
      <w:numFmt w:val="lowerRoman"/>
      <w:start w:val="1"/>
    </w:lvl>
  </w:abstractNum>
  <w:abstractNum w:abstractNumId="244">
    <w:nsid w:val="563A1A5C"/>
    <w:multiLevelType w:val="hybridMultilevel"/>
    <w:lvl w:ilvl="0">
      <w:lvlJc w:val="left"/>
      <w:lvlText w:val="(%1)"/>
      <w:numFmt w:val="lowerRoman"/>
      <w:start w:val="2"/>
    </w:lvl>
  </w:abstractNum>
  <w:abstractNum w:abstractNumId="245">
    <w:nsid w:val="2973F88F"/>
    <w:multiLevelType w:val="hybridMultilevel"/>
    <w:lvl w:ilvl="0">
      <w:lvlJc w:val="left"/>
      <w:lvlText w:val="(%1)"/>
      <w:numFmt w:val="lowerRoman"/>
      <w:start w:val="4"/>
    </w:lvl>
  </w:abstractNum>
  <w:abstractNum w:abstractNumId="246">
    <w:nsid w:val="2C70EDAE"/>
    <w:multiLevelType w:val="hybridMultilevel"/>
    <w:lvl w:ilvl="0">
      <w:lvlJc w:val="left"/>
      <w:lvlText w:val="(%1)"/>
      <w:numFmt w:val="lowerLetter"/>
      <w:start w:val="1"/>
    </w:lvl>
  </w:abstractNum>
  <w:abstractNum w:abstractNumId="247">
    <w:nsid w:val="44296C6D"/>
    <w:multiLevelType w:val="hybridMultilevel"/>
    <w:lvl w:ilvl="0">
      <w:lvlJc w:val="left"/>
      <w:lvlText w:val="(%1)"/>
      <w:numFmt w:val="lowerLetter"/>
      <w:start w:val="1"/>
    </w:lvl>
    <w:lvl w:ilvl="1">
      <w:lvlJc w:val="left"/>
      <w:lvlText w:val="(%2)"/>
      <w:numFmt w:val="lowerRoman"/>
      <w:start w:val="1"/>
    </w:lvl>
  </w:abstractNum>
  <w:abstractNum w:abstractNumId="248">
    <w:nsid w:val="3A86D445"/>
    <w:multiLevelType w:val="hybridMultilevel"/>
    <w:lvl w:ilvl="0">
      <w:lvlJc w:val="left"/>
      <w:lvlText w:val="(%1)"/>
      <w:numFmt w:val="lowerRoman"/>
      <w:start w:val="3"/>
    </w:lvl>
  </w:abstractNum>
  <w:abstractNum w:abstractNumId="249">
    <w:nsid w:val="51F79246"/>
    <w:multiLevelType w:val="hybridMultilevel"/>
    <w:lvl w:ilvl="0">
      <w:lvlJc w:val="left"/>
      <w:lvlText w:val="(%1)"/>
      <w:numFmt w:val="lowerLetter"/>
      <w:start w:val="2"/>
    </w:lvl>
  </w:abstractNum>
  <w:abstractNum w:abstractNumId="250">
    <w:nsid w:val="5BC9A827"/>
    <w:multiLevelType w:val="hybridMultilevel"/>
    <w:lvl w:ilvl="0">
      <w:lvlJc w:val="left"/>
      <w:lvlText w:val="(%1)"/>
      <w:numFmt w:val="lowerLetter"/>
      <w:start w:val="1"/>
    </w:lvl>
    <w:lvl w:ilvl="1">
      <w:lvlJc w:val="left"/>
      <w:lvlText w:val="(%2)"/>
      <w:numFmt w:val="lowerRoman"/>
      <w:start w:val="1"/>
    </w:lvl>
  </w:abstractNum>
  <w:abstractNum w:abstractNumId="251">
    <w:nsid w:val="3AE37D86"/>
    <w:multiLevelType w:val="hybridMultilevel"/>
    <w:lvl w:ilvl="0">
      <w:lvlJc w:val="left"/>
      <w:lvlText w:val="(%1)"/>
      <w:numFmt w:val="lowerLetter"/>
      <w:start w:val="3"/>
    </w:lvl>
  </w:abstractNum>
  <w:abstractNum w:abstractNumId="252">
    <w:nsid w:val="45440FE5"/>
    <w:multiLevelType w:val="hybridMultilevel"/>
    <w:lvl w:ilvl="0">
      <w:lvlJc w:val="left"/>
      <w:lvlText w:val="(%1)"/>
      <w:numFmt w:val="lowerLetter"/>
      <w:start w:val="1"/>
    </w:lvl>
  </w:abstractNum>
  <w:abstractNum w:abstractNumId="253">
    <w:nsid w:val="BF783F"/>
    <w:multiLevelType w:val="hybridMultilevel"/>
    <w:lvl w:ilvl="0">
      <w:lvlJc w:val="left"/>
      <w:lvlText w:val="(%1)"/>
      <w:numFmt w:val="lowerLetter"/>
      <w:start w:val="3"/>
    </w:lvl>
  </w:abstractNum>
  <w:abstractNum w:abstractNumId="254">
    <w:nsid w:val="22643EA9"/>
    <w:multiLevelType w:val="hybridMultilevel"/>
    <w:lvl w:ilvl="0">
      <w:lvlJc w:val="left"/>
      <w:lvlText w:val="%1"/>
      <w:numFmt w:val="lowerLetter"/>
      <w:start w:val="1"/>
    </w:lvl>
    <w:lvl w:ilvl="1">
      <w:lvlJc w:val="left"/>
      <w:lvlText w:val="(%2)"/>
      <w:numFmt w:val="lowerLetter"/>
      <w:start w:val="1"/>
    </w:lvl>
  </w:abstractNum>
  <w:abstractNum w:abstractNumId="255">
    <w:nsid w:val="1887578D"/>
    <w:multiLevelType w:val="hybridMultilevel"/>
    <w:lvl w:ilvl="0">
      <w:lvlJc w:val="left"/>
      <w:lvlText w:val="(%1)"/>
      <w:numFmt w:val="lowerLetter"/>
      <w:start w:val="35"/>
    </w:lvl>
    <w:lvl w:ilvl="1">
      <w:lvlJc w:val="left"/>
      <w:lvlText w:val="(%2)"/>
      <w:numFmt w:val="lowerLetter"/>
      <w:start w:val="2"/>
    </w:lvl>
  </w:abstractNum>
  <w:abstractNum w:abstractNumId="256">
    <w:nsid w:val="58C05B8A"/>
    <w:multiLevelType w:val="hybridMultilevel"/>
    <w:lvl w:ilvl="0">
      <w:lvlJc w:val="left"/>
      <w:lvlText w:val="(%1)"/>
      <w:numFmt w:val="lowerLetter"/>
      <w:start w:val="3"/>
    </w:lvl>
  </w:abstractNum>
  <w:abstractNum w:abstractNumId="257">
    <w:nsid w:val="38D82E71"/>
    <w:multiLevelType w:val="hybridMultilevel"/>
    <w:lvl w:ilvl="0">
      <w:lvlJc w:val="left"/>
      <w:lvlText w:val="(%1)"/>
      <w:numFmt w:val="lowerLetter"/>
      <w:start w:val="1"/>
    </w:lvl>
  </w:abstractNum>
  <w:abstractNum w:abstractNumId="258">
    <w:nsid w:val="1E41098A"/>
    <w:multiLevelType w:val="hybridMultilevel"/>
    <w:lvl w:ilvl="0">
      <w:lvlJc w:val="left"/>
      <w:lvlText w:val="(%1)"/>
      <w:numFmt w:val="lowerLetter"/>
      <w:start w:val="1"/>
    </w:lvl>
  </w:abstractNum>
  <w:abstractNum w:abstractNumId="259">
    <w:nsid w:val="5398582C"/>
    <w:multiLevelType w:val="hybridMultilevel"/>
    <w:lvl w:ilvl="0">
      <w:lvlJc w:val="left"/>
      <w:lvlText w:val="(%1)"/>
      <w:numFmt w:val="lowerLetter"/>
      <w:start w:val="1"/>
    </w:lvl>
  </w:abstractNum>
  <w:abstractNum w:abstractNumId="260">
    <w:nsid w:val="1C0D4475"/>
    <w:multiLevelType w:val="hybridMultilevel"/>
    <w:lvl w:ilvl="0">
      <w:lvlJc w:val="left"/>
      <w:lvlText w:val="%1"/>
      <w:numFmt w:val="upperLetter"/>
      <w:start w:val="1"/>
    </w:lvl>
    <w:lvl w:ilvl="1">
      <w:lvlJc w:val="left"/>
      <w:lvlText w:val="(%2)"/>
      <w:numFmt w:val="lowerLetter"/>
      <w:start w:val="1"/>
    </w:lvl>
  </w:abstractNum>
  <w:abstractNum w:abstractNumId="261">
    <w:nsid w:val="2CB6A6A4"/>
    <w:multiLevelType w:val="hybridMultilevel"/>
    <w:lvl w:ilvl="0">
      <w:lvlJc w:val="left"/>
      <w:lvlText w:val="(%1)"/>
      <w:numFmt w:val="upperLetter"/>
      <w:start w:val="2"/>
    </w:lvl>
    <w:lvl w:ilvl="1">
      <w:lvlJc w:val="left"/>
      <w:lvlText w:val="(%2)"/>
      <w:numFmt w:val="lowerLetter"/>
      <w:start w:val="2"/>
    </w:lvl>
  </w:abstractNum>
  <w:abstractNum w:abstractNumId="262">
    <w:nsid w:val="41D646BC"/>
    <w:multiLevelType w:val="hybridMultilevel"/>
    <w:lvl w:ilvl="0">
      <w:lvlJc w:val="left"/>
      <w:lvlText w:val="(%1)"/>
      <w:numFmt w:val="lowerLetter"/>
      <w:start w:val="1"/>
    </w:lvl>
  </w:abstractNum>
  <w:abstractNum w:abstractNumId="263">
    <w:nsid w:val="3694A76A"/>
    <w:multiLevelType w:val="hybridMultilevel"/>
    <w:lvl w:ilvl="0">
      <w:lvlJc w:val="left"/>
      <w:lvlText w:val="%1"/>
      <w:numFmt w:val="lowerLetter"/>
      <w:start w:val="1"/>
    </w:lvl>
    <w:lvl w:ilvl="1">
      <w:lvlJc w:val="left"/>
      <w:lvlText w:val="(%2)"/>
      <w:numFmt w:val="lowerLetter"/>
      <w:start w:val="2"/>
    </w:lvl>
  </w:abstractNum>
  <w:abstractNum w:abstractNumId="264">
    <w:nsid w:val="2BF876EE"/>
    <w:multiLevelType w:val="hybridMultilevel"/>
    <w:lvl w:ilvl="0">
      <w:lvlJc w:val="left"/>
      <w:lvlText w:val="(%1)"/>
      <w:numFmt w:val="lowerLetter"/>
      <w:start w:val="35"/>
    </w:lvl>
    <w:lvl w:ilvl="1">
      <w:lvlJc w:val="left"/>
      <w:lvlText w:val="(%2)"/>
      <w:numFmt w:val="lowerLetter"/>
      <w:start w:val="4"/>
    </w:lvl>
  </w:abstractNum>
  <w:abstractNum w:abstractNumId="265">
    <w:nsid w:val="675ADBA"/>
    <w:multiLevelType w:val="hybridMultilevel"/>
    <w:lvl w:ilvl="0">
      <w:lvlJc w:val="left"/>
      <w:lvlText w:val="(%1)"/>
      <w:numFmt w:val="lowerLetter"/>
      <w:start w:val="1"/>
    </w:lvl>
  </w:abstractNum>
  <w:abstractNum w:abstractNumId="266">
    <w:nsid w:val="C12AC7F"/>
    <w:multiLevelType w:val="hybridMultilevel"/>
    <w:lvl w:ilvl="0">
      <w:lvlJc w:val="left"/>
      <w:lvlText w:val="(%1)"/>
      <w:numFmt w:val="lowerLetter"/>
      <w:start w:val="4"/>
    </w:lvl>
  </w:abstractNum>
  <w:abstractNum w:abstractNumId="267">
    <w:nsid w:val="6798F039"/>
    <w:multiLevelType w:val="hybridMultilevel"/>
    <w:lvl w:ilvl="0">
      <w:lvlJc w:val="left"/>
      <w:lvlText w:val="(%1)"/>
      <w:numFmt w:val="lowerLetter"/>
      <w:start w:val="1"/>
    </w:lvl>
    <w:lvl w:ilvl="1">
      <w:lvlJc w:val="left"/>
      <w:lvlText w:val="(%2)"/>
      <w:numFmt w:val="lowerRoman"/>
      <w:start w:val="1"/>
    </w:lvl>
  </w:abstractNum>
  <w:abstractNum w:abstractNumId="268">
    <w:nsid w:val="70837C02"/>
    <w:multiLevelType w:val="hybridMultilevel"/>
    <w:lvl w:ilvl="0">
      <w:lvlJc w:val="left"/>
      <w:lvlText w:val="%1"/>
      <w:numFmt w:val="lowerLetter"/>
      <w:start w:val="1"/>
    </w:lvl>
    <w:lvl w:ilvl="1">
      <w:lvlJc w:val="left"/>
      <w:lvlText w:val="(%2)"/>
      <w:numFmt w:val="lowerLetter"/>
      <w:start w:val="3"/>
    </w:lvl>
  </w:abstractNum>
  <w:abstractNum w:abstractNumId="269">
    <w:nsid w:val="7E4A5715"/>
    <w:multiLevelType w:val="hybridMultilevel"/>
    <w:lvl w:ilvl="0">
      <w:lvlJc w:val="left"/>
      <w:lvlText w:val="(%1)"/>
      <w:numFmt w:val="lowerLetter"/>
      <w:start w:val="4"/>
    </w:lvl>
    <w:lvl w:ilvl="1">
      <w:lvlJc w:val="left"/>
      <w:lvlText w:val="%2"/>
      <w:numFmt w:val="lowerLetter"/>
      <w:start w:val="1"/>
    </w:lvl>
  </w:abstractNum>
  <w:abstractNum w:abstractNumId="270">
    <w:nsid w:val="42B8AC67"/>
    <w:multiLevelType w:val="hybridMultilevel"/>
    <w:lvl w:ilvl="0">
      <w:lvlJc w:val="left"/>
      <w:lvlText w:val="(%1)"/>
      <w:numFmt w:val="lowerLetter"/>
      <w:start w:val="5"/>
    </w:lvl>
  </w:abstractNum>
  <w:abstractNum w:abstractNumId="271">
    <w:nsid w:val="246348EA"/>
    <w:multiLevelType w:val="hybridMultilevel"/>
    <w:lvl w:ilvl="0">
      <w:lvlJc w:val="left"/>
      <w:lvlText w:val="(%1)"/>
      <w:numFmt w:val="lowerLetter"/>
      <w:start w:val="1"/>
    </w:lvl>
  </w:abstractNum>
  <w:abstractNum w:abstractNumId="272">
    <w:nsid w:val="170EB52B"/>
    <w:multiLevelType w:val="hybridMultilevel"/>
    <w:lvl w:ilvl="0">
      <w:lvlJc w:val="left"/>
      <w:lvlText w:val="(%1)"/>
      <w:numFmt w:val="lowerLetter"/>
      <w:start w:val="2"/>
    </w:lvl>
    <w:lvl w:ilvl="1">
      <w:lvlJc w:val="left"/>
      <w:lvlText w:val="(%2)"/>
      <w:numFmt w:val="lowerRoman"/>
      <w:start w:val="1"/>
    </w:lvl>
  </w:abstractNum>
  <w:abstractNum w:abstractNumId="273">
    <w:nsid w:val="2DFBCB8C"/>
    <w:multiLevelType w:val="hybridMultilevel"/>
    <w:lvl w:ilvl="0">
      <w:lvlJc w:val="left"/>
      <w:lvlText w:val="%1"/>
      <w:numFmt w:val="lowerLetter"/>
      <w:start w:val="1"/>
    </w:lvl>
    <w:lvl w:ilvl="1">
      <w:lvlJc w:val="left"/>
      <w:lvlText w:val="(%2)"/>
      <w:numFmt w:val="lowerRoman"/>
      <w:start w:val="3"/>
    </w:lvl>
  </w:abstractNum>
  <w:abstractNum w:abstractNumId="274">
    <w:nsid w:val="3830D6B6"/>
    <w:multiLevelType w:val="hybridMultilevel"/>
    <w:lvl w:ilvl="0">
      <w:lvlJc w:val="left"/>
      <w:lvlText w:val="(%1)"/>
      <w:numFmt w:val="lowerLetter"/>
      <w:start w:val="3"/>
    </w:lvl>
    <w:lvl w:ilvl="1">
      <w:lvlJc w:val="left"/>
      <w:lvlText w:val="%2"/>
      <w:numFmt w:val="lowerRoman"/>
      <w:start w:val="1"/>
    </w:lvl>
  </w:abstractNum>
  <w:abstractNum w:abstractNumId="275">
    <w:nsid w:val="6D48CF87"/>
    <w:multiLevelType w:val="hybridMultilevel"/>
    <w:lvl w:ilvl="0">
      <w:lvlJc w:val="left"/>
      <w:lvlText w:val="(%1)"/>
      <w:numFmt w:val="lowerLetter"/>
      <w:start w:val="8"/>
    </w:lvl>
    <w:lvl w:ilvl="1">
      <w:lvlJc w:val="left"/>
      <w:lvlText w:val="(%2)"/>
      <w:numFmt w:val="lowerLetter"/>
      <w:start w:val="9"/>
    </w:lvl>
  </w:abstractNum>
  <w:abstractNum w:abstractNumId="276">
    <w:nsid w:val="576FC41B"/>
    <w:multiLevelType w:val="hybridMultilevel"/>
    <w:lvl w:ilvl="0">
      <w:lvlJc w:val="left"/>
      <w:lvlText w:val="(%1)"/>
      <w:numFmt w:val="lowerRoman"/>
      <w:start w:val="1"/>
    </w:lvl>
  </w:abstractNum>
  <w:abstractNum w:abstractNumId="277">
    <w:nsid w:val="64A1C464"/>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278">
    <w:nsid w:val="31723BF5"/>
    <w:multiLevelType w:val="hybridMultilevel"/>
    <w:lvl w:ilvl="0">
      <w:lvlJc w:val="left"/>
      <w:lvlText w:val="(%1)"/>
      <w:numFmt w:val="lowerLetter"/>
      <w:start w:val="11"/>
    </w:lvl>
  </w:abstractNum>
  <w:abstractNum w:abstractNumId="279">
    <w:nsid w:val="11F69861"/>
    <w:multiLevelType w:val="hybridMultilevel"/>
    <w:lvl w:ilvl="0">
      <w:lvlJc w:val="left"/>
      <w:lvlText w:val="(%1)"/>
      <w:numFmt w:val="lowerLetter"/>
      <w:start w:val="1"/>
    </w:lvl>
  </w:abstractNum>
  <w:abstractNum w:abstractNumId="280">
    <w:nsid w:val="369956AB"/>
    <w:multiLevelType w:val="hybridMultilevel"/>
    <w:lvl w:ilvl="0">
      <w:lvlJc w:val="left"/>
      <w:lvlText w:val="(%1)"/>
      <w:numFmt w:val="lowerLetter"/>
      <w:start w:val="4"/>
    </w:lvl>
  </w:abstractNum>
  <w:abstractNum w:abstractNumId="281">
    <w:nsid w:val="D3BE41C"/>
    <w:multiLevelType w:val="hybridMultilevel"/>
    <w:lvl w:ilvl="0">
      <w:lvlJc w:val="left"/>
      <w:lvlText w:val="(%1)"/>
      <w:numFmt w:val="lowerLetter"/>
      <w:start w:val="1"/>
    </w:lvl>
    <w:lvl w:ilvl="1">
      <w:lvlJc w:val="left"/>
      <w:lvlText w:val="(%2)"/>
      <w:numFmt w:val="lowerLetter"/>
      <w:start w:val="9"/>
    </w:lvl>
  </w:abstractNum>
  <w:abstractNum w:abstractNumId="282">
    <w:nsid w:val="4CDA15E7"/>
    <w:multiLevelType w:val="hybridMultilevel"/>
    <w:lvl w:ilvl="0">
      <w:lvlJc w:val="left"/>
      <w:lvlText w:val="%1"/>
      <w:numFmt w:val="lowerLetter"/>
      <w:start w:val="1"/>
    </w:lvl>
    <w:lvl w:ilvl="1">
      <w:lvlJc w:val="left"/>
      <w:lvlText w:val="(%2)"/>
      <w:numFmt w:val="lowerLetter"/>
      <w:start w:val="35"/>
    </w:lvl>
  </w:abstractNum>
  <w:abstractNum w:abstractNumId="283">
    <w:nsid w:val="7BDD6690"/>
    <w:multiLevelType w:val="hybridMultilevel"/>
    <w:lvl w:ilvl="0">
      <w:lvlJc w:val="left"/>
      <w:lvlText w:val="(%1)"/>
      <w:numFmt w:val="lowerLetter"/>
      <w:start w:val="2"/>
    </w:lvl>
    <w:lvl w:ilvl="1">
      <w:lvlJc w:val="left"/>
      <w:lvlText w:val="%2"/>
      <w:numFmt w:val="lowerLetter"/>
      <w:start w:val="1"/>
    </w:lvl>
  </w:abstractNum>
  <w:abstractNum w:abstractNumId="284">
    <w:nsid w:val="DFB5C5B"/>
    <w:multiLevelType w:val="hybridMultilevel"/>
    <w:lvl w:ilvl="0">
      <w:lvlJc w:val="left"/>
      <w:lvlText w:val="(%1)"/>
      <w:numFmt w:val="lowerLetter"/>
      <w:start w:val="1"/>
    </w:lvl>
  </w:abstractNum>
  <w:abstractNum w:abstractNumId="285">
    <w:nsid w:val="6F3E5490"/>
    <w:multiLevelType w:val="hybridMultilevel"/>
    <w:lvl w:ilvl="0">
      <w:lvlJc w:val="left"/>
      <w:lvlText w:val="(%1)"/>
      <w:numFmt w:val="lowerLetter"/>
      <w:start w:val="5"/>
    </w:lvl>
  </w:abstractNum>
  <w:abstractNum w:abstractNumId="286">
    <w:nsid w:val="1464BE1E"/>
    <w:multiLevelType w:val="hybridMultilevel"/>
    <w:lvl w:ilvl="0">
      <w:lvlJc w:val="left"/>
      <w:lvlText w:val="(%1)"/>
      <w:numFmt w:val="lowerLetter"/>
      <w:start w:val="1"/>
    </w:lvl>
    <w:lvl w:ilvl="1">
      <w:lvlJc w:val="left"/>
      <w:lvlText w:val="(%2)"/>
      <w:numFmt w:val="lowerRoman"/>
      <w:start w:val="1"/>
    </w:lvl>
  </w:abstractNum>
  <w:abstractNum w:abstractNumId="287">
    <w:nsid w:val="66BBB7E5"/>
    <w:multiLevelType w:val="hybridMultilevel"/>
    <w:lvl w:ilvl="0">
      <w:lvlJc w:val="left"/>
      <w:lvlText w:val="%1"/>
      <w:numFmt w:val="lowerLetter"/>
      <w:start w:val="1"/>
    </w:lvl>
    <w:lvl w:ilvl="1">
      <w:lvlJc w:val="left"/>
      <w:lvlText w:val="(%2)"/>
      <w:numFmt w:val="lowerLetter"/>
      <w:start w:val="61"/>
    </w:lvl>
  </w:abstractNum>
  <w:abstractNum w:abstractNumId="288">
    <w:nsid w:val="28168302"/>
    <w:multiLevelType w:val="hybridMultilevel"/>
    <w:lvl w:ilvl="0">
      <w:lvlJc w:val="left"/>
      <w:lvlText w:val="(%1)"/>
      <w:numFmt w:val="lowerLetter"/>
      <w:start w:val="2"/>
    </w:lvl>
    <w:lvl w:ilvl="1">
      <w:lvlJc w:val="left"/>
      <w:lvlText w:val="(%2)"/>
      <w:numFmt w:val="lowerLetter"/>
      <w:start w:val="9"/>
    </w:lvl>
  </w:abstractNum>
  <w:abstractNum w:abstractNumId="289">
    <w:nsid w:val="32A5C7A8"/>
    <w:multiLevelType w:val="hybridMultilevel"/>
    <w:lvl w:ilvl="0">
      <w:lvlJc w:val="left"/>
      <w:lvlText w:val="(%1)"/>
      <w:numFmt w:val="lowerRoman"/>
      <w:start w:val="2"/>
    </w:lvl>
  </w:abstractNum>
  <w:abstractNum w:abstractNumId="290">
    <w:nsid w:val="3A541011"/>
    <w:multiLevelType w:val="hybridMultilevel"/>
    <w:lvl w:ilvl="0">
      <w:lvlJc w:val="left"/>
      <w:lvlText w:val="(%1)"/>
      <w:numFmt w:val="lowerLetter"/>
      <w:start w:val="4"/>
    </w:lvl>
    <w:lvl w:ilvl="1">
      <w:lvlJc w:val="left"/>
      <w:lvlText w:val="(%2)"/>
      <w:numFmt w:val="lowerRoman"/>
      <w:start w:val="1"/>
    </w:lvl>
  </w:abstractNum>
  <w:abstractNum w:abstractNumId="291">
    <w:nsid w:val="4423C777"/>
    <w:multiLevelType w:val="hybridMultilevel"/>
    <w:lvl w:ilvl="0">
      <w:lvlJc w:val="left"/>
      <w:lvlText w:val="(%1)"/>
      <w:numFmt w:val="lowerRoman"/>
      <w:start w:val="2"/>
    </w:lvl>
  </w:abstractNum>
  <w:abstractNum w:abstractNumId="292">
    <w:nsid w:val="5F5C6E4D"/>
    <w:multiLevelType w:val="hybridMultilevel"/>
    <w:lvl w:ilvl="0">
      <w:lvlJc w:val="left"/>
      <w:lvlText w:val="(%1)"/>
      <w:numFmt w:val="lowerRoman"/>
      <w:start w:val="3"/>
    </w:lvl>
  </w:abstractNum>
  <w:abstractNum w:abstractNumId="293">
    <w:nsid w:val="7C2A56CD"/>
    <w:multiLevelType w:val="hybridMultilevel"/>
    <w:lvl w:ilvl="0">
      <w:lvlJc w:val="left"/>
      <w:lvlText w:val="(%1)"/>
      <w:numFmt w:val="lowerLetter"/>
      <w:start w:val="1"/>
    </w:lvl>
  </w:abstractNum>
  <w:abstractNum w:abstractNumId="294">
    <w:nsid w:val="7AB86EE1"/>
    <w:multiLevelType w:val="hybridMultilevel"/>
    <w:lvl w:ilvl="0">
      <w:lvlJc w:val="left"/>
      <w:lvlText w:val="(%1)"/>
      <w:numFmt w:val="lowerLetter"/>
      <w:start w:val="5"/>
    </w:lvl>
    <w:lvl w:ilvl="1">
      <w:lvlJc w:val="left"/>
      <w:lvlText w:val="(%2)"/>
      <w:numFmt w:val="lowerLetter"/>
      <w:start w:val="6"/>
    </w:lvl>
  </w:abstractNum>
  <w:abstractNum w:abstractNumId="295">
    <w:nsid w:val="B54E53B"/>
    <w:multiLevelType w:val="hybridMultilevel"/>
    <w:lvl w:ilvl="0">
      <w:lvlJc w:val="left"/>
      <w:lvlText w:val="(%1)"/>
      <w:numFmt w:val="lowerLetter"/>
      <w:start w:val="1"/>
    </w:lvl>
    <w:lvl w:ilvl="1">
      <w:lvlJc w:val="left"/>
      <w:lvlText w:val="(%2)"/>
      <w:numFmt w:val="lowerRoman"/>
      <w:start w:val="1"/>
    </w:lvl>
  </w:abstractNum>
  <w:abstractNum w:abstractNumId="296">
    <w:nsid w:val="2A00487"/>
    <w:multiLevelType w:val="hybridMultilevel"/>
    <w:lvl w:ilvl="0">
      <w:lvlJc w:val="left"/>
      <w:lvlText w:val="(%1)"/>
      <w:numFmt w:val="lowerRoman"/>
      <w:start w:val="5"/>
    </w:lvl>
  </w:abstractNum>
  <w:abstractNum w:abstractNumId="297">
    <w:nsid w:val="6CB1B60"/>
    <w:multiLevelType w:val="hybridMultilevel"/>
    <w:lvl w:ilvl="0">
      <w:lvlJc w:val="left"/>
      <w:lvlText w:val="(%1)"/>
      <w:numFmt w:val="lowerLetter"/>
      <w:start w:val="2"/>
    </w:lvl>
  </w:abstractNum>
  <w:abstractNum w:abstractNumId="298">
    <w:nsid w:val="72EDD574"/>
    <w:multiLevelType w:val="hybridMultilevel"/>
    <w:lvl w:ilvl="0">
      <w:lvlJc w:val="left"/>
      <w:lvlText w:val="(%1)"/>
      <w:numFmt w:val="lowerLetter"/>
      <w:start w:val="1"/>
    </w:lvl>
    <w:lvl w:ilvl="1">
      <w:lvlJc w:val="left"/>
      <w:lvlText w:val="(%2)"/>
      <w:numFmt w:val="lowerRoman"/>
      <w:start w:val="1"/>
    </w:lvl>
  </w:abstractNum>
  <w:abstractNum w:abstractNumId="299">
    <w:nsid w:val="7323808A"/>
    <w:multiLevelType w:val="hybridMultilevel"/>
    <w:lvl w:ilvl="0">
      <w:lvlJc w:val="left"/>
      <w:lvlText w:val="%1"/>
      <w:numFmt w:val="lowerLetter"/>
      <w:start w:val="1"/>
    </w:lvl>
    <w:lvl w:ilvl="1">
      <w:lvlJc w:val="left"/>
      <w:lvlText w:val="(%2)"/>
      <w:numFmt w:val="lowerLetter"/>
      <w:start w:val="1"/>
    </w:lvl>
  </w:abstractNum>
  <w:abstractNum w:abstractNumId="300">
    <w:nsid w:val="5157276"/>
    <w:multiLevelType w:val="hybridMultilevel"/>
    <w:lvl w:ilvl="0">
      <w:lvlJc w:val="left"/>
      <w:lvlText w:val="(%1)"/>
      <w:numFmt w:val="lowerLetter"/>
      <w:start w:val="61"/>
    </w:lvl>
    <w:lvl w:ilvl="1">
      <w:lvlJc w:val="left"/>
      <w:lvlText w:val="(%2)"/>
      <w:numFmt w:val="lowerLetter"/>
      <w:start w:val="3"/>
    </w:lvl>
  </w:abstractNum>
  <w:abstractNum w:abstractNumId="301">
    <w:nsid w:val="35A681DB"/>
    <w:multiLevelType w:val="hybridMultilevel"/>
    <w:lvl w:ilvl="0">
      <w:lvlJc w:val="left"/>
      <w:lvlText w:val="%1"/>
      <w:numFmt w:val="lowerLetter"/>
      <w:start w:val="1"/>
    </w:lvl>
    <w:lvl w:ilvl="1">
      <w:lvlJc w:val="left"/>
      <w:lvlText w:val="(%2)"/>
      <w:numFmt w:val="lowerLetter"/>
      <w:start w:val="1"/>
    </w:lvl>
  </w:abstractNum>
  <w:abstractNum w:abstractNumId="302">
    <w:nsid w:val="1786C974"/>
    <w:multiLevelType w:val="hybridMultilevel"/>
    <w:lvl w:ilvl="0">
      <w:lvlJc w:val="left"/>
      <w:lvlText w:val="(%1)"/>
      <w:numFmt w:val="lowerLetter"/>
      <w:start w:val="35"/>
    </w:lvl>
    <w:lvl w:ilvl="1">
      <w:lvlJc w:val="left"/>
      <w:lvlText w:val="(%2)"/>
      <w:numFmt w:val="lowerLetter"/>
      <w:start w:val="2"/>
    </w:lvl>
  </w:abstractNum>
  <w:abstractNum w:abstractNumId="303">
    <w:nsid w:val="1C2427A1"/>
    <w:multiLevelType w:val="hybridMultilevel"/>
    <w:lvl w:ilvl="0">
      <w:lvlJc w:val="left"/>
      <w:lvlText w:val="(%1)"/>
      <w:numFmt w:val="lowerLetter"/>
      <w:start w:val="3"/>
    </w:lvl>
  </w:abstractNum>
  <w:abstractNum w:abstractNumId="304">
    <w:nsid w:val="63A24D68"/>
    <w:multiLevelType w:val="hybridMultilevel"/>
    <w:lvl w:ilvl="0">
      <w:lvlJc w:val="left"/>
      <w:lvlText w:val="(%1)"/>
      <w:numFmt w:val="lowerLetter"/>
      <w:start w:val="1"/>
    </w:lvl>
  </w:abstractNum>
  <w:abstractNum w:abstractNumId="305">
    <w:nsid w:val="4FB7A02A"/>
    <w:multiLevelType w:val="hybridMultilevel"/>
    <w:lvl w:ilvl="0">
      <w:lvlJc w:val="left"/>
      <w:lvlText w:val="(%1)"/>
      <w:numFmt w:val="lowerLetter"/>
      <w:start w:val="1"/>
    </w:lvl>
  </w:abstractNum>
  <w:abstractNum w:abstractNumId="306">
    <w:nsid w:val="96CF728"/>
    <w:multiLevelType w:val="hybridMultilevel"/>
    <w:lvl w:ilvl="0">
      <w:lvlJc w:val="left"/>
      <w:lvlText w:val="(%1)"/>
      <w:numFmt w:val="lowerLetter"/>
      <w:start w:val="2"/>
    </w:lvl>
  </w:abstractNum>
  <w:abstractNum w:abstractNumId="307">
    <w:nsid w:val="3B121183"/>
    <w:multiLevelType w:val="hybridMultilevel"/>
    <w:lvl w:ilvl="0">
      <w:lvlJc w:val="left"/>
      <w:lvlText w:val="%1."/>
      <w:numFmt w:val="decimal"/>
      <w:start w:val="1"/>
    </w:lvl>
  </w:abstractNum>
  <w:abstractNum w:abstractNumId="308">
    <w:nsid w:val="3459648F"/>
    <w:multiLevelType w:val="hybridMultilevel"/>
    <w:lvl w:ilvl="0">
      <w:lvlJc w:val="left"/>
      <w:lvlText w:val="%1."/>
      <w:numFmt w:val="decimal"/>
      <w:start w:val="5"/>
    </w:lvl>
  </w:abstractNum>
  <w:abstractNum w:abstractNumId="309">
    <w:nsid w:val="3ADF331D"/>
    <w:multiLevelType w:val="hybridMultilevel"/>
    <w:lvl w:ilvl="0">
      <w:lvlJc w:val="left"/>
      <w:lvlText w:val="(%1)"/>
      <w:numFmt w:val="lowerLetter"/>
      <w:start w:val="1"/>
    </w:lvl>
  </w:abstractNum>
  <w:abstractNum w:abstractNumId="310">
    <w:nsid w:val="4D08A9E4"/>
    <w:multiLevelType w:val="hybridMultilevel"/>
    <w:lvl w:ilvl="0">
      <w:lvlJc w:val="left"/>
      <w:lvlText w:val="%1."/>
      <w:numFmt w:val="decimal"/>
      <w:start w:val="6"/>
    </w:lvl>
  </w:abstractNum>
  <w:abstractNum w:abstractNumId="311">
    <w:nsid w:val="6AF2BB3A"/>
    <w:multiLevelType w:val="hybridMultilevel"/>
    <w:lvl w:ilvl="0">
      <w:lvlJc w:val="left"/>
      <w:lvlText w:val="%1."/>
      <w:numFmt w:val="decimal"/>
      <w:start w:val="1"/>
    </w:lvl>
  </w:abstractNum>
  <w:abstractNum w:abstractNumId="312">
    <w:nsid w:val="481B1739"/>
    <w:multiLevelType w:val="hybridMultilevel"/>
    <w:lvl w:ilvl="0">
      <w:lvlJc w:val="left"/>
      <w:lvlText w:val="(%1)"/>
      <w:numFmt w:val="lowerLetter"/>
      <w:start w:val="1"/>
    </w:lvl>
  </w:abstractNum>
  <w:abstractNum w:abstractNumId="313">
    <w:nsid w:val="19E2BFCC"/>
    <w:multiLevelType w:val="hybridMultilevel"/>
    <w:lvl w:ilvl="0">
      <w:lvlJc w:val="left"/>
      <w:lvlText w:val="(%1)"/>
      <w:numFmt w:val="lowerRoman"/>
      <w:start w:val="1"/>
    </w:lvl>
  </w:abstractNum>
  <w:abstractNum w:abstractNumId="314">
    <w:nsid w:val="66D021CA"/>
    <w:multiLevelType w:val="hybridMultilevel"/>
    <w:lvl w:ilvl="0">
      <w:lvlJc w:val="left"/>
      <w:lvlText w:val="(%1)"/>
      <w:numFmt w:val="lowerRoman"/>
      <w:start w:val="3"/>
    </w:lvl>
  </w:abstractNum>
  <w:abstractNum w:abstractNumId="315">
    <w:nsid w:val="56167394"/>
    <w:multiLevelType w:val="hybridMultilevel"/>
    <w:lvl w:ilvl="0">
      <w:lvlJc w:val="left"/>
      <w:lvlText w:val="1"/>
      <w:numFmt w:val="bullet"/>
      <w:start w:val="1"/>
    </w:lvl>
  </w:abstractNum>
  <w:abstractNum w:abstractNumId="316">
    <w:nsid w:val="921145C"/>
    <w:multiLevelType w:val="hybridMultilevel"/>
    <w:lvl w:ilvl="0">
      <w:lvlJc w:val="left"/>
      <w:lvlText w:val="(%1)"/>
      <w:numFmt w:val="lowerLetter"/>
      <w:start w:val="1"/>
    </w:lvl>
  </w:abstractNum>
  <w:abstractNum w:abstractNumId="317">
    <w:nsid w:val="7B34DFE8"/>
    <w:multiLevelType w:val="hybridMultilevel"/>
    <w:lvl w:ilvl="0">
      <w:lvlJc w:val="left"/>
      <w:lvlText w:val="(%1)"/>
      <w:numFmt w:val="lowerRoman"/>
      <w:start w:val="1"/>
    </w:lvl>
  </w:abstractNum>
  <w:abstractNum w:abstractNumId="318">
    <w:nsid w:val="3CD22B79"/>
    <w:multiLevelType w:val="hybridMultilevel"/>
    <w:lvl w:ilvl="0">
      <w:lvlJc w:val="left"/>
      <w:lvlText w:val="(%1)"/>
      <w:numFmt w:val="decimal"/>
      <w:start w:val="1"/>
    </w:lvl>
    <w:lvl w:ilvl="1">
      <w:lvlJc w:val="left"/>
      <w:lvlText w:val="(%2)"/>
      <w:numFmt w:val="lowerRoman"/>
      <w:start w:val="3"/>
    </w:lvl>
  </w:abstractNum>
  <w:abstractNum w:abstractNumId="319">
    <w:nsid w:val="3137975E"/>
    <w:multiLevelType w:val="hybridMultilevel"/>
    <w:lvl w:ilvl="0">
      <w:lvlJc w:val="left"/>
      <w:lvlText w:val="(%1)"/>
      <w:numFmt w:val="lowerLetter"/>
      <w:start w:val="2"/>
    </w:lvl>
  </w:abstractNum>
  <w:abstractNum w:abstractNumId="320">
    <w:nsid w:val="2DDAA791"/>
    <w:multiLevelType w:val="hybridMultilevel"/>
    <w:lvl w:ilvl="0">
      <w:lvlJc w:val="left"/>
      <w:lvlText w:val="(%1)"/>
      <w:numFmt w:val="lowerRoman"/>
      <w:start w:val="2"/>
    </w:lvl>
  </w:abstractNum>
  <w:abstractNum w:abstractNumId="321">
    <w:nsid w:val="77263B8A"/>
    <w:multiLevelType w:val="hybridMultilevel"/>
    <w:lvl w:ilvl="0">
      <w:lvlJc w:val="left"/>
      <w:lvlText w:val="(%1)"/>
      <w:numFmt w:val="lowerLetter"/>
      <w:start w:val="3"/>
    </w:lvl>
  </w:abstractNum>
  <w:abstractNum w:abstractNumId="322">
    <w:nsid w:val="755B5ED6"/>
    <w:multiLevelType w:val="hybridMultilevel"/>
    <w:lvl w:ilvl="0">
      <w:lvlJc w:val="left"/>
      <w:lvlText w:val="(%1)"/>
      <w:numFmt w:val="lowerRoman"/>
      <w:start w:val="1"/>
    </w:lvl>
  </w:abstractNum>
  <w:abstractNum w:abstractNumId="323">
    <w:nsid w:val="D3715DE"/>
    <w:multiLevelType w:val="hybridMultilevel"/>
    <w:lvl w:ilvl="0">
      <w:lvlJc w:val="left"/>
      <w:lvlText w:val="(%1)"/>
      <w:numFmt w:val="lowerRoman"/>
      <w:start w:val="2"/>
    </w:lvl>
  </w:abstractNum>
  <w:abstractNum w:abstractNumId="324">
    <w:nsid w:val="73509257"/>
    <w:multiLevelType w:val="hybridMultilevel"/>
    <w:lvl w:ilvl="0">
      <w:lvlJc w:val="left"/>
      <w:lvlText w:val="(%1)"/>
      <w:numFmt w:val="decimal"/>
      <w:start w:val="10"/>
    </w:lvl>
  </w:abstractNum>
  <w:abstractNum w:abstractNumId="325">
    <w:nsid w:val="7013CDB7"/>
    <w:multiLevelType w:val="hybridMultilevel"/>
    <w:lvl w:ilvl="0">
      <w:lvlJc w:val="left"/>
      <w:lvlText w:val="(%1)"/>
      <w:numFmt w:val="decimal"/>
      <w:start w:val="24"/>
    </w:lvl>
  </w:abstractNum>
  <w:abstractNum w:abstractNumId="326">
    <w:nsid w:val="188BFB19"/>
    <w:multiLevelType w:val="hybridMultilevel"/>
    <w:lvl w:ilvl="0">
      <w:lvlJc w:val="left"/>
      <w:lvlText w:val="(%1)"/>
      <w:numFmt w:val="lowerLetter"/>
      <w:start w:val="1"/>
    </w:lvl>
  </w:abstractNum>
  <w:abstractNum w:abstractNumId="327">
    <w:nsid w:val="75F096DF"/>
    <w:multiLevelType w:val="hybridMultilevel"/>
    <w:lvl w:ilvl="0">
      <w:lvlJc w:val="left"/>
      <w:lvlText w:val="(%1)"/>
      <w:numFmt w:val="lowerRoman"/>
      <w:start w:val="3"/>
    </w:lvl>
  </w:abstractNum>
  <w:abstractNum w:abstractNumId="328">
    <w:nsid w:val="76DEE918"/>
    <w:multiLevelType w:val="hybridMultilevel"/>
    <w:lvl w:ilvl="0">
      <w:lvlJc w:val="left"/>
      <w:lvlText w:val="(%1)"/>
      <w:numFmt w:val="lowerRoman"/>
      <w:start w:val="1"/>
    </w:lvl>
  </w:abstractNum>
  <w:abstractNum w:abstractNumId="329">
    <w:nsid w:val="B79D08D"/>
    <w:multiLevelType w:val="hybridMultilevel"/>
    <w:lvl w:ilvl="0">
      <w:lvlJc w:val="left"/>
      <w:lvlText w:val="(%1)"/>
      <w:numFmt w:val="lowerRoman"/>
      <w:start w:val="3"/>
    </w:lvl>
  </w:abstractNum>
  <w:abstractNum w:abstractNumId="330">
    <w:nsid w:val="69141769"/>
    <w:multiLevelType w:val="hybridMultilevel"/>
    <w:lvl w:ilvl="0">
      <w:lvlJc w:val="left"/>
      <w:lvlText w:val="%1."/>
      <w:numFmt w:val="decimal"/>
      <w:start w:val="1"/>
    </w:lvl>
  </w:abstractNum>
  <w:abstractNum w:abstractNumId="331">
    <w:nsid w:val="7BF45B8E"/>
    <w:multiLevelType w:val="hybridMultilevel"/>
    <w:lvl w:ilvl="0">
      <w:lvlJc w:val="left"/>
      <w:lvlText w:val="(%1)"/>
      <w:numFmt w:val="lowerLetter"/>
      <w:start w:val="1"/>
    </w:lvl>
  </w:abstractNum>
  <w:abstractNum w:abstractNumId="332">
    <w:nsid w:val="41205269"/>
    <w:multiLevelType w:val="hybridMultilevel"/>
    <w:lvl w:ilvl="0">
      <w:lvlJc w:val="left"/>
      <w:lvlText w:val="(%1)"/>
      <w:numFmt w:val="lowerLetter"/>
      <w:start w:val="2"/>
    </w:lvl>
  </w:abstractNum>
  <w:abstractNum w:abstractNumId="333">
    <w:nsid w:val="9AE0DD"/>
    <w:multiLevelType w:val="hybridMultilevel"/>
    <w:lvl w:ilvl="0">
      <w:lvlJc w:val="left"/>
      <w:lvlText w:val="%1."/>
      <w:numFmt w:val="decimal"/>
      <w:start w:val="4"/>
    </w:lvl>
    <w:lvl w:ilvl="1">
      <w:lvlJc w:val="left"/>
      <w:lvlText w:val="-"/>
      <w:numFmt w:val="bullet"/>
      <w:start w:val="1"/>
    </w:lvl>
  </w:abstractNum>
  <w:abstractNum w:abstractNumId="334">
    <w:nsid w:val="1818832F"/>
    <w:multiLevelType w:val="hybridMultilevel"/>
    <w:lvl w:ilvl="0">
      <w:lvlJc w:val="left"/>
      <w:lvlText w:val="%1."/>
      <w:numFmt w:val="decimal"/>
      <w:start w:val="6"/>
    </w:lvl>
    <w:lvl w:ilvl="1">
      <w:lvlJc w:val="left"/>
      <w:lvlText w:val="(%2)"/>
      <w:numFmt w:val="lowerRoman"/>
      <w:start w:val="1"/>
    </w:lvl>
    <w:lvl w:ilvl="2">
      <w:lvlJc w:val="left"/>
      <w:lvlText w:val="-"/>
      <w:numFmt w:val="bullet"/>
      <w:start w:val="1"/>
    </w:lvl>
  </w:abstractNum>
  <w:abstractNum w:abstractNumId="335">
    <w:nsid w:val="24C29FD1"/>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lvl w:ilvl="3">
      <w:lvlJc w:val="left"/>
      <w:lvlText w:val="-"/>
      <w:numFmt w:val="bullet"/>
      <w:start w:val="1"/>
    </w:lvl>
  </w:abstractNum>
  <w:abstractNum w:abstractNumId="336">
    <w:nsid w:val="50528108"/>
    <w:multiLevelType w:val="hybridMultilevel"/>
    <w:lvl w:ilvl="0">
      <w:lvlJc w:val="left"/>
      <w:lvlText w:val="%1."/>
      <w:numFmt w:val="decimal"/>
      <w:start w:val="11"/>
    </w:lvl>
    <w:lvl w:ilvl="1">
      <w:lvlJc w:val="left"/>
      <w:lvlText w:val="%2"/>
      <w:numFmt w:val="lowerRoman"/>
      <w:start w:val="1"/>
    </w:lvl>
    <w:lvl w:ilvl="2">
      <w:lvlJc w:val="left"/>
      <w:lvlText w:val="(%3)"/>
      <w:numFmt w:val="lowerLetter"/>
      <w:start w:val="1"/>
    </w:lvl>
    <w:lvl w:ilvl="3">
      <w:lvlJc w:val="left"/>
      <w:lvlText w:val="-"/>
      <w:numFmt w:val="bullet"/>
      <w:start w:val="1"/>
    </w:lvl>
  </w:abstractNum>
  <w:abstractNum w:abstractNumId="337">
    <w:nsid w:val="21857A57"/>
    <w:multiLevelType w:val="hybridMultilevel"/>
    <w:lvl w:ilvl="0">
      <w:lvlJc w:val="left"/>
      <w:lvlText w:val="%1."/>
      <w:numFmt w:val="decimal"/>
      <w:start w:val="14"/>
    </w:lvl>
  </w:abstractNum>
  <w:abstractNum w:abstractNumId="338">
    <w:nsid w:val="5FD4B154"/>
    <w:multiLevelType w:val="hybridMultilevel"/>
    <w:lvl w:ilvl="0">
      <w:lvlJc w:val="left"/>
      <w:lvlText w:val="%1."/>
      <w:numFmt w:val="decimal"/>
      <w:start w:val="1"/>
    </w:lvl>
  </w:abstractNum>
  <w:abstractNum w:abstractNumId="339">
    <w:nsid w:val="4ABE597"/>
    <w:multiLevelType w:val="hybridMultilevel"/>
    <w:lvl w:ilvl="0">
      <w:lvlJc w:val="left"/>
      <w:lvlText w:val="(%1)"/>
      <w:numFmt w:val="lowerLetter"/>
      <w:start w:val="1"/>
    </w:lvl>
  </w:abstractNum>
  <w:abstractNum w:abstractNumId="340">
    <w:nsid w:val="5C64AD75"/>
    <w:multiLevelType w:val="hybridMultilevel"/>
    <w:lvl w:ilvl="0">
      <w:lvlJc w:val="left"/>
      <w:lvlText w:val="%1."/>
      <w:numFmt w:val="decimal"/>
      <w:start w:val="4"/>
    </w:lvl>
  </w:abstractNum>
  <w:abstractNum w:abstractNumId="341">
    <w:nsid w:val="2CDD5B39"/>
    <w:multiLevelType w:val="hybridMultilevel"/>
    <w:lvl w:ilvl="0">
      <w:lvlJc w:val="left"/>
      <w:lvlText w:val="%1"/>
      <w:numFmt w:val="lowerLetter"/>
      <w:start w:val="1"/>
    </w:lvl>
    <w:lvl w:ilvl="1">
      <w:lvlJc w:val="left"/>
      <w:lvlText w:val="(%2)"/>
      <w:numFmt w:val="lowerLetter"/>
      <w:start w:val="1"/>
    </w:lvl>
  </w:abstractNum>
  <w:abstractNum w:abstractNumId="342">
    <w:nsid w:val="6F9EA0D1"/>
    <w:multiLevelType w:val="hybridMultilevel"/>
    <w:lvl w:ilvl="0">
      <w:lvlJc w:val="left"/>
      <w:lvlText w:val="(%1)"/>
      <w:numFmt w:val="lowerLetter"/>
      <w:start w:val="9"/>
    </w:lvl>
    <w:lvl w:ilvl="1">
      <w:lvlJc w:val="left"/>
      <w:lvlText w:val="(%2)"/>
      <w:numFmt w:val="lowerLetter"/>
      <w:start w:val="4"/>
    </w:lvl>
  </w:abstractNum>
  <w:abstractNum w:abstractNumId="343">
    <w:nsid w:val="247FC4AE"/>
    <w:multiLevelType w:val="hybridMultilevel"/>
    <w:lvl w:ilvl="0">
      <w:lvlJc w:val="left"/>
      <w:lvlText w:val="(%1)"/>
      <w:numFmt w:val="lowerLetter"/>
      <w:start w:val="7"/>
    </w:lvl>
  </w:abstractNum>
  <w:abstractNum w:abstractNumId="344">
    <w:nsid w:val="46C01B05"/>
    <w:multiLevelType w:val="hybridMultilevel"/>
    <w:lvl w:ilvl="0">
      <w:lvlJc w:val="left"/>
      <w:lvlText w:val="%1."/>
      <w:numFmt w:val="decimal"/>
      <w:start w:val="5"/>
    </w:lvl>
  </w:abstractNum>
  <w:abstractNum w:abstractNumId="345">
    <w:nsid w:val="566EC29B"/>
    <w:multiLevelType w:val="hybridMultilevel"/>
    <w:lvl w:ilvl="0">
      <w:lvlJc w:val="left"/>
      <w:lvlText w:val="(%1)"/>
      <w:numFmt w:val="lowerLetter"/>
      <w:start w:val="1"/>
    </w:lvl>
  </w:abstractNum>
  <w:abstractNum w:abstractNumId="346">
    <w:nsid w:val="7A963843"/>
    <w:multiLevelType w:val="hybridMultilevel"/>
    <w:lvl w:ilvl="0">
      <w:lvlJc w:val="left"/>
      <w:lvlText w:val="%1"/>
      <w:numFmt w:val="decimal"/>
      <w:start w:val="1"/>
    </w:lvl>
    <w:lvl w:ilvl="1">
      <w:lvlJc w:val="left"/>
      <w:lvlText w:val="(%2)"/>
      <w:numFmt w:val="lowerLetter"/>
      <w:start w:val="4"/>
    </w:lvl>
  </w:abstractNum>
  <w:abstractNum w:abstractNumId="347">
    <w:nsid w:val="4FE12F61"/>
    <w:multiLevelType w:val="hybridMultilevel"/>
    <w:lvl w:ilvl="0">
      <w:lvlJc w:val="left"/>
      <w:lvlText w:val="(%1)"/>
      <w:numFmt w:val="decimal"/>
      <w:start w:val="50"/>
    </w:lvl>
    <w:lvl w:ilvl="1">
      <w:lvlJc w:val="left"/>
      <w:lvlText w:val="(%2)"/>
      <w:numFmt w:val="lowerLetter"/>
      <w:start w:val="6"/>
    </w:lvl>
  </w:abstractNum>
  <w:abstractNum w:abstractNumId="348">
    <w:nsid w:val="51A3A284"/>
    <w:multiLevelType w:val="hybridMultilevel"/>
    <w:lvl w:ilvl="0">
      <w:lvlJc w:val="left"/>
      <w:lvlText w:val="(%1)"/>
      <w:numFmt w:val="decimal"/>
      <w:start w:val="90"/>
    </w:lvl>
    <w:lvl w:ilvl="1">
      <w:lvlJc w:val="left"/>
      <w:lvlText w:val="(%2)"/>
      <w:numFmt w:val="lowerRoman"/>
    </w:lvl>
    <w:lvl w:ilvl="2">
      <w:lvlJc w:val="left"/>
      <w:lvlText w:val="(%3)"/>
      <w:numFmt w:val="lowerLetter"/>
      <w:start w:val="7"/>
    </w:lvl>
  </w:abstractNum>
  <w:abstractNum w:abstractNumId="349">
    <w:nsid w:val="376863BC"/>
    <w:multiLevelType w:val="hybridMultilevel"/>
    <w:lvl w:ilvl="0">
      <w:lvlJc w:val="left"/>
      <w:lvlText w:val="(%1)"/>
      <w:numFmt w:val="lowerRoman"/>
      <w:start w:val="4"/>
    </w:lvl>
  </w:abstractNum>
  <w:abstractNum w:abstractNumId="350">
    <w:nsid w:val="118C6C0"/>
    <w:multiLevelType w:val="hybridMultilevel"/>
    <w:lvl w:ilvl="0">
      <w:lvlJc w:val="left"/>
      <w:lvlText w:val="%1."/>
      <w:numFmt w:val="decimal"/>
      <w:start w:val="7"/>
    </w:lvl>
  </w:abstractNum>
  <w:abstractNum w:abstractNumId="351">
    <w:nsid w:val="7F7E4A15"/>
    <w:multiLevelType w:val="hybridMultilevel"/>
    <w:lvl w:ilvl="0">
      <w:lvlJc w:val="left"/>
      <w:lvlText w:val="(%1)"/>
      <w:numFmt w:val="lowerLetter"/>
      <w:start w:val="1"/>
    </w:lvl>
  </w:abstractNum>
  <w:abstractNum w:abstractNumId="352">
    <w:nsid w:val="2E8E9F47"/>
    <w:multiLevelType w:val="hybridMultilevel"/>
    <w:lvl w:ilvl="0">
      <w:lvlJc w:val="left"/>
      <w:lvlText w:val="%1."/>
      <w:numFmt w:val="decimal"/>
      <w:start w:val="1"/>
    </w:lvl>
    <w:lvl w:ilvl="1">
      <w:lvlJc w:val="left"/>
      <w:lvlText w:val="%2)"/>
      <w:numFmt w:val="lowerLetter"/>
      <w:start w:val="1"/>
    </w:lvl>
  </w:abstractNum>
  <w:abstractNum w:abstractNumId="353">
    <w:nsid w:val="76742596"/>
    <w:multiLevelType w:val="hybridMultilevel"/>
    <w:lvl w:ilvl="0">
      <w:lvlJc w:val="left"/>
      <w:lvlText w:val="%1"/>
      <w:numFmt w:val="decimal"/>
      <w:start w:val="1"/>
    </w:lvl>
    <w:lvl w:ilvl="1">
      <w:lvlJc w:val="left"/>
      <w:lvlText w:val="%2)"/>
      <w:numFmt w:val="lowerLetter"/>
      <w:start w:val="2"/>
    </w:lvl>
  </w:abstractNum>
  <w:abstractNum w:abstractNumId="354">
    <w:nsid w:val="CB55FF3"/>
    <w:multiLevelType w:val="hybridMultilevel"/>
    <w:lvl w:ilvl="0">
      <w:lvlJc w:val="left"/>
      <w:lvlText w:val="%1."/>
      <w:numFmt w:val="decimal"/>
      <w:start w:val="3"/>
    </w:lvl>
    <w:lvl w:ilvl="1">
      <w:lvlJc w:val="left"/>
      <w:lvlText w:val="%2"/>
      <w:numFmt w:val="lowerLetter"/>
      <w:start w:val="1"/>
    </w:lvl>
  </w:abstractNum>
  <w:abstractNum w:abstractNumId="355">
    <w:nsid w:val="21DF319E"/>
    <w:multiLevelType w:val="hybridMultilevel"/>
    <w:lvl w:ilvl="0">
      <w:lvlJc w:val="left"/>
      <w:lvlText w:val="%1."/>
      <w:numFmt w:val="decimal"/>
      <w:start w:val="6"/>
    </w:lvl>
    <w:lvl w:ilvl="1">
      <w:lvlJc w:val="left"/>
      <w:lvlText w:val="%2."/>
      <w:numFmt w:val="lowerLetter"/>
      <w:start w:val="1"/>
    </w:lvl>
  </w:abstractNum>
  <w:abstractNum w:abstractNumId="356">
    <w:nsid w:val="6687F34D"/>
    <w:multiLevelType w:val="hybridMultilevel"/>
    <w:lvl w:ilvl="0">
      <w:lvlJc w:val="left"/>
      <w:lvlText w:val="%1."/>
      <w:numFmt w:val="decimal"/>
      <w:start w:val="10"/>
    </w:lvl>
  </w:abstractNum>
  <w:abstractNum w:abstractNumId="357">
    <w:nsid w:val="25415B0C"/>
    <w:multiLevelType w:val="hybridMultilevel"/>
    <w:lvl w:ilvl="0">
      <w:lvlJc w:val="left"/>
      <w:lvlText w:val="%1."/>
      <w:numFmt w:val="decimal"/>
      <w:start w:val="1"/>
    </w:lvl>
    <w:lvl w:ilvl="1">
      <w:lvlJc w:val="left"/>
      <w:lvlText w:val="(%2)"/>
      <w:numFmt w:val="lowerLetter"/>
      <w:start w:val="1"/>
    </w:lvl>
  </w:abstractNum>
  <w:abstractNum w:abstractNumId="358">
    <w:nsid w:val="17CFC87D"/>
    <w:multiLevelType w:val="hybridMultilevel"/>
    <w:lvl w:ilvl="0">
      <w:lvlJc w:val="left"/>
      <w:lvlText w:val="%1"/>
      <w:numFmt w:val="decimal"/>
      <w:start w:val="1"/>
    </w:lvl>
    <w:lvl w:ilvl="1">
      <w:lvlJc w:val="left"/>
      <w:lvlText w:val="(%2)"/>
      <w:numFmt w:val="lowerLetter"/>
      <w:start w:val="3"/>
    </w:lvl>
  </w:abstractNum>
  <w:abstractNum w:abstractNumId="359">
    <w:nsid w:val="5D66DC65"/>
    <w:multiLevelType w:val="hybridMultilevel"/>
    <w:lvl w:ilvl="0">
      <w:lvlJc w:val="left"/>
      <w:lvlText w:val="%1."/>
      <w:numFmt w:val="decimal"/>
      <w:start w:val="4"/>
    </w:lvl>
    <w:lvl w:ilvl="1">
      <w:lvlJc w:val="left"/>
      <w:lvlText w:val="(%2)"/>
      <w:numFmt w:val="lowerLetter"/>
      <w:start w:val="1"/>
    </w:lvl>
  </w:abstractNum>
  <w:abstractNum w:abstractNumId="360">
    <w:nsid w:val="30BB2B99"/>
    <w:multiLevelType w:val="hybridMultilevel"/>
    <w:lvl w:ilvl="0">
      <w:lvlJc w:val="left"/>
      <w:lvlText w:val="(%1)"/>
      <w:numFmt w:val="lowerLetter"/>
      <w:start w:val="3"/>
    </w:lvl>
  </w:abstractNum>
  <w:abstractNum w:abstractNumId="361">
    <w:nsid w:val="E3DFE6"/>
    <w:multiLevelType w:val="hybridMultilevel"/>
    <w:lvl w:ilvl="0">
      <w:lvlJc w:val="left"/>
      <w:lvlText w:val="(%1)"/>
      <w:numFmt w:val="lowerLetter"/>
      <w:start w:val="6"/>
    </w:lvl>
    <w:lvl w:ilvl="1">
      <w:lvlJc w:val="left"/>
      <w:lvlText w:val="(%2)"/>
      <w:numFmt w:val="lowerRoman"/>
      <w:start w:val="1"/>
    </w:lvl>
  </w:abstractNum>
  <w:abstractNum w:abstractNumId="362">
    <w:nsid w:val="595B37F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63">
    <w:nsid w:val="71DB7E02"/>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64">
    <w:nsid w:val="17EC0C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65">
    <w:nsid w:val="7173BB22"/>
    <w:multiLevelType w:val="hybridMultilevel"/>
    <w:lvl w:ilvl="0">
      <w:lvlJc w:val="left"/>
      <w:lvlText w:val="%1."/>
      <w:numFmt w:val="decimal"/>
      <w:start w:val="1"/>
    </w:lvl>
    <w:lvl w:ilvl="1">
      <w:lvlJc w:val="left"/>
      <w:lvlText w:val="%2)"/>
      <w:numFmt w:val="lowerLetter"/>
      <w:start w:val="1"/>
    </w:lvl>
  </w:abstractNum>
  <w:abstractNum w:abstractNumId="366">
    <w:nsid w:val="169E1DD3"/>
    <w:multiLevelType w:val="hybridMultilevel"/>
    <w:lvl w:ilvl="0">
      <w:lvlJc w:val="left"/>
      <w:lvlText w:val="%1"/>
      <w:numFmt w:val="decimal"/>
      <w:start w:val="1"/>
    </w:lvl>
    <w:lvl w:ilvl="1">
      <w:lvlJc w:val="left"/>
      <w:lvlText w:val="%2)"/>
      <w:numFmt w:val="lowerLetter"/>
      <w:start w:val="2"/>
    </w:lvl>
  </w:abstractNum>
  <w:abstractNum w:abstractNumId="367">
    <w:nsid w:val="51D141CC"/>
    <w:multiLevelType w:val="hybridMultilevel"/>
    <w:lvl w:ilvl="0">
      <w:lvlJc w:val="left"/>
      <w:lvlText w:val="%1."/>
      <w:numFmt w:val="decimal"/>
      <w:start w:val="3"/>
    </w:lvl>
    <w:lvl w:ilvl="1">
      <w:lvlJc w:val="left"/>
      <w:lvlText w:val="%2"/>
      <w:numFmt w:val="lowerLetter"/>
      <w:start w:val="1"/>
    </w:lvl>
  </w:abstractNum>
  <w:abstractNum w:abstractNumId="368">
    <w:nsid w:val="12F9357A"/>
    <w:multiLevelType w:val="hybridMultilevel"/>
    <w:lvl w:ilvl="0">
      <w:lvlJc w:val="left"/>
      <w:lvlText w:val="%1."/>
      <w:numFmt w:val="decimal"/>
      <w:start w:val="6"/>
    </w:lvl>
    <w:lvl w:ilvl="1">
      <w:lvlJc w:val="left"/>
      <w:lvlText w:val="%2."/>
      <w:numFmt w:val="lowerLetter"/>
      <w:start w:val="1"/>
    </w:lvl>
  </w:abstractNum>
  <w:abstractNum w:abstractNumId="369">
    <w:nsid w:val="7672CF28"/>
    <w:multiLevelType w:val="hybridMultilevel"/>
    <w:lvl w:ilvl="0">
      <w:lvlJc w:val="left"/>
      <w:lvlText w:val="%1."/>
      <w:numFmt w:val="decimal"/>
      <w:start w:val="11"/>
    </w:lvl>
  </w:abstractNum>
  <w:abstractNum w:abstractNumId="370">
    <w:nsid w:val="567D2763"/>
    <w:multiLevelType w:val="hybridMultilevel"/>
    <w:lvl w:ilvl="0">
      <w:lvlJc w:val="left"/>
      <w:lvlText w:val="%1."/>
      <w:numFmt w:val="decimal"/>
      <w:start w:val="1"/>
    </w:lvl>
  </w:abstractNum>
  <w:abstractNum w:abstractNumId="371">
    <w:nsid w:val="6F5DE2EF"/>
    <w:multiLevelType w:val="hybridMultilevel"/>
    <w:lvl w:ilvl="0">
      <w:lvlJc w:val="left"/>
      <w:lvlText w:val="(%1)"/>
      <w:numFmt w:val="lowerLetter"/>
      <w:start w:val="1"/>
    </w:lvl>
  </w:abstractNum>
  <w:abstractNum w:abstractNumId="372">
    <w:nsid w:val="23502A61"/>
    <w:multiLevelType w:val="hybridMultilevel"/>
    <w:lvl w:ilvl="0">
      <w:lvlJc w:val="left"/>
      <w:lvlText w:val="(%1)"/>
      <w:numFmt w:val="lowerLetter"/>
      <w:start w:val="3"/>
    </w:lvl>
  </w:abstractNum>
  <w:abstractNum w:abstractNumId="373">
    <w:nsid w:val="461BC834"/>
    <w:multiLevelType w:val="hybridMultilevel"/>
    <w:lvl w:ilvl="0">
      <w:lvlJc w:val="left"/>
      <w:lvlText w:val="%1."/>
      <w:numFmt w:val="decimal"/>
      <w:start w:val="4"/>
    </w:lvl>
    <w:lvl w:ilvl="1">
      <w:lvlJc w:val="left"/>
      <w:lvlText w:val="-"/>
      <w:numFmt w:val="bullet"/>
      <w:start w:val="1"/>
    </w:lvl>
  </w:abstractNum>
  <w:abstractNum w:abstractNumId="374">
    <w:nsid w:val="13DDA79D"/>
    <w:multiLevelType w:val="hybridMultilevel"/>
    <w:lvl w:ilvl="0">
      <w:lvlJc w:val="left"/>
      <w:lvlText w:val="%1."/>
      <w:numFmt w:val="decimal"/>
      <w:start w:val="6"/>
    </w:lvl>
    <w:lvl w:ilvl="1">
      <w:lvlJc w:val="left"/>
      <w:lvlText w:val="(%2)"/>
      <w:numFmt w:val="lowerRoman"/>
      <w:start w:val="1"/>
    </w:lvl>
    <w:lvl w:ilvl="2">
      <w:lvlJc w:val="left"/>
      <w:lvlText w:val="-"/>
      <w:numFmt w:val="bullet"/>
      <w:start w:val="1"/>
    </w:lvl>
  </w:abstractNum>
  <w:abstractNum w:abstractNumId="375">
    <w:nsid w:val="6A104566"/>
    <w:multiLevelType w:val="hybridMultilevel"/>
    <w:lvl w:ilvl="0">
      <w:lvlJc w:val="left"/>
      <w:lvlText w:val="%1"/>
      <w:numFmt w:val="decimal"/>
      <w:start w:val="1"/>
    </w:lvl>
    <w:lvl w:ilvl="1">
      <w:lvlJc w:val="left"/>
      <w:lvlText w:val="(%2)"/>
      <w:numFmt w:val="lowerRoman"/>
      <w:start w:val="3"/>
    </w:lvl>
    <w:lvl w:ilvl="2">
      <w:lvlJc w:val="left"/>
      <w:lvlText w:val="-"/>
      <w:numFmt w:val="bullet"/>
      <w:start w:val="1"/>
    </w:lvl>
  </w:abstractNum>
  <w:abstractNum w:abstractNumId="376">
    <w:nsid w:val="1C8A8ACF"/>
    <w:multiLevelType w:val="hybridMultilevel"/>
    <w:lvl w:ilvl="0">
      <w:lvlJc w:val="left"/>
      <w:lvlText w:val="%1."/>
      <w:numFmt w:val="decimal"/>
      <w:start w:val="11"/>
    </w:lvl>
    <w:lvl w:ilvl="1">
      <w:lvlJc w:val="left"/>
      <w:lvlText w:val="%2"/>
      <w:numFmt w:val="lowerRoman"/>
      <w:start w:val="1"/>
    </w:lvl>
    <w:lvl w:ilvl="2">
      <w:lvlJc w:val="left"/>
      <w:lvlText w:val="-"/>
      <w:numFmt w:val="bullet"/>
      <w:start w:val="1"/>
    </w:lvl>
  </w:abstractNum>
  <w:abstractNum w:abstractNumId="377">
    <w:nsid w:val="E73DFE0"/>
    <w:multiLevelType w:val="hybridMultilevel"/>
    <w:lvl w:ilvl="0">
      <w:lvlJc w:val="left"/>
      <w:lvlText w:val="%1."/>
      <w:numFmt w:val="decimal"/>
      <w:start w:val="1"/>
    </w:lvl>
  </w:abstractNum>
  <w:abstractNum w:abstractNumId="378">
    <w:nsid w:val="39F174C7"/>
    <w:multiLevelType w:val="hybridMultilevel"/>
    <w:lvl w:ilvl="0">
      <w:lvlJc w:val="left"/>
      <w:lvlText w:val="%1."/>
      <w:numFmt w:val="decimal"/>
      <w:start w:val="2"/>
    </w:lvl>
  </w:abstractNum>
  <w:abstractNum w:abstractNumId="379">
    <w:nsid w:val="6E2E2D53"/>
    <w:multiLevelType w:val="hybridMultilevel"/>
    <w:lvl w:ilvl="0">
      <w:lvlJc w:val="left"/>
      <w:lvlText w:val="(%1)"/>
      <w:numFmt w:val="lowerLetter"/>
      <w:start w:val="1"/>
    </w:lvl>
  </w:abstractNum>
  <w:abstractNum w:abstractNumId="380">
    <w:nsid w:val="45DC439D"/>
    <w:multiLevelType w:val="hybridMultilevel"/>
    <w:lvl w:ilvl="0">
      <w:lvlJc w:val="left"/>
      <w:lvlText w:val="%1."/>
      <w:numFmt w:val="decimal"/>
      <w:start w:val="3"/>
    </w:lvl>
  </w:abstractNum>
  <w:abstractNum w:abstractNumId="381">
    <w:nsid w:val="3B0A3B87"/>
    <w:multiLevelType w:val="hybridMultilevel"/>
    <w:lvl w:ilvl="0">
      <w:lvlJc w:val="left"/>
      <w:lvlText w:val="(%1)"/>
      <w:numFmt w:val="lowerLetter"/>
      <w:start w:val="2"/>
    </w:lvl>
  </w:abstractNum>
  <w:abstractNum w:abstractNumId="382">
    <w:nsid w:val="6DAC7768"/>
    <w:multiLevelType w:val="hybridMultilevel"/>
    <w:lvl w:ilvl="0">
      <w:lvlJc w:val="left"/>
      <w:lvlText w:val="%1."/>
      <w:numFmt w:val="decimal"/>
      <w:start w:val="4"/>
    </w:lvl>
  </w:abstractNum>
  <w:abstractNum w:abstractNumId="383">
    <w:nsid w:val="746AE2E4"/>
    <w:multiLevelType w:val="hybridMultilevel"/>
    <w:lvl w:ilvl="0">
      <w:lvlJc w:val="left"/>
      <w:lvlText w:val="%1."/>
      <w:numFmt w:val="decimal"/>
      <w:start w:val="5"/>
    </w:lvl>
  </w:abstractNum>
  <w:abstractNum w:abstractNumId="384">
    <w:nsid w:val="317E611D"/>
    <w:multiLevelType w:val="hybridMultilevel"/>
    <w:lvl w:ilvl="0">
      <w:lvlJc w:val="left"/>
      <w:lvlText w:val="%1."/>
      <w:numFmt w:val="decimal"/>
      <w:start w:val="6"/>
    </w:lvl>
  </w:abstractNum>
  <w:abstractNum w:abstractNumId="385">
    <w:nsid w:val="7A61D75B"/>
    <w:multiLevelType w:val="hybridMultilevel"/>
    <w:lvl w:ilvl="0">
      <w:lvlJc w:val="left"/>
      <w:lvlText w:val="%1."/>
      <w:numFmt w:val="decimal"/>
      <w:start w:val="7"/>
    </w:lvl>
  </w:abstractNum>
  <w:abstractNum w:abstractNumId="386">
    <w:nsid w:val="164A1482"/>
    <w:multiLevelType w:val="hybridMultilevel"/>
    <w:lvl w:ilvl="0">
      <w:lvlJc w:val="left"/>
      <w:lvlText w:val="%1."/>
      <w:numFmt w:val="decimal"/>
      <w:start w:val="8"/>
    </w:lvl>
  </w:abstractNum>
  <w:abstractNum w:abstractNumId="387">
    <w:nsid w:val="1806546B"/>
    <w:multiLevelType w:val="hybridMultilevel"/>
    <w:lvl w:ilvl="0">
      <w:lvlJc w:val="left"/>
      <w:lvlText w:val="%1."/>
      <w:numFmt w:val="decimal"/>
      <w:start w:val="9"/>
    </w:lvl>
  </w:abstractNum>
  <w:abstractNum w:abstractNumId="388">
    <w:nsid w:val="1FA33267"/>
    <w:multiLevelType w:val="hybridMultilevel"/>
    <w:lvl w:ilvl="0">
      <w:lvlJc w:val="left"/>
      <w:lvlText w:val="(%1)"/>
      <w:numFmt w:val="lowerLetter"/>
      <w:start w:val="1"/>
    </w:lvl>
  </w:abstractNum>
  <w:abstractNum w:abstractNumId="389">
    <w:nsid w:val="2E19DD00"/>
    <w:multiLevelType w:val="hybridMultilevel"/>
    <w:lvl w:ilvl="0">
      <w:lvlJc w:val="left"/>
      <w:lvlText w:val="(%1)"/>
      <w:numFmt w:val="lowerLetter"/>
      <w:start w:val="3"/>
    </w:lvl>
  </w:abstractNum>
  <w:abstractNum w:abstractNumId="390">
    <w:nsid w:val="756D30D0"/>
    <w:multiLevelType w:val="hybridMultilevel"/>
    <w:lvl w:ilvl="0">
      <w:lvlJc w:val="left"/>
      <w:lvlText w:val="(%1)"/>
      <w:numFmt w:val="lowerRoman"/>
      <w:start w:val="1"/>
    </w:lvl>
  </w:abstractNum>
  <w:abstractNum w:abstractNumId="391">
    <w:nsid w:val="505E5E01"/>
    <w:multiLevelType w:val="hybridMultilevel"/>
    <w:lvl w:ilvl="0">
      <w:lvlJc w:val="left"/>
      <w:lvlText w:val="(%1)"/>
      <w:numFmt w:val="lowerLetter"/>
      <w:start w:val="1"/>
    </w:lvl>
  </w:abstractNum>
  <w:abstractNum w:abstractNumId="392">
    <w:nsid w:val="2EFDBCE6"/>
    <w:multiLevelType w:val="hybridMultilevel"/>
    <w:lvl w:ilvl="0">
      <w:lvlJc w:val="left"/>
      <w:lvlText w:val="(%1)"/>
      <w:numFmt w:val="lowerLetter"/>
      <w:start w:val="2"/>
    </w:lvl>
  </w:abstractNum>
  <w:abstractNum w:abstractNumId="393">
    <w:nsid w:val="4EC868C4"/>
    <w:multiLevelType w:val="hybridMultilevel"/>
    <w:lvl w:ilvl="0">
      <w:lvlJc w:val="left"/>
      <w:lvlText w:val="(%1)"/>
      <w:numFmt w:val="lowerLetter"/>
      <w:start w:val="1"/>
    </w:lvl>
  </w:abstractNum>
  <w:abstractNum w:abstractNumId="394">
    <w:nsid w:val="4239DC03"/>
    <w:multiLevelType w:val="hybridMultilevel"/>
    <w:lvl w:ilvl="0">
      <w:lvlJc w:val="left"/>
      <w:lvlText w:val="(%1)"/>
      <w:numFmt w:val="lowerLetter"/>
      <w:start w:val="1"/>
    </w:lvl>
  </w:abstractNum>
  <w:abstractNum w:abstractNumId="395">
    <w:nsid w:val="307C7DAA"/>
    <w:multiLevelType w:val="hybridMultilevel"/>
    <w:lvl w:ilvl="0">
      <w:lvlJc w:val="left"/>
      <w:lvlText w:val="(%1)"/>
      <w:numFmt w:val="lowerLetter"/>
      <w:start w:val="1"/>
    </w:lvl>
  </w:abstractNum>
  <w:abstractNum w:abstractNumId="396">
    <w:nsid w:val="403C23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97">
    <w:nsid w:val="58D7F9D7"/>
    <w:multiLevelType w:val="hybridMultilevel"/>
    <w:lvl w:ilvl="0">
      <w:lvlJc w:val="left"/>
      <w:lvlText w:val="2"/>
      <w:numFmt w:val="bullet"/>
      <w:start w:val="1"/>
    </w:lvl>
  </w:abstractNum>
  <w:abstractNum w:abstractNumId="398">
    <w:nsid w:val="24DBF76"/>
    <w:multiLevelType w:val="hybridMultilevel"/>
    <w:lvl w:ilvl="0">
      <w:lvlJc w:val="left"/>
      <w:lvlText w:val="%1"/>
      <w:numFmt w:val="lowerLetter"/>
      <w:start w:val="1"/>
    </w:lvl>
    <w:lvl w:ilvl="1">
      <w:lvlJc w:val="left"/>
      <w:lvlText w:val="(%2)"/>
      <w:numFmt w:val="lowerRoman"/>
      <w:start w:val="2"/>
    </w:lvl>
  </w:abstractNum>
  <w:abstractNum w:abstractNumId="399">
    <w:nsid w:val="53355960"/>
    <w:multiLevelType w:val="hybridMultilevel"/>
    <w:lvl w:ilvl="0">
      <w:lvlJc w:val="left"/>
      <w:lvlText w:val="(%1)"/>
      <w:numFmt w:val="lowerLetter"/>
      <w:start w:val="2"/>
    </w:lvl>
    <w:lvl w:ilvl="1">
      <w:lvlJc w:val="left"/>
      <w:lvlText w:val="(%2)"/>
      <w:numFmt w:val="lowerRoman"/>
      <w:start w:val="1"/>
    </w:lvl>
  </w:abstractNum>
  <w:abstractNum w:abstractNumId="400">
    <w:nsid w:val="4F4AC8FF"/>
    <w:multiLevelType w:val="hybridMultilevel"/>
    <w:lvl w:ilvl="0">
      <w:lvlJc w:val="left"/>
      <w:lvlText w:val="3"/>
      <w:numFmt w:val="bullet"/>
      <w:start w:val="1"/>
    </w:lvl>
  </w:abstractNum>
  <w:abstractNum w:abstractNumId="401">
    <w:nsid w:val="58CAE6D9"/>
    <w:multiLevelType w:val="hybridMultilevel"/>
    <w:lvl w:ilvl="0">
      <w:lvlJc w:val="left"/>
      <w:lvlText w:val="(%1)"/>
      <w:numFmt w:val="lowerRoman"/>
      <w:start w:val="2"/>
    </w:lvl>
  </w:abstractNum>
  <w:abstractNum w:abstractNumId="402">
    <w:nsid w:val="42933C4F"/>
    <w:multiLevelType w:val="hybridMultilevel"/>
    <w:lvl w:ilvl="0">
      <w:lvlJc w:val="left"/>
      <w:lvlText w:val="(%1)"/>
      <w:numFmt w:val="lowerLetter"/>
      <w:start w:val="1"/>
    </w:lvl>
  </w:abstractNum>
  <w:abstractNum w:abstractNumId="403">
    <w:nsid w:val="729AF360"/>
    <w:multiLevelType w:val="hybridMultilevel"/>
    <w:lvl w:ilvl="0">
      <w:lvlJc w:val="left"/>
      <w:lvlText w:val="4"/>
      <w:numFmt w:val="bullet"/>
      <w:start w:val="1"/>
    </w:lvl>
  </w:abstractNum>
  <w:abstractNum w:abstractNumId="404">
    <w:nsid w:val="1EE6AF0D"/>
    <w:multiLevelType w:val="hybridMultilevel"/>
    <w:lvl w:ilvl="0">
      <w:lvlJc w:val="left"/>
      <w:lvlText w:val="(%1)"/>
      <w:numFmt w:val="lowerLetter"/>
      <w:start w:val="3"/>
    </w:lvl>
  </w:abstractNum>
  <w:abstractNum w:abstractNumId="405">
    <w:nsid w:val="5670E3ED"/>
    <w:multiLevelType w:val="hybridMultilevel"/>
    <w:lvl w:ilvl="0">
      <w:lvlJc w:val="left"/>
      <w:lvlText w:val="(%1)"/>
      <w:numFmt w:val="lowerLetter"/>
      <w:start w:val="1"/>
    </w:lvl>
    <w:lvl w:ilvl="1">
      <w:lvlJc w:val="left"/>
      <w:lvlText w:val="(%2)"/>
      <w:numFmt w:val="lowerRoman"/>
      <w:start w:val="1"/>
    </w:lvl>
  </w:abstractNum>
  <w:abstractNum w:abstractNumId="406">
    <w:nsid w:val="5CAB38C6"/>
    <w:multiLevelType w:val="hybridMultilevel"/>
    <w:lvl w:ilvl="0">
      <w:lvlJc w:val="left"/>
      <w:lvlText w:val="(%1)"/>
      <w:numFmt w:val="lowerLetter"/>
      <w:start w:val="4"/>
    </w:lvl>
  </w:abstractNum>
  <w:abstractNum w:abstractNumId="407">
    <w:nsid w:val="3B7139DD"/>
    <w:multiLevelType w:val="hybridMultilevel"/>
    <w:lvl w:ilvl="0">
      <w:lvlJc w:val="left"/>
      <w:lvlText w:val="(%1)"/>
      <w:numFmt w:val="lowerLetter"/>
      <w:start w:val="8"/>
    </w:lvl>
  </w:abstractNum>
  <w:abstractNum w:abstractNumId="408">
    <w:nsid w:val="64E4C3CD"/>
    <w:multiLevelType w:val="hybridMultilevel"/>
    <w:lvl w:ilvl="0">
      <w:lvlJc w:val="left"/>
      <w:lvlText w:val="(%1)"/>
      <w:numFmt w:val="lowerLetter"/>
      <w:start w:val="1"/>
    </w:lvl>
  </w:abstractNum>
  <w:abstractNum w:abstractNumId="409">
    <w:nsid w:val="169CAD8D"/>
    <w:multiLevelType w:val="hybridMultilevel"/>
    <w:lvl w:ilvl="0">
      <w:lvlJc w:val="left"/>
      <w:lvlText w:val="(%1)"/>
      <w:numFmt w:val="lowerLetter"/>
      <w:start w:val="3"/>
    </w:lvl>
  </w:abstractNum>
  <w:abstractNum w:abstractNumId="410">
    <w:nsid w:val="299F6730"/>
    <w:multiLevelType w:val="hybridMultilevel"/>
    <w:lvl w:ilvl="0">
      <w:lvlJc w:val="left"/>
      <w:lvlText w:val="(%1)"/>
      <w:numFmt w:val="lowerLetter"/>
      <w:start w:val="1"/>
    </w:lvl>
    <w:lvl w:ilvl="1">
      <w:lvlJc w:val="left"/>
      <w:lvlText w:val="(%2)"/>
      <w:numFmt w:val="lowerRoman"/>
      <w:start w:val="1"/>
    </w:lvl>
  </w:abstractNum>
  <w:abstractNum w:abstractNumId="411">
    <w:nsid w:val="2AC1076A"/>
    <w:multiLevelType w:val="hybridMultilevel"/>
    <w:lvl w:ilvl="0">
      <w:lvlJc w:val="left"/>
      <w:lvlText w:val="(%1)"/>
      <w:numFmt w:val="lowerLetter"/>
      <w:start w:val="2"/>
    </w:lvl>
  </w:abstractNum>
  <w:abstractNum w:abstractNumId="412">
    <w:nsid w:val="51A6E915"/>
    <w:multiLevelType w:val="hybridMultilevel"/>
    <w:lvl w:ilvl="0">
      <w:lvlJc w:val="left"/>
      <w:lvlText w:val="(%1)"/>
      <w:numFmt w:val="lowerLetter"/>
      <w:start w:val="1"/>
    </w:lvl>
  </w:abstractNum>
  <w:abstractNum w:abstractNumId="413">
    <w:nsid w:val="174BDE99"/>
    <w:multiLevelType w:val="hybridMultilevel"/>
    <w:lvl w:ilvl="0">
      <w:lvlJc w:val="left"/>
      <w:lvlText w:val="(%1)"/>
      <w:numFmt w:val="lowerLetter"/>
      <w:start w:val="4"/>
    </w:lvl>
  </w:abstractNum>
  <w:abstractNum w:abstractNumId="414">
    <w:nsid w:val="1F2BEA4E"/>
    <w:multiLevelType w:val="hybridMultilevel"/>
    <w:lvl w:ilvl="0">
      <w:lvlJc w:val="left"/>
      <w:lvlText w:val="(%1)"/>
      <w:numFmt w:val="lowerLetter"/>
      <w:start w:val="1"/>
    </w:lvl>
  </w:abstractNum>
  <w:abstractNum w:abstractNumId="415">
    <w:nsid w:val="3254A32"/>
    <w:multiLevelType w:val="hybridMultilevel"/>
    <w:lvl w:ilvl="0">
      <w:lvlJc w:val="left"/>
      <w:lvlText w:val="%1"/>
      <w:numFmt w:val="upperLetter"/>
      <w:start w:val="1"/>
    </w:lvl>
    <w:lvl w:ilvl="1">
      <w:lvlJc w:val="left"/>
      <w:lvlText w:val="(%2)"/>
      <w:numFmt w:val="lowerLetter"/>
      <w:start w:val="4"/>
    </w:lvl>
  </w:abstractNum>
  <w:abstractNum w:abstractNumId="416">
    <w:nsid w:val="11ADB5F4"/>
    <w:multiLevelType w:val="hybridMultilevel"/>
    <w:lvl w:ilvl="0">
      <w:lvlJc w:val="left"/>
      <w:lvlText w:val="(%1)"/>
      <w:numFmt w:val="upperLetter"/>
      <w:start w:val="2"/>
    </w:lvl>
    <w:lvl w:ilvl="1">
      <w:lvlJc w:val="left"/>
      <w:lvlText w:val="(%2)"/>
      <w:numFmt w:val="lowerLetter"/>
      <w:start w:val="5"/>
    </w:lvl>
  </w:abstractNum>
  <w:abstractNum w:abstractNumId="417">
    <w:nsid w:val="3575FED1"/>
    <w:multiLevelType w:val="hybridMultilevel"/>
    <w:lvl w:ilvl="0">
      <w:lvlJc w:val="left"/>
      <w:lvlText w:val="(%1)"/>
      <w:numFmt w:val="lowerLetter"/>
      <w:start w:val="1"/>
    </w:lvl>
  </w:abstractNum>
  <w:abstractNum w:abstractNumId="418">
    <w:nsid w:val="1B2B9E9D"/>
    <w:multiLevelType w:val="hybridMultilevel"/>
    <w:lvl w:ilvl="0">
      <w:lvlJc w:val="left"/>
      <w:lvlText w:val="(%1)"/>
      <w:numFmt w:val="lowerLetter"/>
      <w:start w:val="1"/>
    </w:lvl>
  </w:abstractNum>
  <w:abstractNum w:abstractNumId="419">
    <w:nsid w:val="3150E85C"/>
    <w:multiLevelType w:val="hybridMultilevel"/>
    <w:lvl w:ilvl="0">
      <w:lvlJc w:val="left"/>
      <w:lvlText w:val="(%1)"/>
      <w:numFmt w:val="lowerLetter"/>
      <w:start w:val="1"/>
    </w:lvl>
  </w:abstractNum>
  <w:abstractNum w:abstractNumId="420">
    <w:nsid w:val="638FDBD1"/>
    <w:multiLevelType w:val="hybridMultilevel"/>
    <w:lvl w:ilvl="0">
      <w:lvlJc w:val="left"/>
      <w:lvlText w:val="(%1)"/>
      <w:numFmt w:val="lowerLetter"/>
      <w:start w:val="2"/>
    </w:lvl>
  </w:abstractNum>
  <w:abstractNum w:abstractNumId="421">
    <w:nsid w:val="1098CF6E"/>
    <w:multiLevelType w:val="hybridMultilevel"/>
    <w:lvl w:ilvl="0">
      <w:lvlJc w:val="left"/>
      <w:lvlText w:val="(%1)"/>
      <w:numFmt w:val="lowerLetter"/>
      <w:start w:val="1"/>
    </w:lvl>
  </w:abstractNum>
  <w:abstractNum w:abstractNumId="422">
    <w:nsid w:val="1AF465D"/>
    <w:multiLevelType w:val="hybridMultilevel"/>
    <w:lvl w:ilvl="0">
      <w:lvlJc w:val="left"/>
      <w:lvlText w:val="(%1)"/>
      <w:numFmt w:val="lowerLetter"/>
      <w:start w:val="61"/>
    </w:lvl>
    <w:lvl w:ilvl="1">
      <w:lvlJc w:val="left"/>
      <w:lvlText w:val="(%2)"/>
      <w:numFmt w:val="lowerLetter"/>
      <w:start w:val="3"/>
    </w:lvl>
  </w:abstractNum>
  <w:abstractNum w:abstractNumId="423">
    <w:nsid w:val="128D98B7"/>
    <w:multiLevelType w:val="hybridMultilevel"/>
    <w:lvl w:ilvl="0">
      <w:lvlJc w:val="left"/>
      <w:lvlText w:val="(%1)"/>
      <w:numFmt w:val="decimal"/>
      <w:start w:val="1"/>
    </w:lvl>
  </w:abstractNum>
  <w:abstractNum w:abstractNumId="424">
    <w:nsid w:val="5F613832"/>
    <w:multiLevelType w:val="hybridMultilevel"/>
    <w:lvl w:ilvl="0">
      <w:lvlJc w:val="left"/>
      <w:lvlText w:val="(%1)"/>
      <w:numFmt w:val="decimal"/>
      <w:start w:val="15"/>
    </w:lvl>
  </w:abstractNum>
  <w:abstractNum w:abstractNumId="425">
    <w:nsid w:val="43E92260"/>
    <w:multiLevelType w:val="hybridMultilevel"/>
    <w:lvl w:ilvl="0">
      <w:lvlJc w:val="left"/>
      <w:lvlText w:val="(%1)"/>
      <w:numFmt w:val="decimal"/>
      <w:start w:val="34"/>
    </w:lvl>
  </w:abstractNum>
  <w:abstractNum w:abstractNumId="426">
    <w:nsid w:val="430A1662"/>
    <w:multiLevelType w:val="hybridMultilevel"/>
    <w:lvl w:ilvl="0">
      <w:lvlJc w:val="left"/>
      <w:lvlText w:val="(%1)"/>
      <w:numFmt w:val="lowerLetter"/>
      <w:start w:val="2"/>
    </w:lvl>
  </w:abstractNum>
  <w:abstractNum w:abstractNumId="427">
    <w:nsid w:val="1F9D5C18"/>
    <w:multiLevelType w:val="hybridMultilevel"/>
    <w:lvl w:ilvl="0">
      <w:lvlJc w:val="left"/>
      <w:lvlText w:val="%1."/>
      <w:numFmt w:val="decimal"/>
      <w:start w:val="1"/>
    </w:lvl>
  </w:abstractNum>
  <w:abstractNum w:abstractNumId="428">
    <w:nsid w:val="1CC11C37"/>
    <w:multiLevelType w:val="hybridMultilevel"/>
    <w:lvl w:ilvl="0">
      <w:lvlJc w:val="left"/>
      <w:lvlText w:val="%1."/>
      <w:numFmt w:val="decimal"/>
      <w:start w:val="2"/>
    </w:lvl>
  </w:abstractNum>
  <w:abstractNum w:abstractNumId="429">
    <w:nsid w:val="4557D5D8"/>
    <w:multiLevelType w:val="hybridMultilevel"/>
    <w:lvl w:ilvl="0">
      <w:lvlJc w:val="left"/>
      <w:lvlText w:val="(%1)"/>
      <w:numFmt w:val="lowerLetter"/>
      <w:start w:val="1"/>
    </w:lvl>
  </w:abstractNum>
  <w:abstractNum w:abstractNumId="430">
    <w:nsid w:val="72D2B579"/>
    <w:multiLevelType w:val="hybridMultilevel"/>
    <w:lvl w:ilvl="0">
      <w:lvlJc w:val="left"/>
      <w:lvlText w:val="(%1)"/>
      <w:numFmt w:val="lowerLetter"/>
      <w:start w:val="2"/>
    </w:lvl>
    <w:lvl w:ilvl="1">
      <w:lvlJc w:val="left"/>
      <w:lvlText w:val="(%2)"/>
      <w:numFmt w:val="lowerRoman"/>
      <w:start w:val="1"/>
    </w:lvl>
  </w:abstractNum>
  <w:abstractNum w:abstractNumId="431">
    <w:nsid w:val="6C0BE536"/>
    <w:multiLevelType w:val="hybridMultilevel"/>
    <w:lvl w:ilvl="0">
      <w:lvlJc w:val="left"/>
      <w:lvlText w:val="(%1)"/>
      <w:numFmt w:val="lowerLetter"/>
      <w:start w:val="1"/>
    </w:lvl>
    <w:lvl w:ilvl="1">
      <w:lvlJc w:val="left"/>
      <w:lvlText w:val="(%2)"/>
      <w:numFmt w:val="lowerRoman"/>
      <w:start w:val="1"/>
    </w:lvl>
  </w:abstractNum>
  <w:abstractNum w:abstractNumId="432">
    <w:nsid w:val="1E22BCB2"/>
    <w:multiLevelType w:val="hybridMultilevel"/>
    <w:lvl w:ilvl="0">
      <w:lvlJc w:val="left"/>
      <w:lvlText w:val="%1."/>
      <w:numFmt w:val="decimal"/>
      <w:start w:val="5"/>
    </w:lvl>
  </w:abstractNum>
  <w:abstractNum w:abstractNumId="433">
    <w:nsid w:val="3565F1C8"/>
    <w:multiLevelType w:val="hybridMultilevel"/>
    <w:lvl w:ilvl="0">
      <w:lvlJc w:val="left"/>
      <w:lvlText w:val="%1."/>
      <w:numFmt w:val="decimal"/>
      <w:start w:val="1"/>
    </w:lvl>
  </w:abstractNum>
  <w:abstractNum w:abstractNumId="434">
    <w:nsid w:val="5EA6D896"/>
    <w:multiLevelType w:val="hybridMultilevel"/>
    <w:lvl w:ilvl="0">
      <w:lvlJc w:val="left"/>
      <w:lvlText w:val="%1."/>
      <w:numFmt w:val="decimal"/>
      <w:start w:val="2"/>
    </w:lvl>
  </w:abstractNum>
  <w:abstractNum w:abstractNumId="435">
    <w:nsid w:val="3D096BBF"/>
    <w:multiLevelType w:val="hybridMultilevel"/>
    <w:lvl w:ilvl="0">
      <w:lvlJc w:val="left"/>
      <w:lvlText w:val="%1."/>
      <w:numFmt w:val="decimal"/>
      <w:start w:val="3"/>
    </w:lvl>
    <w:lvl w:ilvl="1">
      <w:lvlJc w:val="left"/>
      <w:lvlText w:val="(%2)"/>
      <w:numFmt w:val="lowerLetter"/>
      <w:start w:val="1"/>
    </w:lvl>
  </w:abstractNum>
  <w:abstractNum w:abstractNumId="436">
    <w:nsid w:val="BD6D5B5"/>
    <w:multiLevelType w:val="hybridMultilevel"/>
    <w:lvl w:ilvl="0">
      <w:lvlJc w:val="left"/>
      <w:lvlText w:val="%1"/>
      <w:numFmt w:val="decimal"/>
      <w:start w:val="1"/>
    </w:lvl>
    <w:lvl w:ilvl="1">
      <w:lvlJc w:val="left"/>
      <w:lvlText w:val="(%2)"/>
      <w:numFmt w:val="lowerLetter"/>
      <w:start w:val="3"/>
    </w:lvl>
  </w:abstractNum>
  <w:abstractNum w:abstractNumId="437">
    <w:nsid w:val="3B52115C"/>
    <w:multiLevelType w:val="hybridMultilevel"/>
    <w:lvl w:ilvl="0">
      <w:lvlJc w:val="left"/>
      <w:lvlText w:val="%1."/>
      <w:numFmt w:val="decimal"/>
      <w:start w:val="5"/>
    </w:lvl>
    <w:lvl w:ilvl="1">
      <w:lvlJc w:val="left"/>
      <w:lvlText w:val="(%2)"/>
      <w:numFmt w:val="lowerLetter"/>
      <w:start w:val="1"/>
    </w:lvl>
  </w:abstractNum>
  <w:abstractNum w:abstractNumId="438">
    <w:nsid w:val="787AA59C"/>
    <w:multiLevelType w:val="hybridMultilevel"/>
    <w:lvl w:ilvl="0">
      <w:lvlJc w:val="left"/>
      <w:lvlText w:val="%1"/>
      <w:numFmt w:val="decimal"/>
      <w:start w:val="1"/>
    </w:lvl>
    <w:lvl w:ilvl="1">
      <w:lvlJc w:val="left"/>
      <w:lvlText w:val="(%2)"/>
      <w:numFmt w:val="lowerLetter"/>
      <w:start w:val="2"/>
    </w:lvl>
  </w:abstractNum>
  <w:abstractNum w:abstractNumId="439">
    <w:nsid w:val="70BB9983"/>
    <w:multiLevelType w:val="hybridMultilevel"/>
    <w:lvl w:ilvl="0">
      <w:lvlJc w:val="left"/>
      <w:lvlText w:val="%1."/>
      <w:numFmt w:val="decimal"/>
      <w:start w:val="6"/>
    </w:lvl>
    <w:lvl w:ilvl="1">
      <w:lvlJc w:val="left"/>
      <w:lvlText w:val="%2"/>
      <w:numFmt w:val="lowerLetter"/>
      <w:start w:val="1"/>
    </w:lvl>
  </w:abstractNum>
  <w:abstractNum w:abstractNumId="440">
    <w:nsid w:val="51EEBEEA"/>
    <w:multiLevelType w:val="hybridMultilevel"/>
    <w:lvl w:ilvl="0">
      <w:lvlJc w:val="left"/>
      <w:lvlText w:val="%1."/>
      <w:numFmt w:val="decimal"/>
      <w:start w:val="10"/>
    </w:lvl>
  </w:abstractNum>
  <w:abstractNum w:abstractNumId="441">
    <w:nsid w:val="221A0CCD"/>
    <w:multiLevelType w:val="hybridMultilevel"/>
    <w:lvl w:ilvl="0">
      <w:lvlJc w:val="left"/>
      <w:lvlText w:val="%1."/>
      <w:numFmt w:val="decimal"/>
      <w:start w:val="12"/>
    </w:lvl>
  </w:abstractNum>
  <w:abstractNum w:abstractNumId="442">
    <w:nsid w:val="1B7CA0ED"/>
    <w:multiLevelType w:val="hybridMultilevel"/>
    <w:lvl w:ilvl="0">
      <w:lvlJc w:val="left"/>
      <w:lvlText w:val="%1."/>
      <w:numFmt w:val="decimal"/>
      <w:start w:val="13"/>
    </w:lvl>
  </w:abstractNum>
  <w:abstractNum w:abstractNumId="443">
    <w:nsid w:val="2395A7FF"/>
    <w:multiLevelType w:val="hybridMultilevel"/>
    <w:lvl w:ilvl="0">
      <w:lvlJc w:val="left"/>
      <w:lvlText w:val="%1."/>
      <w:numFmt w:val="decimal"/>
      <w:start w:val="18"/>
    </w:lvl>
  </w:abstractNum>
  <w:abstractNum w:abstractNumId="444">
    <w:nsid w:val="3965EB66"/>
    <w:multiLevelType w:val="hybridMultilevel"/>
    <w:lvl w:ilvl="0">
      <w:lvlJc w:val="left"/>
      <w:lvlText w:val="%1."/>
      <w:numFmt w:val="decimal"/>
      <w:start w:val="1"/>
    </w:lvl>
  </w:abstractNum>
  <w:abstractNum w:abstractNumId="445">
    <w:nsid w:val="3AA88B3C"/>
    <w:multiLevelType w:val="hybridMultilevel"/>
    <w:lvl w:ilvl="0">
      <w:lvlJc w:val="left"/>
      <w:lvlText w:val="%1."/>
      <w:numFmt w:val="decimal"/>
      <w:start w:val="2"/>
    </w:lvl>
  </w:abstractNum>
  <w:abstractNum w:abstractNumId="446">
    <w:nsid w:val="26BAF231"/>
    <w:multiLevelType w:val="hybridMultilevel"/>
    <w:lvl w:ilvl="0">
      <w:lvlJc w:val="left"/>
      <w:lvlText w:val="%1."/>
      <w:numFmt w:val="decimal"/>
      <w:start w:val="3"/>
    </w:lvl>
    <w:lvl w:ilvl="1">
      <w:lvlJc w:val="left"/>
      <w:lvlText w:val="(%2)"/>
      <w:numFmt w:val="lowerLetter"/>
      <w:start w:val="1"/>
    </w:lvl>
  </w:abstractNum>
  <w:abstractNum w:abstractNumId="447">
    <w:nsid w:val="4B13A15A"/>
    <w:multiLevelType w:val="hybridMultilevel"/>
    <w:lvl w:ilvl="0">
      <w:lvlJc w:val="left"/>
      <w:lvlText w:val="%1."/>
      <w:numFmt w:val="decimal"/>
      <w:start w:val="4"/>
    </w:lvl>
    <w:lvl w:ilvl="1">
      <w:lvlJc w:val="left"/>
      <w:lvlText w:val="(%2)"/>
      <w:numFmt w:val="lowerLetter"/>
      <w:start w:val="1"/>
    </w:lvl>
  </w:abstractNum>
  <w:abstractNum w:abstractNumId="448">
    <w:nsid w:val="701E8A0D"/>
    <w:multiLevelType w:val="hybridMultilevel"/>
    <w:lvl w:ilvl="0">
      <w:lvlJc w:val="left"/>
      <w:lvlText w:val="%1."/>
      <w:numFmt w:val="decimal"/>
      <w:start w:val="7"/>
    </w:lvl>
  </w:abstractNum>
  <w:abstractNum w:abstractNumId="449">
    <w:nsid w:val="41E690CF"/>
    <w:multiLevelType w:val="hybridMultilevel"/>
    <w:lvl w:ilvl="0">
      <w:lvlJc w:val="left"/>
      <w:lvlText w:val="%1."/>
      <w:numFmt w:val="decimal"/>
      <w:start w:val="10"/>
    </w:lvl>
  </w:abstractNum>
  <w:abstractNum w:abstractNumId="450">
    <w:nsid w:val="7C6489B6"/>
    <w:multiLevelType w:val="hybridMultilevel"/>
    <w:lvl w:ilvl="0">
      <w:lvlJc w:val="left"/>
      <w:lvlText w:val="%1."/>
      <w:numFmt w:val="decimal"/>
      <w:start w:val="11"/>
    </w:lvl>
  </w:abstractNum>
  <w:abstractNum w:abstractNumId="451">
    <w:nsid w:val="53AE65DE"/>
    <w:multiLevelType w:val="hybridMultilevel"/>
    <w:lvl w:ilvl="0">
      <w:lvlJc w:val="left"/>
      <w:lvlText w:val="%1."/>
      <w:numFmt w:val="decimal"/>
      <w:start w:val="13"/>
    </w:lvl>
  </w:abstractNum>
  <w:abstractNum w:abstractNumId="452">
    <w:nsid w:val="527F603D"/>
    <w:multiLevelType w:val="hybridMultilevel"/>
    <w:lvl w:ilvl="0">
      <w:lvlJc w:val="left"/>
      <w:lvlText w:val="%1."/>
      <w:numFmt w:val="decimal"/>
      <w:start w:val="20"/>
    </w:lvl>
  </w:abstractNum>
  <w:abstractNum w:abstractNumId="453">
    <w:nsid w:val="7E13D013"/>
    <w:multiLevelType w:val="hybridMultilevel"/>
    <w:lvl w:ilvl="0">
      <w:lvlJc w:val="left"/>
      <w:lvlText w:val="%1."/>
      <w:numFmt w:val="decimal"/>
      <w:start w:val="1"/>
    </w:lvl>
  </w:abstractNum>
  <w:abstractNum w:abstractNumId="454">
    <w:nsid w:val="663BFE95"/>
    <w:multiLevelType w:val="hybridMultilevel"/>
    <w:lvl w:ilvl="0">
      <w:lvlJc w:val="left"/>
      <w:lvlText w:val="%1."/>
      <w:numFmt w:val="decimal"/>
      <w:start w:val="3"/>
    </w:lvl>
    <w:lvl w:ilvl="1">
      <w:lvlJc w:val="left"/>
      <w:lvlText w:val="(%2)"/>
      <w:numFmt w:val="lowerLetter"/>
      <w:start w:val="1"/>
    </w:lvl>
  </w:abstractNum>
  <w:abstractNum w:abstractNumId="455">
    <w:nsid w:val="31E0986F"/>
    <w:multiLevelType w:val="hybridMultilevel"/>
    <w:lvl w:ilvl="0">
      <w:lvlJc w:val="left"/>
      <w:lvlText w:val="%1."/>
      <w:numFmt w:val="decimal"/>
      <w:start w:val="5"/>
    </w:lvl>
  </w:abstractNum>
  <w:abstractNum w:abstractNumId="456">
    <w:nsid w:val="41FCF274"/>
    <w:multiLevelType w:val="hybridMultilevel"/>
    <w:lvl w:ilvl="0">
      <w:lvlJc w:val="left"/>
      <w:lvlText w:val="%1."/>
      <w:numFmt w:val="decimal"/>
      <w:start w:val="6"/>
    </w:lvl>
  </w:abstractNum>
  <w:abstractNum w:abstractNumId="457">
    <w:nsid w:val="294614F7"/>
    <w:multiLevelType w:val="hybridMultilevel"/>
    <w:lvl w:ilvl="0">
      <w:lvlJc w:val="left"/>
      <w:lvlText w:val="%1."/>
      <w:numFmt w:val="decimal"/>
      <w:start w:val="10"/>
    </w:lvl>
  </w:abstractNum>
  <w:abstractNum w:abstractNumId="458">
    <w:nsid w:val="517DF487"/>
    <w:multiLevelType w:val="hybridMultilevel"/>
    <w:lvl w:ilvl="0">
      <w:lvlJc w:val="left"/>
      <w:lvlText w:val="%1."/>
      <w:numFmt w:val="decimal"/>
      <w:start w:val="11"/>
    </w:lvl>
  </w:abstractNum>
  <w:abstractNum w:abstractNumId="459">
    <w:nsid w:val="5EBE0EAB"/>
    <w:multiLevelType w:val="hybridMultilevel"/>
    <w:lvl w:ilvl="0">
      <w:lvlJc w:val="left"/>
      <w:lvlText w:val="%1."/>
      <w:numFmt w:val="decimal"/>
      <w:start w:val="14"/>
    </w:lvl>
  </w:abstractNum>
  <w:abstractNum w:abstractNumId="460">
    <w:nsid w:val="6E9DEAD0"/>
    <w:multiLevelType w:val="hybridMultilevel"/>
    <w:lvl w:ilvl="0">
      <w:lvlJc w:val="left"/>
      <w:lvlText w:val="%1"/>
      <w:numFmt w:val="lowerLetter"/>
      <w:start w:val="1"/>
    </w:lvl>
    <w:lvl w:ilvl="1">
      <w:lvlJc w:val="left"/>
      <w:lvlText w:val="%2."/>
      <w:numFmt w:val="decimal"/>
      <w:start w:val="21"/>
    </w:lvl>
  </w:abstractNum>
  <w:abstractNum w:abstractNumId="461">
    <w:nsid w:val="4450AA00"/>
    <w:multiLevelType w:val="hybridMultilevel"/>
    <w:lvl w:ilvl="0">
      <w:lvlJc w:val="left"/>
      <w:lvlText w:val="(%1)"/>
      <w:numFmt w:val="lowerLetter"/>
      <w:start w:val="3"/>
    </w:lvl>
    <w:lvl w:ilvl="1">
      <w:lvlJc w:val="left"/>
      <w:lvlText w:val="%2"/>
      <w:numFmt w:val="decimal"/>
      <w:start w:val="1"/>
    </w:lvl>
  </w:abstractNum>
  <w:abstractNum w:abstractNumId="462">
    <w:nsid w:val="4AC9F3E2"/>
    <w:multiLevelType w:val="hybridMultilevel"/>
    <w:lvl w:ilvl="0">
      <w:lvlJc w:val="left"/>
      <w:lvlText w:val="%1."/>
      <w:numFmt w:val="decimal"/>
      <w:start w:val="1"/>
    </w:lvl>
  </w:abstractNum>
  <w:abstractNum w:abstractNumId="463">
    <w:nsid w:val="CC0A782"/>
    <w:multiLevelType w:val="hybridMultilevel"/>
    <w:lvl w:ilvl="0">
      <w:lvlJc w:val="left"/>
      <w:lvlText w:val="[%1]"/>
      <w:numFmt w:val="upperLetter"/>
      <w:start w:val="76"/>
    </w:lvl>
  </w:abstractNum>
  <w:abstractNum w:abstractNumId="464">
    <w:nsid w:val="79B69BC9"/>
    <w:multiLevelType w:val="hybridMultilevel"/>
    <w:lvl w:ilvl="0">
      <w:lvlJc w:val="left"/>
      <w:lvlText w:val="[%1]"/>
      <w:numFmt w:val="upperLetter"/>
      <w:start w:val="76"/>
    </w:lvl>
  </w:abstractNum>
  <w:abstractNum w:abstractNumId="465">
    <w:nsid w:val="2970CC78"/>
    <w:multiLevelType w:val="hybridMultilevel"/>
    <w:lvl w:ilvl="0">
      <w:lvlJc w:val="left"/>
      <w:lvlText w:val="%1."/>
      <w:numFmt w:val="decimal"/>
      <w:start w:val="2"/>
    </w:lvl>
  </w:abstractNum>
  <w:abstractNum w:abstractNumId="466">
    <w:nsid w:val="49CA1341"/>
    <w:multiLevelType w:val="hybridMultilevel"/>
    <w:lvl w:ilvl="0">
      <w:lvlJc w:val="left"/>
      <w:lvlText w:val="[%1]"/>
      <w:numFmt w:val="upperLetter"/>
      <w:start w:val="76"/>
    </w:lvl>
  </w:abstractNum>
  <w:abstractNum w:abstractNumId="467">
    <w:nsid w:val="58D717E"/>
    <w:multiLevelType w:val="hybridMultilevel"/>
    <w:lvl w:ilvl="0">
      <w:lvlJc w:val="left"/>
      <w:lvlText w:val="%1."/>
      <w:numFmt w:val="decimal"/>
      <w:start w:val="3"/>
    </w:lvl>
  </w:abstractNum>
  <w:abstractNum w:abstractNumId="468">
    <w:nsid w:val="64C2DDD5"/>
    <w:multiLevelType w:val="hybridMultilevel"/>
    <w:lvl w:ilvl="0">
      <w:lvlJc w:val="left"/>
      <w:lvlText w:val="[%1]"/>
      <w:numFmt w:val="upperLetter"/>
      <w:start w:val="76"/>
    </w:lvl>
  </w:abstractNum>
  <w:abstractNum w:abstractNumId="469">
    <w:nsid w:val="4244B8DE"/>
    <w:multiLevelType w:val="hybridMultilevel"/>
    <w:lvl w:ilvl="0">
      <w:lvlJc w:val="left"/>
      <w:lvlText w:val="%1."/>
      <w:numFmt w:val="decimal"/>
      <w:start w:val="4"/>
    </w:lvl>
  </w:abstractNum>
  <w:abstractNum w:abstractNumId="470">
    <w:nsid w:val="76490B01"/>
    <w:multiLevelType w:val="hybridMultilevel"/>
    <w:lvl w:ilvl="0">
      <w:lvlJc w:val="left"/>
      <w:lvlText w:val="[%1]"/>
      <w:numFmt w:val="upperLetter"/>
      <w:start w:val="76"/>
    </w:lvl>
  </w:abstractNum>
  <w:abstractNum w:abstractNumId="471">
    <w:nsid w:val="36B19CBF"/>
    <w:multiLevelType w:val="hybridMultilevel"/>
    <w:lvl w:ilvl="0">
      <w:lvlJc w:val="left"/>
      <w:lvlText w:val="%1."/>
      <w:numFmt w:val="decimal"/>
      <w:start w:val="5"/>
    </w:lvl>
  </w:abstractNum>
  <w:abstractNum w:abstractNumId="472">
    <w:nsid w:val="645EC5AB"/>
    <w:multiLevelType w:val="hybridMultilevel"/>
    <w:lvl w:ilvl="0">
      <w:lvlJc w:val="left"/>
      <w:lvlText w:val="[%1]"/>
      <w:numFmt w:val="upperLetter"/>
      <w:start w:val="76"/>
    </w:lvl>
  </w:abstractNum>
  <w:abstractNum w:abstractNumId="473">
    <w:nsid w:val="11C5ABEF"/>
    <w:multiLevelType w:val="hybridMultilevel"/>
    <w:lvl w:ilvl="0">
      <w:lvlJc w:val="left"/>
      <w:lvlText w:val="%1."/>
      <w:numFmt w:val="decimal"/>
      <w:start w:val="6"/>
    </w:lvl>
  </w:abstractNum>
  <w:abstractNum w:abstractNumId="474">
    <w:nsid w:val="5A4744BE"/>
    <w:multiLevelType w:val="hybridMultilevel"/>
    <w:lvl w:ilvl="0">
      <w:lvlJc w:val="left"/>
      <w:lvlText w:val="[%1]"/>
      <w:numFmt w:val="upperLetter"/>
      <w:start w:val="76"/>
    </w:lvl>
  </w:abstractNum>
  <w:abstractNum w:abstractNumId="475">
    <w:nsid w:val="1DC4B111"/>
    <w:multiLevelType w:val="hybridMultilevel"/>
    <w:lvl w:ilvl="0">
      <w:lvlJc w:val="left"/>
      <w:lvlText w:val="%1."/>
      <w:numFmt w:val="decimal"/>
      <w:start w:val="7"/>
    </w:lvl>
  </w:abstractNum>
  <w:abstractNum w:abstractNumId="476">
    <w:nsid w:val="4C6E372B"/>
    <w:multiLevelType w:val="hybridMultilevel"/>
    <w:lvl w:ilvl="0">
      <w:lvlJc w:val="left"/>
      <w:lvlText w:val="[%1]"/>
      <w:numFmt w:val="upperLetter"/>
      <w:start w:val="76"/>
    </w:lvl>
  </w:abstractNum>
  <w:abstractNum w:abstractNumId="477">
    <w:nsid w:val="10236EF"/>
    <w:multiLevelType w:val="hybridMultilevel"/>
    <w:lvl w:ilvl="0">
      <w:lvlJc w:val="left"/>
      <w:lvlText w:val="%1."/>
      <w:numFmt w:val="decimal"/>
      <w:start w:val="8"/>
    </w:lvl>
  </w:abstractNum>
  <w:abstractNum w:abstractNumId="478">
    <w:nsid w:val="68D8526B"/>
    <w:multiLevelType w:val="hybridMultilevel"/>
    <w:lvl w:ilvl="0">
      <w:lvlJc w:val="left"/>
      <w:lvlText w:val="[%1]"/>
      <w:numFmt w:val="upperLetter"/>
      <w:start w:val="76"/>
    </w:lvl>
  </w:abstractNum>
  <w:abstractNum w:abstractNumId="479">
    <w:nsid w:val="3C8CC138"/>
    <w:multiLevelType w:val="hybridMultilevel"/>
    <w:lvl w:ilvl="0">
      <w:lvlJc w:val="left"/>
      <w:lvlText w:val="%1."/>
      <w:numFmt w:val="decimal"/>
      <w:start w:val="9"/>
    </w:lvl>
  </w:abstractNum>
  <w:abstractNum w:abstractNumId="480">
    <w:nsid w:val="42E8C7BE"/>
    <w:multiLevelType w:val="hybridMultilevel"/>
    <w:lvl w:ilvl="0">
      <w:lvlJc w:val="left"/>
      <w:lvlText w:val="[%1]"/>
      <w:numFmt w:val="upperLetter"/>
      <w:start w:val="76"/>
    </w:lvl>
  </w:abstractNum>
  <w:abstractNum w:abstractNumId="481">
    <w:nsid w:val="653CDC22"/>
    <w:multiLevelType w:val="hybridMultilevel"/>
    <w:lvl w:ilvl="0">
      <w:lvlJc w:val="left"/>
      <w:lvlText w:val="[%1]"/>
      <w:numFmt w:val="upperLetter"/>
      <w:start w:val="76"/>
    </w:lvl>
  </w:abstractNum>
  <w:abstractNum w:abstractNumId="482">
    <w:nsid w:val="103B2716"/>
    <w:multiLevelType w:val="hybridMultilevel"/>
    <w:lvl w:ilvl="0">
      <w:lvlJc w:val="left"/>
      <w:lvlText w:val="%1."/>
      <w:numFmt w:val="decimal"/>
      <w:start w:val="10"/>
    </w:lvl>
  </w:abstractNum>
  <w:abstractNum w:abstractNumId="483">
    <w:nsid w:val="156827FB"/>
    <w:multiLevelType w:val="hybridMultilevel"/>
    <w:lvl w:ilvl="0">
      <w:lvlJc w:val="left"/>
      <w:lvlText w:val="%1."/>
      <w:numFmt w:val="decimal"/>
      <w:start w:val="11"/>
    </w:lvl>
  </w:abstractNum>
  <w:abstractNum w:abstractNumId="484">
    <w:nsid w:val="6350AC35"/>
    <w:multiLevelType w:val="hybridMultilevel"/>
    <w:lvl w:ilvl="0">
      <w:lvlJc w:val="left"/>
      <w:lvlText w:val="[%1]"/>
      <w:numFmt w:val="upperLetter"/>
      <w:start w:val="76"/>
    </w:lvl>
  </w:abstractNum>
  <w:abstractNum w:abstractNumId="485">
    <w:nsid w:val="767725AB"/>
    <w:multiLevelType w:val="hybridMultilevel"/>
    <w:lvl w:ilvl="0">
      <w:lvlJc w:val="left"/>
      <w:lvlText w:val="%1."/>
      <w:numFmt w:val="decimal"/>
      <w:start w:val="12"/>
    </w:lvl>
  </w:abstractNum>
  <w:abstractNum w:abstractNumId="486">
    <w:nsid w:val="4748C06A"/>
    <w:multiLevelType w:val="hybridMultilevel"/>
    <w:lvl w:ilvl="0">
      <w:lvlJc w:val="left"/>
      <w:lvlText w:val="%1."/>
      <w:numFmt w:val="decimal"/>
      <w:start w:val="13"/>
    </w:lvl>
  </w:abstractNum>
  <w:abstractNum w:abstractNumId="487">
    <w:nsid w:val="254D9EA9"/>
    <w:multiLevelType w:val="hybridMultilevel"/>
    <w:lvl w:ilvl="0">
      <w:lvlJc w:val="left"/>
      <w:lvlText w:val="%1."/>
      <w:numFmt w:val="decimal"/>
      <w:start w:val="14"/>
    </w:lvl>
  </w:abstractNum>
  <w:abstractNum w:abstractNumId="488">
    <w:nsid w:val="1FBD3AA3"/>
    <w:multiLevelType w:val="hybridMultilevel"/>
    <w:lvl w:ilvl="0">
      <w:lvlJc w:val="left"/>
      <w:lvlText w:val="(%1)"/>
      <w:numFmt w:val="lowerRoman"/>
      <w:start w:val="1"/>
    </w:lvl>
  </w:abstractNum>
  <w:abstractNum w:abstractNumId="489">
    <w:nsid w:val="18C6B4F2"/>
    <w:multiLevelType w:val="hybridMultilevel"/>
    <w:lvl w:ilvl="0">
      <w:lvlJc w:val="left"/>
      <w:lvlText w:val="[%1]"/>
      <w:numFmt w:val="upperLetter"/>
      <w:start w:val="76"/>
    </w:lvl>
  </w:abstractNum>
  <w:abstractNum w:abstractNumId="490">
    <w:nsid w:val="40BAD55"/>
    <w:multiLevelType w:val="hybridMultilevel"/>
    <w:lvl w:ilvl="0">
      <w:lvlJc w:val="left"/>
      <w:lvlText w:val="(%1)"/>
      <w:numFmt w:val="lowerRoman"/>
      <w:start w:val="2"/>
    </w:lvl>
  </w:abstractNum>
  <w:abstractNum w:abstractNumId="491">
    <w:nsid w:val="E5B2573"/>
    <w:multiLevelType w:val="hybridMultilevel"/>
    <w:lvl w:ilvl="0">
      <w:lvlJc w:val="left"/>
      <w:lvlText w:val="%1."/>
      <w:numFmt w:val="decimal"/>
      <w:start w:val="15"/>
    </w:lvl>
  </w:abstractNum>
  <w:abstractNum w:abstractNumId="492">
    <w:nsid w:val="5D175EF2"/>
    <w:multiLevelType w:val="hybridMultilevel"/>
    <w:lvl w:ilvl="0">
      <w:lvlJc w:val="left"/>
      <w:lvlText w:val="[%1]"/>
      <w:numFmt w:val="upperLetter"/>
      <w:start w:val="76"/>
    </w:lvl>
  </w:abstractNum>
  <w:abstractNum w:abstractNumId="493">
    <w:nsid w:val="4ED5A137"/>
    <w:multiLevelType w:val="hybridMultilevel"/>
    <w:lvl w:ilvl="0">
      <w:lvlJc w:val="left"/>
      <w:lvlText w:val="%1."/>
      <w:numFmt w:val="decimal"/>
      <w:start w:val="16"/>
    </w:lvl>
  </w:abstractNum>
  <w:abstractNum w:abstractNumId="494">
    <w:nsid w:val="1B1BCCF5"/>
    <w:multiLevelType w:val="hybridMultilevel"/>
    <w:lvl w:ilvl="0">
      <w:lvlJc w:val="left"/>
      <w:lvlText w:val="%1."/>
      <w:numFmt w:val="decimal"/>
      <w:start w:val="17"/>
    </w:lvl>
  </w:abstractNum>
  <w:abstractNum w:abstractNumId="495">
    <w:nsid w:val="56CDFABB"/>
    <w:multiLevelType w:val="hybridMultilevel"/>
    <w:lvl w:ilvl="0">
      <w:lvlJc w:val="left"/>
      <w:lvlText w:val="%1."/>
      <w:numFmt w:val="decimal"/>
      <w:start w:val="18"/>
    </w:lvl>
  </w:abstractNum>
  <w:abstractNum w:abstractNumId="496">
    <w:nsid w:val="78466DAF"/>
    <w:multiLevelType w:val="hybridMultilevel"/>
    <w:lvl w:ilvl="0">
      <w:lvlJc w:val="left"/>
      <w:lvlText w:val="%1."/>
      <w:numFmt w:val="decimal"/>
      <w:start w:val="19"/>
    </w:lvl>
  </w:abstractNum>
  <w:abstractNum w:abstractNumId="497">
    <w:nsid w:val="64E5E036"/>
    <w:multiLevelType w:val="hybridMultilevel"/>
    <w:lvl w:ilvl="0">
      <w:lvlJc w:val="left"/>
      <w:lvlText w:val="%1."/>
      <w:numFmt w:val="decimal"/>
      <w:start w:val="20"/>
    </w:lvl>
  </w:abstractNum>
  <w:abstractNum w:abstractNumId="498">
    <w:nsid w:val="5C5B6C3A"/>
    <w:multiLevelType w:val="hybridMultilevel"/>
    <w:lvl w:ilvl="0">
      <w:lvlJc w:val="left"/>
      <w:lvlText w:val="[%1]"/>
      <w:numFmt w:val="upperLetter"/>
      <w:start w:val="76"/>
    </w:lvl>
  </w:abstractNum>
  <w:abstractNum w:abstractNumId="499">
    <w:nsid w:val="5D094B84"/>
    <w:multiLevelType w:val="hybridMultilevel"/>
    <w:lvl w:ilvl="0">
      <w:lvlJc w:val="left"/>
      <w:lvlText w:val="%1."/>
      <w:numFmt w:val="decimal"/>
      <w:start w:val="21"/>
    </w:lvl>
  </w:abstractNum>
  <w:abstractNum w:abstractNumId="500">
    <w:nsid w:val="272A9914"/>
    <w:multiLevelType w:val="hybridMultilevel"/>
    <w:lvl w:ilvl="0">
      <w:lvlJc w:val="left"/>
      <w:lvlText w:val="%1."/>
      <w:numFmt w:val="decimal"/>
      <w:start w:val="22"/>
    </w:lvl>
  </w:abstractNum>
  <w:abstractNum w:abstractNumId="501">
    <w:nsid w:val="52A4773B"/>
    <w:multiLevelType w:val="hybridMultilevel"/>
    <w:lvl w:ilvl="0">
      <w:lvlJc w:val="left"/>
      <w:lvlText w:val="%1."/>
      <w:numFmt w:val="decimal"/>
      <w:start w:val="23"/>
    </w:lvl>
  </w:abstractNum>
  <w:abstractNum w:abstractNumId="502">
    <w:nsid w:val="13BAE843"/>
    <w:multiLevelType w:val="hybridMultilevel"/>
    <w:lvl w:ilvl="0">
      <w:lvlJc w:val="left"/>
      <w:lvlText w:val="%1."/>
      <w:numFmt w:val="decimal"/>
      <w:start w:val="24"/>
    </w:lvl>
  </w:abstractNum>
  <w:abstractNum w:abstractNumId="503">
    <w:nsid w:val="B895EBF"/>
    <w:multiLevelType w:val="hybridMultilevel"/>
    <w:lvl w:ilvl="0">
      <w:lvlJc w:val="left"/>
      <w:lvlText w:val="[%1]"/>
      <w:numFmt w:val="upperLetter"/>
      <w:start w:val="76"/>
    </w:lvl>
  </w:abstractNum>
  <w:abstractNum w:abstractNumId="504">
    <w:nsid w:val="646A232A"/>
    <w:multiLevelType w:val="hybridMultilevel"/>
    <w:lvl w:ilvl="0">
      <w:lvlJc w:val="left"/>
      <w:lvlText w:val="%1."/>
      <w:numFmt w:val="decimal"/>
      <w:start w:val="25"/>
    </w:lvl>
  </w:abstractNum>
  <w:abstractNum w:abstractNumId="505">
    <w:nsid w:val="6E022D01"/>
    <w:multiLevelType w:val="hybridMultilevel"/>
    <w:lvl w:ilvl="0">
      <w:lvlJc w:val="left"/>
      <w:lvlText w:val="%1."/>
      <w:numFmt w:val="decimal"/>
      <w:start w:val="26"/>
    </w:lvl>
  </w:abstractNum>
  <w:abstractNum w:abstractNumId="506">
    <w:nsid w:val="294E0FD0"/>
    <w:multiLevelType w:val="hybridMultilevel"/>
    <w:lvl w:ilvl="0">
      <w:lvlJc w:val="left"/>
      <w:lvlText w:val="%1."/>
      <w:numFmt w:val="decimal"/>
      <w:start w:val="27"/>
    </w:lvl>
  </w:abstractNum>
  <w:abstractNum w:abstractNumId="507">
    <w:nsid w:val="30D85A55"/>
    <w:multiLevelType w:val="hybridMultilevel"/>
    <w:lvl w:ilvl="0">
      <w:lvlJc w:val="left"/>
      <w:lvlText w:val="%1."/>
      <w:numFmt w:val="decimal"/>
      <w:start w:val="28"/>
    </w:lvl>
  </w:abstractNum>
  <w:abstractNum w:abstractNumId="508">
    <w:nsid w:val="6F0463F1"/>
    <w:multiLevelType w:val="hybridMultilevel"/>
    <w:lvl w:ilvl="0">
      <w:lvlJc w:val="left"/>
      <w:lvlText w:val="%1."/>
      <w:numFmt w:val="decimal"/>
      <w:start w:val="29"/>
    </w:lvl>
  </w:abstractNum>
  <w:abstractNum w:abstractNumId="509">
    <w:nsid w:val="1226623C"/>
    <w:multiLevelType w:val="hybridMultilevel"/>
    <w:lvl w:ilvl="0">
      <w:lvlJc w:val="left"/>
      <w:lvlText w:val="%1."/>
      <w:numFmt w:val="decimal"/>
      <w:start w:val="30"/>
    </w:lvl>
  </w:abstractNum>
  <w:abstractNum w:abstractNumId="510">
    <w:nsid w:val="6D651B8D"/>
    <w:multiLevelType w:val="hybridMultilevel"/>
    <w:lvl w:ilvl="0">
      <w:lvlJc w:val="left"/>
      <w:lvlText w:val="%1."/>
      <w:numFmt w:val="decimal"/>
      <w:start w:val="31"/>
    </w:lvl>
  </w:abstractNum>
  <w:abstractNum w:abstractNumId="511">
    <w:nsid w:val="31ED2BAF"/>
    <w:multiLevelType w:val="hybridMultilevel"/>
    <w:lvl w:ilvl="0">
      <w:lvlJc w:val="left"/>
      <w:lvlText w:val="[%1]"/>
      <w:numFmt w:val="upperLetter"/>
      <w:start w:val="76"/>
    </w:lvl>
  </w:abstractNum>
  <w:abstractNum w:abstractNumId="512">
    <w:nsid w:val="77633E5E"/>
    <w:multiLevelType w:val="hybridMultilevel"/>
    <w:lvl w:ilvl="0">
      <w:lvlJc w:val="left"/>
      <w:lvlText w:val="[%1]"/>
      <w:numFmt w:val="upperLetter"/>
      <w:start w:val="76"/>
    </w:lvl>
  </w:abstractNum>
  <w:abstractNum w:abstractNumId="513">
    <w:nsid w:val="7DA042A3"/>
    <w:multiLevelType w:val="hybridMultilevel"/>
    <w:lvl w:ilvl="0">
      <w:lvlJc w:val="left"/>
      <w:lvlText w:val="[%1]"/>
      <w:numFmt w:val="upperLetter"/>
      <w:start w:val="76"/>
    </w:lvl>
  </w:abstractNum>
  <w:abstractNum w:abstractNumId="514">
    <w:nsid w:val="475553AB"/>
    <w:multiLevelType w:val="hybridMultilevel"/>
    <w:lvl w:ilvl="0">
      <w:lvlJc w:val="left"/>
      <w:lvlText w:val="[%1]"/>
      <w:numFmt w:val="upperLetter"/>
      <w:start w:val="76"/>
    </w:lvl>
  </w:abstractNum>
  <w:abstractNum w:abstractNumId="515">
    <w:nsid w:val="5AB3EA93"/>
    <w:multiLevelType w:val="hybridMultilevel"/>
    <w:lvl w:ilvl="0">
      <w:lvlJc w:val="left"/>
      <w:lvlText w:val="[%1]"/>
      <w:numFmt w:val="upperLetter"/>
      <w:start w:val="76"/>
    </w:lvl>
  </w:abstractNum>
  <w:abstractNum w:abstractNumId="516">
    <w:nsid w:val="7417684F"/>
    <w:multiLevelType w:val="hybridMultilevel"/>
    <w:lvl w:ilvl="0">
      <w:lvlJc w:val="left"/>
      <w:lvlText w:val="(%1)"/>
      <w:numFmt w:val="lowerLetter"/>
      <w:start w:val="1"/>
    </w:lvl>
    <w:lvl w:ilvl="1">
      <w:lvlJc w:val="left"/>
      <w:lvlText w:val="[%2]"/>
      <w:numFmt w:val="upperLetter"/>
      <w:start w:val="76"/>
    </w:lvl>
  </w:abstractNum>
  <w:abstractNum w:abstractNumId="517">
    <w:nsid w:val="E9E1415"/>
    <w:multiLevelType w:val="hybridMultilevel"/>
    <w:lvl w:ilvl="0">
      <w:lvlJc w:val="left"/>
      <w:lvlText w:val="(%1)"/>
      <w:numFmt w:val="lowerLetter"/>
      <w:start w:val="2"/>
    </w:lvl>
  </w:abstractNum>
  <w:abstractNum w:abstractNumId="518">
    <w:nsid w:val="1893D"/>
    <w:multiLevelType w:val="hybridMultilevel"/>
    <w:lvl w:ilvl="0">
      <w:lvlJc w:val="left"/>
      <w:lvlText w:val="(%1)"/>
      <w:numFmt w:val="lowerLetter"/>
      <w:start w:val="1"/>
    </w:lvl>
  </w:abstractNum>
  <w:abstractNum w:abstractNumId="519">
    <w:nsid w:val="13D4A2F2"/>
    <w:multiLevelType w:val="hybridMultilevel"/>
    <w:lvl w:ilvl="0">
      <w:lvlJc w:val="left"/>
      <w:lvlText w:val="(%1)"/>
      <w:numFmt w:val="lowerLetter"/>
      <w:start w:val="2"/>
    </w:lvl>
  </w:abstractNum>
  <w:abstractNum w:abstractNumId="520">
    <w:nsid w:val="2764C907"/>
    <w:multiLevelType w:val="hybridMultilevel"/>
    <w:lvl w:ilvl="0">
      <w:lvlJc w:val="left"/>
      <w:lvlText w:val="[%1]"/>
      <w:numFmt w:val="upperLetter"/>
      <w:start w:val="76"/>
    </w:lvl>
  </w:abstractNum>
  <w:abstractNum w:abstractNumId="521">
    <w:nsid w:val="40D3692"/>
    <w:multiLevelType w:val="hybridMultilevel"/>
    <w:lvl w:ilvl="0">
      <w:lvlJc w:val="left"/>
      <w:lvlText w:val="[%1]"/>
      <w:numFmt w:val="upperLetter"/>
      <w:start w:val="76"/>
    </w:lvl>
  </w:abstractNum>
  <w:abstractNum w:abstractNumId="522">
    <w:nsid w:val="222FC865"/>
    <w:multiLevelType w:val="hybridMultilevel"/>
    <w:lvl w:ilvl="0">
      <w:lvlJc w:val="left"/>
      <w:lvlText w:val="(%1)"/>
      <w:numFmt w:val="lowerLetter"/>
      <w:start w:val="1"/>
    </w:lvl>
  </w:abstractNum>
  <w:abstractNum w:abstractNumId="523">
    <w:nsid w:val="47C27FA"/>
    <w:multiLevelType w:val="hybridMultilevel"/>
    <w:lvl w:ilvl="0">
      <w:lvlJc w:val="left"/>
      <w:lvlText w:val="%1"/>
      <w:numFmt w:val="decimal"/>
      <w:start w:val="1"/>
    </w:lvl>
    <w:lvl w:ilvl="1">
      <w:lvlJc w:val="left"/>
      <w:lvlText w:val="(%2)"/>
      <w:numFmt w:val="lowerLetter"/>
      <w:start w:val="2"/>
    </w:lvl>
  </w:abstractNum>
  <w:abstractNum w:abstractNumId="524">
    <w:nsid w:val="52E2D7C9"/>
    <w:multiLevelType w:val="hybridMultilevel"/>
    <w:lvl w:ilvl="0">
      <w:lvlJc w:val="left"/>
      <w:lvlText w:val="%1)"/>
      <w:numFmt w:val="decimal"/>
      <w:start w:val="1"/>
    </w:lvl>
    <w:lvl w:ilvl="1">
      <w:lvlJc w:val="left"/>
      <w:lvlText w:val="(%2)"/>
      <w:numFmt w:val="lowerLetter"/>
      <w:start w:val="4"/>
    </w:lvl>
  </w:abstractNum>
  <w:abstractNum w:abstractNumId="525">
    <w:nsid w:val="3D4B955A"/>
    <w:multiLevelType w:val="hybridMultilevel"/>
    <w:lvl w:ilvl="0">
      <w:lvlJc w:val="left"/>
      <w:lvlText w:val="[%1]"/>
      <w:numFmt w:val="upperLetter"/>
      <w:start w:val="76"/>
    </w:lvl>
  </w:abstractNum>
  <w:abstractNum w:abstractNumId="526">
    <w:nsid w:val="5B4A22B5"/>
    <w:multiLevelType w:val="hybridMultilevel"/>
    <w:lvl w:ilvl="0">
      <w:lvlJc w:val="left"/>
      <w:lvlText w:val="(%1)"/>
      <w:numFmt w:val="lowerLetter"/>
      <w:start w:val="5"/>
    </w:lvl>
    <w:lvl w:ilvl="1">
      <w:lvlJc w:val="left"/>
      <w:lvlText w:val="(%2)"/>
      <w:numFmt w:val="lowerLetter"/>
      <w:start w:val="1"/>
    </w:lvl>
  </w:abstractNum>
  <w:abstractNum w:abstractNumId="527">
    <w:nsid w:val="4B294578"/>
    <w:multiLevelType w:val="hybridMultilevel"/>
    <w:lvl w:ilvl="0">
      <w:lvlJc w:val="left"/>
      <w:lvlText w:val="(%1)"/>
      <w:numFmt w:val="lowerLetter"/>
      <w:start w:val="7"/>
    </w:lvl>
  </w:abstractNum>
  <w:abstractNum w:abstractNumId="528">
    <w:nsid w:val="22317590"/>
    <w:multiLevelType w:val="hybridMultilevel"/>
    <w:lvl w:ilvl="0">
      <w:lvlJc w:val="left"/>
      <w:lvlText w:val="[%1]"/>
      <w:numFmt w:val="upperLetter"/>
      <w:start w:val="76"/>
    </w:lvl>
  </w:abstractNum>
  <w:abstractNum w:abstractNumId="529">
    <w:nsid w:val="37A58EEF"/>
    <w:multiLevelType w:val="hybridMultilevel"/>
    <w:lvl w:ilvl="0">
      <w:lvlJc w:val="left"/>
      <w:lvlText w:val="[%1]"/>
      <w:numFmt w:val="upperLetter"/>
      <w:start w:val="76"/>
    </w:lvl>
  </w:abstractNum>
  <w:abstractNum w:abstractNumId="530">
    <w:nsid w:val="283290FD"/>
    <w:multiLevelType w:val="hybridMultilevel"/>
    <w:lvl w:ilvl="0">
      <w:lvlJc w:val="left"/>
      <w:lvlText w:val="(%1)"/>
      <w:numFmt w:val="lowerLetter"/>
      <w:start w:val="1"/>
    </w:lvl>
  </w:abstractNum>
  <w:abstractNum w:abstractNumId="531">
    <w:nsid w:val="495C0EA5"/>
    <w:multiLevelType w:val="hybridMultilevel"/>
    <w:lvl w:ilvl="0">
      <w:lvlJc w:val="left"/>
      <w:lvlText w:val="[%1]"/>
      <w:numFmt w:val="upperLetter"/>
      <w:start w:val="76"/>
    </w:lvl>
  </w:abstractNum>
  <w:abstractNum w:abstractNumId="532">
    <w:nsid w:val="A4A062B"/>
    <w:multiLevelType w:val="hybridMultilevel"/>
    <w:lvl w:ilvl="0">
      <w:lvlJc w:val="left"/>
      <w:lvlText w:val="(%1)"/>
      <w:numFmt w:val="lowerLetter"/>
      <w:start w:val="1"/>
    </w:lvl>
  </w:abstractNum>
  <w:abstractNum w:abstractNumId="533">
    <w:nsid w:val="3BED7940"/>
    <w:multiLevelType w:val="hybridMultilevel"/>
    <w:lvl w:ilvl="0">
      <w:lvlJc w:val="left"/>
      <w:lvlText w:val="[%1]"/>
      <w:numFmt w:val="upperLetter"/>
      <w:start w:val="76"/>
    </w:lvl>
  </w:abstractNum>
  <w:abstractNum w:abstractNumId="534">
    <w:nsid w:val="54E56D64"/>
    <w:multiLevelType w:val="hybridMultilevel"/>
    <w:lvl w:ilvl="0">
      <w:lvlJc w:val="left"/>
      <w:lvlText w:val="%1)"/>
      <w:numFmt w:val="decimal"/>
      <w:start w:val="1"/>
    </w:lvl>
  </w:abstractNum>
  <w:abstractNum w:abstractNumId="535">
    <w:nsid w:val="6EB42955"/>
    <w:multiLevelType w:val="hybridMultilevel"/>
    <w:lvl w:ilvl="0">
      <w:lvlJc w:val="left"/>
      <w:lvlText w:val="[%1]"/>
      <w:numFmt w:val="upperLetter"/>
      <w:start w:val="76"/>
    </w:lvl>
  </w:abstractNum>
  <w:abstractNum w:abstractNumId="536">
    <w:nsid w:val="29EFA642"/>
    <w:multiLevelType w:val="hybridMultilevel"/>
    <w:lvl w:ilvl="0">
      <w:lvlJc w:val="left"/>
      <w:lvlText w:val="[%1]"/>
      <w:numFmt w:val="upperLetter"/>
      <w:start w:val="76"/>
    </w:lvl>
  </w:abstractNum>
  <w:abstractNum w:abstractNumId="537">
    <w:nsid w:val="7E337D35"/>
    <w:multiLevelType w:val="hybridMultilevel"/>
    <w:lvl w:ilvl="0">
      <w:lvlJc w:val="left"/>
      <w:lvlText w:val="[%1]"/>
      <w:numFmt w:val="upperLetter"/>
      <w:start w:val="76"/>
    </w:lvl>
  </w:abstractNum>
  <w:abstractNum w:abstractNumId="538">
    <w:nsid w:val="1F8C83AB"/>
    <w:multiLevelType w:val="hybridMultilevel"/>
    <w:lvl w:ilvl="0">
      <w:lvlJc w:val="left"/>
      <w:lvlText w:val="[%1]"/>
      <w:numFmt w:val="upperLetter"/>
      <w:start w:val="76"/>
    </w:lvl>
  </w:abstractNum>
  <w:abstractNum w:abstractNumId="539">
    <w:nsid w:val="18F40A33"/>
    <w:multiLevelType w:val="hybridMultilevel"/>
    <w:lvl w:ilvl="0">
      <w:lvlJc w:val="left"/>
      <w:lvlText w:val="(%1)"/>
      <w:numFmt w:val="lowerLetter"/>
      <w:start w:val="1"/>
    </w:lvl>
  </w:abstractNum>
  <w:abstractNum w:abstractNumId="540">
    <w:nsid w:val="1059DF71"/>
    <w:multiLevelType w:val="hybridMultilevel"/>
    <w:lvl w:ilvl="0">
      <w:lvlJc w:val="left"/>
      <w:lvlText w:val="[%1]"/>
      <w:numFmt w:val="upperLetter"/>
      <w:start w:val="76"/>
    </w:lvl>
  </w:abstractNum>
  <w:abstractNum w:abstractNumId="541">
    <w:nsid w:val="CF19F38"/>
    <w:multiLevelType w:val="hybridMultilevel"/>
    <w:lvl w:ilvl="0">
      <w:lvlJc w:val="left"/>
      <w:lvlText w:val="(%1)"/>
      <w:numFmt w:val="lowerLetter"/>
      <w:start w:val="3"/>
    </w:lvl>
  </w:abstractNum>
  <w:abstractNum w:abstractNumId="542">
    <w:nsid w:val="4AE135E2"/>
    <w:multiLevelType w:val="hybridMultilevel"/>
    <w:lvl w:ilvl="0">
      <w:lvlJc w:val="left"/>
      <w:lvlText w:val="(%1)"/>
      <w:numFmt w:val="lowerLetter"/>
      <w:start w:val="2"/>
    </w:lvl>
  </w:abstractNum>
  <w:abstractNum w:abstractNumId="543">
    <w:nsid w:val="7BD1DCF"/>
    <w:multiLevelType w:val="hybridMultilevel"/>
    <w:lvl w:ilvl="0">
      <w:lvlJc w:val="left"/>
      <w:lvlText w:val="[%1]"/>
      <w:numFmt w:val="upperLetter"/>
      <w:start w:val="76"/>
    </w:lvl>
  </w:abstractNum>
  <w:abstractNum w:abstractNumId="544">
    <w:nsid w:val="A91E1DC"/>
    <w:multiLevelType w:val="hybridMultilevel"/>
    <w:lvl w:ilvl="0">
      <w:lvlJc w:val="left"/>
      <w:lvlText w:val="[%1]"/>
      <w:numFmt w:val="upperLetter"/>
      <w:start w:val="76"/>
    </w:lvl>
  </w:abstractNum>
  <w:abstractNum w:abstractNumId="545">
    <w:nsid w:val="1236898D"/>
    <w:multiLevelType w:val="hybridMultilevel"/>
    <w:lvl w:ilvl="0">
      <w:lvlJc w:val="left"/>
      <w:lvlText w:val="[%1]"/>
      <w:numFmt w:val="upperLetter"/>
      <w:start w:val="76"/>
    </w:lvl>
  </w:abstractNum>
  <w:abstractNum w:abstractNumId="546">
    <w:nsid w:val="62710862"/>
    <w:multiLevelType w:val="hybridMultilevel"/>
    <w:lvl w:ilvl="0">
      <w:lvlJc w:val="left"/>
      <w:lvlText w:val="[%1]"/>
      <w:numFmt w:val="upperLetter"/>
      <w:start w:val="76"/>
    </w:lvl>
  </w:abstractNum>
  <w:abstractNum w:abstractNumId="547">
    <w:nsid w:val="7EA94A2B"/>
    <w:multiLevelType w:val="hybridMultilevel"/>
    <w:lvl w:ilvl="0">
      <w:lvlJc w:val="left"/>
      <w:lvlText w:val="[%1]"/>
      <w:numFmt w:val="upperLetter"/>
      <w:start w:val="76"/>
    </w:lvl>
  </w:abstractNum>
  <w:abstractNum w:abstractNumId="548">
    <w:nsid w:val="20D49DA3"/>
    <w:multiLevelType w:val="hybridMultilevel"/>
    <w:lvl w:ilvl="0">
      <w:lvlJc w:val="left"/>
      <w:lvlText w:val="(%1)"/>
      <w:numFmt w:val="lowerLetter"/>
      <w:start w:val="1"/>
    </w:lvl>
  </w:abstractNum>
  <w:abstractNum w:abstractNumId="549">
    <w:nsid w:val="6272919F"/>
    <w:multiLevelType w:val="hybridMultilevel"/>
    <w:lvl w:ilvl="0">
      <w:lvlJc w:val="left"/>
      <w:lvlText w:val="(%1)"/>
      <w:numFmt w:val="lowerRoman"/>
      <w:start w:val="2"/>
    </w:lvl>
  </w:abstractNum>
  <w:abstractNum w:abstractNumId="550">
    <w:nsid w:val="127DED1D"/>
    <w:multiLevelType w:val="hybridMultilevel"/>
    <w:lvl w:ilvl="0">
      <w:lvlJc w:val="left"/>
      <w:lvlText w:val="[%1]"/>
      <w:numFmt w:val="upperLetter"/>
      <w:start w:val="76"/>
    </w:lvl>
  </w:abstractNum>
  <w:abstractNum w:abstractNumId="551">
    <w:nsid w:val="483966AA"/>
    <w:multiLevelType w:val="hybridMultilevel"/>
    <w:lvl w:ilvl="0">
      <w:lvlJc w:val="left"/>
      <w:lvlText w:val="(%1)"/>
      <w:numFmt w:val="lowerLetter"/>
      <w:start w:val="1"/>
    </w:lvl>
  </w:abstractNum>
  <w:abstractNum w:abstractNumId="552">
    <w:nsid w:val="667FC831"/>
    <w:multiLevelType w:val="hybridMultilevel"/>
    <w:lvl w:ilvl="0">
      <w:lvlJc w:val="left"/>
      <w:lvlText w:val="[%1]"/>
      <w:numFmt w:val="upperLetter"/>
      <w:start w:val="76"/>
    </w:lvl>
  </w:abstractNum>
  <w:abstractNum w:abstractNumId="553">
    <w:nsid w:val="34ADB582"/>
    <w:multiLevelType w:val="hybridMultilevel"/>
    <w:lvl w:ilvl="0">
      <w:lvlJc w:val="left"/>
      <w:lvlText w:val="(%1)"/>
      <w:numFmt w:val="lowerLetter"/>
      <w:start w:val="4"/>
    </w:lvl>
    <w:lvl w:ilvl="1">
      <w:lvlJc w:val="left"/>
      <w:lvlText w:val="(%2)"/>
      <w:numFmt w:val="lowerRoman"/>
      <w:start w:val="1"/>
    </w:lvl>
  </w:abstractNum>
  <w:abstractNum w:abstractNumId="554">
    <w:nsid w:val="4CB58EA4"/>
    <w:multiLevelType w:val="hybridMultilevel"/>
    <w:lvl w:ilvl="0">
      <w:lvlJc w:val="left"/>
      <w:lvlText w:val="[%1]"/>
      <w:numFmt w:val="upperLetter"/>
      <w:start w:val="76"/>
    </w:lvl>
  </w:abstractNum>
  <w:abstractNum w:abstractNumId="555">
    <w:nsid w:val="39629FFA"/>
    <w:multiLevelType w:val="hybridMultilevel"/>
    <w:lvl w:ilvl="0">
      <w:lvlJc w:val="left"/>
      <w:lvlText w:val="(%1)"/>
      <w:numFmt w:val="lowerLetter"/>
      <w:start w:val="1"/>
    </w:lvl>
  </w:abstractNum>
  <w:abstractNum w:abstractNumId="556">
    <w:nsid w:val="71F94ADC"/>
    <w:multiLevelType w:val="hybridMultilevel"/>
    <w:lvl w:ilvl="0">
      <w:lvlJc w:val="left"/>
      <w:lvlText w:val="[%1]"/>
      <w:numFmt w:val="upperLetter"/>
      <w:start w:val="76"/>
    </w:lvl>
  </w:abstractNum>
  <w:abstractNum w:abstractNumId="557">
    <w:nsid w:val="27FFB15A"/>
    <w:multiLevelType w:val="hybridMultilevel"/>
    <w:lvl w:ilvl="0">
      <w:lvlJc w:val="left"/>
      <w:lvlText w:val="%1"/>
      <w:numFmt w:val="lowerLetter"/>
      <w:start w:val="1"/>
    </w:lvl>
    <w:lvl w:ilvl="1">
      <w:lvlJc w:val="left"/>
      <w:lvlText w:val="(%2)"/>
      <w:numFmt w:val="decimal"/>
      <w:start w:val="1"/>
    </w:lvl>
  </w:abstractNum>
  <w:abstractNum w:abstractNumId="558">
    <w:nsid w:val="48BE573"/>
    <w:multiLevelType w:val="hybridMultilevel"/>
    <w:lvl w:ilvl="0">
      <w:lvlJc w:val="left"/>
      <w:lvlText w:val="(%1)"/>
      <w:numFmt w:val="lowerLetter"/>
      <w:start w:val="3"/>
    </w:lvl>
    <w:lvl w:ilvl="1">
      <w:lvlJc w:val="left"/>
      <w:lvlText w:val="%2"/>
      <w:numFmt w:val="decimal"/>
      <w:start w:val="1"/>
    </w:lvl>
  </w:abstractNum>
  <w:abstractNum w:abstractNumId="559">
    <w:nsid w:val="142AC06C"/>
    <w:multiLevelType w:val="hybridMultilevel"/>
    <w:lvl w:ilvl="0">
      <w:lvlJc w:val="left"/>
      <w:lvlText w:val="[%1]"/>
      <w:numFmt w:val="upperLetter"/>
      <w:start w:val="76"/>
    </w:lvl>
  </w:abstractNum>
  <w:abstractNum w:abstractNumId="560">
    <w:nsid w:val="5FA54049"/>
    <w:multiLevelType w:val="hybridMultilevel"/>
    <w:lvl w:ilvl="0">
      <w:lvlJc w:val="left"/>
      <w:lvlText w:val="(%1)"/>
      <w:numFmt w:val="lowerLetter"/>
      <w:start w:val="4"/>
    </w:lvl>
  </w:abstractNum>
  <w:abstractNum w:abstractNumId="561">
    <w:nsid w:val="2CBE7670"/>
    <w:multiLevelType w:val="hybridMultilevel"/>
    <w:lvl w:ilvl="0">
      <w:lvlJc w:val="left"/>
      <w:lvlText w:val="(%1)"/>
      <w:numFmt w:val="lowerLetter"/>
      <w:start w:val="1"/>
    </w:lvl>
  </w:abstractNum>
  <w:abstractNum w:abstractNumId="562">
    <w:nsid w:val="5D86CF11"/>
    <w:multiLevelType w:val="hybridMultilevel"/>
    <w:lvl w:ilvl="0">
      <w:lvlJc w:val="left"/>
      <w:lvlText w:val="[%1]"/>
      <w:numFmt w:val="upperLetter"/>
      <w:start w:val="76"/>
    </w:lvl>
  </w:abstractNum>
  <w:abstractNum w:abstractNumId="563">
    <w:nsid w:val="69EF4674"/>
    <w:multiLevelType w:val="hybridMultilevel"/>
    <w:lvl w:ilvl="0">
      <w:lvlJc w:val="left"/>
      <w:lvlText w:val="[%1]"/>
      <w:numFmt w:val="upperLetter"/>
      <w:start w:val="76"/>
    </w:lvl>
  </w:abstractNum>
  <w:abstractNum w:abstractNumId="564">
    <w:nsid w:val="68ABEFB0"/>
    <w:multiLevelType w:val="hybridMultilevel"/>
    <w:lvl w:ilvl="0">
      <w:lvlJc w:val="left"/>
      <w:lvlText w:val="[%1]"/>
      <w:numFmt w:val="upperLetter"/>
      <w:start w:val="76"/>
    </w:lvl>
  </w:abstractNum>
  <w:abstractNum w:abstractNumId="565">
    <w:nsid w:val="326C3C76"/>
    <w:multiLevelType w:val="hybridMultilevel"/>
    <w:lvl w:ilvl="0">
      <w:lvlJc w:val="left"/>
      <w:lvlText w:val="(%1)"/>
      <w:numFmt w:val="lowerLetter"/>
      <w:start w:val="1"/>
    </w:lvl>
  </w:abstractNum>
  <w:abstractNum w:abstractNumId="566">
    <w:nsid w:val="58A36FCA"/>
    <w:multiLevelType w:val="hybridMultilevel"/>
    <w:lvl w:ilvl="0">
      <w:lvlJc w:val="left"/>
      <w:lvlText w:val="[%1]"/>
      <w:numFmt w:val="upperLetter"/>
      <w:start w:val="76"/>
    </w:lvl>
  </w:abstractNum>
  <w:abstractNum w:abstractNumId="567">
    <w:nsid w:val="129B95F2"/>
    <w:multiLevelType w:val="hybridMultilevel"/>
    <w:lvl w:ilvl="0">
      <w:lvlJc w:val="left"/>
      <w:lvlText w:val="(%1)"/>
      <w:numFmt w:val="lowerLetter"/>
      <w:start w:val="1"/>
    </w:lvl>
  </w:abstractNum>
  <w:abstractNum w:abstractNumId="568">
    <w:nsid w:val="309FB9AB"/>
    <w:multiLevelType w:val="hybridMultilevel"/>
    <w:lvl w:ilvl="0">
      <w:lvlJc w:val="left"/>
      <w:lvlText w:val="[%1]"/>
      <w:numFmt w:val="upperLetter"/>
      <w:start w:val="76"/>
    </w:lvl>
  </w:abstractNum>
  <w:abstractNum w:abstractNumId="569">
    <w:nsid w:val="782FF375"/>
    <w:multiLevelType w:val="hybridMultilevel"/>
    <w:lvl w:ilvl="0">
      <w:lvlJc w:val="left"/>
      <w:lvlText w:val="(%1)"/>
      <w:numFmt w:val="lowerLetter"/>
      <w:start w:val="1"/>
    </w:lvl>
  </w:abstractNum>
  <w:abstractNum w:abstractNumId="570">
    <w:nsid w:val="2B8FA025"/>
    <w:multiLevelType w:val="hybridMultilevel"/>
    <w:lvl w:ilvl="0">
      <w:lvlJc w:val="left"/>
      <w:lvlText w:val="(%1)"/>
      <w:numFmt w:val="lowerLetter"/>
      <w:start w:val="2"/>
    </w:lvl>
  </w:abstractNum>
  <w:abstractNum w:abstractNumId="571">
    <w:nsid w:val="40F9991C"/>
    <w:multiLevelType w:val="hybridMultilevel"/>
    <w:lvl w:ilvl="0">
      <w:lvlJc w:val="left"/>
      <w:lvlText w:val="[%1]"/>
      <w:numFmt w:val="upperLetter"/>
      <w:start w:val="76"/>
    </w:lvl>
  </w:abstractNum>
  <w:abstractNum w:abstractNumId="572">
    <w:nsid w:val="52192AD"/>
    <w:multiLevelType w:val="hybridMultilevel"/>
    <w:lvl w:ilvl="0">
      <w:lvlJc w:val="left"/>
      <w:lvlText w:val="[%1]"/>
      <w:numFmt w:val="upperLetter"/>
      <w:start w:val="76"/>
    </w:lvl>
  </w:abstractNum>
  <w:abstractNum w:abstractNumId="573">
    <w:nsid w:val="7670D608"/>
    <w:multiLevelType w:val="hybridMultilevel"/>
    <w:lvl w:ilvl="0">
      <w:lvlJc w:val="left"/>
      <w:lvlText w:val="%1."/>
      <w:numFmt w:val="lowerLetter"/>
      <w:start w:val="1"/>
    </w:lvl>
  </w:abstractNum>
  <w:abstractNum w:abstractNumId="574">
    <w:nsid w:val="48B6B6EB"/>
    <w:multiLevelType w:val="hybridMultilevel"/>
    <w:lvl w:ilvl="0">
      <w:lvlJc w:val="left"/>
      <w:lvlText w:val="[%1]"/>
      <w:numFmt w:val="upperLetter"/>
      <w:start w:val="76"/>
    </w:lvl>
  </w:abstractNum>
  <w:abstractNum w:abstractNumId="575">
    <w:nsid w:val="FB37489"/>
    <w:multiLevelType w:val="hybridMultilevel"/>
    <w:lvl w:ilvl="0">
      <w:lvlJc w:val="left"/>
      <w:lvlText w:val="[%1]"/>
      <w:numFmt w:val="upperLetter"/>
      <w:start w:val="76"/>
    </w:lvl>
  </w:abstractNum>
  <w:abstractNum w:abstractNumId="576">
    <w:nsid w:val="8A75F95"/>
    <w:multiLevelType w:val="hybridMultilevel"/>
    <w:lvl w:ilvl="0">
      <w:lvlJc w:val="left"/>
      <w:lvlText w:val="[%1]"/>
      <w:numFmt w:val="upperLetter"/>
      <w:start w:val="76"/>
    </w:lvl>
  </w:abstractNum>
  <w:abstractNum w:abstractNumId="577">
    <w:nsid w:val="2B27BF4D"/>
    <w:multiLevelType w:val="hybridMultilevel"/>
    <w:lvl w:ilvl="0">
      <w:lvlJc w:val="left"/>
      <w:lvlText w:val="(%1)"/>
      <w:numFmt w:val="lowerRoman"/>
      <w:start w:val="1"/>
    </w:lvl>
  </w:abstractNum>
  <w:abstractNum w:abstractNumId="578">
    <w:nsid w:val="E5CBEB4"/>
    <w:multiLevelType w:val="hybridMultilevel"/>
    <w:lvl w:ilvl="0">
      <w:lvlJc w:val="left"/>
      <w:lvlText w:val="[%1]"/>
      <w:numFmt w:val="upperLetter"/>
      <w:start w:val="76"/>
    </w:lvl>
  </w:abstractNum>
  <w:abstractNum w:abstractNumId="579">
    <w:nsid w:val="297BFD38"/>
    <w:multiLevelType w:val="hybridMultilevel"/>
    <w:lvl w:ilvl="0">
      <w:lvlJc w:val="left"/>
      <w:lvlText w:val="[%1]"/>
      <w:numFmt w:val="upperLetter"/>
      <w:start w:val="76"/>
    </w:lvl>
  </w:abstractNum>
  <w:abstractNum w:abstractNumId="580">
    <w:nsid w:val="D9A50ED"/>
    <w:multiLevelType w:val="hybridMultilevel"/>
    <w:lvl w:ilvl="0">
      <w:lvlJc w:val="left"/>
      <w:lvlText w:val="(%1)"/>
      <w:numFmt w:val="lowerLetter"/>
      <w:start w:val="1"/>
    </w:lvl>
  </w:abstractNum>
  <w:abstractNum w:abstractNumId="581">
    <w:nsid w:val="20DAABD1"/>
    <w:multiLevelType w:val="hybridMultilevel"/>
    <w:lvl w:ilvl="0">
      <w:lvlJc w:val="left"/>
      <w:lvlText w:val="[%1]"/>
      <w:numFmt w:val="upperLetter"/>
      <w:start w:val="76"/>
    </w:lvl>
  </w:abstractNum>
  <w:abstractNum w:abstractNumId="582">
    <w:nsid w:val="71B563E3"/>
    <w:multiLevelType w:val="hybridMultilevel"/>
    <w:lvl w:ilvl="0">
      <w:lvlJc w:val="left"/>
      <w:lvlText w:val="[%1]"/>
      <w:numFmt w:val="upperLetter"/>
      <w:start w:val="76"/>
    </w:lvl>
  </w:abstractNum>
  <w:abstractNum w:abstractNumId="583">
    <w:nsid w:val="741A191E"/>
    <w:multiLevelType w:val="hybridMultilevel"/>
    <w:lvl w:ilvl="0">
      <w:lvlJc w:val="left"/>
      <w:lvlText w:val="[%1]"/>
      <w:numFmt w:val="upperLetter"/>
      <w:start w:val="76"/>
    </w:lvl>
  </w:abstractNum>
  <w:abstractNum w:abstractNumId="584">
    <w:nsid w:val="55886153"/>
    <w:multiLevelType w:val="hybridMultilevel"/>
    <w:lvl w:ilvl="0">
      <w:lvlJc w:val="left"/>
      <w:lvlText w:val="[%1]"/>
      <w:numFmt w:val="upperLetter"/>
      <w:start w:val="76"/>
    </w:lvl>
  </w:abstractNum>
  <w:abstractNum w:abstractNumId="585">
    <w:nsid w:val="3E6AF287"/>
    <w:multiLevelType w:val="hybridMultilevel"/>
    <w:lvl w:ilvl="0">
      <w:lvlJc w:val="left"/>
      <w:lvlText w:val="[%1]"/>
      <w:numFmt w:val="upperLetter"/>
      <w:start w:val="76"/>
    </w:lvl>
  </w:abstractNum>
  <w:abstractNum w:abstractNumId="586">
    <w:nsid w:val="2D7CB919"/>
    <w:multiLevelType w:val="hybridMultilevel"/>
    <w:lvl w:ilvl="0">
      <w:lvlJc w:val="left"/>
      <w:lvlText w:val="[%1]"/>
      <w:numFmt w:val="upperLetter"/>
      <w:start w:val="76"/>
    </w:lvl>
  </w:abstractNum>
  <w:abstractNum w:abstractNumId="587">
    <w:nsid w:val="4781AC2F"/>
    <w:multiLevelType w:val="hybridMultilevel"/>
    <w:lvl w:ilvl="0">
      <w:lvlJc w:val="left"/>
      <w:lvlText w:val="[%1]"/>
      <w:numFmt w:val="upperLetter"/>
      <w:start w:val="76"/>
    </w:lvl>
  </w:abstractNum>
  <w:abstractNum w:abstractNumId="588">
    <w:nsid w:val="666AA3E1"/>
    <w:multiLevelType w:val="hybridMultilevel"/>
    <w:lvl w:ilvl="0">
      <w:lvlJc w:val="left"/>
      <w:lvlText w:val="[%1]"/>
      <w:numFmt w:val="upperLetter"/>
      <w:start w:val="76"/>
    </w:lvl>
  </w:abstractNum>
  <w:abstractNum w:abstractNumId="589">
    <w:nsid w:val="32089E8C"/>
    <w:multiLevelType w:val="hybridMultilevel"/>
    <w:lvl w:ilvl="0">
      <w:lvlJc w:val="left"/>
      <w:lvlText w:val="%1."/>
      <w:numFmt w:val="upperLetter"/>
      <w:start w:val="5"/>
    </w:lvl>
  </w:abstractNum>
  <w:abstractNum w:abstractNumId="590">
    <w:nsid w:val="5BAC6C9C"/>
    <w:multiLevelType w:val="hybridMultilevel"/>
    <w:lvl w:ilvl="0">
      <w:lvlJc w:val="left"/>
      <w:lvlText w:val="[%1]"/>
      <w:numFmt w:val="upperLetter"/>
      <w:start w:val="76"/>
    </w:lvl>
  </w:abstractNum>
  <w:abstractNum w:abstractNumId="591">
    <w:nsid w:val="460FE42B"/>
    <w:multiLevelType w:val="hybridMultilevel"/>
    <w:lvl w:ilvl="0">
      <w:lvlJc w:val="left"/>
      <w:lvlText w:val="%1."/>
      <w:numFmt w:val="upperLetter"/>
      <w:start w:val="6"/>
    </w:lvl>
  </w:abstractNum>
  <w:abstractNum w:abstractNumId="592">
    <w:nsid w:val="5EC714FC"/>
    <w:multiLevelType w:val="hybridMultilevel"/>
    <w:lvl w:ilvl="0">
      <w:lvlJc w:val="left"/>
      <w:lvlText w:val="%1."/>
      <w:numFmt w:val="upperLetter"/>
      <w:start w:val="7"/>
    </w:lvl>
  </w:abstractNum>
  <w:abstractNum w:abstractNumId="593">
    <w:nsid w:val="39333BAD"/>
    <w:multiLevelType w:val="hybridMultilevel"/>
    <w:lvl w:ilvl="0">
      <w:lvlJc w:val="left"/>
      <w:lvlText w:val="%1."/>
      <w:numFmt w:val="upperLetter"/>
      <w:start w:val="8"/>
    </w:lvl>
  </w:abstractNum>
  <w:abstractNum w:abstractNumId="594">
    <w:nsid w:val="2FFF2A9F"/>
    <w:multiLevelType w:val="hybridMultilevel"/>
    <w:lvl w:ilvl="0">
      <w:lvlJc w:val="left"/>
      <w:lvlText w:val="[%1]"/>
      <w:numFmt w:val="upperLetter"/>
      <w:start w:val="76"/>
    </w:lvl>
  </w:abstractNum>
  <w:abstractNum w:abstractNumId="595">
    <w:nsid w:val="477304AC"/>
    <w:multiLevelType w:val="hybridMultilevel"/>
    <w:lvl w:ilvl="0">
      <w:lvlJc w:val="left"/>
      <w:lvlText w:val="[%1]"/>
      <w:numFmt w:val="upperLetter"/>
      <w:start w:val="76"/>
    </w:lvl>
  </w:abstractNum>
  <w:abstractNum w:abstractNumId="596">
    <w:nsid w:val="6B9F7823"/>
    <w:multiLevelType w:val="hybridMultilevel"/>
    <w:lvl w:ilvl="0">
      <w:lvlJc w:val="left"/>
      <w:lvlText w:val="[%1]"/>
      <w:numFmt w:val="upperLetter"/>
      <w:start w:val="76"/>
    </w:lvl>
  </w:abstractNum>
  <w:abstractNum w:abstractNumId="597">
    <w:nsid w:val="8A29A69"/>
    <w:multiLevelType w:val="hybridMultilevel"/>
    <w:lvl w:ilvl="0">
      <w:lvlJc w:val="left"/>
      <w:lvlText w:val="[%1]"/>
      <w:numFmt w:val="upperLetter"/>
      <w:start w:val="76"/>
    </w:lvl>
  </w:abstractNum>
  <w:abstractNum w:abstractNumId="598">
    <w:nsid w:val="5A0E9A9F"/>
    <w:multiLevelType w:val="hybridMultilevel"/>
    <w:lvl w:ilvl="0">
      <w:lvlJc w:val="left"/>
      <w:lvlText w:val="%1."/>
      <w:numFmt w:val="decimal"/>
      <w:start w:val="1"/>
    </w:lvl>
  </w:abstractNum>
  <w:abstractNum w:abstractNumId="599">
    <w:nsid w:val="1C3F31CE"/>
    <w:multiLevelType w:val="hybridMultilevel"/>
    <w:lvl w:ilvl="0">
      <w:lvlJc w:val="left"/>
      <w:lvlText w:val="[%1]"/>
      <w:numFmt w:val="upperLetter"/>
      <w:start w:val="76"/>
    </w:lvl>
  </w:abstractNum>
  <w:abstractNum w:abstractNumId="600">
    <w:nsid w:val="D28DDE"/>
    <w:multiLevelType w:val="hybridMultilevel"/>
    <w:lvl w:ilvl="0">
      <w:lvlJc w:val="left"/>
      <w:lvlText w:val="[%1]"/>
      <w:numFmt w:val="upperLetter"/>
      <w:start w:val="76"/>
    </w:lvl>
  </w:abstractNum>
  <w:abstractNum w:abstractNumId="601">
    <w:nsid w:val="59E3AC4"/>
    <w:multiLevelType w:val="hybridMultilevel"/>
    <w:lvl w:ilvl="0">
      <w:lvlJc w:val="left"/>
      <w:lvlText w:val="%1."/>
      <w:numFmt w:val="decimal"/>
      <w:start w:val="2"/>
    </w:lvl>
    <w:lvl w:ilvl="1">
      <w:lvlJc w:val="left"/>
      <w:lvlText w:val="(%2)"/>
      <w:numFmt w:val="lowerLetter"/>
      <w:start w:val="1"/>
    </w:lvl>
  </w:abstractNum>
  <w:abstractNum w:abstractNumId="602">
    <w:nsid w:val="5D38CAEA"/>
    <w:multiLevelType w:val="hybridMultilevel"/>
    <w:lvl w:ilvl="0">
      <w:lvlJc w:val="left"/>
      <w:lvlText w:val="[%1]"/>
      <w:numFmt w:val="upperLetter"/>
      <w:start w:val="76"/>
    </w:lvl>
  </w:abstractNum>
  <w:abstractNum w:abstractNumId="603">
    <w:nsid w:val="5F4208C"/>
    <w:multiLevelType w:val="hybridMultilevel"/>
    <w:lvl w:ilvl="0">
      <w:lvlJc w:val="left"/>
      <w:lvlText w:val="(%1)"/>
      <w:numFmt w:val="lowerLetter"/>
      <w:start w:val="4"/>
    </w:lvl>
  </w:abstractNum>
  <w:abstractNum w:abstractNumId="604">
    <w:nsid w:val="7C0F10CC"/>
    <w:multiLevelType w:val="hybridMultilevel"/>
    <w:lvl w:ilvl="0">
      <w:lvlJc w:val="left"/>
      <w:lvlText w:val="(%1)"/>
      <w:numFmt w:val="lowerLetter"/>
      <w:start w:val="1"/>
    </w:lvl>
  </w:abstractNum>
  <w:abstractNum w:abstractNumId="605">
    <w:nsid w:val="25EF81D5"/>
    <w:multiLevelType w:val="hybridMultilevel"/>
    <w:lvl w:ilvl="0">
      <w:lvlJc w:val="left"/>
      <w:lvlText w:val="[%1]"/>
      <w:numFmt w:val="upperLetter"/>
      <w:start w:val="76"/>
    </w:lvl>
  </w:abstractNum>
  <w:abstractNum w:abstractNumId="606">
    <w:nsid w:val="15A79515"/>
    <w:multiLevelType w:val="hybridMultilevel"/>
    <w:lvl w:ilvl="0">
      <w:lvlJc w:val="left"/>
      <w:lvlText w:val="%1."/>
      <w:numFmt w:val="decimal"/>
      <w:start w:val="3"/>
    </w:lvl>
  </w:abstractNum>
  <w:abstractNum w:abstractNumId="607">
    <w:nsid w:val="4B67062"/>
    <w:multiLevelType w:val="hybridMultilevel"/>
    <w:lvl w:ilvl="0">
      <w:lvlJc w:val="left"/>
      <w:lvlText w:val="%1."/>
      <w:numFmt w:val="decimal"/>
      <w:start w:val="5"/>
    </w:lvl>
  </w:abstractNum>
  <w:abstractNum w:abstractNumId="608">
    <w:nsid w:val="51174123"/>
    <w:multiLevelType w:val="hybridMultilevel"/>
    <w:lvl w:ilvl="0">
      <w:lvlJc w:val="left"/>
      <w:lvlText w:val="[%1]"/>
      <w:numFmt w:val="upperLetter"/>
      <w:start w:val="76"/>
    </w:lvl>
  </w:abstractNum>
  <w:abstractNum w:abstractNumId="609">
    <w:nsid w:val="240453CA"/>
    <w:multiLevelType w:val="hybridMultilevel"/>
    <w:lvl w:ilvl="0">
      <w:lvlJc w:val="left"/>
      <w:lvlText w:val="[%1]"/>
      <w:numFmt w:val="upperLetter"/>
      <w:start w:val="76"/>
    </w:lvl>
  </w:abstractNum>
  <w:abstractNum w:abstractNumId="610">
    <w:nsid w:val="2E326D9A"/>
    <w:multiLevelType w:val="hybridMultilevel"/>
    <w:lvl w:ilvl="0">
      <w:lvlJc w:val="left"/>
      <w:lvlText w:val="%1."/>
      <w:numFmt w:val="decimal"/>
      <w:start w:val="6"/>
    </w:lvl>
  </w:abstractNum>
  <w:abstractNum w:abstractNumId="611">
    <w:nsid w:val="5EB19210"/>
    <w:multiLevelType w:val="hybridMultilevel"/>
    <w:lvl w:ilvl="0">
      <w:lvlJc w:val="left"/>
      <w:lvlText w:val="%1."/>
      <w:numFmt w:val="decimal"/>
      <w:start w:val="7"/>
    </w:lvl>
  </w:abstractNum>
  <w:abstractNum w:abstractNumId="612">
    <w:nsid w:val="44DEFF9B"/>
    <w:multiLevelType w:val="hybridMultilevel"/>
    <w:lvl w:ilvl="0">
      <w:lvlJc w:val="left"/>
      <w:lvlText w:val="%1"/>
      <w:numFmt w:val="decimal"/>
      <w:start w:val="1"/>
    </w:lvl>
    <w:lvl w:ilvl="1">
      <w:lvlJc w:val="left"/>
      <w:lvlText w:val="(%2)"/>
      <w:numFmt w:val="lowerRoman"/>
      <w:start w:val="1"/>
    </w:lvl>
  </w:abstractNum>
  <w:abstractNum w:abstractNumId="613">
    <w:nsid w:val="1FE7D17D"/>
    <w:multiLevelType w:val="hybridMultilevel"/>
    <w:lvl w:ilvl="0">
      <w:lvlJc w:val="left"/>
      <w:lvlText w:val="(%1)"/>
      <w:numFmt w:val="decimal"/>
      <w:start w:val="60"/>
    </w:lvl>
    <w:lvl w:ilvl="1">
      <w:lvlJc w:val="left"/>
      <w:lvlText w:val="%2"/>
      <w:numFmt w:val="lowerRoman"/>
      <w:start w:val="1"/>
    </w:lvl>
  </w:abstractNum>
  <w:abstractNum w:abstractNumId="614">
    <w:nsid w:val="52CBAB2E"/>
    <w:multiLevelType w:val="hybridMultilevel"/>
    <w:lvl w:ilvl="0">
      <w:lvlJc w:val="left"/>
      <w:lvlText w:val="[%1]"/>
      <w:numFmt w:val="upperLetter"/>
      <w:start w:val="76"/>
    </w:lvl>
  </w:abstractNum>
  <w:abstractNum w:abstractNumId="615">
    <w:nsid w:val="1A6760EF"/>
    <w:multiLevelType w:val="hybridMultilevel"/>
    <w:lvl w:ilvl="0">
      <w:lvlJc w:val="left"/>
      <w:lvlText w:val="(%1)"/>
      <w:numFmt w:val="lowerRoman"/>
      <w:start w:val="3"/>
    </w:lvl>
  </w:abstractNum>
  <w:abstractNum w:abstractNumId="616">
    <w:nsid w:val="5E52C405"/>
    <w:multiLevelType w:val="hybridMultilevel"/>
    <w:lvl w:ilvl="0">
      <w:lvlJc w:val="left"/>
      <w:lvlText w:val="%1"/>
      <w:numFmt w:val="decimal"/>
      <w:start w:val="1"/>
    </w:lvl>
    <w:lvl w:ilvl="1">
      <w:lvlJc w:val="left"/>
      <w:lvlText w:val="(%2)"/>
      <w:numFmt w:val="lowerLetter"/>
      <w:start w:val="1"/>
    </w:lvl>
  </w:abstractNum>
  <w:abstractNum w:abstractNumId="617">
    <w:nsid w:val="486447"/>
    <w:multiLevelType w:val="hybridMultilevel"/>
    <w:lvl w:ilvl="0">
      <w:lvlJc w:val="left"/>
      <w:lvlText w:val="(%1)"/>
      <w:numFmt w:val="decimal"/>
      <w:start w:val="30"/>
    </w:lvl>
    <w:lvl w:ilvl="1">
      <w:lvlJc w:val="left"/>
      <w:lvlText w:val="(%2)"/>
      <w:numFmt w:val="lowerLetter"/>
      <w:start w:val="4"/>
    </w:lvl>
  </w:abstractNum>
  <w:abstractNum w:abstractNumId="618">
    <w:nsid w:val="61E90D1E"/>
    <w:multiLevelType w:val="hybridMultilevel"/>
    <w:lvl w:ilvl="0">
      <w:lvlJc w:val="left"/>
      <w:lvlText w:val="%1."/>
      <w:numFmt w:val="decimal"/>
      <w:start w:val="8"/>
    </w:lvl>
  </w:abstractNum>
  <w:abstractNum w:abstractNumId="619">
    <w:nsid w:val="44BD67E6"/>
    <w:multiLevelType w:val="hybridMultilevel"/>
    <w:lvl w:ilvl="0">
      <w:lvlJc w:val="left"/>
      <w:lvlText w:val="[%1]"/>
      <w:numFmt w:val="upperLetter"/>
      <w:start w:val="76"/>
    </w:lvl>
  </w:abstractNum>
  <w:abstractNum w:abstractNumId="620">
    <w:nsid w:val="325102D3"/>
    <w:multiLevelType w:val="hybridMultilevel"/>
    <w:lvl w:ilvl="0">
      <w:lvlJc w:val="left"/>
      <w:lvlText w:val="%1."/>
      <w:numFmt w:val="decimal"/>
      <w:start w:val="9"/>
    </w:lvl>
  </w:abstractNum>
  <w:abstractNum w:abstractNumId="621">
    <w:nsid w:val="3D9579B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22">
    <w:nsid w:val="ACD4C1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623">
    <w:nsid w:val="111817CF"/>
    <w:multiLevelType w:val="hybridMultilevel"/>
    <w:lvl w:ilvl="0">
      <w:lvlJc w:val="left"/>
      <w:lvlText w:val="[%1]"/>
      <w:numFmt w:val="upperLetter"/>
      <w:start w:val="76"/>
    </w:lvl>
  </w:abstractNum>
  <w:abstractNum w:abstractNumId="624">
    <w:nsid w:val="76C8B568"/>
    <w:multiLevelType w:val="hybridMultilevel"/>
    <w:lvl w:ilvl="0">
      <w:lvlJc w:val="left"/>
      <w:lvlText w:val="%1"/>
      <w:numFmt w:val="lowerLetter"/>
      <w:start w:val="1"/>
    </w:lvl>
    <w:lvl w:ilvl="1">
      <w:lvlJc w:val="left"/>
      <w:lvlText w:val="(%2)"/>
      <w:numFmt w:val="lowerRoman"/>
      <w:start w:val="8"/>
    </w:lvl>
  </w:abstractNum>
  <w:abstractNum w:abstractNumId="625">
    <w:nsid w:val="3ACC76B1"/>
    <w:multiLevelType w:val="hybridMultilevel"/>
    <w:lvl w:ilvl="0">
      <w:lvlJc w:val="left"/>
      <w:lvlText w:val="(%1)"/>
      <w:numFmt w:val="lowerLetter"/>
      <w:start w:val="2"/>
    </w:lvl>
    <w:lvl w:ilvl="1">
      <w:lvlJc w:val="left"/>
      <w:lvlText w:val="(%2)"/>
      <w:numFmt w:val="lowerRoman"/>
      <w:start w:val="1"/>
    </w:lvl>
  </w:abstractNum>
  <w:abstractNum w:abstractNumId="626">
    <w:nsid w:val="588B1C7C"/>
    <w:multiLevelType w:val="hybridMultilevel"/>
    <w:lvl w:ilvl="0">
      <w:lvlJc w:val="left"/>
      <w:lvlText w:val="[%1]"/>
      <w:numFmt w:val="upperLetter"/>
      <w:start w:val="76"/>
    </w:lvl>
  </w:abstractNum>
  <w:abstractNum w:abstractNumId="627">
    <w:nsid w:val="62682D8B"/>
    <w:multiLevelType w:val="hybridMultilevel"/>
    <w:lvl w:ilvl="0">
      <w:lvlJc w:val="left"/>
      <w:lvlText w:val="(%1)"/>
      <w:numFmt w:val="lowerRoman"/>
      <w:start w:val="8"/>
    </w:lvl>
  </w:abstractNum>
  <w:abstractNum w:abstractNumId="628">
    <w:nsid w:val="436F111A"/>
    <w:multiLevelType w:val="hybridMultilevel"/>
    <w:lvl w:ilvl="0">
      <w:lvlJc w:val="left"/>
      <w:lvlText w:val="[%1]"/>
      <w:numFmt w:val="upperLetter"/>
      <w:start w:val="76"/>
    </w:lvl>
  </w:abstractNum>
  <w:abstractNum w:abstractNumId="629">
    <w:nsid w:val="3299B71B"/>
    <w:multiLevelType w:val="hybridMultilevel"/>
    <w:lvl w:ilvl="0">
      <w:lvlJc w:val="left"/>
      <w:lvlText w:val="%1."/>
      <w:numFmt w:val="decimal"/>
      <w:start w:val="10"/>
    </w:lvl>
  </w:abstractNum>
  <w:abstractNum w:abstractNumId="630">
    <w:nsid w:val="7EA75F5A"/>
    <w:multiLevelType w:val="hybridMultilevel"/>
    <w:lvl w:ilvl="0">
      <w:lvlJc w:val="left"/>
      <w:lvlText w:val="(%1)"/>
      <w:numFmt w:val="lowerRoman"/>
      <w:start w:val="3"/>
    </w:lvl>
  </w:abstractNum>
  <w:abstractNum w:abstractNumId="631">
    <w:nsid w:val="44419EF9"/>
    <w:multiLevelType w:val="hybridMultilevel"/>
    <w:lvl w:ilvl="0">
      <w:lvlJc w:val="left"/>
      <w:lvlText w:val="[%1]"/>
      <w:numFmt w:val="upperLetter"/>
      <w:start w:val="76"/>
    </w:lvl>
  </w:abstractNum>
  <w:abstractNum w:abstractNumId="632">
    <w:nsid w:val="3837F1DF"/>
    <w:multiLevelType w:val="hybridMultilevel"/>
    <w:lvl w:ilvl="0">
      <w:lvlJc w:val="left"/>
      <w:lvlText w:val="(%1)"/>
      <w:numFmt w:val="lowerLetter"/>
      <w:start w:val="1"/>
    </w:lvl>
  </w:abstractNum>
  <w:abstractNum w:abstractNumId="633">
    <w:nsid w:val="5BE02A4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34">
    <w:nsid w:val="4A35BF85"/>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635">
    <w:nsid w:val="344702AC"/>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636">
    <w:nsid w:val="1CFAC1A"/>
    <w:multiLevelType w:val="hybridMultilevel"/>
    <w:lvl w:ilvl="0">
      <w:lvlJc w:val="left"/>
      <w:lvlText w:val="[%1]"/>
      <w:numFmt w:val="upperLetter"/>
      <w:start w:val="76"/>
    </w:lvl>
  </w:abstractNum>
  <w:abstractNum w:abstractNumId="637">
    <w:nsid w:val="5FDD549A"/>
    <w:multiLevelType w:val="hybridMultilevel"/>
    <w:lvl w:ilvl="0">
      <w:lvlJc w:val="left"/>
      <w:lvlText w:val="%1"/>
      <w:numFmt w:val="decimal"/>
      <w:start w:val="1"/>
    </w:lvl>
    <w:lvl w:ilvl="1">
      <w:lvlJc w:val="left"/>
      <w:lvlText w:val="(%2)"/>
      <w:numFmt w:val="lowerLetter"/>
      <w:start w:val="6"/>
    </w:lvl>
  </w:abstractNum>
  <w:abstractNum w:abstractNumId="638">
    <w:nsid w:val="38FD730E"/>
    <w:multiLevelType w:val="hybridMultilevel"/>
    <w:lvl w:ilvl="0">
      <w:lvlJc w:val="left"/>
      <w:lvlText w:val="(%1)"/>
      <w:numFmt w:val="decimal"/>
      <w:start w:val="30"/>
    </w:lvl>
    <w:lvl w:ilvl="1">
      <w:lvlJc w:val="left"/>
      <w:lvlText w:val="(%2)"/>
      <w:numFmt w:val="lowerLetter"/>
      <w:start w:val="7"/>
    </w:lvl>
  </w:abstractNum>
  <w:abstractNum w:abstractNumId="639">
    <w:nsid w:val="52E6ED3D"/>
    <w:multiLevelType w:val="hybridMultilevel"/>
    <w:lvl w:ilvl="0">
      <w:lvlJc w:val="left"/>
      <w:lvlText w:val="%1."/>
      <w:numFmt w:val="decimal"/>
      <w:start w:val="12"/>
    </w:lvl>
  </w:abstractNum>
  <w:abstractNum w:abstractNumId="640">
    <w:nsid w:val="3E1A864"/>
    <w:multiLevelType w:val="hybridMultilevel"/>
    <w:lvl w:ilvl="0">
      <w:lvlJc w:val="left"/>
      <w:lvlText w:val="[%1]"/>
      <w:numFmt w:val="upperLetter"/>
      <w:start w:val="76"/>
    </w:lvl>
  </w:abstractNum>
  <w:abstractNum w:abstractNumId="641">
    <w:nsid w:val="672FE0A8"/>
    <w:multiLevelType w:val="hybridMultilevel"/>
    <w:lvl w:ilvl="0">
      <w:lvlJc w:val="left"/>
      <w:lvlText w:val="[%1]"/>
      <w:numFmt w:val="upperLetter"/>
      <w:start w:val="76"/>
    </w:lvl>
  </w:abstractNum>
  <w:abstractNum w:abstractNumId="642">
    <w:nsid w:val="31987F4D"/>
    <w:multiLevelType w:val="hybridMultilevel"/>
    <w:lvl w:ilvl="0">
      <w:lvlJc w:val="left"/>
      <w:lvlText w:val="%1."/>
      <w:numFmt w:val="decimal"/>
      <w:start w:val="1"/>
    </w:lvl>
  </w:abstractNum>
  <w:abstractNum w:abstractNumId="643">
    <w:nsid w:val="48C0A800"/>
    <w:multiLevelType w:val="hybridMultilevel"/>
    <w:lvl w:ilvl="0">
      <w:lvlJc w:val="left"/>
      <w:lvlText w:val="[%1]"/>
      <w:numFmt w:val="upperLetter"/>
      <w:start w:val="76"/>
    </w:lvl>
  </w:abstractNum>
  <w:abstractNum w:abstractNumId="644">
    <w:nsid w:val="717B226"/>
    <w:multiLevelType w:val="hybridMultilevel"/>
    <w:lvl w:ilvl="0">
      <w:lvlJc w:val="left"/>
      <w:lvlText w:val="(%1)"/>
      <w:numFmt w:val="lowerLetter"/>
      <w:start w:val="1"/>
    </w:lvl>
  </w:abstractNum>
  <w:abstractNum w:abstractNumId="645">
    <w:nsid w:val="4642A7B"/>
    <w:multiLevelType w:val="hybridMultilevel"/>
    <w:lvl w:ilvl="0">
      <w:lvlJc w:val="left"/>
      <w:lvlText w:val="[%1]"/>
      <w:numFmt w:val="upperLetter"/>
      <w:start w:val="76"/>
    </w:lvl>
  </w:abstractNum>
  <w:abstractNum w:abstractNumId="646">
    <w:nsid w:val="632808EF"/>
    <w:multiLevelType w:val="hybridMultilevel"/>
    <w:lvl w:ilvl="0">
      <w:lvlJc w:val="left"/>
      <w:lvlText w:val="(%1)"/>
      <w:numFmt w:val="decimal"/>
      <w:start w:val="1"/>
    </w:lvl>
  </w:abstractNum>
  <w:abstractNum w:abstractNumId="647">
    <w:nsid w:val="656A762B"/>
    <w:multiLevelType w:val="hybridMultilevel"/>
    <w:lvl w:ilvl="0">
      <w:lvlJc w:val="left"/>
      <w:lvlText w:val="(%1)"/>
      <w:numFmt w:val="lowerLetter"/>
      <w:start w:val="1"/>
    </w:lvl>
  </w:abstractNum>
  <w:abstractNum w:abstractNumId="648">
    <w:nsid w:val="4AC8EC3"/>
    <w:multiLevelType w:val="hybridMultilevel"/>
    <w:lvl w:ilvl="0">
      <w:lvlJc w:val="left"/>
      <w:lvlText w:val="[%1]"/>
      <w:numFmt w:val="upperLetter"/>
      <w:start w:val="76"/>
    </w:lvl>
  </w:abstractNum>
  <w:abstractNum w:abstractNumId="649">
    <w:nsid w:val="4511160D"/>
    <w:multiLevelType w:val="hybridMultilevel"/>
    <w:lvl w:ilvl="0">
      <w:lvlJc w:val="left"/>
      <w:lvlText w:val="(%1)"/>
      <w:numFmt w:val="lowerLetter"/>
      <w:start w:val="2"/>
    </w:lvl>
  </w:abstractNum>
  <w:abstractNum w:abstractNumId="650">
    <w:nsid w:val="2A27DE11"/>
    <w:multiLevelType w:val="hybridMultilevel"/>
    <w:lvl w:ilvl="0">
      <w:lvlJc w:val="left"/>
      <w:lvlText w:val="[%1]"/>
      <w:numFmt w:val="upperLetter"/>
      <w:start w:val="76"/>
    </w:lvl>
  </w:abstractNum>
  <w:abstractNum w:abstractNumId="651">
    <w:nsid w:val="36FD9196"/>
    <w:multiLevelType w:val="hybridMultilevel"/>
    <w:lvl w:ilvl="0">
      <w:lvlJc w:val="left"/>
      <w:lvlText w:val="(%1)"/>
      <w:numFmt w:val="lowerLetter"/>
      <w:start w:val="1"/>
    </w:lvl>
  </w:abstractNum>
  <w:abstractNum w:abstractNumId="652">
    <w:nsid w:val="2A68FC8"/>
    <w:multiLevelType w:val="hybridMultilevel"/>
    <w:lvl w:ilvl="0">
      <w:lvlJc w:val="left"/>
      <w:lvlText w:val="(%1)"/>
      <w:numFmt w:val="lowerLetter"/>
      <w:start w:val="4"/>
    </w:lvl>
  </w:abstractNum>
  <w:abstractNum w:abstractNumId="653">
    <w:nsid w:val="34F52A23"/>
    <w:multiLevelType w:val="hybridMultilevel"/>
    <w:lvl w:ilvl="0">
      <w:lvlJc w:val="left"/>
      <w:lvlText w:val="(%1)"/>
      <w:numFmt w:val="lowerLetter"/>
      <w:start w:val="1"/>
    </w:lvl>
    <w:lvl w:ilvl="1">
      <w:lvlJc w:val="left"/>
      <w:lvlText w:val="[%2]"/>
      <w:numFmt w:val="upperLetter"/>
      <w:start w:val="76"/>
    </w:lvl>
  </w:abstractNum>
  <w:abstractNum w:abstractNumId="654">
    <w:nsid w:val="4815A966"/>
    <w:multiLevelType w:val="hybridMultilevel"/>
    <w:lvl w:ilvl="0">
      <w:lvlJc w:val="left"/>
      <w:lvlText w:val="(%1)"/>
      <w:numFmt w:val="lowerLetter"/>
      <w:start w:val="4"/>
    </w:lvl>
  </w:abstractNum>
  <w:abstractNum w:abstractNumId="655">
    <w:nsid w:val="796F4530"/>
    <w:multiLevelType w:val="hybridMultilevel"/>
    <w:lvl w:ilvl="0">
      <w:lvlJc w:val="left"/>
      <w:lvlText w:val="[%1]"/>
      <w:numFmt w:val="upperLetter"/>
      <w:start w:val="76"/>
    </w:lvl>
  </w:abstractNum>
  <w:abstractNum w:abstractNumId="656">
    <w:nsid w:val="6FC1A0D4"/>
    <w:multiLevelType w:val="hybridMultilevel"/>
    <w:lvl w:ilvl="0">
      <w:lvlJc w:val="left"/>
      <w:lvlText w:val="%1."/>
      <w:numFmt w:val="decimal"/>
      <w:start w:val="2"/>
    </w:lvl>
  </w:abstractNum>
  <w:abstractNum w:abstractNumId="657">
    <w:nsid w:val="20A0C5E2"/>
    <w:multiLevelType w:val="hybridMultilevel"/>
    <w:lvl w:ilvl="0">
      <w:lvlJc w:val="left"/>
      <w:lvlText w:val="[%1]"/>
      <w:numFmt w:val="upperLetter"/>
      <w:start w:val="76"/>
    </w:lvl>
  </w:abstractNum>
  <w:abstractNum w:abstractNumId="658">
    <w:nsid w:val="5BD772BB"/>
    <w:multiLevelType w:val="hybridMultilevel"/>
    <w:lvl w:ilvl="0">
      <w:lvlJc w:val="left"/>
      <w:lvlText w:val="[%1]"/>
      <w:numFmt w:val="upperLetter"/>
      <w:start w:val="76"/>
    </w:lvl>
  </w:abstractNum>
  <w:abstractNum w:abstractNumId="659">
    <w:nsid w:val="3330B1EE"/>
    <w:multiLevelType w:val="hybridMultilevel"/>
    <w:lvl w:ilvl="0">
      <w:lvlJc w:val="left"/>
      <w:lvlText w:val="%1."/>
      <w:numFmt w:val="decimal"/>
      <w:start w:val="3"/>
    </w:lvl>
  </w:abstractNum>
  <w:abstractNum w:abstractNumId="660">
    <w:nsid w:val="533A7CFD"/>
    <w:multiLevelType w:val="hybridMultilevel"/>
    <w:lvl w:ilvl="0">
      <w:lvlJc w:val="left"/>
      <w:lvlText w:val="[%1]"/>
      <w:numFmt w:val="upperLetter"/>
      <w:start w:val="76"/>
    </w:lvl>
  </w:abstractNum>
  <w:abstractNum w:abstractNumId="661">
    <w:nsid w:val="5A7ED215"/>
    <w:multiLevelType w:val="hybridMultilevel"/>
    <w:lvl w:ilvl="0">
      <w:lvlJc w:val="left"/>
      <w:lvlText w:val="[%1]"/>
      <w:numFmt w:val="upperLetter"/>
      <w:start w:val="76"/>
    </w:lvl>
  </w:abstractNum>
  <w:abstractNum w:abstractNumId="662">
    <w:nsid w:val="777250E7"/>
    <w:multiLevelType w:val="hybridMultilevel"/>
    <w:lvl w:ilvl="0">
      <w:lvlJc w:val="left"/>
      <w:lvlText w:val="[%1]"/>
      <w:numFmt w:val="upperLetter"/>
      <w:start w:val="76"/>
    </w:lvl>
  </w:abstractNum>
  <w:abstractNum w:abstractNumId="663">
    <w:nsid w:val="B726EDC"/>
    <w:multiLevelType w:val="hybridMultilevel"/>
    <w:lvl w:ilvl="0">
      <w:lvlJc w:val="left"/>
      <w:lvlText w:val="%1."/>
      <w:numFmt w:val="decimal"/>
      <w:start w:val="4"/>
    </w:lvl>
  </w:abstractNum>
  <w:abstractNum w:abstractNumId="664">
    <w:nsid w:val="365EFC5A"/>
    <w:multiLevelType w:val="hybridMultilevel"/>
    <w:lvl w:ilvl="0">
      <w:lvlJc w:val="left"/>
      <w:lvlText w:val="[%1]"/>
      <w:numFmt w:val="upperLetter"/>
      <w:start w:val="76"/>
    </w:lvl>
  </w:abstractNum>
  <w:abstractNum w:abstractNumId="665">
    <w:nsid w:val="41A8106C"/>
    <w:multiLevelType w:val="hybridMultilevel"/>
    <w:lvl w:ilvl="0">
      <w:lvlJc w:val="left"/>
      <w:lvlText w:val="%1."/>
      <w:numFmt w:val="decimal"/>
      <w:start w:val="5"/>
    </w:lvl>
  </w:abstractNum>
  <w:abstractNum w:abstractNumId="666">
    <w:nsid w:val="3FB97188"/>
    <w:multiLevelType w:val="hybridMultilevel"/>
    <w:lvl w:ilvl="0">
      <w:lvlJc w:val="left"/>
      <w:lvlText w:val="[%1]"/>
      <w:numFmt w:val="upperLetter"/>
      <w:start w:val="76"/>
    </w:lvl>
  </w:abstractNum>
  <w:abstractNum w:abstractNumId="667">
    <w:nsid w:val="382EA874"/>
    <w:multiLevelType w:val="hybridMultilevel"/>
    <w:lvl w:ilvl="0">
      <w:lvlJc w:val="left"/>
      <w:lvlText w:val="%1."/>
      <w:numFmt w:val="decimal"/>
      <w:start w:val="6"/>
    </w:lvl>
  </w:abstractNum>
  <w:abstractNum w:abstractNumId="668">
    <w:nsid w:val="21856507"/>
    <w:multiLevelType w:val="hybridMultilevel"/>
    <w:lvl w:ilvl="0">
      <w:lvlJc w:val="left"/>
      <w:lvlText w:val="[%1]"/>
      <w:numFmt w:val="upperLetter"/>
      <w:start w:val="76"/>
    </w:lvl>
  </w:abstractNum>
  <w:abstractNum w:abstractNumId="669">
    <w:nsid w:val="78B6E496"/>
    <w:multiLevelType w:val="hybridMultilevel"/>
    <w:lvl w:ilvl="0">
      <w:lvlJc w:val="left"/>
      <w:lvlText w:val="(%1)"/>
      <w:numFmt w:val="lowerLetter"/>
      <w:start w:val="3"/>
    </w:lvl>
  </w:abstractNum>
  <w:abstractNum w:abstractNumId="670">
    <w:nsid w:val="B1595B1"/>
    <w:multiLevelType w:val="hybridMultilevel"/>
    <w:lvl w:ilvl="0">
      <w:lvlJc w:val="left"/>
      <w:lvlText w:val="[%1]"/>
      <w:numFmt w:val="upperLetter"/>
      <w:start w:val="76"/>
    </w:lvl>
  </w:abstractNum>
  <w:abstractNum w:abstractNumId="671">
    <w:nsid w:val="25670D6B"/>
    <w:multiLevelType w:val="hybridMultilevel"/>
    <w:lvl w:ilvl="0">
      <w:lvlJc w:val="left"/>
      <w:lvlText w:val="(%1)"/>
      <w:numFmt w:val="lowerLetter"/>
      <w:start w:val="2"/>
    </w:lvl>
  </w:abstractNum>
  <w:abstractNum w:abstractNumId="672">
    <w:nsid w:val="5FE6C53F"/>
    <w:multiLevelType w:val="hybridMultilevel"/>
    <w:lvl w:ilvl="0">
      <w:lvlJc w:val="left"/>
      <w:lvlText w:val="%1."/>
      <w:numFmt w:val="decimal"/>
      <w:start w:val="7"/>
    </w:lvl>
  </w:abstractNum>
  <w:abstractNum w:abstractNumId="673">
    <w:nsid w:val="3CAE14FE"/>
    <w:multiLevelType w:val="hybridMultilevel"/>
    <w:lvl w:ilvl="0">
      <w:lvlJc w:val="left"/>
      <w:lvlText w:val="[%1]"/>
      <w:numFmt w:val="upperLetter"/>
      <w:start w:val="76"/>
    </w:lvl>
  </w:abstractNum>
  <w:abstractNum w:abstractNumId="674">
    <w:nsid w:val="6E27B56B"/>
    <w:multiLevelType w:val="hybridMultilevel"/>
    <w:lvl w:ilvl="0">
      <w:lvlJc w:val="left"/>
      <w:lvlText w:val="[%1]"/>
      <w:numFmt w:val="upperLetter"/>
      <w:start w:val="76"/>
    </w:lvl>
  </w:abstractNum>
  <w:abstractNum w:abstractNumId="675">
    <w:nsid w:val="66FE7765"/>
    <w:multiLevelType w:val="hybridMultilevel"/>
    <w:lvl w:ilvl="0">
      <w:lvlJc w:val="left"/>
      <w:lvlText w:val="[%1]"/>
      <w:numFmt w:val="upperLetter"/>
      <w:start w:val="76"/>
    </w:lvl>
  </w:abstractNum>
  <w:abstractNum w:abstractNumId="676">
    <w:nsid w:val="41123F79"/>
    <w:multiLevelType w:val="hybridMultilevel"/>
    <w:lvl w:ilvl="0">
      <w:lvlJc w:val="left"/>
      <w:lvlText w:val="[%1]"/>
      <w:numFmt w:val="upperLetter"/>
      <w:start w:val="76"/>
    </w:lvl>
  </w:abstractNum>
  <w:abstractNum w:abstractNumId="677">
    <w:nsid w:val="514FBE5A"/>
    <w:multiLevelType w:val="hybridMultilevel"/>
    <w:lvl w:ilvl="0">
      <w:lvlJc w:val="left"/>
      <w:lvlText w:val="[%1]"/>
      <w:numFmt w:val="upperLetter"/>
      <w:start w:val="76"/>
    </w:lvl>
  </w:abstractNum>
  <w:abstractNum w:abstractNumId="678">
    <w:nsid w:val="4C68ED90"/>
    <w:multiLevelType w:val="hybridMultilevel"/>
    <w:lvl w:ilvl="0">
      <w:lvlJc w:val="left"/>
      <w:lvlText w:val="[%1]"/>
      <w:numFmt w:val="upperLetter"/>
      <w:start w:val="76"/>
    </w:lvl>
  </w:abstractNum>
  <w:abstractNum w:abstractNumId="679">
    <w:nsid w:val="45BECE3C"/>
    <w:multiLevelType w:val="hybridMultilevel"/>
    <w:lvl w:ilvl="0">
      <w:lvlJc w:val="left"/>
      <w:lvlText w:val="[%1]"/>
      <w:numFmt w:val="upperLetter"/>
      <w:start w:val="76"/>
    </w:lvl>
  </w:abstractNum>
  <w:abstractNum w:abstractNumId="680">
    <w:nsid w:val="1660D468"/>
    <w:multiLevelType w:val="hybridMultilevel"/>
    <w:lvl w:ilvl="0">
      <w:lvlJc w:val="left"/>
      <w:lvlText w:val="%1."/>
      <w:numFmt w:val="decimal"/>
      <w:start w:val="1"/>
    </w:lvl>
  </w:abstractNum>
  <w:abstractNum w:abstractNumId="681">
    <w:nsid w:val="7690CBA1"/>
    <w:multiLevelType w:val="hybridMultilevel"/>
    <w:lvl w:ilvl="0">
      <w:lvlJc w:val="left"/>
      <w:lvlText w:val="[%1]"/>
      <w:numFmt w:val="upperLetter"/>
      <w:start w:val="76"/>
    </w:lvl>
  </w:abstractNum>
  <w:abstractNum w:abstractNumId="682">
    <w:nsid w:val="7CBC5FD3"/>
    <w:multiLevelType w:val="hybridMultilevel"/>
    <w:lvl w:ilvl="0">
      <w:lvlJc w:val="left"/>
      <w:lvlText w:val="(%1)"/>
      <w:numFmt w:val="lowerLetter"/>
      <w:start w:val="1"/>
    </w:lvl>
  </w:abstractNum>
  <w:abstractNum w:abstractNumId="683">
    <w:nsid w:val="19076430"/>
    <w:multiLevelType w:val="hybridMultilevel"/>
    <w:lvl w:ilvl="0">
      <w:lvlJc w:val="left"/>
      <w:lvlText w:val="[%1]"/>
      <w:numFmt w:val="upperLetter"/>
      <w:start w:val="76"/>
    </w:lvl>
  </w:abstractNum>
  <w:abstractNum w:abstractNumId="684">
    <w:nsid w:val="2B85F5C4"/>
    <w:multiLevelType w:val="hybridMultilevel"/>
    <w:lvl w:ilvl="0">
      <w:lvlJc w:val="left"/>
      <w:lvlText w:val="(%1)"/>
      <w:numFmt w:val="decimal"/>
      <w:start w:val="1"/>
    </w:lvl>
  </w:abstractNum>
  <w:abstractNum w:abstractNumId="685">
    <w:nsid w:val="44D20939"/>
    <w:multiLevelType w:val="hybridMultilevel"/>
    <w:lvl w:ilvl="0">
      <w:lvlJc w:val="left"/>
      <w:lvlText w:val="(%1)"/>
      <w:numFmt w:val="lowerLetter"/>
      <w:start w:val="1"/>
    </w:lvl>
  </w:abstractNum>
  <w:abstractNum w:abstractNumId="686">
    <w:nsid w:val="1276A960"/>
    <w:multiLevelType w:val="hybridMultilevel"/>
    <w:lvl w:ilvl="0">
      <w:lvlJc w:val="left"/>
      <w:lvlText w:val="[%1]"/>
      <w:numFmt w:val="upperLetter"/>
      <w:start w:val="76"/>
    </w:lvl>
  </w:abstractNum>
  <w:abstractNum w:abstractNumId="687">
    <w:nsid w:val="1B479698"/>
    <w:multiLevelType w:val="hybridMultilevel"/>
    <w:lvl w:ilvl="0">
      <w:lvlJc w:val="left"/>
      <w:lvlText w:val="(%1)"/>
      <w:numFmt w:val="lowerLetter"/>
      <w:start w:val="1"/>
    </w:lvl>
    <w:lvl w:ilvl="1">
      <w:lvlJc w:val="left"/>
      <w:lvlText w:val="[%2]"/>
      <w:numFmt w:val="upperLetter"/>
      <w:start w:val="76"/>
    </w:lvl>
  </w:abstractNum>
  <w:abstractNum w:abstractNumId="688">
    <w:nsid w:val="6572CF1B"/>
    <w:multiLevelType w:val="hybridMultilevel"/>
    <w:lvl w:ilvl="0">
      <w:lvlJc w:val="left"/>
      <w:lvlText w:val="(%1)"/>
      <w:numFmt w:val="lowerLetter"/>
      <w:start w:val="4"/>
    </w:lvl>
  </w:abstractNum>
  <w:abstractNum w:abstractNumId="689">
    <w:nsid w:val="6E4E1C1B"/>
    <w:multiLevelType w:val="hybridMultilevel"/>
    <w:lvl w:ilvl="0">
      <w:lvlJc w:val="left"/>
      <w:lvlText w:val="(%1)"/>
      <w:numFmt w:val="lowerLetter"/>
      <w:start w:val="1"/>
    </w:lvl>
  </w:abstractNum>
  <w:abstractNum w:abstractNumId="690">
    <w:nsid w:val="4E784887"/>
    <w:multiLevelType w:val="hybridMultilevel"/>
    <w:lvl w:ilvl="0">
      <w:lvlJc w:val="left"/>
      <w:lvlText w:val="[%1]"/>
      <w:numFmt w:val="upperLetter"/>
      <w:start w:val="76"/>
    </w:lvl>
  </w:abstractNum>
  <w:abstractNum w:abstractNumId="691">
    <w:nsid w:val="38AD4C18"/>
    <w:multiLevelType w:val="hybridMultilevel"/>
    <w:lvl w:ilvl="0">
      <w:lvlJc w:val="left"/>
      <w:lvlText w:val="[%1]"/>
      <w:numFmt w:val="upperLetter"/>
      <w:start w:val="76"/>
    </w:lvl>
  </w:abstractNum>
  <w:abstractNum w:abstractNumId="692">
    <w:nsid w:val="48CCEE31"/>
    <w:multiLevelType w:val="hybridMultilevel"/>
    <w:lvl w:ilvl="0">
      <w:lvlJc w:val="left"/>
      <w:lvlText w:val="%1."/>
      <w:numFmt w:val="decimal"/>
      <w:start w:val="2"/>
    </w:lvl>
  </w:abstractNum>
  <w:abstractNum w:abstractNumId="693">
    <w:nsid w:val="45EA996E"/>
    <w:multiLevelType w:val="hybridMultilevel"/>
    <w:lvl w:ilvl="0">
      <w:lvlJc w:val="left"/>
      <w:lvlText w:val="[%1]"/>
      <w:numFmt w:val="upperLetter"/>
      <w:start w:val="76"/>
    </w:lvl>
  </w:abstractNum>
  <w:abstractNum w:abstractNumId="694">
    <w:nsid w:val="441FBAF4"/>
    <w:multiLevelType w:val="hybridMultilevel"/>
    <w:lvl w:ilvl="0">
      <w:lvlJc w:val="left"/>
      <w:lvlText w:val="[%1]"/>
      <w:numFmt w:val="upperLetter"/>
      <w:start w:val="76"/>
    </w:lvl>
  </w:abstractNum>
  <w:abstractNum w:abstractNumId="695">
    <w:nsid w:val="7F2BEA8B"/>
    <w:multiLevelType w:val="hybridMultilevel"/>
    <w:lvl w:ilvl="0">
      <w:lvlJc w:val="left"/>
      <w:lvlText w:val="%1."/>
      <w:numFmt w:val="decimal"/>
      <w:start w:val="3"/>
    </w:lvl>
  </w:abstractNum>
  <w:abstractNum w:abstractNumId="696">
    <w:nsid w:val="792A9DB"/>
    <w:multiLevelType w:val="hybridMultilevel"/>
    <w:lvl w:ilvl="0">
      <w:lvlJc w:val="left"/>
      <w:lvlText w:val="[%1]"/>
      <w:numFmt w:val="upperLetter"/>
      <w:start w:val="76"/>
    </w:lvl>
  </w:abstractNum>
  <w:abstractNum w:abstractNumId="697">
    <w:nsid w:val="3D92C7D"/>
    <w:multiLevelType w:val="hybridMultilevel"/>
    <w:lvl w:ilvl="0">
      <w:lvlJc w:val="left"/>
      <w:lvlText w:val="[%1]"/>
      <w:numFmt w:val="upperLetter"/>
      <w:start w:val="76"/>
    </w:lvl>
  </w:abstractNum>
  <w:abstractNum w:abstractNumId="698">
    <w:nsid w:val="375A92FF"/>
    <w:multiLevelType w:val="hybridMultilevel"/>
    <w:lvl w:ilvl="0">
      <w:lvlJc w:val="left"/>
      <w:lvlText w:val="%1."/>
      <w:numFmt w:val="decimal"/>
      <w:start w:val="4"/>
    </w:lvl>
  </w:abstractNum>
  <w:abstractNum w:abstractNumId="699">
    <w:nsid w:val="29180EE2"/>
    <w:multiLevelType w:val="hybridMultilevel"/>
    <w:lvl w:ilvl="0">
      <w:lvlJc w:val="left"/>
      <w:lvlText w:val="[%1]"/>
      <w:numFmt w:val="upperLetter"/>
      <w:start w:val="76"/>
    </w:lvl>
  </w:abstractNum>
  <w:abstractNum w:abstractNumId="700">
    <w:nsid w:val="7C901113"/>
    <w:multiLevelType w:val="hybridMultilevel"/>
    <w:lvl w:ilvl="0">
      <w:lvlJc w:val="left"/>
      <w:lvlText w:val="%1."/>
      <w:numFmt w:val="decimal"/>
      <w:start w:val="5"/>
    </w:lvl>
  </w:abstractNum>
  <w:abstractNum w:abstractNumId="701">
    <w:nsid w:val="427028B0"/>
    <w:multiLevelType w:val="hybridMultilevel"/>
    <w:lvl w:ilvl="0">
      <w:lvlJc w:val="left"/>
      <w:lvlText w:val="[%1]"/>
      <w:numFmt w:val="upperLetter"/>
      <w:start w:val="76"/>
    </w:lvl>
  </w:abstractNum>
  <w:abstractNum w:abstractNumId="702">
    <w:nsid w:val="4E7F1C4D"/>
    <w:multiLevelType w:val="hybridMultilevel"/>
    <w:lvl w:ilvl="0">
      <w:lvlJc w:val="left"/>
      <w:lvlText w:val="[%1]"/>
      <w:numFmt w:val="upperLetter"/>
      <w:start w:val="76"/>
    </w:lvl>
  </w:abstractNum>
  <w:abstractNum w:abstractNumId="703">
    <w:nsid w:val="5C76D652"/>
    <w:multiLevelType w:val="hybridMultilevel"/>
    <w:lvl w:ilvl="0">
      <w:lvlJc w:val="left"/>
      <w:lvlText w:val="%1."/>
      <w:numFmt w:val="decimal"/>
      <w:start w:val="6"/>
    </w:lvl>
  </w:abstractNum>
  <w:abstractNum w:abstractNumId="704">
    <w:nsid w:val="7F1E3DAE"/>
    <w:multiLevelType w:val="hybridMultilevel"/>
    <w:lvl w:ilvl="0">
      <w:lvlJc w:val="left"/>
      <w:lvlText w:val="[%1]"/>
      <w:numFmt w:val="upperLetter"/>
      <w:start w:val="76"/>
    </w:lvl>
  </w:abstractNum>
  <w:abstractNum w:abstractNumId="705">
    <w:nsid w:val="3CA6D1B9"/>
    <w:multiLevelType w:val="hybridMultilevel"/>
    <w:lvl w:ilvl="0">
      <w:lvlJc w:val="left"/>
      <w:lvlText w:val="(%1)"/>
      <w:numFmt w:val="lowerLetter"/>
      <w:start w:val="3"/>
    </w:lvl>
  </w:abstractNum>
  <w:abstractNum w:abstractNumId="706">
    <w:nsid w:val="43754DB7"/>
    <w:multiLevelType w:val="hybridMultilevel"/>
    <w:lvl w:ilvl="0">
      <w:lvlJc w:val="left"/>
      <w:lvlText w:val="(%1)"/>
      <w:numFmt w:val="lowerLetter"/>
      <w:start w:val="2"/>
    </w:lvl>
  </w:abstractNum>
  <w:abstractNum w:abstractNumId="707">
    <w:nsid w:val="40307D27"/>
    <w:multiLevelType w:val="hybridMultilevel"/>
    <w:lvl w:ilvl="0">
      <w:lvlJc w:val="left"/>
      <w:lvlText w:val="%1."/>
      <w:numFmt w:val="decimal"/>
      <w:start w:val="7"/>
    </w:lvl>
  </w:abstractNum>
  <w:abstractNum w:abstractNumId="708">
    <w:nsid w:val="DF69013"/>
    <w:multiLevelType w:val="hybridMultilevel"/>
    <w:lvl w:ilvl="0">
      <w:lvlJc w:val="left"/>
      <w:lvlText w:val="[%1]"/>
      <w:numFmt w:val="upperLetter"/>
      <w:start w:val="76"/>
    </w:lvl>
  </w:abstractNum>
  <w:abstractNum w:abstractNumId="709">
    <w:nsid w:val="FDE3B47"/>
    <w:multiLevelType w:val="hybridMultilevel"/>
    <w:lvl w:ilvl="0">
      <w:lvlJc w:val="left"/>
      <w:lvlText w:val="[%1]"/>
      <w:numFmt w:val="upperLetter"/>
      <w:start w:val="76"/>
    </w:lvl>
  </w:abstractNum>
  <w:abstractNum w:abstractNumId="710">
    <w:nsid w:val="5EF4B64"/>
    <w:multiLevelType w:val="hybridMultilevel"/>
    <w:lvl w:ilvl="0">
      <w:lvlJc w:val="left"/>
      <w:lvlText w:val="[%1]"/>
      <w:numFmt w:val="upperLetter"/>
      <w:start w:val="76"/>
    </w:lvl>
  </w:abstractNum>
  <w:abstractNum w:abstractNumId="711">
    <w:nsid w:val="2457647B"/>
    <w:multiLevelType w:val="hybridMultilevel"/>
    <w:lvl w:ilvl="0">
      <w:lvlJc w:val="left"/>
      <w:lvlText w:val="[%1]"/>
      <w:numFmt w:val="upperLetter"/>
      <w:start w:val="76"/>
    </w:lvl>
  </w:abstractNum>
  <w:abstractNum w:abstractNumId="712">
    <w:nsid w:val="66F06E9"/>
    <w:multiLevelType w:val="hybridMultilevel"/>
    <w:lvl w:ilvl="0">
      <w:lvlJc w:val="left"/>
      <w:lvlText w:val="[%1]"/>
      <w:numFmt w:val="upperLetter"/>
      <w:start w:val="76"/>
    </w:lvl>
  </w:abstractNum>
  <w:abstractNum w:abstractNumId="713">
    <w:nsid w:val="2ABAB37"/>
    <w:multiLevelType w:val="hybridMultilevel"/>
    <w:lvl w:ilvl="0">
      <w:lvlJc w:val="left"/>
      <w:lvlText w:val="[%1]"/>
      <w:numFmt w:val="upperLetter"/>
      <w:start w:val="76"/>
    </w:lvl>
  </w:abstractNum>
  <w:abstractNum w:abstractNumId="714">
    <w:nsid w:val="3D5EC8AB"/>
    <w:multiLevelType w:val="hybridMultilevel"/>
    <w:lvl w:ilvl="0">
      <w:lvlJc w:val="left"/>
      <w:lvlText w:val="[%1]"/>
      <w:numFmt w:val="upperLetter"/>
      <w:start w:val="76"/>
    </w:lvl>
  </w:abstractNum>
  <w:abstractNum w:abstractNumId="715">
    <w:nsid w:val="31F4FCAD"/>
    <w:multiLevelType w:val="hybridMultilevel"/>
    <w:lvl w:ilvl="0">
      <w:lvlJc w:val="left"/>
      <w:lvlText w:val="%1"/>
      <w:numFmt w:val="decimal"/>
      <w:start w:val="1"/>
    </w:lvl>
    <w:lvl w:ilvl="1">
      <w:lvlJc w:val="left"/>
      <w:lvlText w:val="(%2)"/>
      <w:numFmt w:val="lowerLetter"/>
      <w:start w:val="1"/>
    </w:lvl>
  </w:abstractNum>
  <w:abstractNum w:abstractNumId="716">
    <w:nsid w:val="477DB470"/>
    <w:multiLevelType w:val="hybridMultilevel"/>
    <w:lvl w:ilvl="0">
      <w:lvlJc w:val="left"/>
      <w:lvlText w:val="(%1)"/>
      <w:numFmt w:val="lowerLetter"/>
      <w:start w:val="2"/>
    </w:lvl>
    <w:lvl w:ilvl="1">
      <w:lvlJc w:val="left"/>
      <w:lvlText w:val="%2."/>
      <w:numFmt w:val="lowerRoman"/>
      <w:start w:val="1"/>
    </w:lvl>
  </w:abstractNum>
  <w:abstractNum w:abstractNumId="717">
    <w:nsid w:val="4FD5720B"/>
    <w:multiLevelType w:val="hybridMultilevel"/>
    <w:lvl w:ilvl="0">
      <w:lvlJc w:val="left"/>
      <w:lvlText w:val="(%1)"/>
      <w:numFmt w:val="upperLetter"/>
      <w:start w:val="1"/>
    </w:lvl>
  </w:abstractNum>
  <w:abstractNum w:abstractNumId="718">
    <w:nsid w:val="4D3C9346"/>
    <w:multiLevelType w:val="hybridMultilevel"/>
    <w:lvl w:ilvl="0">
      <w:lvlJc w:val="left"/>
      <w:lvlText w:val="%1"/>
      <w:numFmt w:val="lowerLetter"/>
      <w:start w:val="1"/>
    </w:lvl>
    <w:lvl w:ilvl="1">
      <w:lvlJc w:val="left"/>
      <w:lvlText w:val="(%2)"/>
      <w:numFmt w:val="upperLetter"/>
      <w:start w:val="3"/>
    </w:lvl>
  </w:abstractNum>
  <w:abstractNum w:abstractNumId="719">
    <w:nsid w:val="2CF0838B"/>
    <w:multiLevelType w:val="hybridMultilevel"/>
    <w:lvl w:ilvl="0">
      <w:lvlJc w:val="left"/>
      <w:lvlText w:val="(%1)"/>
      <w:numFmt w:val="lowerLetter"/>
      <w:start w:val="3"/>
    </w:lvl>
    <w:lvl w:ilvl="1">
      <w:lvlJc w:val="left"/>
      <w:lvlText w:val="%2"/>
      <w:numFmt w:val="upperLetter"/>
      <w:start w:val="1"/>
    </w:lvl>
  </w:abstractNum>
  <w:abstractNum w:abstractNumId="720">
    <w:nsid w:val="3E238E27"/>
    <w:multiLevelType w:val="hybridMultilevel"/>
    <w:lvl w:ilvl="0">
      <w:lvlJc w:val="left"/>
      <w:lvlText w:val="(%1)"/>
      <w:numFmt w:val="lowerLetter"/>
      <w:start w:val="8"/>
    </w:lvl>
  </w:abstractNum>
  <w:abstractNum w:abstractNumId="721">
    <w:nsid w:val="1BB4DBCD"/>
    <w:multiLevelType w:val="hybridMultilevel"/>
    <w:lvl w:ilvl="0">
      <w:lvlJc w:val="left"/>
      <w:lvlText w:val="(%1)"/>
      <w:numFmt w:val="lowerLetter"/>
      <w:start w:val="1"/>
    </w:lvl>
  </w:abstractNum>
  <w:abstractNum w:abstractNumId="722">
    <w:nsid w:val="659DCFA3"/>
    <w:multiLevelType w:val="hybridMultilevel"/>
    <w:lvl w:ilvl="0">
      <w:lvlJc w:val="left"/>
      <w:lvlText w:val="%1."/>
      <w:numFmt w:val="lowerRoman"/>
      <w:start w:val="2"/>
    </w:lvl>
  </w:abstractNum>
  <w:abstractNum w:abstractNumId="723">
    <w:nsid w:val="6F07C58"/>
    <w:multiLevelType w:val="hybridMultilevel"/>
    <w:lvl w:ilvl="0">
      <w:lvlJc w:val="left"/>
      <w:lvlText w:val="%1"/>
      <w:numFmt w:val="lowerLetter"/>
      <w:start w:val="1"/>
    </w:lvl>
    <w:lvl w:ilvl="1">
      <w:lvlJc w:val="left"/>
      <w:lvlText w:val="(%2)"/>
      <w:numFmt w:val="lowerLetter"/>
      <w:start w:val="1"/>
    </w:lvl>
  </w:abstractNum>
  <w:abstractNum w:abstractNumId="724">
    <w:nsid w:val="619F753B"/>
    <w:multiLevelType w:val="hybridMultilevel"/>
    <w:lvl w:ilvl="0">
      <w:lvlJc w:val="left"/>
      <w:lvlText w:val="(%1)"/>
      <w:numFmt w:val="lowerLetter"/>
      <w:start w:val="61"/>
    </w:lvl>
    <w:lvl w:ilvl="1">
      <w:lvlJc w:val="left"/>
      <w:lvlText w:val="%2"/>
      <w:numFmt w:val="lowerLetter"/>
      <w:start w:val="1"/>
    </w:lvl>
  </w:abstractNum>
  <w:abstractNum w:abstractNumId="725">
    <w:nsid w:val="29BD8A97"/>
    <w:multiLevelType w:val="hybridMultilevel"/>
    <w:lvl w:ilvl="0">
      <w:lvlJc w:val="left"/>
      <w:lvlText w:val="(%1)"/>
      <w:numFmt w:val="lowerLetter"/>
      <w:start w:val="1"/>
    </w:lvl>
  </w:abstractNum>
  <w:abstractNum w:abstractNumId="726">
    <w:nsid w:val="61C66E3"/>
    <w:multiLevelType w:val="hybridMultilevel"/>
    <w:lvl w:ilvl="0">
      <w:lvlJc w:val="left"/>
      <w:lvlText w:val="(%1)"/>
      <w:numFmt w:val="lowerLetter"/>
      <w:start w:val="1"/>
    </w:lvl>
  </w:abstractNum>
  <w:abstractNum w:abstractNumId="727">
    <w:nsid w:val="69321F16"/>
    <w:multiLevelType w:val="hybridMultilevel"/>
    <w:lvl w:ilvl="0">
      <w:lvlJc w:val="left"/>
      <w:lvlText w:val="(%1)"/>
      <w:numFmt w:val="lowerLetter"/>
      <w:start w:val="35"/>
    </w:lvl>
    <w:lvl w:ilvl="1">
      <w:lvlJc w:val="left"/>
      <w:lvlText w:val="(%2)"/>
      <w:numFmt w:val="lowerLetter"/>
      <w:start w:val="2"/>
    </w:lvl>
  </w:abstractNum>
  <w:abstractNum w:abstractNumId="728">
    <w:nsid w:val="2D96B714"/>
    <w:multiLevelType w:val="hybridMultilevel"/>
    <w:lvl w:ilvl="0">
      <w:lvlJc w:val="left"/>
      <w:lvlText w:val="(%1)"/>
      <w:numFmt w:val="lowerLetter"/>
      <w:start w:val="3"/>
    </w:lvl>
  </w:abstractNum>
  <w:abstractNum w:abstractNumId="729">
    <w:nsid w:val="3D76F9E2"/>
    <w:multiLevelType w:val="hybridMultilevel"/>
    <w:lvl w:ilvl="0">
      <w:lvlJc w:val="left"/>
      <w:lvlText w:val="(%1)"/>
      <w:numFmt w:val="lowerLetter"/>
      <w:start w:val="1"/>
    </w:lvl>
  </w:abstractNum>
  <w:abstractNum w:abstractNumId="730">
    <w:nsid w:val="124A2DF8"/>
    <w:multiLevelType w:val="hybridMultilevel"/>
    <w:lvl w:ilvl="0">
      <w:lvlJc w:val="left"/>
      <w:lvlText w:val="(%1)"/>
      <w:numFmt w:val="lowerLetter"/>
      <w:start w:val="3"/>
    </w:lvl>
  </w:abstractNum>
  <w:abstractNum w:abstractNumId="731">
    <w:nsid w:val="2A26C828"/>
    <w:multiLevelType w:val="hybridMultilevel"/>
    <w:lvl w:ilvl="0">
      <w:lvlJc w:val="left"/>
      <w:lvlText w:val="(%1)"/>
      <w:numFmt w:val="lowerLetter"/>
      <w:start w:val="1"/>
    </w:lvl>
  </w:abstractNum>
  <w:abstractNum w:abstractNumId="732">
    <w:nsid w:val="7FE72292"/>
    <w:multiLevelType w:val="hybridMultilevel"/>
    <w:lvl w:ilvl="0">
      <w:lvlJc w:val="left"/>
      <w:lvlText w:val="(%1)"/>
      <w:numFmt w:val="lowerLetter"/>
      <w:start w:val="2"/>
    </w:lvl>
  </w:abstractNum>
  <w:abstractNum w:abstractNumId="733">
    <w:nsid w:val="60C94A46"/>
    <w:multiLevelType w:val="hybridMultilevel"/>
    <w:lvl w:ilvl="0">
      <w:lvlJc w:val="left"/>
      <w:lvlText w:val="(%1)"/>
      <w:numFmt w:val="lowerLetter"/>
      <w:start w:val="1"/>
    </w:lvl>
  </w:abstractNum>
  <w:abstractNum w:abstractNumId="734">
    <w:nsid w:val="69D9E7A"/>
    <w:multiLevelType w:val="hybridMultilevel"/>
    <w:lvl w:ilvl="0">
      <w:lvlJc w:val="left"/>
      <w:lvlText w:val="(%1)"/>
      <w:numFmt w:val="lowerLetter"/>
      <w:start w:val="2"/>
    </w:lvl>
  </w:abstractNum>
  <w:abstractNum w:abstractNumId="735">
    <w:nsid w:val="7F056040"/>
    <w:multiLevelType w:val="hybridMultilevel"/>
    <w:lvl w:ilvl="0">
      <w:lvlJc w:val="left"/>
      <w:lvlText w:val="(%1)"/>
      <w:numFmt w:val="lowerLetter"/>
      <w:start w:val="61"/>
    </w:lvl>
    <w:lvl w:ilvl="1">
      <w:lvlJc w:val="left"/>
      <w:lvlText w:val="(%2)"/>
      <w:numFmt w:val="lowerLetter"/>
      <w:start w:val="6"/>
    </w:lvl>
  </w:abstractNum>
  <w:abstractNum w:abstractNumId="736">
    <w:nsid w:val="1D701BFF"/>
    <w:multiLevelType w:val="hybridMultilevel"/>
    <w:lvl w:ilvl="0">
      <w:lvlJc w:val="left"/>
      <w:lvlText w:val="(%1)"/>
      <w:numFmt w:val="lowerLetter"/>
      <w:start w:val="1"/>
    </w:lvl>
  </w:abstractNum>
  <w:abstractNum w:abstractNumId="737">
    <w:nsid w:val="4A12EC32"/>
    <w:multiLevelType w:val="hybridMultilevel"/>
    <w:lvl w:ilvl="0">
      <w:lvlJc w:val="left"/>
      <w:lvlText w:val="(%1)"/>
      <w:numFmt w:val="lowerLetter"/>
      <w:start w:val="2"/>
    </w:lvl>
  </w:abstractNum>
  <w:abstractNum w:abstractNumId="738">
    <w:nsid w:val="3F35DD67"/>
    <w:multiLevelType w:val="hybridMultilevel"/>
    <w:lvl w:ilvl="0">
      <w:lvlJc w:val="left"/>
      <w:lvlText w:val="(%1)"/>
      <w:numFmt w:val="lowerLetter"/>
      <w:start w:val="1"/>
    </w:lvl>
  </w:abstractNum>
  <w:abstractNum w:abstractNumId="739">
    <w:nsid w:val="2B66AC12"/>
    <w:multiLevelType w:val="hybridMultilevel"/>
    <w:lvl w:ilvl="0">
      <w:lvlJc w:val="left"/>
      <w:lvlText w:val="(%1)"/>
      <w:numFmt w:val="lowerLetter"/>
      <w:start w:val="2"/>
    </w:lvl>
  </w:abstractNum>
  <w:abstractNum w:abstractNumId="740">
    <w:nsid w:val="59F12779"/>
    <w:multiLevelType w:val="hybridMultilevel"/>
    <w:lvl w:ilvl="0">
      <w:lvlJc w:val="left"/>
      <w:lvlText w:val="(%1)"/>
      <w:numFmt w:val="lowerLetter"/>
      <w:start w:val="5"/>
    </w:lvl>
  </w:abstractNum>
  <w:abstractNum w:abstractNumId="741">
    <w:nsid w:val="452528CB"/>
    <w:multiLevelType w:val="hybridMultilevel"/>
    <w:lvl w:ilvl="0">
      <w:lvlJc w:val="left"/>
      <w:lvlText w:val="(%1)"/>
      <w:numFmt w:val="lowerLetter"/>
      <w:start w:val="1"/>
    </w:lvl>
  </w:abstractNum>
  <w:abstractNum w:abstractNumId="742">
    <w:nsid w:val="4FBE108E"/>
    <w:multiLevelType w:val="hybridMultilevel"/>
    <w:lvl w:ilvl="0">
      <w:lvlJc w:val="left"/>
      <w:lvlText w:val="(%1)"/>
      <w:numFmt w:val="lowerLetter"/>
      <w:start w:val="2"/>
    </w:lvl>
  </w:abstractNum>
  <w:abstractNum w:abstractNumId="743">
    <w:nsid w:val="60602E62"/>
    <w:multiLevelType w:val="hybridMultilevel"/>
    <w:lvl w:ilvl="0">
      <w:lvlJc w:val="left"/>
      <w:lvlText w:val="(%1)"/>
      <w:numFmt w:val="lowerLetter"/>
      <w:start w:val="9"/>
    </w:lvl>
  </w:abstractNum>
  <w:abstractNum w:abstractNumId="744">
    <w:nsid w:val="47D0D402"/>
    <w:multiLevelType w:val="hybridMultilevel"/>
    <w:lvl w:ilvl="0">
      <w:lvlJc w:val="left"/>
      <w:lvlText w:val="(%1)"/>
      <w:numFmt w:val="lowerLetter"/>
      <w:start w:val="1"/>
    </w:lvl>
  </w:abstractNum>
  <w:abstractNum w:abstractNumId="745">
    <w:nsid w:val="D1CD939"/>
    <w:multiLevelType w:val="hybridMultilevel"/>
    <w:lvl w:ilvl="0">
      <w:lvlJc w:val="left"/>
      <w:lvlText w:val="(%1)"/>
      <w:numFmt w:val="lowerLetter"/>
      <w:start w:val="2"/>
    </w:lvl>
  </w:abstractNum>
  <w:abstractNum w:abstractNumId="746">
    <w:nsid w:val="12552B10"/>
    <w:multiLevelType w:val="hybridMultilevel"/>
    <w:lvl w:ilvl="0">
      <w:lvlJc w:val="left"/>
      <w:lvlText w:val="(%1)"/>
      <w:numFmt w:val="lowerLetter"/>
      <w:start w:val="1"/>
    </w:lvl>
  </w:abstractNum>
  <w:abstractNum w:abstractNumId="747">
    <w:nsid w:val="F4E8872"/>
    <w:multiLevelType w:val="hybridMultilevel"/>
    <w:lvl w:ilvl="0">
      <w:lvlJc w:val="left"/>
      <w:lvlText w:val="(%1)"/>
      <w:numFmt w:val="lowerLetter"/>
      <w:start w:val="3"/>
    </w:lvl>
  </w:abstractNum>
  <w:abstractNum w:abstractNumId="748">
    <w:nsid w:val="5CF24B45"/>
    <w:multiLevelType w:val="hybridMultilevel"/>
    <w:lvl w:ilvl="0">
      <w:lvlJc w:val="left"/>
      <w:lvlText w:val="(%1)"/>
      <w:numFmt w:val="lowerLetter"/>
      <w:start w:val="7"/>
    </w:lvl>
  </w:abstractNum>
  <w:abstractNum w:abstractNumId="749">
    <w:nsid w:val="5F91BE56"/>
    <w:multiLevelType w:val="hybridMultilevel"/>
    <w:lvl w:ilvl="0">
      <w:lvlJc w:val="left"/>
      <w:lvlText w:val="%1"/>
      <w:numFmt w:val="decimal"/>
      <w:start w:val="1"/>
    </w:lvl>
    <w:lvl w:ilvl="1">
      <w:lvlJc w:val="left"/>
      <w:lvlText w:val="(%2)"/>
      <w:numFmt w:val="lowerLetter"/>
      <w:start w:val="1"/>
    </w:lvl>
  </w:abstractNum>
  <w:abstractNum w:abstractNumId="750">
    <w:nsid w:val="3C3F0BFD"/>
    <w:multiLevelType w:val="hybridMultilevel"/>
    <w:lvl w:ilvl="0">
      <w:lvlJc w:val="left"/>
      <w:lvlText w:val="(%1)"/>
      <w:numFmt w:val="decimal"/>
      <w:start w:val="3"/>
    </w:lvl>
    <w:lvl w:ilvl="1">
      <w:lvlJc w:val="left"/>
      <w:lvlText w:val="%2"/>
      <w:numFmt w:val="lowerLetter"/>
      <w:start w:val="1"/>
    </w:lvl>
  </w:abstractNum>
  <w:abstractNum w:abstractNumId="751">
    <w:nsid w:val="1B15D96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jpeg"/><Relationship Id="rId870" Type="http://schemas.openxmlformats.org/officeDocument/2006/relationships/image" Target="media/image8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2019-12-08T09:12:32Z</dcterms:created>
  <dcterms:modified xsi:type="dcterms:W3CDTF">2019-12-08T09:12:32Z</dcterms:modified>
</cp:coreProperties>
</file>